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HSTD-20260611-0012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 tháng 7 năm 2026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Mã Văn Vân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HSTD-20260611-0012/HĐTĐ-VFI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18 tháng 6 năm 2026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HSTD-20260611-0012/HĐTĐ-VFI-01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18/6/2026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Mã Văn Vân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Mã Văn Vân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/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HSTD-20260611-0012/HĐTĐ-VFI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HSTD-20260611-0012/HĐTĐ-VFI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18 tháng 6 năm 2026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1.000.000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Một triệu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