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HSTD-20251230-0001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13 tháng 1 năm 2026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Nguyễn Huy Thành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HSTD-20251230-0001/HĐTĐ-VFI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13 tháng 1 năm 2026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HSTD-20251230-0001/HĐTĐ-VFI-01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13/1/2026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Nguyễn Huy Thành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Nguyễn Huy Thành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Cát Quế, Hoài Đức, Hà Nội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HSTD-20251230-0001/HĐTĐ-VFI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HSTD-20251230-0001/HĐTĐ-VFI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13 tháng 1 năm 2026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