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HSTD-20251223-0022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5 tháng 1 năm 2026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Ông Võ Tiến Sỹ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HSTD-20251223-0022/HĐTĐ-VFI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5 tháng 1 năm 2026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HSTD-20251223-0022/HĐTĐ-VFI-01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5/1/2026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Ông Võ Tiến Sỹ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Ông Võ Tiến Sỹ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>Số 12 ngõ 47 Đặng Văn Ngữ, phường Kim Liên,  Thành phố Hà Nội</w:t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HSTD-20251223-0022/HĐTĐ-VFI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HSTD-20251223-0022/HĐTĐ-VFI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5 tháng 1 năm 2026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1.000.000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Một triệu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