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275/2026/0392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12 tháng 3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Trần Thị Thanh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275/2026/0392/VFI-HĐTĐ.01ĐN.A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12/3/2026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Trần Thị Thanh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Bà Trần Thị Thanh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Thôn Cẩm Toại Trung, (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xã Hoà Phong, huyện Hoà Vang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) nay là xã Hoà Vang, thành phố Đà Nẵng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275/2026/0392/VFI-HĐTĐ.01ĐN.A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2026-03-13T03:38:34Z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