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HSTD-20260122-0005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23 tháng 1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LÊ DƯƠNG HẠNH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HSTD-20260122-0005/HĐTĐ-VFI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23/1/2026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LÊ DƯƠNG HẠNH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LÊ DƯƠNG HẠNH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Tổ 26, khu Phước Hải, xã Long Thành, tỉnh Đồng Nai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HSTD-20260122-0005/HĐTĐ-VFI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Bốn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