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 w14:paraId="6D99F447" w14:textId="7D54E4F9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63D3749" w14:textId="76480F0E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275/2026/0015/DNTT-VFI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357ED026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 w14:paraId="5D041978" w14:textId="77777777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 w14:paraId="0151FE5E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1981398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 w14:paraId="36B5E92B" w14:textId="77777777"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 w14:paraId="7BBEF0AF" w14:textId="77777777"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07 tháng 01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7A962D7D" w14:textId="77777777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 w14:paraId="6E5C0AF2" w14:textId="54C2193C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Bà </w:t>
      </w:r>
      <w:r>
        <w:rPr>
          <w:rFonts w:ascii="Times New Roman" w:hAnsi="Times New Roman"/>
          <w:b/>
          <w:sz w:val="24"/>
          <w:szCs w:val="24"/>
        </w:rPr>
        <w:t xml:space="preserve">Lê Thị Mỹ Hải</w:t>
      </w:r>
      <w:r>
        <w:rPr>
          <w:rFonts w:ascii="Times New Roman" w:hAnsi="Times New Roman"/>
          <w:b/>
          <w:sz w:val="24"/>
          <w:szCs w:val="24"/>
        </w:rPr>
      </w:r>
    </w:p>
    <w:p w14:paraId="5C1CCD8A" w14:textId="4B38B6BA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 w14:paraId="58060910" w14:textId="2EB2635C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dịch vụ thẩm định giá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015/VFI-HĐTĐ.01ĐN.A ký ngày </w:t>
      </w:r>
      <w:r>
        <w:rPr>
          <w:rFonts w:ascii="Times New Roman" w:hAnsi="Times New Roman"/>
          <w:sz w:val="24"/>
          <w:szCs w:val="24"/>
        </w:rPr>
        <w:t xml:space="preserve">07/01/2026</w:t>
      </w:r>
      <w:r>
        <w:rPr>
          <w:rFonts w:ascii="Times New Roman" w:hAnsi="Times New Roman"/>
          <w:sz w:val="24"/>
          <w:szCs w:val="24"/>
        </w:rPr>
        <w:t xml:space="preserve"> giữa Bà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Lê Thị Mỹ Hải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 w14:paraId="7A969429" w14:textId="5F70EFAB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Lê Thị Mỹ Hải</w:t>
      </w:r>
      <w:r>
        <w:rPr>
          <w:rFonts w:ascii="Times New Roman" w:hAnsi="Times New Roman"/>
          <w:b/>
          <w:sz w:val="24"/>
          <w:szCs w:val="24"/>
        </w:rPr>
      </w:r>
    </w:p>
    <w:p w14:paraId="4ED48AE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-1" w:firstLine="0" w:left="0"/>
        <w:jc w:val="both"/>
        <w:rPr/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Khu phố số 9, TT Hà Lam, huyện Thăng Bình, Quảng Nam </w:t>
      </w:r>
      <w:r>
        <w:rPr>
          <w:rFonts w:ascii="Times New Roman" w:hAnsi="Times New Roman" w:eastAsia="Times New Roman" w:cs="Times New Roman"/>
          <w:i/>
          <w:color w:val="000000"/>
          <w:sz w:val="24"/>
        </w:rPr>
        <w:t xml:space="preserve">(Nay là Khu phố số 9, xã Thăng Bình, TP Đà Nẵng)</w:t>
      </w:r>
      <w:r/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t xml:space="preserve">.</w:t>
      </w:r>
      <w:r>
        <w:rPr>
          <w:rFonts w:ascii="Times New Roman" w:hAnsi="Times New Roman" w:eastAsia="Times New Roman" w:cs="Times New Roman"/>
          <w:sz w:val="24"/>
        </w:rPr>
      </w:r>
    </w:p>
    <w:p w14:paraId="1C7A9E71" w14:textId="77777777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015/VFI-HĐTĐ.01ĐN.A</w:t>
      </w:r>
      <w:r/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 w14:paraId="271D04C8" w14:textId="77777777"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1F4D3B2F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 w14:paraId="70E43B56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 w14:paraId="7EC5341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544EAC7A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693BB96E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3345AD7E" w14:textId="77777777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70346435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24F5277D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BF89EFB" w14:textId="780624AE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2FB317D2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04A5A291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15A4EE5" w14:textId="629426A6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4.000.000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49D638A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 w14:paraId="3A484E9D" w14:textId="11059E51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Bốn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 w14:paraId="3062EAB1" w14:textId="77777777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5DD251F5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689F03AF" w14:textId="20F59034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11AE96F1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71E160A2" w14:textId="427F440B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26324777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 w14:paraId="71EC65B0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 w14:paraId="1505F964" w14:textId="77777777"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213D2CE6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 w14:paraId="42F0368A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 w14:paraId="146934D0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31BB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9A918BA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6726899C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C7A1132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01F277BF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DE87FED" w14:textId="2FCF533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3BE23FBC" w14:textId="77777777"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4902FE87" w14:textId="088190BA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2026-01-07T11:58:30Z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