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HSTD-20251202-0001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5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HOÀNG VĂN BẰNG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HSTD-20251202-0001/HĐTĐ-VFI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HOÀNG VĂN BẰNG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HOÀNG VĂN BẰNG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Thôn Đa Lộc, xã Đa Lộc, huyện Ân Thi, tinhr Hưng Yên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HSTD-20251202-0001/HĐTĐ-VFI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