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49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492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275/2026/1484/VFI-CT.36.A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w:t>
                            </w:r>
                            <w:r>
                              <w:rPr>
                                <w:rFonts w:ascii="Times New Roman Bold" w:hAnsi="Times New Roman Bold"/>
                                <w:b/>
                                <w:color w:val="000000" w:themeColor="text1"/>
                                <w:lang w:val="pt-BR"/>
                              </w:rPr>
                              <w:t xml:space="preserve">NG MAI XUÂN KHANH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1231, tờ bản đồ số: 3, có địa chỉ: xã An Viễn, huyện Trảng Bom, tỉnh Đồng Nai (Nay là: xã An Viễn, thành phố Đồng Nai</w:t>
                            </w:r>
                            <w:r>
                              <w:rPr>
                                <w:color w:val="000000"/>
                              </w:rPr>
                              <w:t xml:space="preserve">) theo Giấy chứng nhận Quyền sử dụng đất quyền sở hữu nhà ở và tài sản khác gắn liền với đất số: DK 648710, số vào sổ cấp GCN: VP 23693 do Văn phòng đăng ký đất đai tỉnh Đồng Nai cấp ngày 30/5/2023; Chủ sử dụng đất là ông Mai Xuân Khanh và bà Mai Lan Hương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5.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275/2026/1484/VFI-CT.36.A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w:t>
                      </w:r>
                      <w:r>
                        <w:rPr>
                          <w:rFonts w:ascii="Times New Roman Bold" w:hAnsi="Times New Roman Bold"/>
                          <w:b/>
                          <w:color w:val="000000" w:themeColor="text1"/>
                          <w:lang w:val="pt-BR"/>
                        </w:rPr>
                        <w:t xml:space="preserve">NG MAI XUÂN KHANH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1231, tờ bản đồ số: 3, có địa chỉ: xã An Viễn, huyện Trảng Bom, tỉnh Đồng Nai (Nay là: xã An Viễn, thành phố Đồng Nai</w:t>
                      </w:r>
                      <w:r>
                        <w:rPr>
                          <w:color w:val="000000"/>
                        </w:rPr>
                        <w:t xml:space="preserve">) theo Giấy chứng nhận Quyền sử dụng đất quyền sở hữu nhà ở và tài sản khác gắn liền với đất số: DK 648710, số vào sổ cấp GCN: VP 23693 do Văn phòng đăng ký đất đai tỉnh Đồng Nai cấp ngày 30/5/2023; Chủ sử dụng đất là ông Mai Xuân Khanh và bà Mai Lan Hương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1 - 3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4 - 22</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lang w:val="pt-BR"/>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23 - 30</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lang w:val="pt-BR"/>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31 </w:t>
            </w:r>
            <w:r>
              <w:rPr>
                <w:b/>
                <w:bCs/>
                <w:highlight w:val="white"/>
              </w:rPr>
              <w:t xml:space="preserve">- 36</w:t>
            </w:r>
            <w:r>
              <w:rPr>
                <w:b/>
                <w:bCs/>
                <w:highlight w:val="white"/>
              </w:rPr>
            </w:r>
            <w:r>
              <w:rPr>
                <w:b/>
                <w:bCs/>
                <w:highlight w:val="white"/>
              </w:rPr>
            </w:r>
          </w:p>
        </w:tc>
      </w:tr>
    </w:tbl>
    <w:p>
      <w:pPr>
        <w:pStyle w:val="1032"/>
        <w:pBdr/>
        <w:tabs>
          <w:tab w:val="left" w:leader="none" w:pos="5103"/>
        </w:tabs>
        <w:spacing w:line="360" w:lineRule="auto"/>
        <w:ind/>
        <w:jc w:val="center"/>
        <w:rPr>
          <w:b/>
          <w:sz w:val="22"/>
          <w:szCs w:val="22"/>
          <w:lang w:val="pt-BR"/>
        </w:rPr>
      </w:pPr>
      <w:r>
        <w:rPr>
          <w:b/>
          <w:sz w:val="22"/>
          <w:szCs w:val="22"/>
          <w:lang w:val="pt-BR"/>
        </w:rPr>
        <w:t xml:space="preserve"> </w:t>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275/2026/1484/VFI-CT.36.A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22 tháng 9 năm 2026</w:t>
            </w:r>
            <w:r>
              <w:rPr>
                <w:color w:val="000000" w:themeColor="text1"/>
                <w:sz w:val="24"/>
                <w:szCs w:val="24"/>
                <w:lang w:val="vi-VN"/>
              </w:rPr>
            </w:r>
            <w:r>
              <w:rPr>
                <w:color w:val="000000" w:themeColor="text1"/>
                <w:sz w:val="24"/>
                <w:szCs w:val="24"/>
                <w:lang w:val="vi-VN"/>
              </w:rPr>
            </w:r>
          </w:p>
        </w:tc>
      </w:tr>
    </w:tbl>
    <w:p>
      <w:pPr>
        <w:pStyle w:val="1032"/>
        <w:pBdr/>
        <w:spacing w:after="120" w:before="200" w:line="288" w:lineRule="auto"/>
        <w:ind/>
        <w:jc w:val="center"/>
        <w:rPr>
          <w:rStyle w:val="1031"/>
          <w:rFonts w:ascii="Times New Roman" w:hAnsi="Times New Roman"/>
          <w:b/>
          <w:bCs/>
          <w:color w:val="auto"/>
          <w:sz w:val="30"/>
          <w:szCs w:val="30"/>
          <w:lang w:val="vi-VN"/>
        </w:rPr>
      </w:pPr>
      <w:r>
        <w:rPr>
          <w:rStyle w:val="1031"/>
          <w:rFonts w:ascii="Times New Roman" w:hAnsi="Times New Roman"/>
          <w:b/>
          <w:bCs/>
          <w:color w:val="auto"/>
          <w:sz w:val="30"/>
          <w:szCs w:val="30"/>
          <w:lang w:val="vi-VN"/>
        </w:rPr>
        <w:t xml:space="preserve">CHỨNG THƯ THẨM ĐỊNH GIÁ</w:t>
      </w:r>
      <w:r>
        <w:rPr>
          <w:rStyle w:val="1031"/>
          <w:rFonts w:ascii="Times New Roman" w:hAnsi="Times New Roman"/>
          <w:b/>
          <w:bCs/>
          <w:color w:val="auto"/>
          <w:sz w:val="30"/>
          <w:szCs w:val="30"/>
          <w:lang w:val="vi-VN"/>
        </w:rPr>
      </w:r>
      <w:r>
        <w:rPr>
          <w:rStyle w:val="103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MAI XUÂN KHANH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275/2026/1484/VFI-HĐTĐ.36.A</w:t>
      </w:r>
      <w:r>
        <w:rPr>
          <w:spacing w:val="-4"/>
          <w:lang w:val="vi-VN"/>
        </w:rPr>
        <w:t xml:space="preserve"> ký ngày </w:t>
      </w:r>
      <w:r>
        <w:rPr>
          <w:color w:val="000000" w:themeColor="text1"/>
          <w:spacing w:val="-4"/>
        </w:rPr>
        <w:t xml:space="preserve">20 tháng 9 năm 2026</w:t>
      </w:r>
      <w:r>
        <w:rPr>
          <w:spacing w:val="-4"/>
          <w:lang w:val="vi-VN"/>
        </w:rPr>
        <w:t xml:space="preserve"> </w:t>
      </w:r>
      <w:r>
        <w:rPr>
          <w:spacing w:val="-4"/>
          <w:lang w:val="vi-VN"/>
        </w:rPr>
        <w:t xml:space="preserve">giữa ông Mai Xuân Khanh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275/2026/1484/VFI-BC.36.A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ayout w:type="fixed"/>
        <w:tblLook w:val="04A0" w:firstRow="1" w:lastRow="0" w:firstColumn="1" w:lastColumn="0" w:noHBand="0" w:noVBand="1"/>
      </w:tblPr>
      <w:tblGrid>
        <w:gridCol w:w="1871"/>
        <w:gridCol w:w="283"/>
        <w:gridCol w:w="7371"/>
      </w:tblGrid>
      <w:tr>
        <w:trPr>
          <w:trHeight w:val="20"/>
        </w:trPr>
        <w:tc>
          <w:tcPr>
            <w:shd w:val="clear" w:color="auto" w:fill="auto"/>
            <w:tcBorders/>
            <w:tcW w:w="1871"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MAI XUÂN KHANH</w:t>
            </w:r>
            <w:r/>
          </w:p>
        </w:tc>
      </w:tr>
      <w:tr>
        <w:trPr>
          <w:trHeight w:val="20"/>
        </w:trPr>
        <w:tc>
          <w:tcPr>
            <w:shd w:val="clear" w:color="auto" w:fill="auto"/>
            <w:tcBorders/>
            <w:tcW w:w="1871"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37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42"/>
              </w:tabs>
              <w:spacing w:after="40" w:before="40" w:line="276" w:lineRule="auto"/>
              <w:ind w:right="0" w:firstLine="0" w:left="0"/>
              <w:jc w:val="both"/>
              <w:rPr/>
            </w:pPr>
            <w:r>
              <w:rPr>
                <w:rFonts w:ascii="Times New Roman" w:hAnsi="Times New Roman" w:eastAsia="Times New Roman" w:cs="Times New Roman"/>
                <w:color w:val="000000"/>
                <w:sz w:val="24"/>
              </w:rPr>
              <w:t xml:space="preserve">037067001834 </w:t>
            </w:r>
            <w:r>
              <w:rPr>
                <w:rFonts w:ascii="Times New Roman" w:hAnsi="Times New Roman" w:eastAsia="Times New Roman" w:cs="Times New Roman"/>
                <w:color w:val="ff0000"/>
                <w:sz w:val="24"/>
              </w:rPr>
              <w:tab/>
            </w:r>
            <w:r/>
          </w:p>
        </w:tc>
      </w:tr>
      <w:tr>
        <w:trPr>
          <w:trHeight w:val="20"/>
        </w:trPr>
        <w:tc>
          <w:tcPr>
            <w:shd w:val="clear" w:color="ffffff" w:fill="ffffff"/>
            <w:tcBorders/>
            <w:tcW w:w="1871" w:type="dxa"/>
            <w:vAlign w:val="center"/>
            <w:vMerge w:val="restart"/>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ffffff" w:fill="ffffff"/>
            <w:tcBorders/>
            <w:tcW w:w="283" w:type="dxa"/>
            <w:vAlign w:val="center"/>
            <w:vMerge w:val="restart"/>
            <w:textDirection w:val="lrTb"/>
            <w:noWrap w:val="false"/>
          </w:tcPr>
          <w:p>
            <w:pPr>
              <w:pBdr/>
              <w:spacing w:after="40" w:before="40" w:line="276" w:lineRule="auto"/>
              <w:ind/>
              <w:jc w:val="center"/>
              <w:rPr>
                <w:bCs/>
                <w:color w:val="000000"/>
                <w:lang w:val="pt-BR"/>
              </w:rPr>
            </w:pPr>
            <w:r>
              <w:rPr>
                <w:bCs/>
                <w:color w:val="000000"/>
                <w:lang w:val="pt-BR"/>
              </w:rPr>
              <w:t xml:space="preserve">:</w:t>
            </w:r>
            <w:r>
              <w:rPr>
                <w:bCs/>
                <w:color w:val="000000"/>
                <w:lang w:val="pt-BR"/>
              </w:rPr>
            </w:r>
            <w:r>
              <w:rPr>
                <w:bCs/>
                <w:color w:val="000000"/>
                <w:lang w:val="pt-BR"/>
              </w:rPr>
            </w:r>
          </w:p>
        </w:tc>
        <w:tc>
          <w:tcPr>
            <w:tcBorders/>
            <w:tcW w:w="737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 G70 đường Lê Đức Thọ, Phường 6, quận Gò Vấp, thành phố Hổ Chí Minh </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1231, tờ bản đồ số: 3, có địa chỉ: xã An Viễn, huyện Trảng Bom, tỉnh Đồng Nai (Nay là: xã An Viễn, thành phố Đồng Nai</w:t>
      </w:r>
      <w:r>
        <w:rPr>
          <w:color w:val="000000" w:themeColor="text1"/>
        </w:rPr>
        <w:t xml:space="preserve">) theo Giấy chứng nhận Quyền sử dụng đất quyền sở hữu nhà ở và tài sản khác gắn liền với đất số: DK 648710, số vào sổ cấp GCN: VP 23693 do Văn phòng đăng ký đất đai tỉnh Đồng Nai cấp ngày 30/5/2023; Chủ sử dụng đất là ông Mai Xuân Khanh và bà Mai Lan Hương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835"/>
        <w:gridCol w:w="1701"/>
        <w:gridCol w:w="2089"/>
        <w:gridCol w:w="2164"/>
      </w:tblGrid>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83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01"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089"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24"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1231, tờ bản đồ số: 3, có địa chỉ: xã An Viễn, huyện Trảng Bom, tỉnh Đồng Nai (Nay là: xã An Viễn, thành phố Đồng Nai</w:t>
            </w:r>
            <w:r>
              <w:rPr>
                <w:b/>
                <w:bCs/>
                <w:color w:val="000000"/>
              </w:rPr>
              <w:t xml:space="preserve">) theo Giấy chứng nhận Quyền sử dụng đất quyền sở hữu nhà ở và tài sản khác gắn liền với đất số: DK 648710, số vào sổ cấp GCN: VP 23693 do Văn phòng đăng ký đất đai tỉnh Đồng Nai cấp ngày 30/5/2023; Chủ sử dụng đất là ông Mai Xuân Khanh và bà Mai Lan Hương</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835"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701" w:type="dxa"/>
            <w:vAlign w:val="center"/>
            <w:textDirection w:val="lrTb"/>
            <w:noWrap/>
          </w:tcPr>
          <w:p>
            <w:pPr>
              <w:pBdr/>
              <w:spacing w:after="40" w:before="40" w:line="288" w:lineRule="auto"/>
              <w:ind/>
              <w:jc w:val="center"/>
              <w:rPr>
                <w:color w:val="000000"/>
              </w:rPr>
            </w:pPr>
            <w:r>
              <w:rPr>
                <w:color w:val="000000" w:themeColor="text1"/>
              </w:rPr>
              <w:t xml:space="preserve">100,0</w:t>
            </w:r>
            <w:r>
              <w:rPr>
                <w:color w:val="000000"/>
              </w:rPr>
            </w:r>
            <w:r>
              <w:rPr>
                <w:color w:val="000000"/>
              </w:rPr>
            </w:r>
          </w:p>
        </w:tc>
        <w:tc>
          <w:tcPr>
            <w:shd w:val="clear" w:color="000000" w:fill="ffffff"/>
            <w:tcBorders/>
            <w:tcW w:w="2089" w:type="dxa"/>
            <w:vAlign w:val="center"/>
            <w:textDirection w:val="lrTb"/>
            <w:noWrap w:val="false"/>
          </w:tcPr>
          <w:p>
            <w:pPr>
              <w:pBdr/>
              <w:spacing w:after="40" w:before="40" w:line="288" w:lineRule="auto"/>
              <w:ind/>
              <w:jc w:val="center"/>
              <w:rPr/>
            </w:pPr>
            <w:r>
              <w:rPr>
                <w:color w:val="000000" w:themeColor="text1"/>
              </w:rPr>
              <w:t xml:space="preserve">22.786.767</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2.278.676.737</w:t>
            </w: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8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b w:val="0"/>
                <w:bCs w:val="0"/>
              </w:rPr>
            </w:pPr>
            <w:r>
              <w:rPr>
                <w:rFonts w:ascii="Times New Roman" w:hAnsi="Times New Roman" w:eastAsia="Times New Roman" w:cs="Times New Roman"/>
                <w:b w:val="0"/>
                <w:bCs w:val="0"/>
                <w:color w:val="000000"/>
                <w:sz w:val="24"/>
              </w:rPr>
              <w:t xml:space="preserve">Đất trồng cây lâu năm nằm ngoài chỉ giới HLGT</w:t>
            </w:r>
            <w:r>
              <w:rPr>
                <w:b w:val="0"/>
                <w:bCs w:val="0"/>
              </w:rPr>
            </w:r>
            <w:r>
              <w:rPr>
                <w:b w:val="0"/>
                <w:bCs w:val="0"/>
              </w:rPr>
            </w:r>
          </w:p>
        </w:tc>
        <w:tc>
          <w:tcPr>
            <w:tcBorders/>
            <w:tcW w:w="1701" w:type="dxa"/>
            <w:vAlign w:val="center"/>
            <w:textDirection w:val="lrTb"/>
            <w:noWrap/>
          </w:tcPr>
          <w:p>
            <w:pPr>
              <w:pBdr/>
              <w:spacing w:after="40" w:before="40" w:line="288" w:lineRule="auto"/>
              <w:ind/>
              <w:jc w:val="center"/>
              <w:rPr>
                <w:color w:val="000000"/>
              </w:rPr>
            </w:pPr>
            <w:r>
              <w:rPr>
                <w:color w:val="000000" w:themeColor="text1"/>
              </w:rPr>
              <w:t xml:space="preserve">164,8</w:t>
            </w:r>
            <w:r>
              <w:rPr>
                <w:color w:val="000000"/>
              </w:rPr>
            </w:r>
            <w:r>
              <w:rPr>
                <w:color w:val="000000"/>
              </w:rPr>
            </w:r>
          </w:p>
        </w:tc>
        <w:tc>
          <w:tcPr>
            <w:shd w:val="clear" w:color="000000" w:fill="ffffff"/>
            <w:tcBorders/>
            <w:tcW w:w="2089" w:type="dxa"/>
            <w:vAlign w:val="center"/>
            <w:textDirection w:val="lrTb"/>
            <w:noWrap w:val="false"/>
          </w:tcPr>
          <w:p>
            <w:pPr>
              <w:pBdr/>
              <w:spacing w:after="40" w:before="40" w:line="288" w:lineRule="auto"/>
              <w:ind/>
              <w:jc w:val="center"/>
              <w:rPr/>
            </w:pPr>
            <w:r>
              <w:rPr>
                <w:color w:val="000000" w:themeColor="text1"/>
              </w:rPr>
              <w:t xml:space="preserve">15.416.767</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2.540.683.263</w:t>
            </w:r>
            <w:r/>
          </w:p>
        </w:tc>
      </w:tr>
      <w:tr>
        <w:trPr>
          <w:trHeight w:val="20"/>
        </w:trPr>
        <w:tc>
          <w:tcPr>
            <w:shd w:val="clear" w:color="000000" w:fill="ffffff"/>
            <w:tcBorders/>
            <w:tcW w:w="737" w:type="dxa"/>
            <w:vAlign w:val="center"/>
            <w:vMerge w:val="restart"/>
            <w:textDirection w:val="lrTb"/>
            <w:noWrap w:val="false"/>
          </w:tcPr>
          <w:p>
            <w:pPr>
              <w:pBdr/>
              <w:spacing w:after="40" w:before="40" w:line="288" w:lineRule="auto"/>
              <w:ind/>
              <w:jc w:val="center"/>
              <w:rPr>
                <w:b w:val="0"/>
                <w:bCs w:val="0"/>
              </w:rPr>
            </w:pPr>
            <w:r>
              <w:rPr>
                <w:b w:val="0"/>
                <w:bCs w:val="0"/>
              </w:rPr>
              <w:t xml:space="preserve">3</w:t>
            </w:r>
            <w:r>
              <w:rPr>
                <w:b w:val="0"/>
                <w:bCs w:val="0"/>
              </w:rPr>
            </w:r>
            <w:r>
              <w:rPr>
                <w:b w:val="0"/>
                <w:bCs w:val="0"/>
              </w:rPr>
            </w:r>
          </w:p>
        </w:tc>
        <w:tc>
          <w:tcPr>
            <w:shd w:val="clear" w:color="000000" w:fill="ffffff"/>
            <w:tcBorders/>
            <w:tcW w:w="283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b w:val="0"/>
                <w:bCs w:val="0"/>
              </w:rPr>
            </w:pPr>
            <w:r>
              <w:rPr>
                <w:rFonts w:ascii="Times New Roman" w:hAnsi="Times New Roman" w:eastAsia="Times New Roman" w:cs="Times New Roman"/>
                <w:b w:val="0"/>
                <w:bCs w:val="0"/>
                <w:color w:val="000000"/>
                <w:sz w:val="24"/>
              </w:rPr>
              <w:t xml:space="preserve">Đất trồng cây lâu năm nằm trong chỉ giới HLGT</w:t>
            </w:r>
            <w:r>
              <w:rPr>
                <w:b w:val="0"/>
                <w:bCs w:val="0"/>
              </w:rPr>
            </w:r>
            <w:r>
              <w:rPr>
                <w:b w:val="0"/>
                <w:bCs w:val="0"/>
              </w:rPr>
            </w:r>
          </w:p>
        </w:tc>
        <w:tc>
          <w:tcPr>
            <w:tcBorders/>
            <w:tcW w:w="1701" w:type="dxa"/>
            <w:vAlign w:val="center"/>
            <w:vMerge w:val="restart"/>
            <w:textDirection w:val="lrTb"/>
            <w:noWrap/>
          </w:tcPr>
          <w:p>
            <w:pPr>
              <w:pBdr/>
              <w:spacing w:after="40" w:before="40" w:line="288" w:lineRule="auto"/>
              <w:ind/>
              <w:jc w:val="center"/>
              <w:rPr>
                <w:color w:val="000000" w:themeColor="text1"/>
              </w:rPr>
            </w:pPr>
            <w:r>
              <w:rPr>
                <w:color w:val="000000" w:themeColor="text1"/>
              </w:rPr>
            </w:r>
            <w:r>
              <w:rPr>
                <w:color w:val="000000" w:themeColor="text1"/>
              </w:rPr>
              <w:t xml:space="preserve">212,5</w:t>
            </w:r>
            <w:r>
              <w:rPr>
                <w:color w:val="000000" w:themeColor="text1"/>
              </w:rPr>
            </w:r>
            <w:r>
              <w:rPr>
                <w:color w:val="000000" w:themeColor="text1"/>
              </w:rPr>
            </w:r>
          </w:p>
        </w:tc>
        <w:tc>
          <w:tcPr>
            <w:shd w:val="clear" w:color="000000" w:fill="ffffff"/>
            <w:tcBorders/>
            <w:tcW w:w="2089"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730.000</w:t>
            </w:r>
            <w:r>
              <w:rPr>
                <w:color w:val="000000" w:themeColor="text1"/>
              </w:rPr>
            </w:r>
            <w:r>
              <w:rPr>
                <w:color w:val="000000" w:themeColor="text1"/>
              </w:rPr>
            </w:r>
          </w:p>
        </w:tc>
        <w:tc>
          <w:tcPr>
            <w:shd w:val="clear" w:color="000000" w:fill="ffffff"/>
            <w:tcBorders/>
            <w:tcW w:w="2164"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155.125.000</w:t>
            </w:r>
            <w:r>
              <w:rPr>
                <w:color w:val="000000" w:themeColor="text1"/>
              </w:rPr>
            </w:r>
            <w:r>
              <w:rPr>
                <w:color w:val="000000" w:themeColor="text1"/>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4.974.485.000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4.974.500.000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chín trăm bảy mươi bốn triệu năm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highlight w:val="none"/>
          <w:lang w:val="vi-VN"/>
        </w:rPr>
      </w:r>
      <w:r>
        <w:rPr>
          <w:b/>
          <w:bCs/>
        </w:rPr>
      </w:r>
      <w:r>
        <w:rPr>
          <w:b/>
          <w:bCs/>
        </w:rPr>
      </w:r>
    </w:p>
    <w:p>
      <w:pPr>
        <w:pBdr/>
        <w:spacing w:after="120" w:before="120" w:line="312" w:lineRule="auto"/>
        <w:ind/>
        <w:jc w:val="both"/>
        <w:rPr>
          <w:b/>
          <w:bCs/>
          <w:highlight w:val="none"/>
          <w:lang w:val="vi-VN"/>
        </w:rPr>
      </w:pPr>
      <w:r>
        <w:rPr>
          <w:b/>
          <w:bCs/>
          <w:lang w:val="vi-VN"/>
        </w:rPr>
        <w:t xml:space="preserve">10. Thời hạn hiệu lực của kết quả thẩm định giá:</w:t>
      </w:r>
      <w:r>
        <w:rPr>
          <w:b/>
          <w:bCs/>
          <w:highlight w:val="none"/>
          <w:lang w:val="vi-VN"/>
        </w:rPr>
      </w:r>
      <w:r>
        <w:rPr>
          <w:b/>
          <w:bCs/>
          <w:highlight w:val="none"/>
          <w:lang w:val="vi-VN"/>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right="0" w:firstLine="0" w:left="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275/2026/1484/VFI-BC.36.A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22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2"/>
              <w:pBdr/>
              <w:spacing w:after="60"/>
              <w:ind/>
              <w:rPr>
                <w:rStyle w:val="1031"/>
                <w:rFonts w:ascii="Times New Roman" w:hAnsi="Times New Roman"/>
                <w:color w:val="000000" w:themeColor="text1"/>
                <w:lang w:val="pt-BR"/>
              </w:rPr>
            </w:pPr>
            <w:r>
              <w:rPr>
                <w:rStyle w:val="1031"/>
                <w:rFonts w:ascii="Times New Roman" w:hAnsi="Times New Roman"/>
                <w:color w:val="000000" w:themeColor="text1"/>
                <w:lang w:val="pt-BR"/>
              </w:rPr>
            </w:r>
            <w:r>
              <w:rPr>
                <w:rStyle w:val="1031"/>
                <w:rFonts w:ascii="Times New Roman" w:hAnsi="Times New Roman"/>
                <w:color w:val="000000" w:themeColor="text1"/>
                <w:lang w:val="pt-BR"/>
              </w:rPr>
            </w:r>
            <w:r>
              <w:rPr>
                <w:rStyle w:val="1031"/>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2"/>
              <w:pBdr/>
              <w:spacing w:after="60"/>
              <w:ind w:right="-56"/>
              <w:rPr>
                <w:rStyle w:val="1031"/>
                <w:rFonts w:ascii="Times New Roman" w:hAnsi="Times New Roman"/>
                <w:i/>
                <w:color w:val="auto"/>
              </w:rPr>
            </w:pPr>
            <w:r>
              <w:rPr>
                <w:rFonts w:ascii="Times New Roman" w:hAnsi="Times New Roman"/>
                <w:i/>
                <w:color w:val="auto"/>
              </w:rPr>
            </w:r>
            <w:r>
              <w:rPr>
                <w:rStyle w:val="1031"/>
                <w:rFonts w:ascii="Times New Roman" w:hAnsi="Times New Roman"/>
                <w:i/>
                <w:color w:val="auto"/>
              </w:rPr>
            </w:r>
            <w:r>
              <w:rPr>
                <w:rStyle w:val="1031"/>
                <w:rFonts w:ascii="Times New Roman" w:hAnsi="Times New Roman"/>
                <w:i/>
                <w:color w:val="auto"/>
              </w:rPr>
            </w:r>
          </w:p>
        </w:tc>
      </w:tr>
    </w:tbl>
    <w:p>
      <w:pPr>
        <w:pStyle w:val="103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275/2026/1484/VFI-CT.36.A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MAI XUÂN KHANH</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42"/>
              </w:tabs>
              <w:spacing w:after="40" w:before="40" w:line="276" w:lineRule="auto"/>
              <w:ind w:right="0" w:firstLine="0" w:left="0"/>
              <w:jc w:val="both"/>
              <w:rPr/>
            </w:pPr>
            <w:r>
              <w:rPr>
                <w:rFonts w:ascii="Times New Roman" w:hAnsi="Times New Roman" w:eastAsia="Times New Roman" w:cs="Times New Roman"/>
                <w:color w:val="000000"/>
                <w:sz w:val="24"/>
              </w:rPr>
              <w:t xml:space="preserve">037067001834 </w:t>
            </w:r>
            <w:r>
              <w:rPr>
                <w:rFonts w:ascii="Times New Roman" w:hAnsi="Times New Roman" w:eastAsia="Times New Roman" w:cs="Times New Roman"/>
                <w:color w:val="ff0000"/>
                <w:sz w:val="24"/>
              </w:rPr>
              <w:tab/>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 thường trú</w:t>
            </w: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 G70 đường Lê Đức Thọ, Phường 6, quận Gò Vấp, thành phố Hổ Chí Minh </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1231, tờ bản đồ số: 3, có địa chỉ: xã An Viễn, huyện Trảng Bom, tỉnh Đồng Nai (Nay là: xã An Viễn, thành phố Đồng Nai</w:t>
            </w:r>
            <w:r>
              <w:rPr>
                <w:bCs/>
                <w:color w:val="000000" w:themeColor="text1"/>
                <w:lang w:val="pt-BR"/>
              </w:rPr>
              <w:t xml:space="preserve">) theo Giấy chứng nhận Quyền sử dụng đất quyền sở hữu nhà ở và tài sản khác gắn liền với đất số: DK 648710, số vào sổ cấp GCN: VP 23693 do Văn phòng đăng ký đất đai tỉnh Đồng Nai cấp ngày 30/5/2023; Chủ sử dụng đất là ông Mai Xuân Khanh và bà Mai Lan Hương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An Viễn, thành phố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10.880833333333, 106.99552777778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21/09/2026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3"/>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3"/>
        <w:numPr>
          <w:ilvl w:val="0"/>
          <w:numId w:val="42"/>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33"/>
        <w:numPr>
          <w:ilvl w:val="0"/>
          <w:numId w:val="42"/>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3"/>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DK 648710, số vào sổ cấp GCN: VP 23693 do Văn phòng đăng ký đất đai tỉnh Đồng Nai cấp ngày 30/5/2023; Chủ sử dụng đất là ông Mai Xuân Khanh và bà Mai Lan Hương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275/2026/1484/VFI-HĐTĐ.36.A ngày 20/09/2026 giữa ông Mai Xuân Khanh với Công ty Cổ phần Thẩm định và Đầu tư Tài chính Hoa Sen.</w:t>
      </w:r>
      <w:r>
        <w:rPr>
          <w:b/>
          <w:lang w:val="pt-BR"/>
        </w:rPr>
      </w:r>
      <w:r>
        <w:rPr>
          <w:b/>
          <w:lang w:val="pt-BR"/>
        </w:rPr>
      </w:r>
    </w:p>
    <w:p>
      <w:pPr>
        <w:pStyle w:val="103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b/>
          <w:bCs/>
          <w:iCs/>
        </w:rPr>
      </w:pPr>
      <w:r>
        <w:rPr>
          <w:b/>
          <w:bCs/>
          <w:shd w:val="clear" w:color="auto" w:fill="ffffff"/>
        </w:rPr>
        <w:t xml:space="preserve">Động lực cho chu kỳ tăng trưởng mới</w:t>
      </w:r>
      <w:r>
        <w:rPr>
          <w:b/>
          <w:bCs/>
          <w:iCs/>
        </w:rPr>
      </w:r>
      <w:r>
        <w:rPr>
          <w:b/>
          <w:bCs/>
          <w:iCs/>
        </w:rPr>
      </w:r>
    </w:p>
    <w:p>
      <w:pPr>
        <w:pBdr/>
        <w:tabs>
          <w:tab w:val="left" w:leader="none" w:pos="426"/>
        </w:tabs>
        <w:spacing w:after="120" w:before="120" w:line="276" w:lineRule="auto"/>
        <w:ind/>
        <w:jc w:val="both"/>
        <w:rPr/>
      </w:pPr>
      <w:r>
        <w:rPr>
          <w:shd w:val="clear" w:color="auto" w:fill="ffffff"/>
        </w:rPr>
        <w:t xml:space="preserve">Làn sóng doan</w:t>
      </w:r>
      <w:r>
        <w:rPr>
          <w:shd w:val="clear" w:color="auto" w:fill="ffffff"/>
        </w:rPr>
        <w:t xml:space="preserve">h nghiệp bất động sản gia tăng hiện diện tại Đồng Nai không phải là hiện tượng nhất thời. Sức hút của địa phương này đến từ những thay đổi mang tính nền tảng trong quy hoạch phát triển kinh tế - xã hội cũng như triển vọng trở thành một cực tăng trưởng mới </w:t>
      </w:r>
      <w:r>
        <w:rPr>
          <w:shd w:val="clear" w:color="auto" w:fill="ffffff"/>
        </w:rPr>
        <w:t xml:space="preserve">của khu vực phía Nam.</w:t>
        <w:br/>
        <w:t xml:space="preserve">Trong những năm gần đây, Đồng Nai từng bước khẳng định vai trò là trung tâm công nghiệp, logistics và đô thị quan trọng của Vùng kinh tế trọng điểm phía Nam. Việc địa phương được định hướng phát triển theo mô hình đô thị hiện đại, gắn</w:t>
      </w:r>
      <w:r>
        <w:rPr>
          <w:shd w:val="clear" w:color="auto" w:fill="ffffff"/>
        </w:rPr>
        <w:t xml:space="preserve"> với các trung tâm sản xuất và dịch vụ quy mô lớn đang mở ra dư địa tăng trưởng đáng kể cho thị trường bất động sản.</w:t>
      </w:r>
      <w:r>
        <w:rPr>
          <w:bCs/>
          <w:i/>
          <w:lang w:val="pt-BR"/>
        </w:rPr>
      </w:r>
      <w:r/>
    </w:p>
    <w:p>
      <w:pPr>
        <w:pBdr/>
        <w:tabs>
          <w:tab w:val="left" w:leader="none" w:pos="426"/>
        </w:tabs>
        <w:spacing w:after="120" w:before="120" w:line="276" w:lineRule="auto"/>
        <w:ind/>
        <w:jc w:val="both"/>
        <w:rPr/>
      </w:pPr>
      <w:r>
        <w:rPr>
          <w:shd w:val="clear" w:color="auto" w:fill="ffffff"/>
        </w:rPr>
        <w:t xml:space="preserve">Động lực nổi bật nhất là hệ thống hạ tầng giao thông liên tục được đầu tư và hoàn thiện. Trong đó, Cảng hàng không quốc tế Long Thành được </w:t>
      </w:r>
      <w:r>
        <w:rPr>
          <w:shd w:val="clear" w:color="auto" w:fill="ffffff"/>
        </w:rPr>
        <w:t xml:space="preserve">xem là dự án mang tính bước ngoặt. Khi đi vào khai thác, sân bay này không chỉ nâng cao năng lực kết nối quốc tế của khu vực, mà còn tạo lực đẩy cho các ngành thương mại, dịch vụ, logistics và nhu cầu nhà ở chất lượng cao phục vụ đội ngũ chuyên gia, lao độ</w:t>
      </w:r>
      <w:r>
        <w:rPr>
          <w:shd w:val="clear" w:color="auto" w:fill="ffffff"/>
        </w:rPr>
        <w:t xml:space="preserve">ng kỹ thuật.</w:t>
      </w:r>
      <w:r>
        <w:rPr>
          <w:bCs/>
          <w:i/>
          <w:lang w:val="pt-BR"/>
        </w:rPr>
      </w:r>
      <w:r/>
    </w:p>
    <w:p>
      <w:pPr>
        <w:pBdr/>
        <w:tabs>
          <w:tab w:val="left" w:leader="none" w:pos="426"/>
        </w:tabs>
        <w:spacing w:after="120" w:before="120" w:line="276" w:lineRule="auto"/>
        <w:ind/>
        <w:jc w:val="both"/>
        <w:rPr/>
      </w:pPr>
      <w:r>
        <w:rPr>
          <w:shd w:val="clear" w:color="auto" w:fill="ffffff"/>
        </w:rPr>
        <w:t xml:space="preserve">Bên cạnh đó, mạng lưới giao thông liên vùng đang dần thành hình với hàng loạt dự án trọng điểm như Vành đai 3 TP. Hồ Chí Minh, cao tốc Biên Hòa - Vũng Tàu, mở rộng cao tốc TP. Hồ Chí Minh - Long Thành - Dầu Giây, tuyến metro kết nối Suối Tiên </w:t>
      </w:r>
      <w:r>
        <w:rPr>
          <w:shd w:val="clear" w:color="auto" w:fill="ffffff"/>
        </w:rPr>
        <w:t xml:space="preserve">- Long Thành, đại lộ Nguyễn Hữu Cảnh (Hương lộ 2) hay cầu Long Hưng... Những công trình này được kỳ vọng sẽ gia tăng khả năng kết nối giữa Đồng Nai với TP. Hồ Chí Minh và các trung tâm kinh tế lớn, qua đó thúc đẩy quá trình dịch chuyển dân cư, dòng vốn đầu</w:t>
      </w:r>
      <w:r>
        <w:rPr>
          <w:shd w:val="clear" w:color="auto" w:fill="ffffff"/>
        </w:rPr>
        <w:t xml:space="preserve"> tư và hoạt động sản xuất, kinh doanh.</w:t>
      </w:r>
      <w:r>
        <w:rPr>
          <w:bCs/>
          <w:i/>
          <w:lang w:val="pt-BR"/>
        </w:rPr>
      </w:r>
      <w:r/>
    </w:p>
    <w:p>
      <w:pPr>
        <w:pBdr/>
        <w:tabs>
          <w:tab w:val="left" w:leader="none" w:pos="426"/>
        </w:tabs>
        <w:spacing w:after="120" w:before="120" w:line="276" w:lineRule="auto"/>
        <w:ind/>
        <w:jc w:val="both"/>
        <w:rPr/>
      </w:pPr>
      <w:r>
        <w:rPr>
          <w:shd w:val="clear" w:color="auto" w:fill="ffffff"/>
        </w:rPr>
        <w:t xml:space="preserve">Trong bức tranh đó, Đồng Nai được đánh giá là một trong những địa phương hưởng lợi trực tiếp nhờ lợi thế công nghiệp, logistics và vai trò cửa ngõ của sân bay Long Thành. Đặc biệt, việc Đồng Nai trở thành thành phố tr</w:t>
      </w:r>
      <w:r>
        <w:rPr>
          <w:shd w:val="clear" w:color="auto" w:fill="ffffff"/>
        </w:rPr>
        <w:t xml:space="preserve">ực thuộc Trung ương mở ra kỳ vọng về một cực tăng trưởng quốc gia mới. Điều này thúc đẩy nhu cầu phát triển các đại đô thị hiện đại, sinh thái để đáp ứng tiêu chuẩn sống của cộng đồng cư dân mới.</w:t>
      </w:r>
      <w:r>
        <w:rPr>
          <w:bCs/>
          <w:i/>
          <w:lang w:val="pt-BR"/>
        </w:rPr>
      </w:r>
      <w:r/>
    </w:p>
    <w:p>
      <w:pPr>
        <w:pBdr/>
        <w:tabs>
          <w:tab w:val="left" w:leader="none" w:pos="426"/>
        </w:tabs>
        <w:spacing w:after="120" w:before="120" w:line="276" w:lineRule="auto"/>
        <w:ind/>
        <w:jc w:val="both"/>
        <w:rPr/>
      </w:pPr>
      <w:r>
        <w:rPr>
          <w:shd w:val="clear" w:color="auto" w:fill="ffffff"/>
        </w:rPr>
        <w:t xml:space="preserve">Theo ông Đinh Minh Tuấn - Giám đốc Batdongsan.com.vn khu vực</w:t>
      </w:r>
      <w:r>
        <w:rPr>
          <w:shd w:val="clear" w:color="auto" w:fill="ffffff"/>
        </w:rPr>
        <w:t xml:space="preserve"> miền Nam, việc Đồng Nai trở thành thành phố trực thuộc Trung ương không chỉ mang ý nghĩa thay đổi về mặt hành chính, mà còn là bước nâng tầm vị thế trong cấu trúc kinh tế vùng. Điều này đang tạo ra những tác động nhất định đến tâm lý nhà đầu tư cũng như m</w:t>
      </w:r>
      <w:r>
        <w:rPr>
          <w:shd w:val="clear" w:color="auto" w:fill="ffffff"/>
        </w:rPr>
        <w:t xml:space="preserve">ặt bằng giá bất động sản tại địa phương.</w:t>
      </w:r>
      <w:r/>
    </w:p>
    <w:p>
      <w:pPr>
        <w:pBdr/>
        <w:tabs>
          <w:tab w:val="left" w:leader="none" w:pos="426"/>
        </w:tabs>
        <w:spacing w:after="120" w:before="120" w:line="276" w:lineRule="auto"/>
        <w:ind/>
        <w:jc w:val="both"/>
        <w:rPr/>
      </w:pPr>
      <w:r>
        <w:rPr>
          <w:shd w:val="clear" w:color="auto" w:fill="ffffff"/>
        </w:rPr>
        <w:t xml:space="preserve">Sự gia tăng của mặt bằng giá không chỉ phản ánh kỳ vọng vào các dự án hạ tầng trọng điểm, mà còn cho thấy quá trình dịch chuyển dòng vốn đầu tư về những khu vực sở hữu dư địa phát triển dài hạn.</w:t>
        <w:br/>
        <w:t xml:space="preserve">Trong thời gian tới,</w:t>
      </w:r>
      <w:r>
        <w:rPr>
          <w:shd w:val="clear" w:color="auto" w:fill="ffffff"/>
        </w:rPr>
        <w:t xml:space="preserve"> Đồng Nai được dự báo sẽ tiếp tục là một trong những thị trường bất động sản thu hút sự quan tâm của cả nhà đầu tư lẫn người mua ở thực.</w:t>
      </w:r>
      <w:r>
        <w:rPr>
          <w:bCs/>
          <w:i/>
          <w:lang w:val="pt-BR"/>
        </w:rPr>
      </w:r>
      <w:r/>
    </w:p>
    <w:p>
      <w:pPr>
        <w:pBdr/>
        <w:tabs>
          <w:tab w:val="left" w:leader="none" w:pos="426"/>
        </w:tabs>
        <w:spacing w:after="120" w:before="120" w:line="276" w:lineRule="auto"/>
        <w:ind/>
        <w:jc w:val="center"/>
        <w:rPr>
          <w:u w:val="none"/>
        </w:rPr>
      </w:pPr>
      <w:r>
        <w:rPr>
          <w:u w:val="none"/>
          <w:shd w:val="clear" w:color="auto" w:fill="ffffff"/>
        </w:rPr>
        <w:t xml:space="preserve">(Nguồn: </w:t>
      </w:r>
      <w:hyperlink r:id="rId17" w:tooltip="https://thoibaotaichinhvietnam.vn/thi-truong-bat-dong-san-dong-nai-buoc-vao-chu-ky" w:history="1">
        <w:r>
          <w:rPr>
            <w:rStyle w:val="1023"/>
            <w:u w:val="none"/>
            <w:shd w:val="clear" w:color="auto" w:fill="ffffff"/>
          </w:rPr>
          <w:t xml:space="preserve">https://thoibaotaichinhvietnam.vn/thi-truong-bat-dong-san-dong-nai-buoc-vao-chu-ky</w:t>
        </w:r>
      </w:hyperlink>
      <w:r>
        <w:rPr>
          <w:u w:val="none"/>
          <w:shd w:val="clear" w:color="auto" w:fill="ffffff"/>
        </w:rPr>
        <w:t xml:space="preserve">-</w:t>
      </w:r>
      <w:r>
        <w:rPr>
          <w:u w:val="none"/>
          <w:shd w:val="clear" w:color="auto" w:fill="ffffff"/>
        </w:rPr>
        <w:t xml:space="preserve">tang-truong-moi-198217.html)</w:t>
      </w:r>
      <w:r>
        <w:rPr>
          <w:u w:val="none"/>
        </w:rPr>
      </w:r>
      <w:r>
        <w:rPr>
          <w:u w:val="none"/>
        </w:rPr>
      </w:r>
    </w:p>
    <w:p>
      <w:pPr>
        <w:pStyle w:val="103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123"/>
        <w:gridCol w:w="2257"/>
        <w:gridCol w:w="2438"/>
        <w:gridCol w:w="2721"/>
      </w:tblGrid>
      <w:tr>
        <w:trPr>
          <w:trHeight w:val="1336"/>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3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1231, tờ bản đồ số: 3, có địa chỉ: xã An Viễn, huyện Trảng Bom, tỉnh Đồng Nai (Nay là: xã An Viễn, thành phố Đồng Nai) theo Giấy chứng nhận Quyền sử dụng đất quyền sở hữu nhà ở và tài sản khác gắn liền với đất số: DK 6487</w:t>
            </w:r>
            <w:r>
              <w:rPr>
                <w:rFonts w:ascii="Times New Roman" w:hAnsi="Times New Roman" w:eastAsia="Times New Roman" w:cs="Times New Roman"/>
                <w:b/>
                <w:color w:val="000000"/>
                <w:sz w:val="24"/>
              </w:rPr>
              <w:t xml:space="preserve">10, số vào sổ cấp GCN: VP 23693 do Văn phòng đăng ký đất đai tỉnh Đồng Nai cấp ngày 30/5/2023; Chủ sử dụng đất là ông Mai Xuân Khanh và bà Mai Lan Hương.</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22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1231</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72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r>
      <w:tr>
        <w:trPr>
          <w:trHeight w:val="7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416"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xã An Viễn, huyện Trảng Bom, tỉnh Đồng Nai (Nay là: xã An Viễn, thành phố Đồng Nai)</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22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477,3</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72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124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2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 100m²;</w:t>
              <w:br/>
              <w:t xml:space="preserve">Đất trồng cây lâu năm: 377,3m²</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72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Lâu dài</w:t>
              <w:br/>
              <w:t xml:space="preserve">Đất trồng cây lâu năm: Đến ngày 30/06/2047</w:t>
            </w:r>
            <w:r/>
          </w:p>
        </w:tc>
      </w:tr>
      <w:tr>
        <w:trPr>
          <w:trHeight w:val="93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416"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giá, tổ thẩm định nhận thấy tại trang 3 của GCN có 212,5m2 đất trồng cây lâu năm nằm trong chỉ giới hành lang giao thông.</w:t>
            </w:r>
            <w:r>
              <w:rPr>
                <w:rFonts w:ascii="Times New Roman" w:hAnsi="Times New Roman" w:eastAsia="Times New Roman" w:cs="Times New Roman"/>
                <w:color w:val="000000"/>
                <w:sz w:val="24"/>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2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nhựa</w:t>
            </w:r>
            <w:r/>
          </w:p>
        </w:tc>
        <w:tc>
          <w:tcPr>
            <w:tcBorders>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72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 mặt tiền</w:t>
            </w:r>
            <w:r/>
          </w:p>
        </w:tc>
      </w:tr>
      <w:tr>
        <w:trPr>
          <w:trHeight w:val="124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8m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72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8m</w:t>
            </w:r>
            <w:r/>
          </w:p>
        </w:tc>
      </w:tr>
      <w:tr>
        <w:trPr>
          <w:trHeight w:val="7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416"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nằm trên mặt đường tỉnh 777</w:t>
            </w:r>
            <w:r/>
          </w:p>
        </w:tc>
      </w:tr>
      <w:tr>
        <w:trPr>
          <w:trHeight w:val="10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416"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Đông Nam: Tiếp giáp đường nhựa rộng 8m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Tây Nam: Tiếp giáp đường nhựa rộng 6,5m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5637723" cy="289761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16816" name=""/>
                              <pic:cNvPicPr>
                                <a:picLocks noChangeAspect="1"/>
                              </pic:cNvPicPr>
                              <pic:nvPr/>
                            </pic:nvPicPr>
                            <pic:blipFill rotWithShape="1">
                              <a:blip r:embed="rId18"/>
                              <a:stretch/>
                            </pic:blipFill>
                            <pic:spPr bwMode="auto">
                              <a:xfrm flipH="0" flipV="0">
                                <a:off x="0" y="0"/>
                                <a:ext cx="5637722" cy="28976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3.92pt;height:228.16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highlight w:val="none"/>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22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477,3</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72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Mặt tiền (m):</w:t>
            </w:r>
            <w:r/>
          </w:p>
        </w:tc>
        <w:tc>
          <w:tcPr>
            <w:tcBorders>
              <w:bottom w:val="single" w:color="000000" w:sz="6" w:space="0"/>
              <w:right w:val="single" w:color="000000" w:sz="6" w:space="0"/>
            </w:tcBorders>
            <w:tcMar>
              <w:left w:w="0" w:type="dxa"/>
              <w:top w:w="0" w:type="dxa"/>
              <w:right w:w="0" w:type="dxa"/>
              <w:bottom w:w="0" w:type="dxa"/>
            </w:tcMar>
            <w:tcW w:w="22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11,0</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72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44,41/43,34</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6" w:space="0"/>
              <w:right w:val="single" w:color="000000" w:sz="6" w:space="0"/>
            </w:tcBorders>
            <w:tcMar>
              <w:left w:w="0" w:type="dxa"/>
              <w:top w:w="0" w:type="dxa"/>
              <w:right w:w="0" w:type="dxa"/>
              <w:bottom w:w="0" w:type="dxa"/>
            </w:tcMar>
            <w:tcW w:w="22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w:t>
            </w:r>
            <w:r/>
          </w:p>
        </w:tc>
        <w:tc>
          <w:tcPr>
            <w:tcBorders>
              <w:bottom w:val="single" w:color="000000" w:sz="6" w:space="0"/>
              <w:right w:val="single" w:color="000000" w:sz="6" w:space="0"/>
            </w:tcBorders>
            <w:tcMar>
              <w:left w:w="0" w:type="dxa"/>
              <w:top w:w="0" w:type="dxa"/>
              <w:right w:w="0" w:type="dxa"/>
              <w:bottom w:w="0" w:type="dxa"/>
            </w:tcMar>
            <w:tcW w:w="272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Nam; Tây Nam</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4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4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22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72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2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2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Thích hợp để ở/kinh doanh</w:t>
            </w:r>
            <w:r/>
          </w:p>
        </w:tc>
        <w:tc>
          <w:tcPr>
            <w:tcBorders>
              <w:bottom w:val="single" w:color="000000" w:sz="6" w:space="0"/>
              <w:right w:val="single" w:color="000000" w:sz="6" w:space="0"/>
            </w:tcBorders>
            <w:tcMar>
              <w:left w:w="0" w:type="dxa"/>
              <w:top w:w="0" w:type="dxa"/>
              <w:right w:w="0" w:type="dxa"/>
              <w:bottom w:w="0" w:type="dxa"/>
            </w:tcMar>
            <w:tcW w:w="243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72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3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 </w:t>
            </w:r>
            <w:r/>
          </w:p>
        </w:tc>
      </w:tr>
      <w:tr>
        <w:trPr>
          <w:trHeight w:val="929"/>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539" w:type="dxa"/>
            <w:vAlign w:val="top"/>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 Tr</w:t>
            </w:r>
            <w:r>
              <w:rPr>
                <w:rFonts w:ascii="Times New Roman" w:hAnsi="Times New Roman" w:eastAsia="Times New Roman" w:cs="Times New Roman"/>
                <w:color w:val="000000"/>
                <w:sz w:val="24"/>
              </w:rPr>
              <w:t xml:space="preserve">ên đất có 01 CTXD là nhà xưởng cấp 4, tường gạch cao 3m, trên lợp tôn, xây dựng hết đất, CTXD được xây cùng với 2 thửa đất 615 và 1083 của cùng chủ sử dụng đất là ông Mai Xuân Khanh. CTXD chưa được chứng nhận trên GCN, hiện công trình vẫn đang được sử dụng</w:t>
            </w:r>
            <w:r>
              <w:rPr>
                <w:rFonts w:ascii="Times New Roman" w:hAnsi="Times New Roman" w:eastAsia="Times New Roman" w:cs="Times New Roman"/>
                <w:color w:val="000000"/>
                <w:sz w:val="24"/>
              </w:rPr>
              <w:t xml:space="preserve"> bình thường.</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33"/>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thẩm định giá, tổ thẩm định nhận thấy tại trang 3 của GCN có 212,5m2 đất trồng cây lâu năm nằm trong chỉ giới hành lang giao thông</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Ngoài ra, khách hàng/Chủ sử dụng đất không cung cấp thêm bất cứ hồ sơ pháp lý nào liên quan tới thông tin quy hoạch của thửa đất. Theo đề nghị của Ngân hàng/Khách hàng, tổ thẩm định xác định giá trị tài sản theo thông tin quy hoạch nêu trên. Đối với diện t</w:t>
      </w:r>
      <w:r>
        <w:rPr>
          <w:rFonts w:ascii="Times New Roman" w:hAnsi="Times New Roman" w:eastAsia="Times New Roman" w:cs="Times New Roman"/>
          <w:color w:val="000000"/>
          <w:sz w:val="24"/>
        </w:rPr>
        <w:t xml:space="preserve">ích nằm ngoài quy hoạch tổ thẩm định đánh giá theo giá trị thị trường, đối với phần nằm trong quy hoạch tổ thẩm định đánh giá theo giá khung UBND tại thời điểm thẩm định, giá trị đền bù thực tế còn phụ thuộc vào thỏa thuận các bên tại thời điểm Nhà nước gi</w:t>
      </w:r>
      <w:r>
        <w:rPr>
          <w:rFonts w:ascii="Times New Roman" w:hAnsi="Times New Roman" w:eastAsia="Times New Roman" w:cs="Times New Roman"/>
          <w:color w:val="000000"/>
          <w:sz w:val="24"/>
        </w:rPr>
        <w:t xml:space="preserve">ải phóng mặt bằng thực hiện quy hoạch. Đề nghị đơn vị sử dụng kết quả lưu ý kiểm tra xác minh thêm thông tin quy hoạch nếu thấy cần thiết. Trong trường hợp Khách hàng/Ngân hàng cung cấp được Văn bản xác nhận rõ phần diện tích thuộc quy hoạch mà có sự sai k</w:t>
      </w:r>
      <w:r>
        <w:rPr>
          <w:rFonts w:ascii="Times New Roman" w:hAnsi="Times New Roman" w:eastAsia="Times New Roman" w:cs="Times New Roman"/>
          <w:color w:val="000000"/>
          <w:sz w:val="24"/>
        </w:rPr>
        <w:t xml:space="preserve">hác so với số liệu nêu trên thì kết quả thẩm định giá cần được xem xét, điều chỉnh phù hợp, đồng thời chúng tôi bảo lưu quyền xem xét lại kết quả thẩm định giá</w:t>
      </w:r>
      <w:r>
        <w:rPr>
          <w:spacing w:val="-2"/>
          <w:highlight w:val="none"/>
          <w:lang w:val="pt-BR" w:bidi="pt-BR"/>
        </w:rPr>
        <w:t xml:space="preserve">.</w:t>
      </w:r>
      <w:r>
        <w:rPr>
          <w:spacing w:val="-2"/>
          <w:lang w:val="pt-BR"/>
        </w:rPr>
      </w:r>
      <w:r>
        <w:rPr>
          <w:spacing w:val="-2"/>
          <w:lang w:val="pt-BR"/>
        </w:rPr>
      </w:r>
    </w:p>
    <w:p>
      <w:pPr>
        <w:pStyle w:val="1033"/>
        <w:numPr>
          <w:ilvl w:val="0"/>
          <w:numId w:val="39"/>
        </w:numPr>
        <w:pBdr/>
        <w:spacing w:after="120" w:before="120" w:line="276" w:lineRule="auto"/>
        <w:ind/>
        <w:jc w:val="both"/>
        <w:rPr>
          <w:lang w:val="de-DE"/>
        </w:rPr>
      </w:pPr>
      <w:r>
        <w:rPr>
          <w:highlight w:val="none"/>
          <w:lang w:val="de-DE" w:bidi="de-DE"/>
        </w:rPr>
      </w:r>
      <w:r>
        <w:rPr>
          <w:rFonts w:ascii="Times New Roman" w:hAnsi="Times New Roman" w:eastAsia="Times New Roman" w:cs="Times New Roman"/>
          <w:color w:val="000000"/>
          <w:sz w:val="24"/>
        </w:rPr>
        <w:t xml:space="preserve">Qua khảo sát thực tế, tổ thẩm định nhận thấ</w:t>
      </w:r>
      <w:r>
        <w:rPr>
          <w:rFonts w:ascii="Times New Roman" w:hAnsi="Times New Roman" w:eastAsia="Times New Roman" w:cs="Times New Roman"/>
          <w:color w:val="000000"/>
          <w:sz w:val="24"/>
        </w:rPr>
        <w:t xml:space="preserve">y tr</w:t>
      </w:r>
      <w:r>
        <w:rPr>
          <w:rFonts w:ascii="Times New Roman" w:hAnsi="Times New Roman" w:eastAsia="Times New Roman" w:cs="Times New Roman"/>
          <w:color w:val="000000"/>
          <w:sz w:val="24"/>
        </w:rPr>
        <w:t xml:space="preserve">ên đất có 01 CTXD là nhà xưởng cấp 4, tường gạch cao 3m, trên lợp tôn, xây dựng hết đất, CTXD được xây cùng với 2 thửa đất 615 và 1083 của cùng chủ sử dụng đất là ông Mai Xuân Khanh. CTXD chưa được chứng nhận trên GCN, hiện công trình vẫn đang được sử dụng</w:t>
      </w:r>
      <w:r>
        <w:rPr>
          <w:rFonts w:ascii="Times New Roman" w:hAnsi="Times New Roman" w:eastAsia="Times New Roman" w:cs="Times New Roman"/>
          <w:color w:val="000000"/>
          <w:sz w:val="24"/>
        </w:rPr>
        <w:t xml:space="preserve"> bình thường.</w:t>
      </w:r>
      <w:r>
        <w:rPr>
          <w:highlight w:val="none"/>
          <w:lang w:val="de-DE" w:bidi="de-DE"/>
        </w:rPr>
        <w:t xml:space="preserve"> </w:t>
      </w:r>
      <w:r>
        <w:rPr>
          <w:highlight w:val="none"/>
          <w:lang w:val="de-DE" w:bidi="de-DE"/>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lang w:val="de-DE"/>
        </w:rPr>
      </w:r>
      <w:r>
        <w:rPr>
          <w:lang w:val="de-DE"/>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w:t>
      </w:r>
      <w:r>
        <w:rPr>
          <w:b/>
          <w:lang w:val="pt-BR"/>
        </w:rPr>
        <w:t xml:space="preserve"> giá</w:t>
      </w:r>
      <w:r>
        <w:rPr>
          <w:b/>
          <w:lang w:val="pt-BR"/>
        </w:rPr>
        <w:t xml:space="preserve"> quyền sử dụng đấ</w:t>
      </w:r>
      <w:r>
        <w:rPr>
          <w:b/>
          <w:lang w:val="pt-BR"/>
        </w:rPr>
        <w:t xml:space="preserve">t</w:t>
      </w:r>
      <w:r>
        <w:rPr>
          <w:b/>
          <w:lang w:val="pt-BR"/>
        </w:rPr>
        <w:t xml:space="preserve"> nằm ngoài chỉ giới HLGT:</w:t>
      </w:r>
      <w:r>
        <w:rPr>
          <w:b/>
          <w:lang w:val="pt-BR"/>
        </w:rPr>
      </w:r>
      <w:r>
        <w:rPr>
          <w:b/>
          <w:lang w:val="pt-BR"/>
        </w:rPr>
      </w:r>
    </w:p>
    <w:p>
      <w:pPr>
        <w:pStyle w:val="103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33"/>
        <w:gridCol w:w="1751"/>
        <w:gridCol w:w="1742"/>
        <w:gridCol w:w="1742"/>
        <w:gridCol w:w="57"/>
      </w:tblGrid>
      <w:tr>
        <w:trPr>
          <w:gridAfter w:val="1"/>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gridAfter w:val="1"/>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color w:val="000000" w:themeColor="text1"/>
                <w:sz w:val="22"/>
                <w:szCs w:val="22"/>
              </w:rPr>
              <w:t xml:space="preserve">Tài sản nằm tại đường 777 xã An Viễn, thành phố Đồng 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Tài sản nằm tại đường 777 xã An Viễn, thành phố Đồng 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nằm tại đường vào KCN Giang Điền, Xã Giang Điền, thành phố Đồng 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nằm tại đường 777 xã An Viễn, thành phố Đồng Nai</w:t>
            </w:r>
            <w:r>
              <w:rPr>
                <w:sz w:val="22"/>
                <w:szCs w:val="22"/>
              </w:rPr>
            </w:r>
            <w:r>
              <w:rPr>
                <w:sz w:val="22"/>
                <w:szCs w:val="22"/>
              </w:rPr>
            </w:r>
          </w:p>
        </w:tc>
      </w:tr>
      <w:tr>
        <w:trPr>
          <w:gridAfter w:val="1"/>
          <w:trHeight w:val="105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https://www.facebook.com/groups/482345335620583/posts/2411807512674346/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https://www.facebook.com/groups/482345335620583/posts/2379726845882413/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https://www.facebook.com/groups/482345335620583/posts/2412166965971734/</w:t>
            </w:r>
            <w:r>
              <w:rPr>
                <w:sz w:val="22"/>
                <w:szCs w:val="22"/>
              </w:rPr>
            </w:r>
            <w:r>
              <w:rPr>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0795624648</w:t>
            </w:r>
            <w:r>
              <w:rPr>
                <w:sz w:val="22"/>
                <w:szCs w:val="22"/>
              </w:rPr>
              <w:t xml:space="preserve"> </w:t>
            </w:r>
            <w:r>
              <w:rPr>
                <w:sz w:val="22"/>
                <w:szCs w:val="22"/>
              </w:rPr>
              <w:br/>
              <w:t xml:space="preserve">(</w:t>
            </w:r>
            <w:r>
              <w:rPr>
                <w:sz w:val="22"/>
                <w:szCs w:val="22"/>
              </w:rPr>
              <w:t xml:space="preserve">Vĩ</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0961 619 772</w:t>
            </w:r>
            <w:r>
              <w:rPr>
                <w:sz w:val="22"/>
                <w:szCs w:val="22"/>
              </w:rPr>
              <w:br/>
            </w:r>
            <w:r>
              <w:rPr>
                <w:sz w:val="22"/>
                <w:szCs w:val="22"/>
              </w:rPr>
              <w:t xml:space="preserve">(</w:t>
            </w:r>
            <w:r>
              <w:rPr>
                <w:sz w:val="22"/>
                <w:szCs w:val="22"/>
              </w:rPr>
              <w:t xml:space="preserve">Phương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0949617434</w:t>
            </w:r>
            <w:r>
              <w:rPr>
                <w:sz w:val="22"/>
                <w:szCs w:val="22"/>
              </w:rPr>
              <w:br/>
            </w:r>
            <w:r>
              <w:rPr>
                <w:sz w:val="22"/>
                <w:szCs w:val="22"/>
              </w:rPr>
              <w:t xml:space="preserve">(</w:t>
            </w:r>
            <w:r>
              <w:rPr>
                <w:sz w:val="22"/>
                <w:szCs w:val="22"/>
              </w:rPr>
              <w:t xml:space="preserve">Toán Lương</w:t>
            </w:r>
            <w:r>
              <w:rPr>
                <w:sz w:val="22"/>
                <w:szCs w:val="22"/>
              </w:rPr>
              <w:t xml:space="preserve">)</w:t>
            </w:r>
            <w:r>
              <w:rPr>
                <w:sz w:val="22"/>
                <w:szCs w:val="22"/>
              </w:rPr>
            </w:r>
            <w:r>
              <w:rPr>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(100m²), Đất trồng cây lâu năm (164,8m²) (QH: 212,5m²)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(300</w:t>
            </w:r>
            <w:r>
              <w:rPr>
                <w:color w:val="000000" w:themeColor="text1"/>
                <w:sz w:val="22"/>
                <w:szCs w:val="22"/>
              </w:rPr>
              <w:t xml:space="preserve">m²</w:t>
            </w:r>
            <w:r>
              <w:rPr>
                <w:color w:val="000000" w:themeColor="text1"/>
                <w:sz w:val="22"/>
                <w:szCs w:val="22"/>
              </w:rPr>
              <w:t xml:space="preserve">) ,Đất trồng cây lâu năm (200</w:t>
            </w:r>
            <w:r>
              <w:rPr>
                <w:color w:val="000000" w:themeColor="text1"/>
                <w:sz w:val="22"/>
                <w:szCs w:val="22"/>
              </w:rPr>
              <w:t xml:space="preserve">m²</w:t>
            </w:r>
            <w:r>
              <w:rPr>
                <w:color w:val="000000" w:themeColor="text1"/>
                <w:sz w:val="22"/>
                <w:szCs w:val="22"/>
              </w:rPr>
              <w:t xml:space="preserve">)</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(100</w:t>
            </w:r>
            <w:r>
              <w:rPr>
                <w:color w:val="000000" w:themeColor="text1"/>
                <w:sz w:val="22"/>
                <w:szCs w:val="22"/>
              </w:rPr>
              <w:t xml:space="preserve">m²</w:t>
            </w:r>
            <w:r>
              <w:rPr>
                <w:color w:val="000000" w:themeColor="text1"/>
                <w:sz w:val="22"/>
                <w:szCs w:val="22"/>
              </w:rPr>
              <w:t xml:space="preserve">) ,Đất trồng cây lâu năm (233</w:t>
            </w:r>
            <w:r>
              <w:rPr>
                <w:color w:val="000000" w:themeColor="text1"/>
                <w:sz w:val="22"/>
                <w:szCs w:val="22"/>
              </w:rPr>
              <w:t xml:space="preserve">m²</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(80m²), Đất trồng cây lâu năm (147,2m²) (QH: 56,2m²)</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lâu dài; Đất trồng cây lâu năm: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pPr>
            <w:r>
              <w:rPr>
                <w:color w:val="000000" w:themeColor="text1"/>
                <w:sz w:val="22"/>
                <w:szCs w:val="22"/>
              </w:rPr>
              <w:t xml:space="preserve">Đất ở nông thôn: lâu dài; Đất trồng cây lâu năm: có thời hạ</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 nông thôn: lâu dài; Đất trồng cây lâu năm: có thời hạ</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 nông thôn: lâu dài; Đất trồng cây lâu năm: có thời hạ</w:t>
            </w:r>
            <w:r>
              <w:rPr>
                <w:color w:val="000000"/>
                <w:sz w:val="22"/>
                <w:szCs w:val="22"/>
              </w:rPr>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tại Đường tỉnh 777 xã An Viễn, thành phố Đồng Nai 10.880833333333333, 106.99552777777778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Đường tỉnh 777 xã An Viễn, thành phố Đồng Nai </w:t>
            </w:r>
            <w:r>
              <w:rPr>
                <w:color w:val="000000" w:themeColor="text1"/>
                <w:sz w:val="22"/>
                <w:szCs w:val="22"/>
              </w:rPr>
              <w:t xml:space="preserve">10.880405176309758, 106.99503659523859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tại đường vào KCN Giang Điền, xã Giang Điền, thành phố Đồng Nai 10.917743291192021, 106.98416225793628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Đường tỉnh 777 xã An Viễn, thành phố Đồng Nai </w:t>
            </w:r>
            <w:r>
              <w:rPr>
                <w:color w:val="000000" w:themeColor="text1"/>
                <w:sz w:val="22"/>
                <w:szCs w:val="22"/>
              </w:rPr>
              <w:t xml:space="preserve">10.880427444368086, 106.99615939087337</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Tổng diện tích đất (m²)</w:t>
            </w: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after="0" w:before="0" w:line="240" w:lineRule="auto"/>
              <w:ind/>
              <w:jc w:val="center"/>
              <w:rPr/>
            </w:pPr>
            <w:r>
              <w:t xml:space="preserve">477,3</w:t>
            </w: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283,4</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11.1</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nằm trong chỉ giới HLGT (m²)</w:t>
            </w:r>
            <w:r/>
          </w:p>
        </w:tc>
        <w:tc>
          <w:tcPr>
            <w:tcBorders>
              <w:top w:val="none" w:color="000000" w:sz="4" w:space="0"/>
              <w:left w:val="none" w:color="000000" w:sz="4" w:space="0"/>
              <w:bottom w:val="single" w:color="000000" w:sz="4" w:space="0"/>
              <w:right w:val="single" w:color="000000" w:sz="4" w:space="0"/>
            </w:tcBorders>
            <w:tcW w:w="1733" w:type="dxa"/>
            <w:vAlign w:val="center"/>
            <w:vMerge w:val="restart"/>
            <w:textDirection w:val="lrTb"/>
            <w:noWrap w:val="false"/>
          </w:tcPr>
          <w:p>
            <w:pPr>
              <w:pBdr/>
              <w:spacing w:after="0" w:before="0" w:line="240" w:lineRule="auto"/>
              <w:ind/>
              <w:jc w:val="center"/>
              <w:rPr/>
            </w:pPr>
            <w:r>
              <w:t xml:space="preserve">212,5</w:t>
            </w: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56,2</w:t>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11.2</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nằm ngoài chỉ giới HLGT (m²)</w:t>
            </w:r>
            <w:r/>
          </w:p>
        </w:tc>
        <w:tc>
          <w:tcPr>
            <w:tcBorders>
              <w:top w:val="none" w:color="000000" w:sz="4" w:space="0"/>
              <w:left w:val="none" w:color="000000" w:sz="4" w:space="0"/>
              <w:bottom w:val="single" w:color="000000" w:sz="4" w:space="0"/>
              <w:right w:val="single" w:color="000000" w:sz="4" w:space="0"/>
            </w:tcBorders>
            <w:tcW w:w="1733" w:type="dxa"/>
            <w:vAlign w:val="center"/>
            <w:vMerge w:val="restart"/>
            <w:textDirection w:val="lrTb"/>
            <w:noWrap w:val="false"/>
          </w:tcPr>
          <w:p>
            <w:pPr>
              <w:pBdr/>
              <w:spacing w:after="0" w:before="0" w:line="240" w:lineRule="auto"/>
              <w:ind/>
              <w:jc w:val="center"/>
              <w:rPr/>
            </w:pPr>
            <w:r>
              <w:t xml:space="preserve">264,8</w:t>
            </w: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500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333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227,2</w:t>
            </w:r>
            <w:r>
              <w:rPr>
                <w:rFonts w:ascii="Times New Roman" w:hAnsi="Times New Roman" w:eastAsia="Times New Roman" w:cs="Times New Roman"/>
                <w:color w:val="000000"/>
                <w:sz w:val="22"/>
              </w:rPr>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44,41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32,46</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Tỉ lệ đất ở/Tổng diện tích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 37,7%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  ~60%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 ~ 30,3%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~35,2%</w:t>
            </w:r>
            <w:r>
              <w:rPr>
                <w:color w:val="000000"/>
                <w:sz w:val="22"/>
                <w:szCs w:val="22"/>
              </w:rPr>
            </w:r>
            <w:r>
              <w:rPr>
                <w:color w:val="000000"/>
                <w:sz w:val="22"/>
                <w:szCs w:val="22"/>
              </w:rPr>
            </w:r>
          </w:p>
        </w:tc>
      </w:tr>
      <w:tr>
        <w:trPr>
          <w:gridAfter w:val="1"/>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33"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6.000.000.000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4.908.974.000</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5.400.000.000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4.418.076.600</w:t>
            </w:r>
            <w:r>
              <w:rPr>
                <w:color w:val="000000"/>
                <w:sz w:val="22"/>
                <w:szCs w:val="22"/>
              </w:rPr>
            </w:r>
            <w:r>
              <w:rPr>
                <w:color w:val="000000"/>
                <w:sz w:val="22"/>
                <w:szCs w:val="22"/>
              </w:rPr>
            </w:r>
          </w:p>
        </w:tc>
      </w:tr>
      <w:tr>
        <w:trPr>
          <w:gridAfter w:val="1"/>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5.400.000.000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4.418.076.600</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tcPr>
          <w:p>
            <w:pPr>
              <w:pBdr/>
              <w:spacing/>
              <w:ind/>
              <w:jc w:val="center"/>
              <w:rPr>
                <w:color w:val="000000"/>
                <w:sz w:val="22"/>
                <w:szCs w:val="22"/>
              </w:rPr>
            </w:pPr>
            <w:r>
              <w:rPr>
                <w:color w:val="000000" w:themeColor="text1"/>
                <w:sz w:val="22"/>
                <w:szCs w:val="22"/>
              </w:rPr>
              <w:t xml:space="preserve">10.800.000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14.594.595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19.445.760</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nằm ngoài HLGT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gridAfter w:val="1"/>
          <w:trHeight w:val="19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Tỉ lệ đất ở/Tổng diện tích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5.400.000.000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4.860.000.000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4.418.076.600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10.800.000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14.594.595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19.445.760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14.594.595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19.445.760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(100m²), Đất trồng cây lâu năm (164,8m²) (QH: 212,5m²)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(300</w:t>
            </w:r>
            <w:r>
              <w:rPr>
                <w:color w:val="000000" w:themeColor="text1"/>
                <w:sz w:val="22"/>
                <w:szCs w:val="22"/>
              </w:rPr>
              <w:t xml:space="preserve">m²</w:t>
            </w:r>
            <w:r>
              <w:rPr>
                <w:color w:val="000000" w:themeColor="text1"/>
                <w:sz w:val="22"/>
                <w:szCs w:val="22"/>
              </w:rPr>
              <w:t xml:space="preserve">) ,Đất trồng cây lâu năm (200</w:t>
            </w:r>
            <w:r>
              <w:rPr>
                <w:color w:val="000000" w:themeColor="text1"/>
                <w:sz w:val="22"/>
                <w:szCs w:val="22"/>
              </w:rPr>
              <w:t xml:space="preserve">m²</w:t>
            </w:r>
            <w:r>
              <w:rPr>
                <w:color w:val="000000" w:themeColor="text1"/>
                <w:sz w:val="22"/>
                <w:szCs w:val="22"/>
              </w:rPr>
              <w:t xml:space="preserve">)</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(100</w:t>
            </w:r>
            <w:r>
              <w:rPr>
                <w:color w:val="000000" w:themeColor="text1"/>
                <w:sz w:val="22"/>
                <w:szCs w:val="22"/>
              </w:rPr>
              <w:t xml:space="preserve">m²</w:t>
            </w:r>
            <w:r>
              <w:rPr>
                <w:color w:val="000000" w:themeColor="text1"/>
                <w:sz w:val="22"/>
                <w:szCs w:val="22"/>
              </w:rPr>
              <w:t xml:space="preserve">) ,Đất trồng cây lâu năm (233</w:t>
            </w:r>
            <w:r>
              <w:rPr>
                <w:color w:val="000000" w:themeColor="text1"/>
                <w:sz w:val="22"/>
                <w:szCs w:val="22"/>
              </w:rPr>
              <w:t xml:space="preserve">m²</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(80m²), Đất trồng cây lâu năm (147,2m²) (QH: 56,2m²)</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14.594.595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19.445.760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lâu dài; Đất trồng cây lâu năm: có thời hạn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nông thôn: lâu dài; Đất trồng cây lâu năm: có thời hạn</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nông thôn: lâu dài; Đất trồng cây lâu năm: có thời hạ</w:t>
            </w:r>
            <w:r>
              <w:rPr>
                <w:sz w:val="22"/>
                <w:szCs w:val="22"/>
              </w:rPr>
              <w:t xml:space="preserve">n</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 nông thôn: lâu dài; Đất trồng cây lâu năm: có thời hạn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14.594.595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19.445.760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tại Đường tỉnh 777 xã An Viễn, thành phố Đồng Nai 10.880833333333333, 106.99552777777778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Đường tỉnh 777 xã An Viễn, thành phố Đồng Nai </w:t>
            </w:r>
            <w:r>
              <w:rPr>
                <w:color w:val="000000" w:themeColor="text1"/>
                <w:sz w:val="22"/>
                <w:szCs w:val="22"/>
              </w:rPr>
              <w:t xml:space="preserve">10.880405176309758, 106.99503659523859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tại đường vào KCN Giang Điền, xã Giang Điền, thành phố Đồng Nai 10.917743291192021, 106.98416225793628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Đường tỉnh 777 xã An Viễn, thành phố Đồng Nai </w:t>
            </w:r>
            <w:r>
              <w:rPr>
                <w:color w:val="000000" w:themeColor="text1"/>
                <w:sz w:val="22"/>
                <w:szCs w:val="22"/>
              </w:rPr>
              <w:t xml:space="preserve">10.880427444368086, 106.99615939087337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14.594.595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19.445.760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14.594.595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19.445.760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val="0"/>
                <w:bCs w:val="0"/>
                <w:color w:val="000000"/>
                <w:sz w:val="22"/>
                <w:szCs w:val="22"/>
              </w:rPr>
            </w:pPr>
            <w:r>
              <w:rPr>
                <w:b w:val="0"/>
                <w:bCs w:val="0"/>
                <w:color w:val="000000"/>
                <w:sz w:val="22"/>
                <w:szCs w:val="22"/>
              </w:rPr>
              <w:t xml:space="preserve">8</w:t>
            </w:r>
            <w:r>
              <w:rPr>
                <w:b w:val="0"/>
                <w:bCs w:val="0"/>
                <w:color w:val="000000"/>
                <w:sz w:val="22"/>
                <w:szCs w:val="22"/>
              </w:rPr>
            </w:r>
            <w:r>
              <w:rPr>
                <w:b w:val="0"/>
                <w:bCs w:val="0"/>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14.594.595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19.445.760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nằm ngoài HLGT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227,2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437.838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-1.555.661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15.032.433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17.890.099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437.838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583.373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14.040.000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15.470.271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18.473.472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val="0"/>
                <w:bCs w:val="0"/>
                <w:color w:val="000000"/>
                <w:sz w:val="22"/>
                <w:szCs w:val="22"/>
              </w:rPr>
            </w:pPr>
            <w:r>
              <w:rPr>
                <w:b w:val="0"/>
                <w:bCs w:val="0"/>
                <w:color w:val="000000" w:themeColor="text1"/>
                <w:sz w:val="22"/>
                <w:szCs w:val="22"/>
              </w:rPr>
              <w:t xml:space="preserve"> </w:t>
            </w:r>
            <w:r>
              <w:rPr>
                <w:b w:val="0"/>
                <w:bCs w:val="0"/>
                <w:color w:val="000000"/>
                <w:sz w:val="22"/>
                <w:szCs w:val="22"/>
              </w:rPr>
              <w:t xml:space="preserve"> </w:t>
            </w:r>
            <w:r>
              <w:rPr>
                <w:b w:val="0"/>
                <w:bCs w:val="0"/>
                <w:color w:val="000000"/>
                <w:sz w:val="22"/>
                <w:szCs w:val="22"/>
              </w:rPr>
            </w:r>
            <w:r>
              <w:rPr>
                <w:b w:val="0"/>
                <w:bCs w:val="0"/>
                <w:color w:val="000000"/>
                <w:sz w:val="22"/>
                <w:szCs w:val="22"/>
              </w:rPr>
            </w:r>
          </w:p>
        </w:tc>
        <w:tc>
          <w:tcPr>
            <w:shd w:val="clear" w:color="000000" w:fill="ffffff"/>
            <w:tcBorders/>
            <w:tcW w:w="1522" w:type="dxa"/>
            <w:vAlign w:val="center"/>
            <w:textDirection w:val="lrTb"/>
            <w:noWrap w:val="false"/>
          </w:tcPr>
          <w:p>
            <w:pPr>
              <w:pBdr/>
              <w:spacing/>
              <w:ind/>
              <w:jc w:val="center"/>
              <w:rPr>
                <w:b w:val="0"/>
                <w:bCs w:val="0"/>
                <w:color w:val="000000"/>
                <w:sz w:val="22"/>
                <w:szCs w:val="22"/>
              </w:rPr>
            </w:pPr>
            <w:r>
              <w:rPr>
                <w:b w:val="0"/>
                <w:bCs w:val="0"/>
                <w:color w:val="000000"/>
                <w:sz w:val="22"/>
                <w:szCs w:val="22"/>
              </w:rPr>
              <w:t xml:space="preserve">44,41</w:t>
            </w:r>
            <w:r>
              <w:rPr>
                <w:b w:val="0"/>
                <w:bCs w:val="0"/>
                <w:color w:val="000000"/>
                <w:sz w:val="22"/>
                <w:szCs w:val="22"/>
              </w:rPr>
            </w:r>
            <w:r>
              <w:rPr>
                <w:b w:val="0"/>
                <w:bCs w:val="0"/>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46,9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32,46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15.876.000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15.470.271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18.473.472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1.751.351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2.333.491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17.172.000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17.221.622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20.806.963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17.172.000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17.221.622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20.806.963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17.172.000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17.221.622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20.806.963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Tỉ lệ đất ở/Tổng diện tích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rPr>
                <w:color w:val="000000"/>
                <w:sz w:val="22"/>
                <w:szCs w:val="22"/>
              </w:rPr>
            </w:pPr>
            <w:r>
              <w:rPr>
                <w:color w:val="000000" w:themeColor="text1"/>
                <w:sz w:val="22"/>
                <w:szCs w:val="22"/>
              </w:rPr>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 37,7%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  ~60%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 ~ 30,3%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~35,2%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16.740.000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17.221.622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20.806.963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16.740.000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17.221.622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20.806.963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18.256.195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-5,67%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13,98%</w:t>
            </w:r>
            <w:r>
              <w:rPr>
                <w:color w:val="000000"/>
                <w:sz w:val="22"/>
                <w:szCs w:val="22"/>
              </w:rPr>
            </w:r>
            <w:r>
              <w:rPr>
                <w:color w:val="000000"/>
                <w:sz w:val="22"/>
                <w:szCs w:val="22"/>
              </w:rPr>
            </w:r>
          </w:p>
        </w:tc>
      </w:tr>
      <w:tr>
        <w:trPr>
          <w:trHeight w:val="426"/>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6.804.000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2.627.027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4.472.525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5.940.000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2.627.027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1.361.203</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-8,31</w:t>
      </w:r>
      <w:r>
        <w:t xml:space="preserve">% đến</w:t>
      </w:r>
      <w:r>
        <w:t xml:space="preserve"> </w:t>
      </w:r>
      <w:r>
        <w:t xml:space="preserve"> </w:t>
      </w:r>
      <w:r>
        <w:t xml:space="preserve">13,98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16.740.000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5.581.116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17.221.622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5.739.967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20.806.963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6.934.961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18.256.044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18.200.000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18.200.000</w:t>
      </w:r>
      <w:r>
        <w:rPr>
          <w:b/>
          <w:bCs/>
          <w:color w:val="000000" w:themeColor="text1"/>
        </w:rPr>
        <w:t xml:space="preserve"> </w:t>
      </w:r>
      <w:r>
        <w:rPr>
          <w:b/>
          <w:bCs/>
        </w:rPr>
        <w:t xml:space="preserve">đồng/m².</w:t>
      </w:r>
      <w:r>
        <w:rPr>
          <w:b/>
          <w:bCs/>
        </w:rPr>
      </w:r>
      <w:r>
        <w:rPr>
          <w:b/>
          <w:bCs/>
        </w:rPr>
      </w:r>
    </w:p>
    <w:p>
      <w:pPr>
        <w:pStyle w:val="1033"/>
        <w:numPr>
          <w:ilvl w:val="0"/>
          <w:numId w:val="26"/>
        </w:numPr>
        <w:pBdr/>
        <w:spacing w:after="120" w:before="120" w:line="276" w:lineRule="auto"/>
        <w:ind w:hanging="357" w:left="357"/>
        <w:jc w:val="both"/>
        <w:rPr>
          <w:b/>
          <w:bCs/>
        </w:rPr>
      </w:pPr>
      <w:r>
        <w:rPr>
          <w:b/>
          <w:bCs/>
        </w:rPr>
        <w:t xml:space="preserve">Xác định đơn giá quyền sử dụng đất ở, quyền sử dụn</w:t>
      </w:r>
      <w:r>
        <w:rPr>
          <w:b/>
          <w:bCs/>
        </w:rPr>
        <w:t xml:space="preserve">g đất trồng cây lâu nă</w:t>
      </w:r>
      <w:r>
        <w:rPr>
          <w:b/>
          <w:bCs/>
        </w:rPr>
        <w:t xml:space="preserve">m nằm ngoài chỉ giới HLGT:</w:t>
      </w:r>
      <w:r>
        <w:rPr>
          <w:b/>
          <w:bCs/>
        </w:rPr>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360" w:left="0"/>
        <w:jc w:val="both"/>
        <w:rPr/>
      </w:pPr>
      <w:r>
        <w:rPr>
          <w:rFonts w:ascii="Times New Roman" w:hAnsi="Times New Roman" w:eastAsia="Times New Roman" w:cs="Times New Roman"/>
          <w:color w:val="000000"/>
          <w:sz w:val="24"/>
        </w:rPr>
        <w:t xml:space="preserve">Khu vực tài sản thẩm định tọa lạc hạn chế giao dịch đất trồng cây lâu năm và đất ở riêng biệt mà hầu như chỉ có các giao dịch đất hỗn hợp, do vậy, cho mục đích định giá tại báo cáo này, Tổ thẩm định xác định giá trị đất trồng cây hàng năm khác và đất</w:t>
      </w:r>
      <w:r>
        <w:rPr>
          <w:rFonts w:ascii="Times New Roman" w:hAnsi="Times New Roman" w:eastAsia="Times New Roman" w:cs="Times New Roman"/>
          <w:color w:val="000000"/>
          <w:sz w:val="24"/>
        </w:rPr>
        <w:t xml:space="preserve"> ở theo tỉ lệ giữa giá đất trồng cây lâu năm với đất ở theo bảng giá UBND.</w:t>
      </w:r>
      <w:r/>
    </w:p>
    <w:p>
      <w:pPr>
        <w:pBdr>
          <w:top w:val="none" w:color="000000" w:sz="4" w:space="0"/>
          <w:left w:val="none" w:color="000000" w:sz="4" w:space="0"/>
          <w:bottom w:val="none" w:color="000000" w:sz="4" w:space="0"/>
          <w:right w:val="none" w:color="000000" w:sz="4" w:space="0"/>
        </w:pBdr>
        <w:spacing w:after="120" w:before="120" w:line="276" w:lineRule="auto"/>
        <w:ind w:right="0" w:firstLine="360" w:left="0"/>
        <w:jc w:val="both"/>
        <w:rPr/>
      </w:pPr>
      <w:r>
        <w:rPr>
          <w:rFonts w:ascii="Times New Roman" w:hAnsi="Times New Roman" w:eastAsia="Times New Roman" w:cs="Times New Roman"/>
          <w:color w:val="000000"/>
          <w:sz w:val="24"/>
        </w:rPr>
        <w:t xml:space="preserve">Vận dụng Nghị quyết số 28/2025/NQ-HĐND ngày 10/12/2025 của HĐND tỉnh Đồng Nai về việc quy định tiêu chí cụ thể để xác định vị trí từng loại đất, số lượng vị trí trong bảng giá đất; Quyết định bảng giá đất lần đầu trên địa bàn tỉnh Đồng Nai</w:t>
      </w:r>
      <w:r>
        <w:rPr>
          <w:rFonts w:ascii="Arial" w:hAnsi="Arial" w:eastAsia="Arial" w:cs="Arial"/>
          <w:color w:val="333333"/>
          <w:sz w:val="21"/>
          <w:highlight w:val="white"/>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 Đơn giá đất ở tại: “Đường tỉnh 777 (đường Trảng Bom – Long Thành) từ Ngã ba cây xăng Xuân Dũng đến Giáp ranh phường Tam Phước” có đơn giá l</w:t>
      </w:r>
      <w:r>
        <w:rPr>
          <w:rFonts w:ascii="Times New Roman" w:hAnsi="Times New Roman" w:eastAsia="Times New Roman" w:cs="Times New Roman"/>
          <w:color w:val="000000"/>
          <w:sz w:val="24"/>
        </w:rPr>
        <w:t xml:space="preserve">à: </w:t>
      </w:r>
      <w:r>
        <w:rPr>
          <w:rFonts w:ascii="Times New Roman" w:hAnsi="Times New Roman" w:eastAsia="Times New Roman" w:cs="Times New Roman"/>
          <w:b/>
          <w:color w:val="000000"/>
          <w:sz w:val="24"/>
        </w:rPr>
        <w:t xml:space="preserve">8.100.000 đ</w:t>
      </w:r>
      <w:r>
        <w:rPr>
          <w:rFonts w:ascii="Times New Roman" w:hAnsi="Times New Roman" w:eastAsia="Times New Roman" w:cs="Times New Roman"/>
          <w:b/>
          <w:color w:val="000000"/>
          <w:sz w:val="24"/>
        </w:rPr>
        <w:t xml:space="preserve">ồng</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 Đơn giá đất trồng cây lâu năm : “Đường tỉnh 777 (đường Trảng Bom – Long Thành) từ Ngã ba cây xăng Xuân Dũng đến Giáp ranh phường Tam Phước” có đơn giá : </w:t>
      </w:r>
      <w:r>
        <w:rPr>
          <w:rFonts w:ascii="Times New Roman" w:hAnsi="Times New Roman" w:eastAsia="Times New Roman" w:cs="Times New Roman"/>
          <w:b/>
          <w:color w:val="000000"/>
          <w:sz w:val="24"/>
        </w:rPr>
        <w:t xml:space="preserve">730.000 đồng/m².</w:t>
      </w: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both"/>
        <w:rPr/>
      </w:pPr>
      <w:r>
        <w:rPr>
          <w:rFonts w:ascii="Times New Roman" w:hAnsi="Times New Roman" w:eastAsia="Times New Roman" w:cs="Times New Roman"/>
          <w:color w:val="000000"/>
          <w:sz w:val="24"/>
        </w:rPr>
        <w:t xml:space="preserve">Gọi đơn giá đất ở là X, đơn giá đất trồng cây lâu năm là Y ta có tổng giá trị quyền sử dụng đất là:</w:t>
      </w:r>
      <w:r/>
    </w:p>
    <w:p>
      <w:pPr>
        <w:pBdr>
          <w:top w:val="none" w:color="000000" w:sz="4" w:space="0"/>
          <w:left w:val="none" w:color="000000" w:sz="4" w:space="0"/>
          <w:bottom w:val="none" w:color="000000" w:sz="4" w:space="0"/>
          <w:right w:val="none" w:color="000000" w:sz="4" w:space="0"/>
        </w:pBdr>
        <w:tabs>
          <w:tab w:val="left" w:leader="none" w:pos="426"/>
          <w:tab w:val="left" w:leader="none" w:pos="851"/>
        </w:tabs>
        <w:spacing w:after="120" w:before="120"/>
        <w:ind w:right="0" w:firstLine="284" w:left="0"/>
        <w:jc w:val="both"/>
        <w:rPr/>
      </w:pPr>
      <w:r>
        <w:rPr>
          <w:rFonts w:ascii="Times New Roman" w:hAnsi="Times New Roman" w:eastAsia="Times New Roman" w:cs="Times New Roman"/>
          <w:color w:val="000000"/>
          <w:sz w:val="24"/>
        </w:rPr>
        <w:tab/>
        <w:tab/>
        <w:t xml:space="preserve">100*X + 164,8*Y = 18.200.000 * 264,8</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0" w:left="0"/>
        <w:jc w:val="both"/>
        <w:rPr/>
      </w:pPr>
      <w:r>
        <w:rPr>
          <w:rFonts w:ascii="Times New Roman" w:hAnsi="Times New Roman" w:eastAsia="Times New Roman" w:cs="Times New Roman"/>
          <w:color w:val="000000"/>
          <w:sz w:val="24"/>
        </w:rPr>
        <w:t xml:space="preserve">   </w:t>
        <w:tab/>
        <w:t xml:space="preserve">100*X + 164,8*Y = 4.818.360.000</w:t>
      </w:r>
      <w:r>
        <w:rPr>
          <w:rFonts w:ascii="Times New Roman" w:hAnsi="Times New Roman" w:eastAsia="Times New Roman" w:cs="Times New Roman"/>
          <w:color w:val="000000"/>
          <w:sz w:val="20"/>
          <w:vertAlign w:val="superscript"/>
        </w:rPr>
        <w:t xml:space="preserve">(1)</w:t>
      </w: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both"/>
        <w:rPr/>
      </w:pPr>
      <w:r>
        <w:rPr>
          <w:rFonts w:ascii="Times New Roman" w:hAnsi="Times New Roman" w:eastAsia="Times New Roman" w:cs="Times New Roman"/>
          <w:color w:val="000000"/>
          <w:sz w:val="24"/>
        </w:rPr>
        <w:t xml:space="preserve">Theo chênh lệch giá đất ở so với đất trồng cây lâu năm theo giá UBND:</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284" w:left="0"/>
        <w:jc w:val="both"/>
        <w:rPr/>
      </w:pPr>
      <w:r>
        <w:rPr>
          <w:rFonts w:ascii="Times New Roman" w:hAnsi="Times New Roman" w:eastAsia="Times New Roman" w:cs="Times New Roman"/>
          <w:color w:val="000000"/>
          <w:sz w:val="24"/>
        </w:rPr>
        <w:tab/>
        <w:t xml:space="preserve">X – Y = 8.100.000 - 730.000</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0" w:left="0"/>
        <w:jc w:val="both"/>
        <w:rPr/>
      </w:pPr>
      <w:r>
        <w:rPr>
          <w:rFonts w:ascii="Times New Roman" w:hAnsi="Times New Roman" w:eastAsia="Times New Roman" w:cs="Times New Roman"/>
          <w:color w:val="000000"/>
          <w:sz w:val="24"/>
        </w:rPr>
        <w:t xml:space="preserve">  </w:t>
        <w:tab/>
        <w:t xml:space="preserve">X – Y = 7.370.000 </w:t>
      </w:r>
      <w:r>
        <w:rPr>
          <w:rFonts w:ascii="Times New Roman" w:hAnsi="Times New Roman" w:eastAsia="Times New Roman" w:cs="Times New Roman"/>
          <w:color w:val="000000"/>
          <w:sz w:val="20"/>
          <w:vertAlign w:val="superscript"/>
        </w:rPr>
        <w:t xml:space="preserve">(2)</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4"/>
          <w:szCs w:val="24"/>
          <w:highlight w:val="none"/>
        </w:rPr>
      </w:pPr>
      <w:r>
        <w:rPr>
          <w:rFonts w:ascii="Times New Roman" w:hAnsi="Times New Roman" w:eastAsia="Times New Roman" w:cs="Times New Roman"/>
          <w:color w:val="000000"/>
          <w:sz w:val="24"/>
        </w:rPr>
        <w:t xml:space="preserve">Từ (1) và (2) suy ra : X = </w:t>
      </w:r>
      <w:r>
        <w:rPr>
          <w:rFonts w:ascii="Times New Roman" w:hAnsi="Times New Roman" w:eastAsia="Times New Roman" w:cs="Times New Roman"/>
          <w:b/>
          <w:color w:val="000000"/>
          <w:sz w:val="24"/>
        </w:rPr>
        <w:t xml:space="preserve">22.786.767</w:t>
      </w:r>
      <w:r>
        <w:rPr>
          <w:rFonts w:ascii="Times New Roman" w:hAnsi="Times New Roman" w:eastAsia="Times New Roman" w:cs="Times New Roman"/>
          <w:b/>
          <w:color w:val="000000"/>
          <w:sz w:val="24"/>
        </w:rPr>
        <w:t xml:space="preserve"> đồng/m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và Y =</w:t>
      </w:r>
      <w:r>
        <w:rPr>
          <w:rFonts w:ascii="Times New Roman" w:hAnsi="Times New Roman" w:eastAsia="Times New Roman" w:cs="Times New Roman"/>
          <w:b/>
          <w:color w:val="000000"/>
          <w:sz w:val="24"/>
        </w:rPr>
        <w:t xml:space="preserve"> </w:t>
      </w:r>
      <w:r>
        <w:rPr>
          <w:rFonts w:ascii="Times New Roman" w:hAnsi="Times New Roman" w:eastAsia="Times New Roman" w:cs="Times New Roman"/>
          <w:b/>
          <w:color w:val="000000"/>
          <w:sz w:val="24"/>
        </w:rPr>
        <w:t xml:space="preserve">15.416.767</w:t>
      </w:r>
      <w:r>
        <w:rPr>
          <w:rFonts w:ascii="Times New Roman" w:hAnsi="Times New Roman" w:eastAsia="Times New Roman" w:cs="Times New Roman"/>
          <w:b/>
          <w:color w:val="000000"/>
          <w:sz w:val="24"/>
        </w:rPr>
        <w:t xml:space="preserve"> đồng/m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sz w:val="24"/>
        </w:rPr>
      </w:r>
      <w: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r>
        <w:rPr>
          <w:rFonts w:ascii="Times New Roman" w:hAnsi="Times New Roman" w:eastAsia="Times New Roman" w:cs="Times New Roman"/>
          <w:sz w:val="24"/>
          <w:highlight w:val="none"/>
        </w:rPr>
      </w:r>
      <w:r>
        <w:rPr>
          <w:rFonts w:ascii="Times New Roman" w:hAnsi="Times New Roman" w:eastAsia="Times New Roman" w:cs="Times New Roman"/>
          <w:sz w:val="24"/>
          <w:szCs w:val="24"/>
          <w:highlight w:val="none"/>
        </w:rPr>
      </w:r>
    </w:p>
    <w:p>
      <w:pPr>
        <w:pStyle w:val="1033"/>
        <w:numPr>
          <w:ilvl w:val="0"/>
          <w:numId w:val="26"/>
        </w:numPr>
        <w:pBdr/>
        <w:spacing w:after="120" w:before="120" w:line="276" w:lineRule="auto"/>
        <w:ind w:hanging="357" w:left="357"/>
        <w:jc w:val="both"/>
        <w:rPr>
          <w:b/>
          <w:bCs/>
          <w:lang w:val="pt-BR"/>
        </w:rPr>
      </w:pPr>
      <w:r>
        <w:rPr>
          <w:b/>
          <w:highlight w:val="none"/>
          <w:lang w:val="pt-BR"/>
        </w:rPr>
      </w:r>
      <w:r>
        <w:rPr>
          <w:b/>
          <w:highlight w:val="none"/>
          <w:lang w:val="pt-BR"/>
        </w:rPr>
        <w:t xml:space="preserve">Xác định đơn giá đất trồng cây lâu năm nằm trong chỉ giới HLGT:</w:t>
      </w:r>
      <w:r>
        <w:rPr>
          <w:b/>
          <w:bCs/>
          <w:lang w:val="pt-BR"/>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Cho mục đích định giá tại báo cáo này, đối với đất nằm trong chỉ giới HLGT, tổ thẩm định xác định là đất trồng cây lâu năm, tổ thẩm định đề xuất xác định theo Bảng giá đất của UBND tỉnh Đồng Nai.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Căn cứ Nghị quyết số 28/2025/NQ-HĐND ngày 10/12/2025 của HĐND tỉnh Đồng Nai về việc quy định tiêu chí cụ thể để xác định vị trí từng loại đất, số lượng vị trí trong bảng giá đất; Quyết định bảng giá đất lần đầu trên địa bàn tỉnh Đồng Nai</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Đơn giá đất trồng cây lâu năm : “Đường tỉnh 777 (đường Trảng Bom – Long Thành) từ Ngã ba cây xăng Xuân Dũng đến Giáp ranh phường Tam Phước” có đơn giá : </w:t>
      </w:r>
      <w:r>
        <w:rPr>
          <w:rFonts w:ascii="Times New Roman" w:hAnsi="Times New Roman" w:eastAsia="Times New Roman" w:cs="Times New Roman"/>
          <w:b/>
          <w:color w:val="000000"/>
          <w:sz w:val="24"/>
        </w:rPr>
        <w:t xml:space="preserve">730.000 đồng/m²</w:t>
      </w:r>
      <w:r/>
      <w:r>
        <w:rPr>
          <w:rFonts w:ascii="Times New Roman" w:hAnsi="Times New Roman" w:eastAsia="Times New Roman" w:cs="Times New Roman"/>
          <w:color w:val="000000"/>
          <w:sz w:val="24"/>
        </w:rPr>
      </w:r>
      <w:r>
        <w:rPr>
          <w:rFonts w:ascii="Times New Roman" w:hAnsi="Times New Roman" w:eastAsia="Times New Roman" w:cs="Times New Roman"/>
          <w:b/>
          <w:color w:val="000000"/>
          <w:sz w:val="24"/>
        </w:rPr>
        <w:t xml:space="preserve">.</w:t>
      </w:r>
      <w:r/>
      <w:r>
        <w:rPr>
          <w:b/>
          <w:highlight w:val="none"/>
          <w:lang w:val="pt-BR" w:bidi="pt-BR"/>
        </w:rPr>
      </w:r>
      <w:r>
        <w:rPr>
          <w:b/>
          <w:highlight w:val="none"/>
          <w:lang w:val="pt-BR" w:bidi="pt-BR"/>
        </w:rPr>
      </w:r>
      <w:r>
        <w:rPr>
          <w:b/>
          <w:highlight w:val="none"/>
          <w:lang w:val="pt-BR"/>
        </w:rPr>
      </w:r>
      <w:r>
        <w:rPr>
          <w:rFonts w:ascii="Times New Roman" w:hAnsi="Times New Roman" w:eastAsia="Times New Roman" w:cs="Times New Roman"/>
          <w:sz w:val="24"/>
        </w:rPr>
      </w:r>
    </w:p>
    <w:p>
      <w:pPr>
        <w:pStyle w:val="103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2835"/>
        <w:gridCol w:w="1701"/>
        <w:gridCol w:w="2089"/>
        <w:gridCol w:w="2164"/>
      </w:tblGrid>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83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01"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089"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24"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1231, tờ bản đồ số: 3, có địa chỉ: xã An Viễn, huyện Trảng Bom, tỉnh Đồng Nai (Nay là: xã An Viễn, thành phố Đồng Nai</w:t>
            </w:r>
            <w:r>
              <w:rPr>
                <w:b/>
                <w:bCs/>
                <w:color w:val="000000"/>
              </w:rPr>
              <w:t xml:space="preserve">) theo Giấy chứng nhận Quyền sử dụng đất quyền sở hữu nhà ở và tài sản khác gắn liền với đất số: DK 648710, số vào sổ cấp GCN: VP 23693 do Văn phòng đăng ký đất đai tỉnh Đồng Nai cấp ngày 30/5/2023; Chủ sử dụng đất là ông Mai Xuân Khanh và bà Mai Lan Hương</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835"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701" w:type="dxa"/>
            <w:vAlign w:val="center"/>
            <w:textDirection w:val="lrTb"/>
            <w:noWrap/>
          </w:tcPr>
          <w:p>
            <w:pPr>
              <w:pBdr/>
              <w:spacing w:after="40" w:before="40" w:line="288" w:lineRule="auto"/>
              <w:ind/>
              <w:jc w:val="center"/>
              <w:rPr>
                <w:color w:val="000000"/>
              </w:rPr>
            </w:pPr>
            <w:r>
              <w:rPr>
                <w:color w:val="000000" w:themeColor="text1"/>
              </w:rPr>
              <w:t xml:space="preserve">100,0</w:t>
            </w:r>
            <w:r>
              <w:rPr>
                <w:color w:val="000000"/>
              </w:rPr>
            </w:r>
            <w:r>
              <w:rPr>
                <w:color w:val="000000"/>
              </w:rPr>
            </w:r>
          </w:p>
        </w:tc>
        <w:tc>
          <w:tcPr>
            <w:shd w:val="clear" w:color="000000" w:fill="ffffff"/>
            <w:tcBorders/>
            <w:tcW w:w="2089" w:type="dxa"/>
            <w:vAlign w:val="center"/>
            <w:textDirection w:val="lrTb"/>
            <w:noWrap w:val="false"/>
          </w:tcPr>
          <w:p>
            <w:pPr>
              <w:pBdr/>
              <w:spacing w:after="40" w:before="40" w:line="288" w:lineRule="auto"/>
              <w:ind/>
              <w:jc w:val="center"/>
              <w:rPr/>
            </w:pPr>
            <w:r>
              <w:rPr>
                <w:color w:val="000000" w:themeColor="text1"/>
              </w:rPr>
              <w:t xml:space="preserve">22.786.767</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2.278.676.737</w:t>
            </w: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8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b w:val="0"/>
                <w:bCs w:val="0"/>
              </w:rPr>
            </w:pPr>
            <w:r>
              <w:rPr>
                <w:rFonts w:ascii="Times New Roman" w:hAnsi="Times New Roman" w:eastAsia="Times New Roman" w:cs="Times New Roman"/>
                <w:b w:val="0"/>
                <w:bCs w:val="0"/>
                <w:color w:val="000000"/>
                <w:sz w:val="24"/>
              </w:rPr>
              <w:t xml:space="preserve">Đất trồng cây lâu năm nằm ngoài chỉ giới HLGT</w:t>
            </w:r>
            <w:r>
              <w:rPr>
                <w:b w:val="0"/>
                <w:bCs w:val="0"/>
              </w:rPr>
            </w:r>
            <w:r>
              <w:rPr>
                <w:b w:val="0"/>
                <w:bCs w:val="0"/>
              </w:rPr>
            </w:r>
          </w:p>
        </w:tc>
        <w:tc>
          <w:tcPr>
            <w:tcBorders/>
            <w:tcW w:w="1701" w:type="dxa"/>
            <w:vAlign w:val="center"/>
            <w:textDirection w:val="lrTb"/>
            <w:noWrap/>
          </w:tcPr>
          <w:p>
            <w:pPr>
              <w:pBdr/>
              <w:spacing w:after="40" w:before="40" w:line="288" w:lineRule="auto"/>
              <w:ind/>
              <w:jc w:val="center"/>
              <w:rPr>
                <w:color w:val="000000"/>
              </w:rPr>
            </w:pPr>
            <w:r>
              <w:rPr>
                <w:color w:val="000000" w:themeColor="text1"/>
              </w:rPr>
              <w:t xml:space="preserve">164,8</w:t>
            </w:r>
            <w:r>
              <w:rPr>
                <w:color w:val="000000"/>
              </w:rPr>
            </w:r>
            <w:r>
              <w:rPr>
                <w:color w:val="000000"/>
              </w:rPr>
            </w:r>
          </w:p>
        </w:tc>
        <w:tc>
          <w:tcPr>
            <w:shd w:val="clear" w:color="000000" w:fill="ffffff"/>
            <w:tcBorders/>
            <w:tcW w:w="2089" w:type="dxa"/>
            <w:vAlign w:val="center"/>
            <w:textDirection w:val="lrTb"/>
            <w:noWrap w:val="false"/>
          </w:tcPr>
          <w:p>
            <w:pPr>
              <w:pBdr/>
              <w:spacing w:after="40" w:before="40" w:line="288" w:lineRule="auto"/>
              <w:ind/>
              <w:jc w:val="center"/>
              <w:rPr/>
            </w:pPr>
            <w:r>
              <w:rPr>
                <w:color w:val="000000" w:themeColor="text1"/>
              </w:rPr>
              <w:t xml:space="preserve">15.416.767</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2.540.683.263</w:t>
            </w:r>
            <w:r/>
          </w:p>
        </w:tc>
      </w:tr>
      <w:tr>
        <w:trPr>
          <w:trHeight w:val="20"/>
        </w:trPr>
        <w:tc>
          <w:tcPr>
            <w:shd w:val="clear" w:color="000000" w:fill="ffffff"/>
            <w:tcBorders/>
            <w:tcW w:w="737" w:type="dxa"/>
            <w:vAlign w:val="center"/>
            <w:vMerge w:val="restart"/>
            <w:textDirection w:val="lrTb"/>
            <w:noWrap w:val="false"/>
          </w:tcPr>
          <w:p>
            <w:pPr>
              <w:pBdr/>
              <w:spacing w:after="40" w:before="40" w:line="288" w:lineRule="auto"/>
              <w:ind/>
              <w:jc w:val="center"/>
              <w:rPr>
                <w:b w:val="0"/>
                <w:bCs w:val="0"/>
              </w:rPr>
            </w:pPr>
            <w:r>
              <w:rPr>
                <w:b w:val="0"/>
                <w:bCs w:val="0"/>
              </w:rPr>
              <w:t xml:space="preserve">3</w:t>
            </w:r>
            <w:r>
              <w:rPr>
                <w:b w:val="0"/>
                <w:bCs w:val="0"/>
              </w:rPr>
            </w:r>
            <w:r>
              <w:rPr>
                <w:b w:val="0"/>
                <w:bCs w:val="0"/>
              </w:rPr>
            </w:r>
          </w:p>
        </w:tc>
        <w:tc>
          <w:tcPr>
            <w:shd w:val="clear" w:color="000000" w:fill="ffffff"/>
            <w:tcBorders/>
            <w:tcW w:w="283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b w:val="0"/>
                <w:bCs w:val="0"/>
              </w:rPr>
            </w:pPr>
            <w:r>
              <w:rPr>
                <w:rFonts w:ascii="Times New Roman" w:hAnsi="Times New Roman" w:eastAsia="Times New Roman" w:cs="Times New Roman"/>
                <w:b w:val="0"/>
                <w:bCs w:val="0"/>
                <w:color w:val="000000"/>
                <w:sz w:val="24"/>
              </w:rPr>
              <w:t xml:space="preserve">Đất trồng cây lâu năm nằm trong chỉ giới HLGT</w:t>
            </w:r>
            <w:r>
              <w:rPr>
                <w:b w:val="0"/>
                <w:bCs w:val="0"/>
              </w:rPr>
            </w:r>
            <w:r>
              <w:rPr>
                <w:b w:val="0"/>
                <w:bCs w:val="0"/>
              </w:rPr>
            </w:r>
          </w:p>
        </w:tc>
        <w:tc>
          <w:tcPr>
            <w:tcBorders/>
            <w:tcW w:w="1701" w:type="dxa"/>
            <w:vAlign w:val="center"/>
            <w:vMerge w:val="restart"/>
            <w:textDirection w:val="lrTb"/>
            <w:noWrap/>
          </w:tcPr>
          <w:p>
            <w:pPr>
              <w:pBdr/>
              <w:spacing w:after="40" w:before="40" w:line="288" w:lineRule="auto"/>
              <w:ind/>
              <w:jc w:val="center"/>
              <w:rPr>
                <w:color w:val="000000" w:themeColor="text1"/>
              </w:rPr>
            </w:pPr>
            <w:r>
              <w:rPr>
                <w:color w:val="000000" w:themeColor="text1"/>
              </w:rPr>
            </w:r>
            <w:r>
              <w:rPr>
                <w:color w:val="000000" w:themeColor="text1"/>
              </w:rPr>
              <w:t xml:space="preserve">212,5</w:t>
            </w:r>
            <w:r>
              <w:rPr>
                <w:color w:val="000000" w:themeColor="text1"/>
              </w:rPr>
            </w:r>
            <w:r>
              <w:rPr>
                <w:color w:val="000000" w:themeColor="text1"/>
              </w:rPr>
            </w:r>
          </w:p>
        </w:tc>
        <w:tc>
          <w:tcPr>
            <w:shd w:val="clear" w:color="000000" w:fill="ffffff"/>
            <w:tcBorders/>
            <w:tcW w:w="2089"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t xml:space="preserve">730.000</w:t>
            </w:r>
            <w:r>
              <w:rPr>
                <w:color w:val="000000" w:themeColor="text1"/>
              </w:rPr>
            </w:r>
            <w:r>
              <w:rPr>
                <w:color w:val="000000" w:themeColor="text1"/>
              </w:rPr>
            </w:r>
          </w:p>
        </w:tc>
        <w:tc>
          <w:tcPr>
            <w:shd w:val="clear" w:color="000000" w:fill="ffffff"/>
            <w:tcBorders/>
            <w:tcW w:w="2164"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155.125.000</w:t>
            </w:r>
            <w:r>
              <w:rPr>
                <w:color w:val="000000" w:themeColor="text1"/>
              </w:rPr>
            </w:r>
            <w:r>
              <w:rPr>
                <w:color w:val="000000" w:themeColor="text1"/>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4.974.485.000</w:t>
            </w:r>
            <w:r>
              <w:rPr>
                <w:b/>
                <w:bCs/>
                <w:color w:val="000000"/>
              </w:rPr>
            </w:r>
            <w:r>
              <w:rPr>
                <w:b/>
                <w:bCs/>
                <w:color w:val="000000"/>
              </w:rPr>
            </w:r>
          </w:p>
        </w:tc>
      </w:tr>
      <w:tr>
        <w:trPr>
          <w:trHeight w:val="439"/>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4.974.500.000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chín trăm bảy mươi bốn triệu năm trăm nghìn đồng</w:t>
            </w:r>
            <w:r>
              <w:rPr>
                <w:b/>
                <w:bCs/>
                <w:i/>
                <w:iCs/>
                <w:color w:val="000000"/>
              </w:rPr>
              <w:t xml:space="preserve">./.)</w:t>
            </w:r>
            <w:r>
              <w:rPr>
                <w:b/>
                <w:bCs/>
                <w:i/>
                <w:iCs/>
                <w:color w:val="000000"/>
              </w:rPr>
            </w:r>
            <w:r>
              <w:rPr>
                <w:b/>
                <w:bCs/>
                <w:i/>
                <w:iCs/>
                <w:color w:val="000000"/>
              </w:rPr>
            </w:r>
          </w:p>
        </w:tc>
      </w:tr>
    </w:tbl>
    <w:p>
      <w:pPr>
        <w:pStyle w:val="1033"/>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pPr>
        <w:pStyle w:val="103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3"/>
        <w:numPr>
          <w:ilvl w:val="0"/>
          <w:numId w:val="40"/>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thẩm định giá, tổ thẩm định nhận thấy tại trang 3 của GCN có 212,5m2 đất trồng cây lâu năm nằm trong chỉ giới hành lang giao thông</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Ngoài ra, khách hàng/Chủ sử dụng đất không cung cấp thêm bất cứ hồ sơ pháp lý nào liên quan tới thông tin quy hoạch của thửa đất. Theo đề nghị của Ngân hàng/Khách hàng, tổ thẩm định xác định giá trị tài sản theo thông tin quy hoạch nêu trên. Đối với diện t</w:t>
      </w:r>
      <w:r>
        <w:rPr>
          <w:rFonts w:ascii="Times New Roman" w:hAnsi="Times New Roman" w:eastAsia="Times New Roman" w:cs="Times New Roman"/>
          <w:color w:val="000000"/>
          <w:sz w:val="24"/>
        </w:rPr>
        <w:t xml:space="preserve">ích nằm ngoài quy hoạch tổ thẩm định đánh giá theo giá trị thị trường, đối với phần nằm trong quy hoạch tổ thẩm định đánh giá theo giá khung UBND tại thời điểm thẩm định, giá trị đền bù thực tế còn phụ thuộc vào thỏa thuận các bên tại thời điểm Nhà nước gi</w:t>
      </w:r>
      <w:r>
        <w:rPr>
          <w:rFonts w:ascii="Times New Roman" w:hAnsi="Times New Roman" w:eastAsia="Times New Roman" w:cs="Times New Roman"/>
          <w:color w:val="000000"/>
          <w:sz w:val="24"/>
        </w:rPr>
        <w:t xml:space="preserve">ải phóng mặt bằng thực hiện quy hoạch. Đề nghị đơn vị sử dụng kết quả lưu ý kiểm tra xác minh thêm thông tin quy hoạch nếu thấy cần thiết. Trong trường hợp Khách hàng/Ngân hàng cung cấp được Văn bản xác nhận rõ phần diện tích thuộc quy hoạch mà có sự sai k</w:t>
      </w:r>
      <w:r>
        <w:rPr>
          <w:rFonts w:ascii="Times New Roman" w:hAnsi="Times New Roman" w:eastAsia="Times New Roman" w:cs="Times New Roman"/>
          <w:color w:val="000000"/>
          <w:sz w:val="24"/>
        </w:rPr>
        <w:t xml:space="preserve">hác so với số liệu nêu trên thì kết quả thẩm định giá cần được xem xét, điều chỉnh phù hợp, đồng thời chúng tôi bảo lưu quyền xem xét lại kết quả thẩm định giá</w:t>
      </w:r>
      <w:r>
        <w:rPr>
          <w:spacing w:val="-2"/>
          <w:highlight w:val="none"/>
          <w:lang w:val="pt-BR" w:bidi="pt-BR"/>
        </w:rPr>
        <w:t xml:space="preserve">.</w:t>
      </w:r>
      <w:r>
        <w:rPr>
          <w:spacing w:val="-2"/>
          <w:lang w:val="pt-BR"/>
        </w:rPr>
      </w:r>
      <w:r>
        <w:rPr>
          <w:spacing w:val="-2"/>
          <w:lang w:val="pt-BR"/>
        </w:rPr>
      </w:r>
    </w:p>
    <w:p>
      <w:pPr>
        <w:pStyle w:val="1033"/>
        <w:numPr>
          <w:ilvl w:val="0"/>
          <w:numId w:val="41"/>
        </w:numPr>
        <w:pBdr/>
        <w:spacing w:after="120" w:before="120" w:line="276" w:lineRule="auto"/>
        <w:ind/>
        <w:jc w:val="both"/>
        <w:rPr>
          <w:lang w:val="de-DE"/>
        </w:rPr>
      </w:pPr>
      <w:r>
        <w:rPr>
          <w:highlight w:val="none"/>
          <w:lang w:val="de-DE" w:bidi="de-DE"/>
        </w:rPr>
      </w:r>
      <w:r>
        <w:rPr>
          <w:rFonts w:ascii="Times New Roman" w:hAnsi="Times New Roman" w:eastAsia="Times New Roman" w:cs="Times New Roman"/>
          <w:color w:val="000000"/>
          <w:sz w:val="24"/>
        </w:rPr>
        <w:t xml:space="preserve">Qua khảo sát thực tế, tổ thẩm định nhận thấ</w:t>
      </w:r>
      <w:r>
        <w:rPr>
          <w:rFonts w:ascii="Times New Roman" w:hAnsi="Times New Roman" w:eastAsia="Times New Roman" w:cs="Times New Roman"/>
          <w:color w:val="000000"/>
          <w:sz w:val="24"/>
        </w:rPr>
        <w:t xml:space="preserve">y tr</w:t>
      </w:r>
      <w:r>
        <w:rPr>
          <w:rFonts w:ascii="Times New Roman" w:hAnsi="Times New Roman" w:eastAsia="Times New Roman" w:cs="Times New Roman"/>
          <w:color w:val="000000"/>
          <w:sz w:val="24"/>
        </w:rPr>
        <w:t xml:space="preserve">ên đất có 01 CTXD là nhà xưởng cấp 4, tường gạch cao 3m, trên lợp tôn, xây dựng hết đất, CTXD được xây cùng với 2 thửa đất 615 và 1083 của cùng chủ sử dụng đất là ông Mai Xuân Khanh. CTXD chưa được chứng nhận trên GCN, hiện công trình vẫn đang được sử dụng</w:t>
      </w:r>
      <w:r>
        <w:rPr>
          <w:rFonts w:ascii="Times New Roman" w:hAnsi="Times New Roman" w:eastAsia="Times New Roman" w:cs="Times New Roman"/>
          <w:color w:val="000000"/>
          <w:sz w:val="24"/>
        </w:rPr>
        <w:t xml:space="preserve"> bình thường.</w:t>
      </w:r>
      <w:r>
        <w:rPr>
          <w:highlight w:val="none"/>
          <w:lang w:val="de-DE" w:bidi="de-DE"/>
        </w:rPr>
        <w:t xml:space="preserve"> </w:t>
      </w:r>
      <w:r>
        <w:rPr>
          <w:highlight w:val="none"/>
          <w:lang w:val="de-DE" w:bidi="de-DE"/>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lang w:val="de-DE"/>
        </w:rPr>
      </w:r>
      <w:r>
        <w:rPr>
          <w:lang w:val="de-DE"/>
        </w:rPr>
      </w:r>
    </w:p>
    <w:p>
      <w:pPr>
        <w:pStyle w:val="103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3"/>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3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3"/>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3"/>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275/2026/1484/VFI-CT.36.A</w:t>
      </w:r>
      <w:r>
        <w:rPr>
          <w:color w:val="ff0000"/>
          <w:lang w:val="vi-VN"/>
        </w:rPr>
        <w:t xml:space="preserve"> </w:t>
      </w:r>
      <w:r>
        <w:rPr>
          <w:color w:val="000000" w:themeColor="text1"/>
        </w:rPr>
        <w:t xml:space="preserve">ngày 22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275/2026/1484/VFI-BC.36.A ngày</w:t>
      </w:r>
      <w:r>
        <w:rPr>
          <w:i/>
          <w:lang w:val="pt-BR"/>
        </w:rPr>
        <w:t xml:space="preserve"> </w:t>
      </w:r>
      <w:r>
        <w:rPr>
          <w:i/>
          <w:lang w:val="pt-BR"/>
        </w:rPr>
        <w:t xml:space="preserve">22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tabs>
                <w:tab w:val="center" w:leader="none" w:pos="2309"/>
              </w:tabs>
              <w:spacing w:after="120"/>
              <w:ind/>
              <w:jc w:val="center"/>
              <w:rPr>
                <w:b/>
                <w:bCs/>
                <w:i/>
                <w:lang w:val="pt-BR"/>
              </w:rPr>
            </w:pPr>
            <w:r>
              <w:rPr>
                <w:b/>
                <w:bCs/>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3042" cy="285990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875424" name=""/>
                              <pic:cNvPicPr>
                                <a:picLocks noChangeAspect="1"/>
                              </pic:cNvPicPr>
                              <pic:nvPr/>
                            </pic:nvPicPr>
                            <pic:blipFill rotWithShape="1">
                              <a:blip r:embed="rId19"/>
                              <a:stretch/>
                            </pic:blipFill>
                            <pic:spPr bwMode="auto">
                              <a:xfrm flipH="0" flipV="0">
                                <a:off x="0" y="0"/>
                                <a:ext cx="2713041" cy="28599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13.63pt;height:225.1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9746" cy="286943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25880" name=""/>
                              <pic:cNvPicPr>
                                <a:picLocks noChangeAspect="1"/>
                              </pic:cNvPicPr>
                              <pic:nvPr/>
                            </pic:nvPicPr>
                            <pic:blipFill rotWithShape="1">
                              <a:blip r:embed="rId20"/>
                              <a:stretch/>
                            </pic:blipFill>
                            <pic:spPr bwMode="auto">
                              <a:xfrm flipH="0" flipV="0">
                                <a:off x="0" y="0"/>
                                <a:ext cx="2639745" cy="28694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7.85pt;height:225.9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89260" cy="238698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11812" name=""/>
                              <pic:cNvPicPr>
                                <a:picLocks noChangeAspect="1"/>
                              </pic:cNvPicPr>
                              <pic:nvPr/>
                            </pic:nvPicPr>
                            <pic:blipFill rotWithShape="1">
                              <a:blip r:embed="rId21"/>
                              <a:stretch/>
                            </pic:blipFill>
                            <pic:spPr bwMode="auto">
                              <a:xfrm flipH="0" flipV="0">
                                <a:off x="0" y="0"/>
                                <a:ext cx="2789259" cy="23869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9.63pt;height:187.9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695385" cy="2358405"/>
                      <wp:effectExtent l="0" t="0" r="0" b="0"/>
                      <wp:docPr id="9" name=""/>
                      <wp:cNvGraphicFramePr/>
                      <a:graphic xmlns:a="http://schemas.openxmlformats.org/drawingml/2006/main">
                        <a:graphicData uri="http://schemas.openxmlformats.org/drawingml/2006/picture">
                          <pic:pic xmlns:pic="http://schemas.openxmlformats.org/drawingml/2006/picture">
                            <pic:nvPicPr>
                              <pic:cNvPr id="854492624" name="" descr=""/>
                              <pic:cNvPicPr/>
                              <pic:nvPr/>
                            </pic:nvPicPr>
                            <pic:blipFill rotWithShape="1">
                              <a:blip r:embed="rId22"/>
                              <a:stretch/>
                            </pic:blipFill>
                            <pic:spPr bwMode="auto">
                              <a:xfrm flipH="0" flipV="0">
                                <a:off x="0" y="0"/>
                                <a:ext cx="2695384" cy="235840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2.24pt;height:185.7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0657" cy="208657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398865" name=""/>
                              <pic:cNvPicPr>
                                <a:picLocks noChangeAspect="1"/>
                              </pic:cNvPicPr>
                              <pic:nvPr/>
                            </pic:nvPicPr>
                            <pic:blipFill rotWithShape="1">
                              <a:blip r:embed="rId23"/>
                              <a:stretch/>
                            </pic:blipFill>
                            <pic:spPr bwMode="auto">
                              <a:xfrm flipH="0" flipV="0">
                                <a:off x="0" y="0"/>
                                <a:ext cx="2710657" cy="20865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3.44pt;height:164.3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2656688" cy="2086645"/>
                      <wp:effectExtent l="0" t="0" r="0" b="0"/>
                      <wp:docPr id="11" name=""/>
                      <wp:cNvGraphicFramePr/>
                      <a:graphic xmlns:a="http://schemas.openxmlformats.org/drawingml/2006/main">
                        <a:graphicData uri="http://schemas.openxmlformats.org/drawingml/2006/picture">
                          <pic:pic xmlns:pic="http://schemas.openxmlformats.org/drawingml/2006/picture">
                            <pic:nvPicPr>
                              <pic:cNvPr id="1119887580" name="" descr=""/>
                              <pic:cNvPicPr/>
                              <pic:nvPr/>
                            </pic:nvPicPr>
                            <pic:blipFill rotWithShape="1">
                              <a:blip r:embed="rId24"/>
                              <a:stretch/>
                            </pic:blipFill>
                            <pic:spPr bwMode="auto">
                              <a:xfrm flipH="0" flipV="0">
                                <a:off x="0" y="0"/>
                                <a:ext cx="2656687" cy="208664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9.19pt;height:164.3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after="200" w:line="276" w:lineRule="auto"/>
        <w:ind/>
        <w:jc w:val="center"/>
        <w:rPr>
          <w:b/>
          <w:bCs/>
          <w:highlight w:val="none"/>
        </w:rPr>
      </w:pPr>
      <w:r>
        <w:rPr>
          <w:b/>
          <w:highlight w:val="none"/>
        </w:rPr>
        <w:t xml:space="preserve">GIẤY CHỨNG NHẬN QUYỀN SỬ DỤNG ĐẤT</w:t>
      </w:r>
      <w:r>
        <w:rPr>
          <w:b/>
          <w:bCs/>
          <w:highlight w:val="none"/>
        </w:rPr>
      </w:r>
      <w:r>
        <w:rPr>
          <w:b/>
          <w:bCs/>
          <w:highlight w:val="none"/>
        </w:rPr>
      </w:r>
    </w:p>
    <w:p>
      <w:pPr>
        <w:pBdr/>
        <w:spacing w:after="200" w:line="276" w:lineRule="auto"/>
        <w:ind/>
        <w:jc w:val="center"/>
        <w:rPr>
          <w:bCs/>
          <w:i/>
          <w:lang w:val="pt-BR"/>
        </w:rPr>
      </w:pPr>
      <w:r>
        <w:rPr>
          <w:b/>
          <w:highlight w:val="none"/>
          <w:lang w:val="pt-BR" w:bidi="pt-BR"/>
        </w:rPr>
      </w:r>
      <w:r>
        <mc:AlternateContent>
          <mc:Choice Requires="wpg">
            <w:drawing>
              <wp:inline xmlns:wp="http://schemas.openxmlformats.org/drawingml/2006/wordprocessingDrawing" distT="0" distB="0" distL="0" distR="0">
                <wp:extent cx="5548652" cy="75057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408469" name=""/>
                        <pic:cNvPicPr>
                          <a:picLocks noChangeAspect="1"/>
                        </pic:cNvPicPr>
                        <pic:nvPr/>
                      </pic:nvPicPr>
                      <pic:blipFill rotWithShape="1">
                        <a:blip r:embed="rId25"/>
                        <a:stretch/>
                      </pic:blipFill>
                      <pic:spPr bwMode="auto">
                        <a:xfrm flipH="0" flipV="0">
                          <a:off x="0" y="0"/>
                          <a:ext cx="5548652" cy="75056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36.90pt;height:591.00pt;mso-wrap-distance-left:0.00pt;mso-wrap-distance-top:0.00pt;mso-wrap-distance-right:0.00pt;mso-wrap-distance-bottom:0.00pt;z-index:1;" stroked="false">
                <v:imagedata r:id="rId25" o:title=""/>
                <o:lock v:ext="edit" rotation="t"/>
              </v:shape>
            </w:pict>
          </mc:Fallback>
        </mc:AlternateContent>
      </w:r>
      <w:r>
        <w:rPr>
          <w:bCs/>
          <w:i/>
          <w:lang w:val="pt-BR"/>
        </w:rPr>
      </w:r>
      <w:r>
        <w:rPr>
          <w:bCs/>
          <w:i/>
          <w:lang w:val="pt-BR"/>
        </w:rP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auto"/>
        <w:spacing/>
        <w:ind/>
        <w:jc w:val="center"/>
        <w:rPr/>
      </w:pPr>
      <w:r>
        <w:rPr>
          <w:b/>
          <w:highlight w:val="none"/>
        </w:rPr>
      </w:r>
      <w:r>
        <mc:AlternateContent>
          <mc:Choice Requires="wpg">
            <w:drawing>
              <wp:inline xmlns:wp="http://schemas.openxmlformats.org/drawingml/2006/wordprocessingDrawing" distT="0" distB="0" distL="0" distR="0">
                <wp:extent cx="5181600" cy="743902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31960" name=""/>
                        <pic:cNvPicPr>
                          <a:picLocks noChangeAspect="1"/>
                        </pic:cNvPicPr>
                        <pic:nvPr/>
                      </pic:nvPicPr>
                      <pic:blipFill rotWithShape="1">
                        <a:blip r:embed="rId26"/>
                        <a:stretch/>
                      </pic:blipFill>
                      <pic:spPr bwMode="auto">
                        <a:xfrm>
                          <a:off x="0" y="0"/>
                          <a:ext cx="5181599" cy="7439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08.00pt;height:585.75pt;mso-wrap-distance-left:0.00pt;mso-wrap-distance-top:0.00pt;mso-wrap-distance-right:0.00pt;mso-wrap-distance-bottom:0.00pt;z-index:1;" stroked="false">
                <v:imagedata r:id="rId26" o:title=""/>
                <o:lock v:ext="edit" rotation="t"/>
              </v:shape>
            </w:pict>
          </mc:Fallback>
        </mc:AlternateContent>
      </w:r>
      <w:r>
        <w:rPr>
          <w:b/>
          <w:bCs/>
          <w:highlight w:val="none"/>
        </w:rPr>
      </w:r>
      <w:r/>
    </w:p>
    <w:p>
      <w:pPr>
        <w:pBdr/>
        <w:shd w:val="nil" w:color="auto"/>
        <w:spacing/>
        <w:ind/>
        <w:rPr>
          <w:b/>
          <w:bCs/>
          <w:highlight w:val="none"/>
        </w:rPr>
      </w:pPr>
      <w:r>
        <w:rPr>
          <w:b/>
          <w:highlight w:val="none"/>
        </w:rPr>
        <w:br w:type="page" w:clear="all"/>
      </w:r>
      <w:r>
        <w:rPr>
          <w:b/>
          <w:bCs/>
          <w:highlight w:val="none"/>
        </w:rPr>
      </w:r>
      <w:r>
        <w:rPr>
          <w:b/>
          <w:bCs/>
          <w:highlight w:val="none"/>
        </w:rPr>
      </w:r>
    </w:p>
    <w:p>
      <w:pPr>
        <w:pBdr/>
        <w:shd w:val="nil" w:color="000000"/>
        <w:spacing/>
        <w:ind/>
        <w:jc w:val="center"/>
        <w:rPr>
          <w:b/>
          <w:bCs/>
          <w:highlight w:val="none"/>
        </w:rPr>
      </w:pPr>
      <w:r>
        <mc:AlternateContent>
          <mc:Choice Requires="wpg">
            <w:drawing>
              <wp:inline xmlns:wp="http://schemas.openxmlformats.org/drawingml/2006/wordprocessingDrawing" distT="0" distB="0" distL="0" distR="0">
                <wp:extent cx="5172075" cy="74104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526374" name=""/>
                        <pic:cNvPicPr>
                          <a:picLocks noChangeAspect="1"/>
                        </pic:cNvPicPr>
                        <pic:nvPr/>
                      </pic:nvPicPr>
                      <pic:blipFill rotWithShape="1">
                        <a:blip r:embed="rId27"/>
                        <a:stretch/>
                      </pic:blipFill>
                      <pic:spPr bwMode="auto">
                        <a:xfrm>
                          <a:off x="0" y="0"/>
                          <a:ext cx="5172074" cy="7410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07.25pt;height:583.50pt;mso-wrap-distance-left:0.00pt;mso-wrap-distance-top:0.00pt;mso-wrap-distance-right:0.00pt;mso-wrap-distance-bottom:0.00pt;z-index:1;" stroked="false">
                <v:imagedata r:id="rId27" o:title=""/>
                <o:lock v:ext="edit" rotation="t"/>
              </v:shape>
            </w:pict>
          </mc:Fallback>
        </mc:AlternateContent>
      </w:r>
      <w:r>
        <w:rPr>
          <w:b/>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5276850" cy="74866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33650" name=""/>
                        <pic:cNvPicPr>
                          <a:picLocks noChangeAspect="1"/>
                        </pic:cNvPicPr>
                        <pic:nvPr/>
                      </pic:nvPicPr>
                      <pic:blipFill rotWithShape="1">
                        <a:blip r:embed="rId28"/>
                        <a:stretch/>
                      </pic:blipFill>
                      <pic:spPr bwMode="auto">
                        <a:xfrm>
                          <a:off x="0" y="0"/>
                          <a:ext cx="5276849" cy="74866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15.50pt;height:589.50pt;mso-wrap-distance-left:0.00pt;mso-wrap-distance-top:0.00pt;mso-wrap-distance-right:0.00pt;mso-wrap-distance-bottom:0.00pt;z-index:1;" stroked="false">
                <v:imagedata r:id="rId28" o:title=""/>
                <o:lock v:ext="edit" rotation="t"/>
              </v:shape>
            </w:pict>
          </mc:Fallback>
        </mc:AlternateContent>
      </w:r>
      <w:r>
        <w:rPr>
          <w:b/>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5343525" cy="73723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870036" name=""/>
                        <pic:cNvPicPr>
                          <a:picLocks noChangeAspect="1"/>
                        </pic:cNvPicPr>
                        <pic:nvPr/>
                      </pic:nvPicPr>
                      <pic:blipFill rotWithShape="1">
                        <a:blip r:embed="rId29"/>
                        <a:stretch/>
                      </pic:blipFill>
                      <pic:spPr bwMode="auto">
                        <a:xfrm>
                          <a:off x="0" y="0"/>
                          <a:ext cx="5343525" cy="73723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20.75pt;height:580.50pt;mso-wrap-distance-left:0.00pt;mso-wrap-distance-top:0.00pt;mso-wrap-distance-right:0.00pt;mso-wrap-distance-bottom:0.00pt;z-index:1;" stroked="false">
                <v:imagedata r:id="rId29" o:title=""/>
                <o:lock v:ext="edit" rotation="t"/>
              </v:shape>
            </w:pict>
          </mc:Fallback>
        </mc:AlternateContent>
      </w:r>
      <w:r>
        <w:rPr>
          <w:b/>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5286375" cy="736282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750028" name=""/>
                        <pic:cNvPicPr>
                          <a:picLocks noChangeAspect="1"/>
                        </pic:cNvPicPr>
                        <pic:nvPr/>
                      </pic:nvPicPr>
                      <pic:blipFill rotWithShape="1">
                        <a:blip r:embed="rId30"/>
                        <a:stretch/>
                      </pic:blipFill>
                      <pic:spPr bwMode="auto">
                        <a:xfrm>
                          <a:off x="0" y="0"/>
                          <a:ext cx="5286375" cy="7362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16.25pt;height:579.75pt;mso-wrap-distance-left:0.00pt;mso-wrap-distance-top:0.00pt;mso-wrap-distance-right:0.00pt;mso-wrap-distance-bottom:0.00pt;z-index:1;" stroked="false">
                <v:imagedata r:id="rId30" o:title=""/>
                <o:lock v:ext="edit" rotation="t"/>
              </v:shape>
            </w:pict>
          </mc:Fallback>
        </mc:AlternateContent>
      </w:r>
      <w:r>
        <w:rPr>
          <w:b/>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t xml:space="preserve">BIÊN BẢN KHẢO SÁT TÀI SẢN</w:t>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89777"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00pt;mso-wrap-distance-left:0.00pt;mso-wrap-distance-top:0.00pt;mso-wrap-distance-right:0.00pt;mso-wrap-distance-bottom:0.00pt;z-index:1;" stroked="false">
                <v:imagedata r:id="rId31" o:title=""/>
                <o:lock v:ext="edit" rotation="t"/>
              </v:shape>
            </w:pict>
          </mc:Fallback>
        </mc:AlternateContent>
      </w:r>
      <w:r>
        <w:rPr>
          <w:b/>
          <w:highlight w:val="none"/>
        </w:rPr>
        <w:br w:type="page" w:clear="all"/>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275/2026/1484/VFI-BC.36.A</w:t>
      </w:r>
      <w:r>
        <w:rPr>
          <w:i/>
          <w:lang w:val="pt-BR"/>
        </w:rPr>
        <w:t xml:space="preserve"> ngày </w:t>
      </w:r>
      <w:r>
        <w:rPr>
          <w:i/>
          <w:lang w:val="pt-BR"/>
        </w:rPr>
        <w:t xml:space="preserve">22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https://www.facebook.com/groups/482345335620583/posts/2411807512674346/</w:t>
            </w:r>
            <w:r>
              <w:rPr>
                <w:color w:val="000000" w:themeColor="text1"/>
                <w:sz w:val="22"/>
                <w:szCs w:val="22"/>
              </w:rPr>
              <w:br/>
              <w:t xml:space="preserve">SĐT: 0795624648</w:t>
            </w:r>
            <w:r>
              <w:rPr>
                <w:sz w:val="22"/>
                <w:szCs w:val="22"/>
              </w:rPr>
              <w:t xml:space="preserve"> </w:t>
            </w:r>
            <w:r>
              <w:rPr>
                <w:sz w:val="22"/>
                <w:szCs w:val="22"/>
              </w:rPr>
              <w:t xml:space="preserve">(Vĩ</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cây lâu năm (200m²), Đất ở nông thôn (300m²)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trồng cây lâu năm – Có thời hạn, 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tại Đường tỉnh 777, xã An Viễn, thành phố Đồng Nai, 10.880405176309758, 106.99503659523859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331165" cy="2798160"/>
                      <wp:effectExtent l="0" t="0" r="0" b="0"/>
                      <wp:docPr id="19" name=""/>
                      <wp:cNvGraphicFramePr/>
                      <a:graphic xmlns:a="http://schemas.openxmlformats.org/drawingml/2006/main">
                        <a:graphicData uri="http://schemas.openxmlformats.org/drawingml/2006/picture">
                          <pic:pic xmlns:pic="http://schemas.openxmlformats.org/drawingml/2006/picture">
                            <pic:nvPicPr>
                              <pic:cNvPr id="2014649744" name="" descr=""/>
                              <pic:cNvPicPr/>
                              <pic:nvPr/>
                            </pic:nvPicPr>
                            <pic:blipFill rotWithShape="1">
                              <a:blip r:embed="rId32"/>
                              <a:stretch/>
                            </pic:blipFill>
                            <pic:spPr bwMode="auto">
                              <a:xfrm flipH="0" flipV="0">
                                <a:off x="0" y="0"/>
                                <a:ext cx="5331164" cy="27981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19.78pt;height:220.33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00493" cy="3193510"/>
                      <wp:effectExtent l="0" t="0" r="0" b="0"/>
                      <wp:docPr id="20" name=""/>
                      <wp:cNvGraphicFramePr/>
                      <a:graphic xmlns:a="http://schemas.openxmlformats.org/drawingml/2006/main">
                        <a:graphicData uri="http://schemas.openxmlformats.org/drawingml/2006/picture">
                          <pic:pic xmlns:pic="http://schemas.openxmlformats.org/drawingml/2006/picture">
                            <pic:nvPicPr>
                              <pic:cNvPr id="1032885889" name="" descr=""/>
                              <pic:cNvPicPr/>
                              <pic:nvPr/>
                            </pic:nvPicPr>
                            <pic:blipFill rotWithShape="1">
                              <a:blip r:embed="rId33"/>
                              <a:stretch/>
                            </pic:blipFill>
                            <pic:spPr bwMode="auto">
                              <a:xfrm flipH="0" flipV="0">
                                <a:off x="0" y="0"/>
                                <a:ext cx="2500493" cy="31935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96.89pt;height:251.4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7780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213907557" name="" descr=""/>
                              <pic:cNvPicPr/>
                              <pic:nvPr/>
                            </pic:nvPicPr>
                            <pic:blipFill rotWithShape="1">
                              <a:blip r:embed="rId34"/>
                              <a:stretch/>
                            </pic:blipFill>
                            <pic:spPr bwMode="auto">
                              <a:xfrm flipH="0" flipV="0">
                                <a:off x="0" y="0"/>
                                <a:ext cx="2677800"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0.85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Tấn Sang</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https://www.facebook.com/groups/482345335620583/posts/2379726845882413/</w:t>
            </w:r>
            <w:r>
              <w:rPr>
                <w:color w:val="000000" w:themeColor="text1"/>
                <w:sz w:val="22"/>
                <w:szCs w:val="22"/>
              </w:rPr>
              <w:br/>
              <w:t xml:space="preserve">SĐT: 0961 619 772</w:t>
            </w:r>
            <w:r>
              <w:rPr>
                <w:sz w:val="22"/>
                <w:szCs w:val="22"/>
              </w:rPr>
              <w:t xml:space="preserve"> </w:t>
            </w:r>
            <w:r>
              <w:rPr>
                <w:sz w:val="22"/>
                <w:szCs w:val="22"/>
              </w:rPr>
              <w:t xml:space="preserve"> (Phương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 Đất trồng cây lâu năm (233m²)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tại Đường vào KCN Giang Điền, Xã Giang Điền, thành phố Đồng Nai, đường 10.917743291192021, 106.98416225793628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381967"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839575062" name="" descr=""/>
                              <pic:cNvPicPr/>
                              <pic:nvPr/>
                            </pic:nvPicPr>
                            <pic:blipFill rotWithShape="1">
                              <a:blip r:embed="rId35"/>
                              <a:stretch/>
                            </pic:blipFill>
                            <pic:spPr bwMode="auto">
                              <a:xfrm flipH="0" flipV="0">
                                <a:off x="0" y="0"/>
                                <a:ext cx="538196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23.78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80018" cy="3079210"/>
                      <wp:effectExtent l="0" t="0" r="0" b="0"/>
                      <wp:docPr id="23" name=""/>
                      <wp:cNvGraphicFramePr/>
                      <a:graphic xmlns:a="http://schemas.openxmlformats.org/drawingml/2006/main">
                        <a:graphicData uri="http://schemas.openxmlformats.org/drawingml/2006/picture">
                          <pic:pic xmlns:pic="http://schemas.openxmlformats.org/drawingml/2006/picture">
                            <pic:nvPicPr>
                              <pic:cNvPr id="916894755" name="" descr=""/>
                              <pic:cNvPicPr/>
                              <pic:nvPr/>
                            </pic:nvPicPr>
                            <pic:blipFill rotWithShape="1">
                              <a:blip r:embed="rId36"/>
                              <a:stretch/>
                            </pic:blipFill>
                            <pic:spPr bwMode="auto">
                              <a:xfrm flipH="0" flipV="0">
                                <a:off x="0" y="0"/>
                                <a:ext cx="2480018" cy="30792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5.28pt;height:242.46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83215"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770651021" name="" descr=""/>
                              <pic:cNvPicPr/>
                              <pic:nvPr/>
                            </pic:nvPicPr>
                            <pic:blipFill rotWithShape="1">
                              <a:blip r:embed="rId37"/>
                              <a:stretch/>
                            </pic:blipFill>
                            <pic:spPr bwMode="auto">
                              <a:xfrm flipH="0" flipV="0">
                                <a:off x="0" y="0"/>
                                <a:ext cx="268321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11.28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Tấn Sang</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https://www.facebook.com/groups/482345335620583/posts/2412166965971734/</w:t>
            </w:r>
            <w:r>
              <w:rPr>
                <w:color w:val="000000" w:themeColor="text1"/>
                <w:sz w:val="22"/>
                <w:szCs w:val="22"/>
              </w:rPr>
              <w:br/>
            </w:r>
            <w:r>
              <w:rPr>
                <w:sz w:val="22"/>
                <w:szCs w:val="22"/>
              </w:rPr>
              <w:t xml:space="preserve">SĐT: </w:t>
            </w:r>
            <w:r>
              <w:rPr>
                <w:color w:val="000000" w:themeColor="text1"/>
                <w:sz w:val="22"/>
                <w:szCs w:val="22"/>
              </w:rPr>
              <w:t xml:space="preserve">0949617434</w:t>
            </w:r>
            <w:r>
              <w:rPr>
                <w:sz w:val="22"/>
                <w:szCs w:val="22"/>
              </w:rPr>
              <w:t xml:space="preserve"> </w:t>
            </w:r>
            <w:r>
              <w:rPr>
                <w:sz w:val="22"/>
                <w:szCs w:val="22"/>
              </w:rPr>
              <w:t xml:space="preserve">(Toán Lương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4.908.974.000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4.418.076.600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cây lâu năm (147,2m², QH: 56,2m²), Đất ở nông thôn (80m²)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trồng cây lâu năm – Có thời hạn, 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nằm tại Đường tỉnh 777, xã An Viễn tỉnh Đồng Nai 10.880427444368086, 106.99615939087337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73715"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28737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26.28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64018"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236401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6.14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467692"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65447471" name="" descr=""/>
                              <pic:cNvPicPr/>
                              <pic:nvPr/>
                            </pic:nvPicPr>
                            <pic:blipFill rotWithShape="1">
                              <a:blip r:embed="rId40"/>
                              <a:stretch/>
                            </pic:blipFill>
                            <pic:spPr bwMode="auto">
                              <a:xfrm flipH="0" flipV="0">
                                <a:off x="0" y="0"/>
                                <a:ext cx="546769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30.53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645490"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709654716" name="" descr=""/>
                              <pic:cNvPicPr/>
                              <pic:nvPr/>
                            </pic:nvPicPr>
                            <pic:blipFill rotWithShape="1">
                              <a:blip r:embed="rId41"/>
                              <a:stretch/>
                            </pic:blipFill>
                            <pic:spPr bwMode="auto">
                              <a:xfrm flipH="0" flipV="0">
                                <a:off x="0" y="0"/>
                                <a:ext cx="564548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44.53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567"/>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Tấn Sang</w:t>
            </w:r>
            <w:r>
              <w:rPr>
                <w:highlight w:val="none"/>
              </w:rPr>
            </w:r>
            <w:r>
              <w:rPr>
                <w:highlight w:val="none"/>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name w:val="Unresolved Mention"/>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oibaotaichinhvietnam.vn/thi-truong-bat-dong-san-dong-nai-buoc-vao-chu-ky"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jpg"/><Relationship Id="rId23" Type="http://schemas.openxmlformats.org/officeDocument/2006/relationships/image" Target="media/image8.png"/><Relationship Id="rId24" Type="http://schemas.openxmlformats.org/officeDocument/2006/relationships/image" Target="media/image9.jp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 Id="rId38" Type="http://schemas.openxmlformats.org/officeDocument/2006/relationships/image" Target="media/image23.jpg"/><Relationship Id="rId39" Type="http://schemas.openxmlformats.org/officeDocument/2006/relationships/image" Target="media/image24.jpg"/><Relationship Id="rId40" Type="http://schemas.openxmlformats.org/officeDocument/2006/relationships/image" Target="media/image25.jpg"/><Relationship Id="rId41"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287</cp:revision>
  <dcterms:created xsi:type="dcterms:W3CDTF">2025-09-15T09:58:00Z</dcterms:created>
  <dcterms:modified xsi:type="dcterms:W3CDTF">2026-09-22T09:53:12Z</dcterms:modified>
</cp:coreProperties>
</file>