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color w:val="000000" w:themeColor="text1"/>
          <w:sz w:val="28"/>
          <w:szCs w:val="28"/>
        </w:rPr>
      </w:pPr>
      <w:r>
        <w:rPr>
          <w:b/>
          <w:color w:val="000000" w:themeColor="text1"/>
          <w:sz w:val="28"/>
          <w:lang w:val="vi-VN"/>
        </w:rPr>
      </w:r>
      <w:r>
        <w:rPr>
          <w:b/>
          <w:bCs/>
          <w:color w:val="000000" w:themeColor="text1"/>
          <w:sz w:val="28"/>
          <w:szCs w:val="28"/>
        </w:rPr>
      </w:r>
      <w:r>
        <w:rPr>
          <w:b/>
          <w:bCs/>
          <w:color w:val="000000" w:themeColor="text1"/>
          <w:sz w:val="28"/>
          <w:szCs w:val="28"/>
        </w:rPr>
      </w:r>
    </w:p>
    <w:p>
      <w:pPr>
        <w:pBdr/>
        <w:spacing/>
        <w:ind w:right="-1"/>
        <w:jc w:val="center"/>
        <w:rPr>
          <w:b/>
          <w:bCs/>
          <w:color w:val="000000" w:themeColor="text1"/>
          <w:sz w:val="28"/>
          <w:szCs w:val="28"/>
        </w:rPr>
      </w:pPr>
      <w:r>
        <w:rPr>
          <w:b/>
          <w:color w:val="000000" w:themeColor="text1"/>
          <w:sz w:val="28"/>
          <w:lang w:val="vi-VN"/>
        </w:rPr>
      </w:r>
      <w:r>
        <w:rPr>
          <w:b/>
          <w:bCs/>
          <w:color w:val="000000" w:themeColor="text1"/>
          <w:sz w:val="28"/>
          <w:szCs w:val="28"/>
        </w:rPr>
      </w:r>
      <w:r>
        <w:rPr>
          <w:b/>
          <w:bCs/>
          <w:color w:val="000000" w:themeColor="text1"/>
          <w:sz w:val="28"/>
          <w:szCs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8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83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275/2026/1438/VFI-CT.65.A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w:t>
                            </w:r>
                            <w:r>
                              <w:rPr>
                                <w:rFonts w:ascii="Times New Roman Bold" w:hAnsi="Times New Roman Bold"/>
                                <w:b/>
                                <w:color w:val="000000" w:themeColor="text1"/>
                                <w:lang w:val="pt-BR"/>
                              </w:rPr>
                              <w:t xml:space="preserve">ỤNG CÔNG NGHỆ VÀ TÍCH HỢP GIẢI PHÁP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1511, tờ bản đồ số: 8, có địa chỉ: Khu dân cư, TĐC, xã Vũ Đông, thành phố Thái Bình, tỉnh Thái Bình (nay là phường Trần Lãm, tỉnh Hưng Yên),</w:t>
                            </w:r>
                            <w:r>
                              <w:rPr>
                                <w:color w:val="000000"/>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275/2026/1438/VFI-CT.65.A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w:t>
                      </w:r>
                      <w:r>
                        <w:rPr>
                          <w:rFonts w:ascii="Times New Roman Bold" w:hAnsi="Times New Roman Bold"/>
                          <w:b/>
                          <w:color w:val="000000" w:themeColor="text1"/>
                          <w:lang w:val="pt-BR"/>
                        </w:rPr>
                        <w:t xml:space="preserve">ỤNG CÔNG NGHỆ VÀ TÍCH HỢP GIẢI PHÁP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1511, tờ bản đồ số: 8, có địa chỉ: Khu dân cư, TĐC, xã Vũ Đông, thành phố Thái Bình, tỉnh Thái Bình (nay là phường Trần Lãm, tỉnh Hưng Yên),</w:t>
                      </w:r>
                      <w:r>
                        <w:rPr>
                          <w:color w:val="000000"/>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4-22</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23-24</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25-28</w:t>
            </w:r>
            <w:r>
              <w:rPr>
                <w:b/>
                <w:bCs/>
                <w:color w:val="000000" w:themeColor="text1"/>
              </w:rPr>
            </w:r>
            <w:r>
              <w:rPr>
                <w:b/>
                <w:bCs/>
                <w:color w:val="000000" w:themeColor="text1"/>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10108" w:type="dxa"/>
        <w:tblBorders/>
        <w:tblLayout w:type="fixed"/>
        <w:tblLook w:val="04A0" w:firstRow="1" w:lastRow="0" w:firstColumn="1" w:lastColumn="0" w:noHBand="0" w:noVBand="1"/>
      </w:tblPr>
      <w:tblGrid>
        <w:gridCol w:w="29"/>
        <w:gridCol w:w="1701"/>
        <w:gridCol w:w="3543"/>
        <w:gridCol w:w="4835"/>
      </w:tblGrid>
      <w:tr>
        <w:trPr>
          <w:trHeight w:val="1559"/>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379"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50"/>
        </w:trPr>
        <w:tc>
          <w:tcPr>
            <w:gridSpan w:val="2"/>
            <w:shd w:val="clear" w:color="auto" w:fill="auto"/>
            <w:tcBorders/>
            <w:tcMar>
              <w:left w:w="108" w:type="dxa"/>
              <w:top w:w="0" w:type="dxa"/>
              <w:right w:w="108" w:type="dxa"/>
              <w:bottom w:w="0" w:type="dxa"/>
            </w:tcMar>
            <w:tcW w:w="5244"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275/2026/1438/VFI-CT.65.A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35"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CÔNG TY CP ỨNG DỤNG CÔNG NGHỆ VÀ TÍCH HỢP GIẢI PHÁP VIỆT NAM</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275/2026/1421/VFI-HĐTĐ.65.A</w:t>
      </w:r>
      <w:r>
        <w:rPr>
          <w:color w:val="000000" w:themeColor="text1"/>
          <w:spacing w:val="-4"/>
          <w:lang w:val="vi-VN"/>
        </w:rPr>
        <w:t xml:space="preserve"> ký ngày </w:t>
      </w:r>
      <w:r>
        <w:rPr>
          <w:color w:val="000000" w:themeColor="text1"/>
          <w:spacing w:val="-4"/>
        </w:rPr>
        <w:t xml:space="preserve">25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CÔNG TY CP ỨNG DỤNG CÔNG NGHỆ VÀ TÍCH HỢP GIẢI PHÁP VIỆT NAM</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275/2026/1438/VFI-BC.65.A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14 tháng 9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1511, tờ bản đồ số: 8, có địa chỉ: Khu dân cư, TĐC, xã Vũ Đông, thành phố Thái Bình, tỉnh Thái Bình (nay là phường Trần Lãm, tỉnh Hưng Yên),</w:t>
      </w:r>
      <w:r>
        <w:rPr>
          <w:color w:val="000000" w:themeColor="text1"/>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1511, tờ bản đồ số: 8, có địa chỉ: Khu dân cư, TĐC, xã Vũ Đông, thành phố Thái Bình, tỉnh Thái Bình (nay là phường Trần Lãm, tỉnh Hưng Yên),</w:t>
            </w:r>
            <w:r>
              <w:rPr>
                <w:color w:val="000000" w:themeColor="text1"/>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nông thôn</w:t>
            </w:r>
            <w:r>
              <w:rPr>
                <w:b w:val="0"/>
                <w:bCs w:val="0"/>
                <w:color w:val="000000" w:themeColor="text1"/>
              </w:rPr>
            </w:r>
            <w:r>
              <w:rPr>
                <w:b w:val="0"/>
                <w:bCs w:val="0"/>
                <w:color w:val="000000" w:themeColor="text1"/>
              </w:rPr>
            </w:r>
          </w:p>
        </w:tc>
        <w:tc>
          <w:tcPr>
            <w:tcBorders/>
            <w:tcW w:w="946" w:type="pct"/>
            <w:vAlign w:val="center"/>
            <w:textDirection w:val="lrTb"/>
            <w:noWrap/>
          </w:tcPr>
          <w:p>
            <w:pPr>
              <w:pBdr/>
              <w:spacing w:after="40" w:before="40" w:line="288" w:lineRule="auto"/>
              <w:ind/>
              <w:jc w:val="center"/>
              <w:rPr>
                <w:color w:val="000000" w:themeColor="text1"/>
              </w:rPr>
            </w:pPr>
            <w:r>
              <w:rPr>
                <w:color w:val="000000" w:themeColor="text1"/>
              </w:rPr>
              <w:t xml:space="preserve">108,9</w:t>
            </w:r>
            <w:r>
              <w:rPr>
                <w:color w:val="000000" w:themeColor="text1"/>
              </w:rPr>
            </w:r>
            <w:r>
              <w:rPr>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16.100.000</w:t>
            </w:r>
            <w:r>
              <w:rPr>
                <w:color w:val="000000" w:themeColor="text1"/>
              </w:rPr>
            </w:r>
            <w:r>
              <w:rPr>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1.753.290.000</w:t>
            </w:r>
            <w:r>
              <w:rPr>
                <w:color w:val="000000" w:themeColor="text1"/>
              </w:rPr>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1.753.290.000</w:t>
            </w:r>
            <w:r>
              <w:rPr>
                <w:b/>
                <w:bCs/>
                <w:color w:val="000000" w:themeColor="text1"/>
              </w:rPr>
            </w:r>
            <w:r>
              <w:rPr>
                <w:b/>
                <w:bCs/>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1.753.300.000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Một tỷ bảy trăm năm mươi ba triệu ba trăm nghìn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0"/>
        <w:rPr>
          <w:rFonts w:eastAsia="Calibri"/>
          <w:b/>
          <w:bCs/>
          <w:color w:val="000000" w:themeColor="text1"/>
          <w:spacing w:val="-4"/>
          <w:highlight w:val="none"/>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highlight w:val="none"/>
        </w:rPr>
      </w:r>
      <w:r>
        <w:rPr>
          <w:rFonts w:eastAsia="Calibri"/>
          <w:b/>
          <w:bCs/>
          <w:color w:val="000000" w:themeColor="text1"/>
          <w:spacing w:val="-4"/>
          <w:highlight w:val="none"/>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588"/>
        <w:gridCol w:w="3685"/>
        <w:gridCol w:w="4600"/>
      </w:tblGrid>
      <w:tr>
        <w:trPr>
          <w:trHeight w:val="1417"/>
        </w:trPr>
        <w:tc>
          <w:tcPr>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85"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5273" w:type="dxa"/>
            <w:textDirection w:val="lrTb"/>
            <w:noWrap w:val="false"/>
          </w:tcPr>
          <w:p>
            <w:pPr>
              <w:pStyle w:val="1024"/>
              <w:pBdr/>
              <w:spacing w:after="60"/>
              <w:ind/>
              <w:rPr>
                <w:color w:val="000000" w:themeColor="text1"/>
                <w:sz w:val="24"/>
                <w:szCs w:val="24"/>
                <w:highlight w:val="yellow"/>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275/2026/143</w:t>
            </w:r>
            <w:r>
              <w:rPr>
                <w:rStyle w:val="1023"/>
                <w:rFonts w:ascii="Times New Roman" w:hAnsi="Times New Roman"/>
                <w:color w:val="000000" w:themeColor="text1"/>
                <w:highlight w:val="yellow"/>
                <w:lang w:val="pt-BR"/>
              </w:rPr>
              <w:t xml:space="preserve">8/VFI-BC.65.A</w:t>
            </w:r>
            <w:r>
              <w:rPr>
                <w:color w:val="000000" w:themeColor="text1"/>
                <w:sz w:val="24"/>
                <w:szCs w:val="24"/>
                <w:highlight w:val="yellow"/>
              </w:rPr>
            </w:r>
            <w:r>
              <w:rPr>
                <w:color w:val="000000" w:themeColor="text1"/>
                <w:sz w:val="24"/>
                <w:szCs w:val="24"/>
                <w:highlight w:val="yellow"/>
              </w:rPr>
            </w:r>
          </w:p>
        </w:tc>
        <w:tc>
          <w:tcPr>
            <w:shd w:val="clear" w:color="auto" w:fill="auto"/>
            <w:tcBorders/>
            <w:tcMar>
              <w:left w:w="108" w:type="dxa"/>
              <w:top w:w="0" w:type="dxa"/>
              <w:right w:w="108" w:type="dxa"/>
              <w:bottom w:w="0" w:type="dxa"/>
            </w:tcMar>
            <w:tcW w:w="4600"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275/2026/1438/VFI-CT.65.A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1511, tờ bản đồ số: 8, có địa chỉ: Khu dân cư, TĐC, xã Vũ Đông, thành phố Thái Bình, tỉnh Thái Bình (nay là phường Trần Lãm, tỉnh Hưng Yên),</w:t>
            </w:r>
            <w:r>
              <w:rPr>
                <w:bCs/>
                <w:color w:val="000000" w:themeColor="text1"/>
                <w:lang w:val="pt-BR"/>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522"/>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09/2026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Xã Vũ Đông, Thành phố Thái Bình, Tỉnh Thái Bình</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20.460163145424, 106.37318761716</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13/09/2026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275/2026/1421/VFI-HĐTĐ.65.A ngà</w:t>
      </w:r>
      <w:r>
        <w:rPr>
          <w:color w:val="000000" w:themeColor="text1"/>
          <w:lang w:val="pt-BR"/>
        </w:rPr>
        <w:t xml:space="preserve">y 25/08/2026 gi</w:t>
      </w:r>
      <w:r>
        <w:rPr>
          <w:color w:val="000000" w:themeColor="text1"/>
          <w:lang w:val="pt-BR"/>
        </w:rPr>
        <w:t xml:space="preserve">ữa CÔNG TY CP ỨNG DỤNG CÔNG NGHỆ VÀ TÍCH HỢP GIẢI PHÁP VIỆT NAM với Công ty Cổ phần Thẩm định và Đầu tư Tài chính Hoa Sen.</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color w:val="000000" w:themeColor="text1"/>
          <w:lang w:val="pt-BR"/>
        </w:rPr>
        <w:tab/>
      </w:r>
      <w:r>
        <w:rPr>
          <w:i/>
          <w:iCs/>
          <w:color w:val="000000" w:themeColor="text1"/>
          <w:lang w:val="pt-BR"/>
        </w:rPr>
      </w:r>
      <w:hyperlink r:id="rId17" w:tooltip="https://www.diamondlightthaibinh.com.vn/2026/05/bds-thai-binh-thiet-lap-gia-moi-sau-sap-nhap.html" w:history="1">
        <w:r>
          <w:rPr>
            <w:rStyle w:val="1015"/>
            <w:rFonts w:ascii="Times New Roman" w:hAnsi="Times New Roman" w:eastAsia="Times New Roman" w:cs="Times New Roman"/>
            <w:b/>
            <w:color w:val="000000" w:themeColor="text1"/>
            <w:sz w:val="24"/>
            <w:u w:val="none"/>
          </w:rPr>
          <w:t xml:space="preserve">Bất động sản Thái Bình thiết lập mặt bằng giá mới sau một năm sáp nhập</w:t>
        </w:r>
      </w:hyperlink>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Thị trường bất động sản Thái Bình bước sang năm 2026 đang chứng kiến làn sóng tăng trưởng bứt phá chưa từng có, đánh dấu hành trình tròn một năm kể từ cột mốc sáp nhập lịch sử với thủ phủ công nghiệp Hưng Yên. Việc hợp nhất hai địa phương để kiến tạo nên m</w:t>
      </w:r>
      <w:r>
        <w:rPr>
          <w:rFonts w:ascii="Times New Roman" w:hAnsi="Times New Roman" w:eastAsia="Times New Roman" w:cs="Times New Roman"/>
          <w:color w:val="000000" w:themeColor="text1"/>
          <w:sz w:val="24"/>
        </w:rPr>
        <w:t xml:space="preserve">ột "siêu tỉnh" mới đã khơi thông dòng vốn đầu tư khổng lồ, biến khu vực ven biển và các trục đô thị trung tâm thành bệ phóng kinh tế chiến lược của vùng đồng bằng sông Hồng. Nhờ sự cộng hưởng giữa tiềm năng kinh tế biển, quỹ đất công nghiệp hơn 30.000 ha c</w:t>
      </w:r>
      <w:r>
        <w:rPr>
          <w:rFonts w:ascii="Times New Roman" w:hAnsi="Times New Roman" w:eastAsia="Times New Roman" w:cs="Times New Roman"/>
          <w:color w:val="000000" w:themeColor="text1"/>
          <w:sz w:val="24"/>
        </w:rPr>
        <w:t xml:space="preserve">ủa Thái Bình cũ và vị trí cận kề Thủ đô cùng nội lực công nghiệp của Hưng Yên cũ, thị trường địa ốc nơi đây đã rũ bỏ hoàn toàn mác "vùng trũng giá mềm". Làn sóng săn đón quỹ đất sạch, sự trỗi dậy của các tổ hợp đô thị tích hợp hiện đại và tốc độ tăng giá t</w:t>
      </w:r>
      <w:r>
        <w:rPr>
          <w:rFonts w:ascii="Times New Roman" w:hAnsi="Times New Roman" w:eastAsia="Times New Roman" w:cs="Times New Roman"/>
          <w:color w:val="000000" w:themeColor="text1"/>
          <w:sz w:val="24"/>
        </w:rPr>
        <w:t xml:space="preserve">hần tốc đang định vị lại toàn diện bản đồ bất động sản Thái Bình trên thị trường phía Bắc.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Diện mạo mới của thị trường địa ốc khi dòng vốn dịch chuyển về siêu địa phương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Nhìn lại thời điểm một năm trước, khi phương án hợp nhất hai tỉnh thành được công bố, không ít nhà đầu tư còn hoài nghi về tốc độ đồng bộ hóa hạ tầng và khả năng hấp thụ dòng vốn của thị trường bất động sản Thái Bình. Tuy nhiên, thực tế diễn biến trong năm</w:t>
      </w:r>
      <w:r>
        <w:rPr>
          <w:rFonts w:ascii="Times New Roman" w:hAnsi="Times New Roman" w:eastAsia="Times New Roman" w:cs="Times New Roman"/>
          <w:color w:val="000000" w:themeColor="text1"/>
          <w:sz w:val="24"/>
        </w:rPr>
        <w:t xml:space="preserve"> qua đã chứng minh điều ngược lại khi sự chuyển dịch diễn ra vô cùng thần tốc. Tỉnh mới với quy mô diện tích khoảng 2.514,8 km² và dân số vượt ngưỡng 3,5 triệu người đã ngay lập tức lọt vào mắt xanh của các tập đoàn địa ốc hàng đầu. Nguồn cung đất đai dồi </w:t>
      </w:r>
      <w:r>
        <w:rPr>
          <w:rFonts w:ascii="Times New Roman" w:hAnsi="Times New Roman" w:eastAsia="Times New Roman" w:cs="Times New Roman"/>
          <w:color w:val="000000" w:themeColor="text1"/>
          <w:sz w:val="24"/>
        </w:rPr>
        <w:t xml:space="preserve">dào, sạch và có tính kết nối cao tại các huyện ven biển đã trở thành mảnh đất màu mỡ để phát triển các đại đô thị quy hoạch đồng bộ, thay thế cho làn sóng phân lô bán nền nhỏ lẻ vốn dĩ chiếm lĩnh thị trường trước đây.</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Sự bùng nổ của thị trường bất động sản Thái Bình trong 12 tháng qua được tiếp sức mạnh mẽ bởi việc hiện thực hóa các văn bản chỉ đạo chiến lược vĩ mô. Việc tập trung dồn lực cho mạng lưới giao thông liên kết vùng, kết nối trực tiếp qua Hải Phòng, Quảng Nin</w:t>
      </w:r>
      <w:r>
        <w:rPr>
          <w:rFonts w:ascii="Times New Roman" w:hAnsi="Times New Roman" w:eastAsia="Times New Roman" w:cs="Times New Roman"/>
          <w:color w:val="000000" w:themeColor="text1"/>
          <w:sz w:val="24"/>
        </w:rPr>
        <w:t xml:space="preserve">h để mở toang cánh cửa giao thương quốc tế đã biến khu vực này thành một mắt xích Logistics quan trọng. Các dự án nghiên cứu phương án lấn biển quy mô lớn để xây dựng tổ hợp cảng biển sâu, sân bay chuyên dụng và các khu công nghiệp xanh, công nghệ cao đang</w:t>
      </w:r>
      <w:r>
        <w:rPr>
          <w:rFonts w:ascii="Times New Roman" w:hAnsi="Times New Roman" w:eastAsia="Times New Roman" w:cs="Times New Roman"/>
          <w:color w:val="000000" w:themeColor="text1"/>
          <w:sz w:val="24"/>
        </w:rPr>
        <w:t xml:space="preserve"> tạo ra một lực hút dòng vốn FDI cực kỳ mạnh mẽ. Khi dòng vốn quốc tế đổ về, nhu cầu về không gian sống cao cấp, văn phòng làm việc và nhà ở chuyên gia tại các tâm điểm kinh tế tăng lên theo cấp số nhân, đẩy thị trường địa ốc vào một chu kỳ thiết lập chuỗi</w:t>
      </w:r>
      <w:r>
        <w:rPr>
          <w:rFonts w:ascii="Times New Roman" w:hAnsi="Times New Roman" w:eastAsia="Times New Roman" w:cs="Times New Roman"/>
          <w:color w:val="000000" w:themeColor="text1"/>
          <w:sz w:val="24"/>
        </w:rPr>
        <w:t xml:space="preserve"> giá trị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Sức hút từ các trục đô thị trung tâm và sự trỗi dậy của phân khúc bất động sản công nghiệp</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Trọng tâm tăng trưởng của thị trường bất động sản Thái Bình sau một năm sáp nhập ghi nhận sự bứt phá rõ nét nhất tại khu vực lõi thành phố Thái Bình cũ và các huyện kinh tế biển trọng điểm như Tiền Hải, Thái Thụy. Tại trung tâm thành phố, phân khúc căn hộ </w:t>
      </w:r>
      <w:r>
        <w:rPr>
          <w:rFonts w:ascii="Times New Roman" w:hAnsi="Times New Roman" w:eastAsia="Times New Roman" w:cs="Times New Roman"/>
          <w:color w:val="000000" w:themeColor="text1"/>
          <w:sz w:val="24"/>
        </w:rPr>
        <w:t xml:space="preserve">cao cấp và nhà phố thương mại shophouse liên tục ghi nhận tỷ lệ hấp thụ đạt mức kỷ lục. Giới tinh hoa địa phương và các nhà đầu tư đến từ Hà Nội, Hưng Yên cũ đang có sự thay đổi lớn về tư duy sở hữu tài sản. Thay vì tích trữ đất nền vùng ven thiếu tiện ích</w:t>
      </w:r>
      <w:r>
        <w:rPr>
          <w:rFonts w:ascii="Times New Roman" w:hAnsi="Times New Roman" w:eastAsia="Times New Roman" w:cs="Times New Roman"/>
          <w:color w:val="000000" w:themeColor="text1"/>
          <w:sz w:val="24"/>
        </w:rPr>
        <w:t xml:space="preserve">, dòng tiền thông minh đang chảy mạnh vào các dự án đô thị đa tiện ích, có đơn vị vận hành chuyên nghiệp và an ninh nghiêm ngặt để đáp ứng tiêu chuẩn sống của tầng lớp trung lưu đang gia tăng nhanh chóng.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Sự bùng nổ của mô hình đô thị công nghiệp tích hợp ven biển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Song song với phân khúc nhà ở đô thị, điểm sáng rực rỡ nhất trên bức tranh tổng thể chính là sự lên ngôi của bất động sản công nghiệp tích hợp tại Khu kinh tế Thái Bình. Với quy mô rộng hơn 30.000 ha, khu vực này hiện tại đã khoác lên mình một diện mạo hoà</w:t>
      </w:r>
      <w:r>
        <w:rPr>
          <w:rFonts w:ascii="Times New Roman" w:hAnsi="Times New Roman" w:eastAsia="Times New Roman" w:cs="Times New Roman"/>
          <w:color w:val="000000" w:themeColor="text1"/>
          <w:sz w:val="24"/>
        </w:rPr>
        <w:t xml:space="preserve">n toàn mới khi liền kề vùng Thủ đô và sở hữu lợi thế mặt biển trực diện. Mô hình "Khu công nghiệp đô thị dịch vụ" đang được triển khai đồng bộ tại Tiền Hải và Thái Thụy, nơi các nhà máy công nghệ cao, kho bãi Logistics được bao quanh bởi các phân khu nhà ở</w:t>
      </w:r>
      <w:r>
        <w:rPr>
          <w:rFonts w:ascii="Times New Roman" w:hAnsi="Times New Roman" w:eastAsia="Times New Roman" w:cs="Times New Roman"/>
          <w:color w:val="000000" w:themeColor="text1"/>
          <w:sz w:val="24"/>
        </w:rPr>
        <w:t xml:space="preserve"> chuyên gia, trung tâm thương mại và trường học quốc tế. Sự xuất hiện của phân khúc này đã giải quyết triệt để bài toán an cư cho hàng vạn kỹ sư, nhà quản lý cấp cao nước ngoài, tạo ra một nguồn cầu thuê bất động sản vô cùng bền vững với hiệu suất sinh lời</w:t>
      </w:r>
      <w:r>
        <w:rPr>
          <w:rFonts w:ascii="Times New Roman" w:hAnsi="Times New Roman" w:eastAsia="Times New Roman" w:cs="Times New Roman"/>
          <w:color w:val="000000" w:themeColor="text1"/>
          <w:sz w:val="24"/>
        </w:rPr>
        <w:t xml:space="preserve"> lý tưởng.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Xu hướng phát triển bất động sản nghỉ dưỡng và đô thị sinh thái xanh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Một động lực mới mang tính đột phá của bất động sản Thái Bình sau sáp nhập chính là việc đánh thức tiềm năng của dải bờ biển dài 52 km cùng vùng bãi triều rộng lớn hơn 16.000 ha. Tận dụng lợi thế kết nối giao thông hoàn hảo với các trục đường chiến lược nh</w:t>
      </w:r>
      <w:r>
        <w:rPr>
          <w:rFonts w:ascii="Times New Roman" w:hAnsi="Times New Roman" w:eastAsia="Times New Roman" w:cs="Times New Roman"/>
          <w:color w:val="000000" w:themeColor="text1"/>
          <w:sz w:val="24"/>
        </w:rPr>
        <w:t xml:space="preserve">ư Quốc lộ 5A, Quốc lộ 39A và tuyến cao tốc Ninh Bình - Hải Phòng - Quảng Ninh chạy qua, các dự án đô thị sinh thái biển và resort nghỉ dưỡng ven biển đang được đẩy mạnh triển khai. Đây là phân khúc giúp thị trường bất động sản Thái Bình bổ sung dòng sản ph</w:t>
      </w:r>
      <w:r>
        <w:rPr>
          <w:rFonts w:ascii="Times New Roman" w:hAnsi="Times New Roman" w:eastAsia="Times New Roman" w:cs="Times New Roman"/>
          <w:color w:val="000000" w:themeColor="text1"/>
          <w:sz w:val="24"/>
        </w:rPr>
        <w:t xml:space="preserve">ẩm mà trước đây chưa từng được khai phá, biến nơi đây thành điểm đến nghỉ dưỡng cuối tuần của cư dân toàn bộ vùng tỉnh mới nói chung và thủ đô Hà Nội nói riêng.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Hệ quy chiếu mới thiết lập mặt bằng giá thực và bài toán đầu tư an toàn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Một năm sau ngày sáp nhập vào thủ phủ công nghiệp, hệ quy chiếu giá trị của thị trường bất động sản Thái Bình đã hoàn toàn thay đổi. Trước đây, mức giá đất tại hầu hết các khu vực thuộc Thái Bình đều nằm ở mức thấp hơn đáng kể so với mặt bằng chung của Hưn</w:t>
      </w:r>
      <w:r>
        <w:rPr>
          <w:rFonts w:ascii="Times New Roman" w:hAnsi="Times New Roman" w:eastAsia="Times New Roman" w:cs="Times New Roman"/>
          <w:color w:val="000000" w:themeColor="text1"/>
          <w:sz w:val="24"/>
        </w:rPr>
        <w:t xml:space="preserve">g Yên. Sự chênh lệch này chủ yếu do yếu tố khoảng cách địa lý với Thủ đô và độ nén của hạ tầng công nghiệp. Tuy nhiên, sau khi dòng biên giới hành chính được xóa bỏ, dòng chảy hạ tầng liên thông đã tạo nên hiện tượng "bình thông nhau" về dòng vốn. Giá bất </w:t>
      </w:r>
      <w:r>
        <w:rPr>
          <w:rFonts w:ascii="Times New Roman" w:hAnsi="Times New Roman" w:eastAsia="Times New Roman" w:cs="Times New Roman"/>
          <w:color w:val="000000" w:themeColor="text1"/>
          <w:sz w:val="24"/>
        </w:rPr>
        <w:t xml:space="preserve">động sản tại các khu vực trung tâm và ven biển Thái Bình đã ghi nhận mức tăng trưởng trung bình từ 25% đến 35% so với cùng kỳ năm trước, rút ngắn đáng kể khoảng cách giá với các khu vực nóng như Văn Giang, Yên Mỹ của Hưng Yên cũ.</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Sự điều tiết này mang lại tính cân bằng và lành mạnh cho toàn bộ thị trường của siêu địa phương mới. Việc nguồn cung đất sạch dồi dào từ hướng biển Thái Bình được đưa vào quy hoạch đã giúp làm giảm áp lực đầu cơ quá mức, hạ nhiệt các cơn sốt đất ảo tại các</w:t>
      </w:r>
      <w:r>
        <w:rPr>
          <w:rFonts w:ascii="Times New Roman" w:hAnsi="Times New Roman" w:eastAsia="Times New Roman" w:cs="Times New Roman"/>
          <w:color w:val="000000" w:themeColor="text1"/>
          <w:sz w:val="24"/>
        </w:rPr>
        <w:t xml:space="preserve"> khu vực nội đô vốn đã quá tải. Mặt bằng giá hiện tại đã phản ánh chính xác giá trị thực tế của tài sản, dựa trên tiến độ hoàn thiện của hạ tầng giao thông và tỷ lệ lấp đầy của các khu công nghiệp. Giới chuyên gia nhận định, dư địa tăng trưởng của thị trườ</w:t>
      </w:r>
      <w:r>
        <w:rPr>
          <w:rFonts w:ascii="Times New Roman" w:hAnsi="Times New Roman" w:eastAsia="Times New Roman" w:cs="Times New Roman"/>
          <w:color w:val="000000" w:themeColor="text1"/>
          <w:sz w:val="24"/>
        </w:rPr>
        <w:t xml:space="preserve">ng địa ốc nơi đây vẫn còn rất lớn nhờ chiến lược chuyển dịch cơ cấu ngành kinh tế xanh, hữu cơ và dịch vụ cảng biển đang được chính quyền tỉnh mới tập trung thúc đẩy mạnh mẽ.</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Chuyển dịch dòng tiền đầu tư từ lướt sóng sang tích sản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Thực tế giao dịch trên thị trường trong năm qua cho thấy một sự thay đổi rõ rệt trong hành vi của các nhà đầu tư. Tâm lý phân lô bán nền, đầu cơ lướt sóng ăn chênh lệch ngắn hạn đã hoàn toàn nhường chỗ cho tư duy đầu tư giá trị và tích sản dài hạn. Các sản</w:t>
      </w:r>
      <w:r>
        <w:rPr>
          <w:rFonts w:ascii="Times New Roman" w:hAnsi="Times New Roman" w:eastAsia="Times New Roman" w:cs="Times New Roman"/>
          <w:color w:val="000000" w:themeColor="text1"/>
          <w:sz w:val="24"/>
        </w:rPr>
        <w:t xml:space="preserve"> phẩm bất động sản được săn đón nhiều nhất hiện nay là những dự án có quy hoạch pháp lý minh bạch, được phát triển bởi các chủ đầu tư uy tín và có tiến độ xây dựng hạ tầng nội khu đồng bộ. Nhà đầu tư sẵn sàng chi trả mức giá cao hơn cho các sản phẩm có khả</w:t>
      </w:r>
      <w:r>
        <w:rPr>
          <w:rFonts w:ascii="Times New Roman" w:hAnsi="Times New Roman" w:eastAsia="Times New Roman" w:cs="Times New Roman"/>
          <w:color w:val="000000" w:themeColor="text1"/>
          <w:sz w:val="24"/>
        </w:rPr>
        <w:t xml:space="preserve"> năng khai thác thương mại ngay lập tức, như cho thuê làm văn phòng, nhà ở cho chuyên gia FDI hoặc kinh doanh dịch vụ du lịch, đảm bảo dòng tiền thụ động luôn luân chuyển ổn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Quản trị rủi ro bằng việc lựa chọn sản phẩm chuẩn quy hoạch vĩ mô</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Mặc dù thị trường bất động sản Thái Bình đang đứng trước cơ hội thăng hoa mạnh mẽ, các chuyên gia phân tích địa ốc vẫn đưa ra lời khuyên cẩn trọng cho các nhà đầu tư trong giai đoạn này. Việc sáp nhập tạo ra một tầm nhìn quy hoạch mới rộng lớn hơn, đi kèm </w:t>
      </w:r>
      <w:r>
        <w:rPr>
          <w:rFonts w:ascii="Times New Roman" w:hAnsi="Times New Roman" w:eastAsia="Times New Roman" w:cs="Times New Roman"/>
          <w:color w:val="000000" w:themeColor="text1"/>
          <w:sz w:val="24"/>
        </w:rPr>
        <w:t xml:space="preserve">với đó là việc điều chỉnh các phân khu chức năng, trục giao thông và chính sách đất đai của tỉnh mới. Do đó, rủi ro sẽ cực kỳ lớn đối với những ai xuống tiền dựa trên các thông tin đồn thổi thất thiệt hoặc mua các sản phẩm đất nền tự phát không nằm trong đ</w:t>
      </w:r>
      <w:r>
        <w:rPr>
          <w:rFonts w:ascii="Times New Roman" w:hAnsi="Times New Roman" w:eastAsia="Times New Roman" w:cs="Times New Roman"/>
          <w:color w:val="000000" w:themeColor="text1"/>
          <w:sz w:val="24"/>
        </w:rPr>
        <w:t xml:space="preserve">ịnh hướng phát triển dài hạn. Việc nghiên cứu kỹ lưỡng bản đồ quy hoạch 1/500, lựa chọn các tổ hợp đô thị đồng bộ gắn liền với các động lực kinh tế như khu công nghiệp trọng điểm hay dự án lấn biển chính là chìa khóa vàng để bảo toàn nguồn vốn và tối ưu hó</w:t>
      </w:r>
      <w:r>
        <w:rPr>
          <w:rFonts w:ascii="Times New Roman" w:hAnsi="Times New Roman" w:eastAsia="Times New Roman" w:cs="Times New Roman"/>
          <w:color w:val="000000" w:themeColor="text1"/>
          <w:sz w:val="24"/>
        </w:rPr>
        <w:t xml:space="preserve">a lợi nhuận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Để không bỏ lỡ các cơ hội đầu tư đón đầu làn sóng tăng trưởng mới, nhận ngay trọn bộ tài liệu phân tích thị trường, bản đồ quy hoạch sử dụng đất mới nhất của tỉnh và danh sách các dự án đô thị, khu công nghiệp đang thu hút dòng tiền mạnh nhất tại bất động </w:t>
      </w:r>
      <w:r>
        <w:rPr>
          <w:rFonts w:ascii="Times New Roman" w:hAnsi="Times New Roman" w:eastAsia="Times New Roman" w:cs="Times New Roman"/>
          <w:color w:val="000000" w:themeColor="text1"/>
          <w:sz w:val="24"/>
        </w:rPr>
        <w:t xml:space="preserve">sản Thái Bình năm 2026, quý khách hàng vui lòng liên hệ trực tiếp với chúng tôi.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Kết luận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3271"/>
        </w:tabs>
        <w:spacing/>
        <w:ind w:right="0" w:firstLine="0" w:left="0"/>
        <w:jc w:val="both"/>
        <w:rPr>
          <w:color w:val="000000" w:themeColor="text1"/>
        </w:rPr>
      </w:pPr>
      <w:r>
        <w:rPr>
          <w:rFonts w:ascii="Times New Roman" w:hAnsi="Times New Roman" w:eastAsia="Times New Roman" w:cs="Times New Roman"/>
          <w:color w:val="000000" w:themeColor="text1"/>
          <w:sz w:val="24"/>
        </w:rPr>
        <w:t xml:space="preserve">Nhìn lại hành trình một năm sau cột mốc sáp nhập lịch sử, thị trường bất động sản Thái Bình (tra cứu thông tin chi tiết tại website: https://www.batdongsanthaibinh.com.vn) đã khẳng định vị thế của một điểm sáng đầu tư hấp dẫn bậc nhất khu vực phía Bắc. Sự </w:t>
      </w:r>
      <w:r>
        <w:rPr>
          <w:rFonts w:ascii="Times New Roman" w:hAnsi="Times New Roman" w:eastAsia="Times New Roman" w:cs="Times New Roman"/>
          <w:color w:val="000000" w:themeColor="text1"/>
          <w:sz w:val="24"/>
        </w:rPr>
        <w:t xml:space="preserve">kết hợp hoàn hảo giữa nội lực kinh tế biển, quỹ đất công nghiệp khổng lồ của Thái Bình cũ và vị trí chiến lược, kinh nghiệm phát triển của thủ phủ công nghiệp Hưng Yên cũ đã tạo nên một hệ sinh thái địa ốc cân bằng, minh bạch và giàu tiềm năng sinh lời. Nh</w:t>
      </w:r>
      <w:r>
        <w:rPr>
          <w:rFonts w:ascii="Times New Roman" w:hAnsi="Times New Roman" w:eastAsia="Times New Roman" w:cs="Times New Roman"/>
          <w:color w:val="000000" w:themeColor="text1"/>
          <w:sz w:val="24"/>
        </w:rPr>
        <w:t xml:space="preserve">ững con số tăng trưởng ấn tượng về giá trị tài sản và tốc độ hoàn thiện hạ tầng trong năm qua chính là minh chứng rõ ràng nhất cho một chu kỳ thăng hoa dài hạn. Việc nắm bắt thời cơ, lựa chọn các sản phẩm bất động sản chuẩn quy hoạch tại các tâm điểm kinh </w:t>
      </w:r>
      <w:r>
        <w:rPr>
          <w:rFonts w:ascii="Times New Roman" w:hAnsi="Times New Roman" w:eastAsia="Times New Roman" w:cs="Times New Roman"/>
          <w:color w:val="000000" w:themeColor="text1"/>
          <w:sz w:val="24"/>
        </w:rPr>
        <w:t xml:space="preserve">tế biển và lõi đô thị vào thời điểm này chính là quyết định chiến lược giúp các nhà đầu tư thông thái đi trước thị trường, bảo toàn dòng vốn an toàn và đón đầu dòng lợi nhuận thặng dư lũy tiến theo đà cất cánh của siêu địa phương tương lai.</w:t>
        <w:tab/>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https://www.diamondlightthaibinh.com.vn/2026/05/bds-thai-binh-thiet-lap-gia-moi-sau-sap-nhap.html)</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1511, tờ bản đồ số: 8, có địa chỉ: Khu dân cư, TĐC, xã Vũ Đông, thành phố Thái Bình, tỉnh Thái Bình (nay là phường Trần Lãm, tỉnh Hưng Yên),</w:t>
            </w:r>
            <w:r>
              <w:rPr>
                <w:b/>
                <w:bCs/>
                <w:color w:val="000000" w:themeColor="text1"/>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1511</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Xã Vũ Đông, Thành phố Thái Bình, Tỉnh Thái Bình</w:t>
            </w:r>
            <w:r>
              <w:rPr>
                <w:color w:val="000000" w:themeColor="text1"/>
              </w:rPr>
            </w:r>
            <w:r>
              <w:rPr>
                <w:color w:val="000000" w:themeColor="text1"/>
              </w:rPr>
            </w:r>
          </w:p>
        </w:tc>
      </w:tr>
      <w:tr>
        <w:trPr>
          <w:trHeight w:val="303"/>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highlight w:val="yellow"/>
              </w:rPr>
            </w:pPr>
            <w:r>
              <w:rPr>
                <w:color w:val="000000" w:themeColor="text1"/>
                <w:highlight w:val="yellow"/>
              </w:rPr>
              <w:t xml:space="preserve">108.9</w:t>
            </w:r>
            <w:r>
              <w:rPr>
                <w:color w:val="000000" w:themeColor="text1"/>
                <w:highlight w:val="yellow"/>
              </w:rPr>
            </w:r>
            <w:r>
              <w:rPr>
                <w:color w:val="000000" w:themeColor="text1"/>
                <w:highlight w:val="yellow"/>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nông thôn</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chuyển nhượng đất được nhà nước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402573" cy="249865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505" name=""/>
                              <pic:cNvPicPr>
                                <a:picLocks noChangeAspect="1"/>
                              </pic:cNvPicPr>
                              <pic:nvPr/>
                            </pic:nvPicPr>
                            <pic:blipFill rotWithShape="1">
                              <a:blip r:embed="rId18"/>
                              <a:stretch/>
                            </pic:blipFill>
                            <pic:spPr bwMode="auto">
                              <a:xfrm flipH="0" flipV="0">
                                <a:off x="0" y="0"/>
                                <a:ext cx="5402572" cy="24986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40pt;height:196.74pt;mso-wrap-distance-left:0.00pt;mso-wrap-distance-top:0.00pt;mso-wrap-distance-right:0.00pt;mso-wrap-distance-bottom:0.00pt;z-index:1;" stroked="false">
                      <v:imagedata r:id="rId18"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13</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đường nội khu khu TĐC Vũ Đông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r>
            <w:bookmarkEnd w:id="3"/>
            <w:r>
              <w:rPr>
                <w:color w:val="000000" w:themeColor="text1"/>
              </w:rPr>
              <w:t xml:space="preserve">Hướng Đông Bắc: tiếp giáp đường giao thông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20.460163145424</w:t>
            </w:r>
            <w:r>
              <w:rPr>
                <w:color w:val="000000" w:themeColor="text1"/>
              </w:rPr>
              <w:t xml:space="preserve">, </w:t>
            </w:r>
            <w:r>
              <w:rPr>
                <w:color w:val="000000" w:themeColor="text1"/>
              </w:rPr>
              <w:t xml:space="preserve">106.37318761716</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5927676"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592767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6.75pt;height:200.00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108,9</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5,39</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Đông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t xml:space="preserve">Đất trống</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S=0.5ha)&lt;5ha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yellow"/>
              </w:rPr>
            </w:pPr>
            <w:r>
              <w:rPr>
                <w:color w:val="000000" w:themeColor="text1"/>
                <w:highlight w:val="yellow"/>
                <w:lang w:eastAsia="ko-KR"/>
              </w:rPr>
              <w:t xml:space="preserve">Đường vào thẳng tắp như mũi tên đâm thẳng cửa chính </w:t>
            </w:r>
            <w:r>
              <w:rPr>
                <w:color w:val="000000" w:themeColor="text1"/>
                <w:highlight w:val="yellow"/>
                <w:lang w:eastAsia="ko-KR"/>
              </w:rPr>
              <w:t xml:space="preserve">“</w:t>
            </w:r>
            <w:r>
              <w:rPr>
                <w:color w:val="000000" w:themeColor="text1"/>
                <w:highlight w:val="yellow"/>
                <w:lang w:eastAsia="ko-KR"/>
              </w:rPr>
              <w:t xml:space="preserve">Thế tiễn khí</w:t>
            </w:r>
            <w:r>
              <w:rPr>
                <w:color w:val="000000" w:themeColor="text1"/>
                <w:highlight w:val="yellow"/>
                <w:lang w:eastAsia="ko-KR"/>
              </w:rPr>
              <w:t xml:space="preserve">”.</w:t>
            </w:r>
            <w:r>
              <w:rPr>
                <w:color w:val="000000" w:themeColor="text1"/>
                <w:highlight w:val="yellow"/>
              </w:rPr>
            </w:r>
            <w:r>
              <w:rPr>
                <w:color w:val="000000" w:themeColor="text1"/>
                <w:highlight w:val="yellow"/>
              </w:rPr>
            </w:r>
          </w:p>
        </w:tc>
        <w:tc>
          <w:tcPr>
            <w:tcBorders/>
            <w:tcW w:w="819" w:type="pct"/>
            <w:vAlign w:val="center"/>
            <w:textDirection w:val="lrTb"/>
            <w:noWrap w:val="false"/>
          </w:tcPr>
          <w:p>
            <w:pPr>
              <w:widowControl w:val="false"/>
              <w:pBdr/>
              <w:spacing w:line="235" w:lineRule="auto"/>
              <w:ind w:left="144"/>
              <w:jc w:val="center"/>
              <w:rPr>
                <w:color w:val="000000" w:themeColor="text1"/>
                <w:highlight w:val="yellow"/>
              </w:rPr>
            </w:pPr>
            <w:r>
              <w:rPr>
                <w:color w:val="000000" w:themeColor="text1"/>
                <w:highlight w:val="none"/>
              </w:rPr>
              <w:t xml:space="preserve">Có</w:t>
            </w:r>
            <w:r>
              <w:rPr>
                <w:color w:val="000000" w:themeColor="text1"/>
                <w:highlight w:val="yellow"/>
              </w:rPr>
            </w:r>
            <w:r>
              <w:rPr>
                <w:color w:val="000000" w:themeColor="text1"/>
                <w:highlight w:val="yellow"/>
              </w:rPr>
            </w:r>
          </w:p>
        </w:tc>
        <w:tc>
          <w:tcPr>
            <w:tcBorders/>
            <w:tcW w:w="1874" w:type="pct"/>
            <w:vAlign w:val="center"/>
            <w:textDirection w:val="lrTb"/>
            <w:noWrap w:val="false"/>
          </w:tcPr>
          <w:p>
            <w:pPr>
              <w:widowControl w:val="false"/>
              <w:pBdr/>
              <w:spacing w:line="235" w:lineRule="auto"/>
              <w:ind w:left="144"/>
              <w:rPr>
                <w:color w:val="000000" w:themeColor="text1"/>
                <w:highlight w:val="yellow"/>
              </w:rPr>
            </w:pPr>
            <w:r>
              <w:rPr>
                <w:color w:val="000000" w:themeColor="text1"/>
                <w:highlight w:val="none"/>
                <w:lang w:eastAsia="ko-KR"/>
              </w:rPr>
              <w:t xml:space="preserve">Đường hướng vào thửa đất</w:t>
            </w:r>
            <w:r>
              <w:rPr>
                <w:color w:val="000000" w:themeColor="text1"/>
                <w:highlight w:val="yellow"/>
              </w:rPr>
            </w:r>
            <w:r>
              <w:rPr>
                <w:color w:val="000000" w:themeColor="text1"/>
                <w:highlight w:val="yellow"/>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xung</w:t>
            </w:r>
            <w:r>
              <w:rPr>
                <w:color w:val="000000" w:themeColor="text1"/>
                <w:lang w:eastAsia="ko-KR"/>
              </w:rPr>
              <w:t xml:space="preserve"> :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54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Vũ Đông, Thành phố Thái Bình, Tỉnh Thái Bình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Vũ Đông, Thành phố Thái Bình, Tỉnh Thái Bình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Vũ Đông, Thành phố Thái Bình, Tỉnh Thái Bình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Vũ Đông, Thành phố Thái Bình, Tỉnh Thái Bình</w:t>
            </w:r>
            <w:r>
              <w:rPr>
                <w:color w:val="000000" w:themeColor="text1"/>
                <w:sz w:val="22"/>
                <w:szCs w:val="22"/>
              </w:rPr>
            </w:r>
            <w:r>
              <w:rPr>
                <w:color w:val="000000" w:themeColor="text1"/>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https://www.facebook.com/groups/1672499129706670/permalink/4158098527813372/?sale_post_id=4158098527813372&amp;rdid=wm4bOhTwQhtjWtbB#</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https://www.facebook.com/groups/1672499129706670/permalink/4140519862904572/?sale_post_id=4140519862904572&amp;rdid=RBh1AQYjTERj82zO#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0984046222</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Hương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0989352868</w:t>
            </w:r>
            <w:r>
              <w:rPr>
                <w:color w:val="000000" w:themeColor="text1"/>
                <w:sz w:val="22"/>
                <w:szCs w:val="22"/>
              </w:rPr>
              <w:br/>
            </w:r>
            <w:r>
              <w:rPr>
                <w:color w:val="000000" w:themeColor="text1"/>
                <w:sz w:val="22"/>
                <w:szCs w:val="22"/>
              </w:rPr>
              <w:t xml:space="preserve">(</w:t>
            </w:r>
            <w:r>
              <w:rPr>
                <w:color w:val="000000" w:themeColor="text1"/>
                <w:sz w:val="22"/>
                <w:szCs w:val="22"/>
              </w:rPr>
              <w:t xml:space="preserve">Kiên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0904.353.128</w:t>
            </w:r>
            <w:r>
              <w:rPr>
                <w:color w:val="000000" w:themeColor="text1"/>
                <w:sz w:val="22"/>
                <w:szCs w:val="22"/>
              </w:rPr>
              <w:br/>
            </w:r>
            <w:r>
              <w:rPr>
                <w:color w:val="000000" w:themeColor="text1"/>
                <w:sz w:val="22"/>
                <w:szCs w:val="22"/>
              </w:rPr>
              <w:t xml:space="preserve">(</w:t>
            </w:r>
            <w:r>
              <w:rPr>
                <w:color w:val="000000" w:themeColor="text1"/>
                <w:sz w:val="22"/>
                <w:szCs w:val="22"/>
              </w:rPr>
              <w:t xml:space="preserve">Thắm</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nội khu khu TĐC Vũ Đông</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nội khu khu TĐC Vũ Đông</w:t>
            </w:r>
            <w:r>
              <w:rPr>
                <w:color w:val="000000" w:themeColor="text1"/>
                <w:sz w:val="22"/>
                <w:szCs w:val="22"/>
              </w:rPr>
              <w:t xml:space="preserve">, 20.460798806967112, 106.37396800974567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nội khu khu TĐC Vũ Đông</w:t>
            </w:r>
            <w:r>
              <w:rPr>
                <w:color w:val="000000" w:themeColor="text1"/>
                <w:sz w:val="22"/>
                <w:szCs w:val="22"/>
              </w:rPr>
              <w:t xml:space="preserve">, 20.45968760341325, 106.3733184273111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nội khu khu TĐC Vũ Đông</w:t>
            </w:r>
            <w:r>
              <w:rPr>
                <w:color w:val="000000" w:themeColor="text1"/>
                <w:sz w:val="22"/>
                <w:szCs w:val="22"/>
              </w:rPr>
              <w:t xml:space="preserve">, 20.459205887601225, 106.37225095568765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mặt cắt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108,9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93,8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góc 2 mặt đường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góc 2 mặt đường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hướng vào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 thương mại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1.750.000.000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2.050.000.000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1.610.000.000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1.870.000.000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1.742.500.000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1.610.000.000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1.870.000.000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1.742.500.000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mặt cắt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1.610.000.000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1.870.000.000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1.742.500.000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20.460798806967112, 106.37396800974567</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20.45968760341325, 106.3733184273111</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20.459205887601225, 106.37225095568765</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mặt cắt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19.936.034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19.361.111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108,9</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93,8</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90</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-1.196.162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-1.161.667</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18.739.872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18.199.444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5,39</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4,7</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4,5</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18.739.872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18.199.444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đường</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đường</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-805.000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-996.802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15.295.000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17.743.070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18.199.444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15.295.000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17.743.070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18.199.444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C.10</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Bất lợi thương mại</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hướng vào thửa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-805.000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-996.802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-968.056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14.490.000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16.746.268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17.231.388</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14.490.000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16.746.268</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17.231.388</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16.155.885</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-10,31%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6,66%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1.610.000</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3.189.766</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2.129.723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 - 6%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1.610.000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3.189.766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2.129.723</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từ </w:t>
      </w:r>
      <w:r>
        <w:rPr>
          <w:color w:val="000000" w:themeColor="text1"/>
        </w:rPr>
        <w:t xml:space="preserve">3,65% đến</w:t>
      </w:r>
      <w:r>
        <w:rPr>
          <w:color w:val="000000" w:themeColor="text1"/>
        </w:rPr>
        <w:t xml:space="preserve"> </w:t>
      </w:r>
      <w:r>
        <w:rPr>
          <w:color w:val="000000" w:themeColor="text1"/>
        </w:rPr>
        <w:t xml:space="preserve"> 10,31</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14.490.000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4.830.966</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16.746.268</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5.581.531</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17.231.388</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5.743.222</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16.155.719</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16.100.000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16.100.000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1511, tờ bản đồ số: 8, có địa chỉ: Khu dân cư, TĐC, xã Vũ Đông, thành phố Thái Bình, tỉnh Thái Bình (nay là phường Trần Lãm, tỉnh Hưng Yên),</w:t>
            </w:r>
            <w:r>
              <w:rPr>
                <w:color w:val="000000" w:themeColor="text1"/>
              </w:rPr>
              <w:t xml:space="preserve"> theo Giấy chứng nhận quyền sử dụng đất quyền sở nhà ở và tài sản khác gắn liền với đất số: DĐ 384771, số vào sổ cấp GCN: CS 06795 do Sở Tài nguyên và Môi trường tỉnh Thái Bình cấp ngày 09/5/2022; Chủ sử dụng đất là ông Nguyễn Văn Chức và bà Phạm Thị Quyên</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nông thôn</w:t>
            </w:r>
            <w:r>
              <w:rPr>
                <w:b w:val="0"/>
                <w:bCs w:val="0"/>
                <w:color w:val="000000" w:themeColor="text1"/>
              </w:rPr>
            </w:r>
            <w:r>
              <w:rPr>
                <w:b w:val="0"/>
                <w:bCs w:val="0"/>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108,9</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16.100.000</w:t>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1.753.290.000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1.753.290.000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1.753.300.000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Một tỷ bảy trăm năm mươi ba triệu ba trăm nghìn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275/2026/1438/VFI-CT.65.A</w:t>
      </w:r>
      <w:r>
        <w:rPr>
          <w:color w:val="000000" w:themeColor="text1"/>
          <w:lang w:val="vi-VN"/>
        </w:rPr>
        <w:t xml:space="preserve"> </w:t>
      </w:r>
      <w:r>
        <w:rPr>
          <w:color w:val="000000" w:themeColor="text1"/>
        </w:rPr>
        <w:t xml:space="preserve">ngày 14 tháng 9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275/2026/1438/VFI-BC.65.A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05"/>
        <w:gridCol w:w="4810"/>
      </w:tblGrid>
      <w:tr>
        <w:trPr/>
        <w:tc>
          <w:tcPr>
            <w:tcBorders/>
            <w:tcW w:w="470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810"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05"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839539" cy="248436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66277" name=""/>
                              <pic:cNvPicPr>
                                <a:picLocks noChangeAspect="1"/>
                              </pic:cNvPicPr>
                              <pic:nvPr/>
                            </pic:nvPicPr>
                            <pic:blipFill rotWithShape="1">
                              <a:blip r:embed="rId20"/>
                              <a:stretch/>
                            </pic:blipFill>
                            <pic:spPr bwMode="auto">
                              <a:xfrm flipH="0" flipV="0">
                                <a:off x="0" y="0"/>
                                <a:ext cx="1839538" cy="2484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85pt;height:195.62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c>
          <w:tcPr>
            <w:tcBorders/>
            <w:tcW w:w="4810"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954678" cy="243826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61791" name=""/>
                              <pic:cNvPicPr>
                                <a:picLocks noChangeAspect="1"/>
                              </pic:cNvPicPr>
                              <pic:nvPr/>
                            </pic:nvPicPr>
                            <pic:blipFill rotWithShape="1">
                              <a:blip r:embed="rId21"/>
                              <a:stretch/>
                            </pic:blipFill>
                            <pic:spPr bwMode="auto">
                              <a:xfrm flipH="0" flipV="0">
                                <a:off x="0" y="0"/>
                                <a:ext cx="1954677" cy="24382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3.91pt;height:191.99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r>
      <w:tr>
        <w:trPr/>
        <w:tc>
          <w:tcPr>
            <w:tcBorders/>
            <w:tcW w:w="470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810"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05"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853174" cy="250509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41378" name=""/>
                              <pic:cNvPicPr>
                                <a:picLocks noChangeAspect="1"/>
                              </pic:cNvPicPr>
                              <pic:nvPr/>
                            </pic:nvPicPr>
                            <pic:blipFill rotWithShape="1">
                              <a:blip r:embed="rId22"/>
                              <a:stretch/>
                            </pic:blipFill>
                            <pic:spPr bwMode="auto">
                              <a:xfrm flipH="0" flipV="0">
                                <a:off x="0" y="0"/>
                                <a:ext cx="1853174" cy="25050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5.92pt;height:197.25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810"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958150" cy="256416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13177" name=""/>
                              <pic:cNvPicPr>
                                <a:picLocks noChangeAspect="1"/>
                              </pic:cNvPicPr>
                              <pic:nvPr/>
                            </pic:nvPicPr>
                            <pic:blipFill rotWithShape="1">
                              <a:blip r:embed="rId23"/>
                              <a:stretch/>
                            </pic:blipFill>
                            <pic:spPr bwMode="auto">
                              <a:xfrm flipH="0" flipV="0">
                                <a:off x="0" y="0"/>
                                <a:ext cx="1958150" cy="25641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4.19pt;height:201.90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r>
        <w:trPr/>
        <w:tc>
          <w:tcPr>
            <w:tcBorders/>
            <w:tcW w:w="470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810"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05"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897796" cy="235735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55317" name=""/>
                              <pic:cNvPicPr>
                                <a:picLocks noChangeAspect="1"/>
                              </pic:cNvPicPr>
                              <pic:nvPr/>
                            </pic:nvPicPr>
                            <pic:blipFill rotWithShape="1">
                              <a:blip r:embed="rId24"/>
                              <a:stretch/>
                            </pic:blipFill>
                            <pic:spPr bwMode="auto">
                              <a:xfrm flipH="0" flipV="0">
                                <a:off x="0" y="0"/>
                                <a:ext cx="1897795" cy="2357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9.43pt;height:185.62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810"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030741" cy="239084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3416" name=""/>
                              <pic:cNvPicPr>
                                <a:picLocks noChangeAspect="1"/>
                              </pic:cNvPicPr>
                              <pic:nvPr/>
                            </pic:nvPicPr>
                            <pic:blipFill rotWithShape="1">
                              <a:blip r:embed="rId25"/>
                              <a:stretch/>
                            </pic:blipFill>
                            <pic:spPr bwMode="auto">
                              <a:xfrm flipH="0" flipV="0">
                                <a:off x="0" y="0"/>
                                <a:ext cx="2030740" cy="23908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59.90pt;height:188.26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876890" cy="380395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01230" name=""/>
                        <pic:cNvPicPr>
                          <a:picLocks noChangeAspect="1"/>
                        </pic:cNvPicPr>
                        <pic:nvPr/>
                      </pic:nvPicPr>
                      <pic:blipFill rotWithShape="1">
                        <a:blip r:embed="rId26"/>
                        <a:stretch/>
                      </pic:blipFill>
                      <pic:spPr bwMode="auto">
                        <a:xfrm flipH="0" flipV="0">
                          <a:off x="0" y="0"/>
                          <a:ext cx="2876889" cy="3803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6.53pt;height:299.52pt;mso-wrap-distance-left:0.00pt;mso-wrap-distance-top:0.00pt;mso-wrap-distance-right:0.00pt;mso-wrap-distance-bottom:0.00pt;z-index:1;" stroked="false">
                <v:imagedata r:id="rId26" o:title=""/>
                <o:lock v:ext="edit" rotation="t"/>
              </v:shape>
            </w:pict>
          </mc:Fallback>
        </mc:AlternateContent>
      </w:r>
      <w:r>
        <w:rPr>
          <w:color w:val="000000" w:themeColor="text1"/>
        </w:rPr>
        <w:t xml:space="preserve">  </w:t>
      </w:r>
      <w:r>
        <w:rPr>
          <w:color w:val="000000" w:themeColor="text1"/>
        </w:rPr>
        <mc:AlternateContent>
          <mc:Choice Requires="wpg">
            <w:drawing>
              <wp:inline xmlns:wp="http://schemas.openxmlformats.org/drawingml/2006/wordprocessingDrawing" distT="0" distB="0" distL="0" distR="0">
                <wp:extent cx="2886078" cy="383383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91689" name=""/>
                        <pic:cNvPicPr>
                          <a:picLocks noChangeAspect="1"/>
                        </pic:cNvPicPr>
                        <pic:nvPr/>
                      </pic:nvPicPr>
                      <pic:blipFill rotWithShape="1">
                        <a:blip r:embed="rId27"/>
                        <a:stretch/>
                      </pic:blipFill>
                      <pic:spPr bwMode="auto">
                        <a:xfrm flipH="0" flipV="0">
                          <a:off x="0" y="0"/>
                          <a:ext cx="2886077" cy="3833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7.25pt;height:301.88pt;mso-wrap-distance-left:0.00pt;mso-wrap-distance-top:0.00pt;mso-wrap-distance-right:0.00pt;mso-wrap-distance-bottom:0.00pt;z-index:1;" stroked="false">
                <v:imagedata r:id="rId27" o:title=""/>
                <o:lock v:ext="edit" rotation="t"/>
              </v:shape>
            </w:pict>
          </mc:Fallback>
        </mc:AlternateContent>
      </w:r>
      <w:r>
        <w:rPr>
          <w:color w:val="000000" w:themeColor="text1"/>
        </w:rPr>
      </w:r>
      <w:r>
        <w:rPr>
          <w:color w:val="000000" w:themeColor="text1"/>
        </w:rPr>
      </w:r>
    </w:p>
    <w:p>
      <w:pPr>
        <w:pBdr/>
        <w:spacing w:after="200" w:line="276"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953086" cy="397915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97418" name=""/>
                        <pic:cNvPicPr>
                          <a:picLocks noChangeAspect="1"/>
                        </pic:cNvPicPr>
                        <pic:nvPr/>
                      </pic:nvPicPr>
                      <pic:blipFill rotWithShape="1">
                        <a:blip r:embed="rId28"/>
                        <a:stretch/>
                      </pic:blipFill>
                      <pic:spPr bwMode="auto">
                        <a:xfrm flipH="0" flipV="0">
                          <a:off x="0" y="0"/>
                          <a:ext cx="2953086" cy="3979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2.53pt;height:313.32pt;mso-wrap-distance-left:0.00pt;mso-wrap-distance-top:0.00pt;mso-wrap-distance-right:0.00pt;mso-wrap-distance-bottom:0.00pt;z-index:1;" stroked="false">
                <v:imagedata r:id="rId28" o:title=""/>
                <o:lock v:ext="edit" rotation="t"/>
              </v:shape>
            </w:pict>
          </mc:Fallback>
        </mc:AlternateContent>
      </w:r>
      <w:r>
        <w:rPr>
          <w:color w:val="000000" w:themeColor="text1"/>
        </w:rPr>
        <w:t xml:space="preserve">  </w:t>
      </w:r>
      <w:r>
        <w:rPr>
          <w:color w:val="000000" w:themeColor="text1"/>
        </w:rPr>
        <mc:AlternateContent>
          <mc:Choice Requires="wpg">
            <w:drawing>
              <wp:inline xmlns:wp="http://schemas.openxmlformats.org/drawingml/2006/wordprocessingDrawing" distT="0" distB="0" distL="0" distR="0">
                <wp:extent cx="2809878" cy="399130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60914" name=""/>
                        <pic:cNvPicPr>
                          <a:picLocks noChangeAspect="1"/>
                        </pic:cNvPicPr>
                        <pic:nvPr/>
                      </pic:nvPicPr>
                      <pic:blipFill rotWithShape="1">
                        <a:blip r:embed="rId29"/>
                        <a:stretch/>
                      </pic:blipFill>
                      <pic:spPr bwMode="auto">
                        <a:xfrm flipH="0" flipV="0">
                          <a:off x="0" y="0"/>
                          <a:ext cx="2809878" cy="39913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1.25pt;height:314.28pt;mso-wrap-distance-left:0.00pt;mso-wrap-distance-top:0.00pt;mso-wrap-distance-right:0.00pt;mso-wrap-distance-bottom:0.00pt;z-index:1;" stroked="false">
                <v:imagedata r:id="rId29" o:title=""/>
                <o:lock v:ext="edit" rotation="t"/>
              </v:shape>
            </w:pict>
          </mc:Fallback>
        </mc:AlternateContent>
      </w: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275/2026/1438/VFI-BC.65.A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https://www.facebook.com/groups/1672499129706670/permalink/4158098527813372/?sale_post_id=4158098527813372&amp;rdid=wm4bOhTwQhtjWtbB#</w:t>
            </w:r>
            <w:r>
              <w:rPr>
                <w:color w:val="000000" w:themeColor="text1"/>
                <w:sz w:val="22"/>
                <w:szCs w:val="22"/>
              </w:rPr>
              <w:br/>
              <w:t xml:space="preserve">0984046222</w:t>
            </w:r>
            <w:r>
              <w:rPr>
                <w:color w:val="000000" w:themeColor="text1"/>
                <w:sz w:val="22"/>
                <w:szCs w:val="22"/>
              </w:rPr>
              <w:t xml:space="preserve"> </w:t>
            </w:r>
            <w:r>
              <w:rPr>
                <w:color w:val="000000" w:themeColor="text1"/>
                <w:sz w:val="22"/>
                <w:szCs w:val="22"/>
              </w:rPr>
              <w:t xml:space="preserve">(Hương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1.750.000.000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1.610.000.000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20.460798806967112, 106.37396800974567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mặt cắt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đường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vMerge w:val="restart"/>
            <w:textDirection w:val="lrTb"/>
            <w:noWrap w:val="false"/>
          </w:tcPr>
          <w:p>
            <w:pPr>
              <w:pBdr/>
              <w:tabs>
                <w:tab w:val="left" w:leader="none" w:pos="2096"/>
              </w:tabs>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311865" cy="2344112"/>
                      <wp:effectExtent l="0" t="0" r="0" b="0"/>
                      <wp:docPr id="17" name=""/>
                      <wp:cNvGraphicFramePr/>
                      <a:graphic xmlns:a="http://schemas.openxmlformats.org/drawingml/2006/main">
                        <a:graphicData uri="http://schemas.openxmlformats.org/drawingml/2006/picture">
                          <pic:pic xmlns:pic="http://schemas.openxmlformats.org/drawingml/2006/picture">
                            <pic:nvPicPr>
                              <pic:cNvPr id="2006378461" name="" descr=""/>
                              <pic:cNvPicPr/>
                              <pic:nvPr/>
                            </pic:nvPicPr>
                            <pic:blipFill rotWithShape="1">
                              <a:blip r:embed="rId30"/>
                              <a:stretch/>
                            </pic:blipFill>
                            <pic:spPr bwMode="auto">
                              <a:xfrm rot="0" flipH="0" flipV="0">
                                <a:off x="0" y="0"/>
                                <a:ext cx="3311865" cy="23441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60.78pt;height:184.58pt;mso-wrap-distance-left:0.00pt;mso-wrap-distance-top:0.00pt;mso-wrap-distance-right:0.00pt;mso-wrap-distance-bottom:0.00pt;rotation:0;z-index:1;" stroked="false">
                      <v:imagedata r:id="rId30"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1803407" cy="2344112"/>
                      <wp:effectExtent l="0" t="0" r="0" b="0"/>
                      <wp:docPr id="18" name=""/>
                      <wp:cNvGraphicFramePr/>
                      <a:graphic xmlns:a="http://schemas.openxmlformats.org/drawingml/2006/main">
                        <a:graphicData uri="http://schemas.openxmlformats.org/drawingml/2006/picture">
                          <pic:pic xmlns:pic="http://schemas.openxmlformats.org/drawingml/2006/picture">
                            <pic:nvPicPr>
                              <pic:cNvPr id="1500378858" name="" descr=""/>
                              <pic:cNvPicPr/>
                              <pic:nvPr/>
                            </pic:nvPicPr>
                            <pic:blipFill rotWithShape="1">
                              <a:blip r:embed="rId31"/>
                              <a:stretch/>
                            </pic:blipFill>
                            <pic:spPr bwMode="auto">
                              <a:xfrm rot="0" flipH="0" flipV="0">
                                <a:off x="0" y="0"/>
                                <a:ext cx="1803405" cy="23441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2.00pt;height:184.58pt;mso-wrap-distance-left:0.00pt;mso-wrap-distance-top:0.00pt;mso-wrap-distance-right:0.00pt;mso-wrap-distance-bottom:0.00pt;rotation:0;z-index:1;" stroked="false">
                      <v:imagedata r:id="rId31" o:title=""/>
                      <o:lock v:ext="edit" rotation="t"/>
                    </v:shape>
                  </w:pict>
                </mc:Fallback>
              </mc:AlternateContent>
            </w:r>
            <w:r>
              <w:rPr>
                <w:color w:val="000000" w:themeColor="text1"/>
                <w:sz w:val="22"/>
                <w:szCs w:val="22"/>
              </w:rPr>
            </w:r>
            <w:r>
              <w:rPr>
                <w:color w:val="000000" w:themeColor="text1"/>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sz w:val="18"/>
                <w:szCs w:val="18"/>
              </w:rPr>
            </w:pPr>
            <w:r>
              <w:rPr>
                <w:b/>
                <w:bCs/>
                <w:color w:val="000000" w:themeColor="text1"/>
                <w:sz w:val="18"/>
                <w:szCs w:val="18"/>
              </w:rPr>
            </w:r>
            <w:r>
              <w:rPr>
                <w:b/>
                <w:bCs/>
                <w:color w:val="000000" w:themeColor="text1"/>
                <w:sz w:val="18"/>
                <w:szCs w:val="18"/>
              </w:rPr>
            </w:r>
            <w:r>
              <w:rPr>
                <w:b/>
                <w:bCs/>
                <w:color w:val="000000" w:themeColor="text1"/>
                <w:sz w:val="18"/>
                <w:szCs w:val="18"/>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215"/>
        <w:gridCol w:w="477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https://www.facebook.com/groups/1672499129706670/permalink/4140519862904572/?sale_post_id=4140519862904572&amp;rdid=RBh1AQYjTERj82zO#</w:t>
            </w:r>
            <w:r>
              <w:rPr>
                <w:color w:val="000000" w:themeColor="text1"/>
                <w:sz w:val="22"/>
                <w:szCs w:val="22"/>
              </w:rPr>
              <w:br/>
              <w:t xml:space="preserve">0989352868</w:t>
            </w:r>
            <w:r>
              <w:rPr>
                <w:color w:val="000000" w:themeColor="text1"/>
                <w:sz w:val="22"/>
                <w:szCs w:val="22"/>
              </w:rPr>
              <w:t xml:space="preserve"> </w:t>
            </w:r>
            <w:r>
              <w:rPr>
                <w:color w:val="000000" w:themeColor="text1"/>
                <w:sz w:val="22"/>
                <w:szCs w:val="22"/>
              </w:rPr>
              <w:t xml:space="preserve">(Kiên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2.200.000.000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1.870.000.000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20.45968760341325, 106.3733184273111</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mặt cắt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93,8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đường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313"/>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vMerge w:val="restart"/>
            <w:textDirection w:val="lrTb"/>
            <w:noWrap w:val="false"/>
          </w:tcPr>
          <w:p>
            <w:pPr>
              <w:pBdr/>
              <w:tabs>
                <w:tab w:val="left" w:leader="none" w:pos="2261"/>
              </w:tabs>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388315" cy="3114932"/>
                      <wp:effectExtent l="0" t="0" r="0" b="0"/>
                      <wp:docPr id="19" name=""/>
                      <wp:cNvGraphicFramePr/>
                      <a:graphic xmlns:a="http://schemas.openxmlformats.org/drawingml/2006/main">
                        <a:graphicData uri="http://schemas.openxmlformats.org/drawingml/2006/picture">
                          <pic:pic xmlns:pic="http://schemas.openxmlformats.org/drawingml/2006/picture">
                            <pic:nvPicPr>
                              <pic:cNvPr id="59805508" name="" descr=""/>
                              <pic:cNvPicPr/>
                              <pic:nvPr/>
                            </pic:nvPicPr>
                            <pic:blipFill rotWithShape="1">
                              <a:blip r:embed="rId32"/>
                              <a:stretch/>
                            </pic:blipFill>
                            <pic:spPr bwMode="auto">
                              <a:xfrm rot="0" flipH="0" flipV="0">
                                <a:off x="0" y="0"/>
                                <a:ext cx="5388313" cy="31149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24.28pt;height:245.27pt;mso-wrap-distance-left:0.00pt;mso-wrap-distance-top:0.00pt;mso-wrap-distance-right:0.00pt;mso-wrap-distance-bottom:0.00pt;rotation:0;z-index:1;" stroked="false">
                      <v:imagedata r:id="rId32" o:title=""/>
                      <o:lock v:ext="edit" rotation="t"/>
                    </v:shape>
                  </w:pict>
                </mc:Fallback>
              </mc:AlternateContent>
            </w:r>
            <w:r>
              <w:rPr>
                <w:color w:val="000000" w:themeColor="text1"/>
                <w:sz w:val="22"/>
                <w:szCs w:val="22"/>
              </w:rPr>
            </w:r>
            <w:r>
              <w:rPr>
                <w:color w:val="000000" w:themeColor="text1"/>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jc w:val="center"/>
        <w:rPr>
          <w:b/>
          <w:bCs/>
          <w:iCs/>
          <w:color w:val="000000" w:themeColor="text1"/>
          <w:highlight w:val="none"/>
        </w:rPr>
      </w:pPr>
      <w:r>
        <w:rPr>
          <w:b/>
          <w:bCs/>
          <w:iCs/>
          <w:color w:val="000000" w:themeColor="text1"/>
          <w:lang w:val="pt-BR"/>
        </w:rPr>
        <w:t xml:space="preserve">TSSS 3</w:t>
      </w:r>
      <w:r>
        <w:rPr>
          <w:b/>
          <w:bCs/>
          <w:iCs/>
          <w:color w:val="000000" w:themeColor="text1"/>
          <w:highlight w:val="none"/>
        </w:rPr>
      </w:r>
      <w:r>
        <w:rPr>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0904.353.128</w:t>
            </w:r>
            <w:r>
              <w:rPr>
                <w:color w:val="000000" w:themeColor="text1"/>
                <w:sz w:val="22"/>
                <w:szCs w:val="22"/>
              </w:rPr>
              <w:t xml:space="preserve"> </w:t>
            </w:r>
            <w:r>
              <w:rPr>
                <w:color w:val="000000" w:themeColor="text1"/>
                <w:sz w:val="22"/>
                <w:szCs w:val="22"/>
              </w:rPr>
              <w:t xml:space="preserve">(Thắm</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2.050.000.000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1.742.500.000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nội khu khu TĐC Vũ Đông, 20.459205887601225, 106.37225095568765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mặt cắt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27401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699038916" name="" descr=""/>
                              <pic:cNvPicPr/>
                              <pic:nvPr/>
                            </pic:nvPicPr>
                            <pic:blipFill rotWithShape="1">
                              <a:blip r:embed="rId33"/>
                              <a:stretch/>
                            </pic:blipFill>
                            <pic:spPr bwMode="auto">
                              <a:xfrm flipH="0" flipV="0">
                                <a:off x="0" y="0"/>
                                <a:ext cx="52740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5.28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136139" cy="303901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3136138" cy="30390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46.94pt;height:239.29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235603" cy="3039015"/>
                      <wp:effectExtent l="0" t="0" r="0" b="0"/>
                      <wp:docPr id="22" name=""/>
                      <wp:cNvGraphicFramePr/>
                      <a:graphic xmlns:a="http://schemas.openxmlformats.org/drawingml/2006/main">
                        <a:graphicData uri="http://schemas.openxmlformats.org/drawingml/2006/picture">
                          <pic:pic xmlns:pic="http://schemas.openxmlformats.org/drawingml/2006/picture">
                            <pic:nvPicPr>
                              <pic:cNvPr id="285339397" name="" descr=""/>
                              <pic:cNvPicPr/>
                              <pic:nvPr/>
                            </pic:nvPicPr>
                            <pic:blipFill rotWithShape="1">
                              <a:blip r:embed="rId35"/>
                              <a:stretch/>
                            </pic:blipFill>
                            <pic:spPr bwMode="auto">
                              <a:xfrm rot="0" flipH="0" flipV="0">
                                <a:off x="0" y="0"/>
                                <a:ext cx="2235602" cy="30390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6.03pt;height:239.29pt;mso-wrap-distance-left:0.00pt;mso-wrap-distance-top:0.00pt;mso-wrap-distance-right:0.00pt;mso-wrap-distance-bottom:0.00pt;rotation:0;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64356"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6" o:title=""/>
                <o:lock v:ext="edit" rotation="t"/>
              </v:shape>
            </w:pict>
          </mc:Fallback>
        </mc:AlternateContent>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www.diamondlightthaibinh.com.vn/2026/05/bds-thai-binh-thiet-lap-gia-moi-sau-sap-nhap.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286</cp:revision>
  <dcterms:created xsi:type="dcterms:W3CDTF">2025-09-15T09:58:00Z</dcterms:created>
  <dcterms:modified xsi:type="dcterms:W3CDTF">2026-09-18T03:16:39Z</dcterms:modified>
</cp:coreProperties>
</file>