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159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159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275/2026/1427/VFI-CT.T003.A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Nguyễn Thị Hồng Hạnh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33, tờ bản đồ số: 37, có địa chỉ: Số 11 ngõ 191 Giáp Bát, phường Giáp Bát, Quận Hoàng Mai, Thành phố Hà Nội (Nay là phường Tương Mai, Thành phố Hà Nội) theo Giấy chứng nhận quy</w:t>
                            </w:r>
                            <w:r>
                              <w:rPr>
                                <w:color w:val="000000"/>
                              </w:rPr>
                              <w:t xml:space="preserve">ền sử dụng đất quyền sở hữu nhà ở và tài sản khác gắn liền với đất số: DI 726892, số vào sổ cấp GCN: CN 00968 do Chi nhánh Văn phòng đăng kí đất đại Hà Nội Quận Hoàng Mai cấp ngày 18/07/2023, Chủ sử dụng đất là Ông Đặng Tuấn Anh và Bà Nguyễn Thị Hồng Hạnh.</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6.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275/2026/1427/VFI-CT.T003.A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Nguyễn Thị Hồng Hạnh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33, tờ bản đồ số: 37, có địa chỉ: Số 11 ngõ 191 Giáp Bát, phường Giáp Bát, Quận Hoàng Mai, Thành phố Hà Nội (Nay là phường Tương Mai, Thành phố Hà Nội) theo Giấy chứng nhận quy</w:t>
                      </w:r>
                      <w:r>
                        <w:rPr>
                          <w:color w:val="000000"/>
                        </w:rPr>
                        <w:t xml:space="preserve">ền sử dụng đất quyền sở hữu nhà ở và tài sản khác gắn liền với đất số: DI 726892, số vào sổ cấp GCN: CN 00968 do Chi nhánh Văn phòng đăng kí đất đại Hà Nội Quận Hoàng Mai cấp ngày 18/07/2023, Chủ sử dụng đất là Ông Đặng Tuấn Anh và Bà Nguyễn Thị Hồng Hạnh.</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color w:val="000000" w:themeColor="text1"/>
                <w:highlight w:val="yellow"/>
              </w:rPr>
              <w:t xml:space="preserve">1-3</w:t>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color w:val="000000" w:themeColor="text1"/>
                <w:highlight w:val="yellow"/>
              </w:rPr>
              <w:t xml:space="preserve">4-17</w:t>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yellow"/>
              </w:rPr>
            </w:pPr>
            <w:r>
              <w:rPr>
                <w:b/>
                <w:bCs/>
                <w:highlight w:val="yellow"/>
              </w:rPr>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yellow"/>
              </w:rPr>
              <w:t xml:space="preserve">18</w:t>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yellow"/>
              </w:rPr>
              <w:t xml:space="preserve">19-22</w:t>
            </w:r>
            <w:r>
              <w:rPr>
                <w:b/>
                <w:bCs/>
                <w:highlight w:val="yellow"/>
              </w:rPr>
            </w:r>
            <w:r>
              <w:rPr>
                <w:b/>
                <w:bCs/>
                <w:highlight w:val="yellow"/>
              </w:rPr>
            </w:r>
          </w:p>
        </w:tc>
      </w:tr>
    </w:tbl>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98" w:type="dxa"/>
        <w:tblBorders/>
        <w:tblLayout w:type="fixed"/>
        <w:tblLook w:val="04A0" w:firstRow="1" w:lastRow="0" w:firstColumn="1" w:lastColumn="0" w:noHBand="0" w:noVBand="1"/>
      </w:tblPr>
      <w:tblGrid>
        <w:gridCol w:w="29"/>
        <w:gridCol w:w="1559"/>
        <w:gridCol w:w="8310"/>
      </w:tblGrid>
      <w:tr>
        <w:trPr>
          <w:trHeight w:val="1559"/>
        </w:trPr>
        <w:tc>
          <w:tcPr>
            <w:gridSpan w:val="2"/>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831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60"/>
        </w:trPr>
        <w:tc>
          <w:tcPr>
            <w:gridSpan w:val="2"/>
            <w:shd w:val="clear" w:color="auto" w:fill="auto"/>
            <w:tcBorders/>
            <w:tcMar>
              <w:left w:w="108" w:type="dxa"/>
              <w:top w:w="0" w:type="dxa"/>
              <w:right w:w="108" w:type="dxa"/>
              <w:bottom w:w="0" w:type="dxa"/>
            </w:tcMar>
            <w:tcW w:w="9869" w:type="dxa"/>
            <w:textDirection w:val="lrTb"/>
            <w:noWrap w:val="false"/>
          </w:tcPr>
          <w:p>
            <w:pPr>
              <w:pStyle w:val="1030"/>
              <w:pBdr/>
              <w:spacing w:after="60"/>
              <w:ind/>
              <w:rPr>
                <w:bCs/>
                <w:i/>
                <w:color w:val="000000" w:themeColor="text1"/>
                <w:sz w:val="24"/>
                <w:szCs w:val="24"/>
              </w:rPr>
            </w:pPr>
            <w:r>
              <w:rPr>
                <w:rStyle w:val="1029"/>
                <w:rFonts w:ascii="Times New Roman" w:hAnsi="Times New Roman"/>
                <w:i/>
                <w:iCs/>
                <w:color w:val="000000" w:themeColor="text1"/>
                <w:lang w:val="pt-BR"/>
              </w:rPr>
              <w:t xml:space="preserve">Số: </w:t>
            </w:r>
            <w:r>
              <w:rPr>
                <w:rStyle w:val="1029"/>
                <w:rFonts w:ascii="Times New Roman" w:hAnsi="Times New Roman"/>
                <w:i/>
                <w:iCs/>
                <w:color w:val="000000" w:themeColor="text1"/>
                <w:lang w:val="pt-BR"/>
              </w:rPr>
              <w:t xml:space="preserve">275/2026/1427/VFI-CT.T003.A</w:t>
            </w:r>
            <w:r>
              <w:rPr>
                <w:i/>
                <w:iCs/>
                <w:color w:val="000000" w:themeColor="text1"/>
                <w:sz w:val="24"/>
                <w:szCs w:val="24"/>
              </w:rPr>
            </w:r>
            <w:r>
              <w:rPr>
                <w:bCs/>
                <w:i/>
                <w:color w:val="000000" w:themeColor="text1"/>
                <w:sz w:val="24"/>
                <w:szCs w:val="24"/>
              </w:rPr>
            </w:r>
          </w:p>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14 tháng 9 năm 2026</w:t>
            </w:r>
            <w:r>
              <w:rPr>
                <w:color w:val="000000" w:themeColor="text1"/>
                <w:sz w:val="24"/>
                <w:szCs w:val="24"/>
                <w:lang w:val="vi-VN"/>
              </w:rPr>
            </w:r>
            <w:r>
              <w:rPr>
                <w:color w:val="000000" w:themeColor="text1"/>
                <w:sz w:val="24"/>
                <w:szCs w:val="24"/>
                <w:lang w:val="vi-VN"/>
              </w:rPr>
            </w:r>
          </w:p>
        </w:tc>
      </w:tr>
    </w:tbl>
    <w:p>
      <w:pPr>
        <w:pStyle w:val="1030"/>
        <w:pBdr/>
        <w:spacing w:after="120" w:before="200" w:line="288" w:lineRule="auto"/>
        <w:ind/>
        <w:jc w:val="center"/>
        <w:rPr>
          <w:rStyle w:val="1029"/>
          <w:rFonts w:ascii="Times New Roman" w:hAnsi="Times New Roman"/>
          <w:b/>
          <w:bCs/>
          <w:color w:val="auto"/>
          <w:sz w:val="30"/>
          <w:szCs w:val="30"/>
          <w:lang w:val="vi-VN"/>
        </w:rPr>
      </w:pPr>
      <w:r>
        <w:rPr>
          <w:rStyle w:val="1029"/>
          <w:rFonts w:ascii="Times New Roman" w:hAnsi="Times New Roman"/>
          <w:b/>
          <w:bCs/>
          <w:color w:val="auto"/>
          <w:sz w:val="30"/>
          <w:szCs w:val="30"/>
          <w:lang w:val="vi-VN"/>
        </w:rPr>
        <w:t xml:space="preserve">CHỨNG THƯ THẨM ĐỊNH GIÁ</w:t>
      </w:r>
      <w:r>
        <w:rPr>
          <w:rStyle w:val="1029"/>
          <w:rFonts w:ascii="Times New Roman" w:hAnsi="Times New Roman"/>
          <w:b/>
          <w:bCs/>
          <w:color w:val="auto"/>
          <w:sz w:val="30"/>
          <w:szCs w:val="30"/>
          <w:lang w:val="vi-VN"/>
        </w:rPr>
      </w:r>
      <w:r>
        <w:rPr>
          <w:rStyle w:val="1029"/>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Thị Hồng Hạnh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275/2026/1427/VFI-HĐTĐ.T003.A</w:t>
      </w:r>
      <w:r>
        <w:rPr>
          <w:spacing w:val="-4"/>
          <w:lang w:val="vi-VN"/>
        </w:rPr>
        <w:t xml:space="preserve"> ký ngày</w:t>
      </w:r>
      <w:r>
        <w:rPr>
          <w:spacing w:val="-4"/>
          <w:lang w:val="vi-VN"/>
        </w:rPr>
        <w:t xml:space="preserve"> </w:t>
      </w:r>
      <w:r>
        <w:rPr>
          <w:color w:val="000000" w:themeColor="text1"/>
          <w:spacing w:val="-4"/>
        </w:rPr>
        <w:t xml:space="preserve">10 tháng 9 năm 2026</w:t>
      </w:r>
      <w:r>
        <w:rPr>
          <w:spacing w:val="-4"/>
          <w:lang w:val="vi-VN"/>
        </w:rPr>
        <w:t xml:space="preserve"> </w:t>
      </w:r>
      <w:r>
        <w:rPr>
          <w:spacing w:val="-4"/>
          <w:lang w:val="vi-VN"/>
        </w:rPr>
        <w:t xml:space="preserve">giữa </w:t>
      </w:r>
      <w:r>
        <w:rPr>
          <w:color w:val="000000" w:themeColor="text1"/>
          <w:spacing w:val="-4"/>
        </w:rPr>
        <w:t xml:space="preserve">Bà Nguyễn Thị Hồng Hạnh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275/2026/1427/VFI-BC.T003.A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14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Nguyễn Thị Hồng Hạnh</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001170012493</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1970</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rPr>
              <w:t xml:space="preserve">Số 11 ngõ 191 Giáp Bát, phường Giáp Bát, Quận Hoàng Mai, Thành phố Hà Nội</w:t>
            </w:r>
            <w:r>
              <w:rPr>
                <w:color w:val="000000" w:themeColor="text1"/>
                <w:lang w:val="vi-VN"/>
              </w:rPr>
              <w:t xml:space="preserve">.</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33, tờ bản đồ số: 37, có địa chỉ: Số 11 ngõ 191 Giáp Bát, phường Giáp Bát, Quận Hoàng Mai, Thành phố Hà Nội (Nay là phường Tương Mai, Thành phố Hà Nội) theo Giấy chứng nhận quy</w:t>
      </w:r>
      <w:r>
        <w:rPr>
          <w:color w:val="000000" w:themeColor="text1"/>
        </w:rPr>
        <w:t xml:space="preserve">ền sử dụng đất quyền sở hữu nhà ở và tài sản khác gắn liền với đất số: DI 726892, số vào sổ cấp GCN: CN 00968 do Chi nhánh Văn phòng đăng kí đất đại Hà Nội Quận Hoàng Mai cấp ngày 18/07/2023, Chủ sử dụng đất là Ông Đặng Tuấn Anh và Bà Nguyễn Thị Hồng Hạnh.</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33, tờ bản đồ số: 37, có địa chỉ: Số 11 ngõ 191 Giáp Bát, phường Giáp Bát, Quận Hoàng Mai, Thành phố Hà Nội (Nay là phường Tương Mai, Thành phố Hà Nội) theo Giấy chứng nhận quy</w:t>
            </w:r>
            <w:r>
              <w:rPr>
                <w:color w:val="000000"/>
              </w:rPr>
              <w:t xml:space="preserve">ền sử dụng đất quyền sở hữu nhà ở và tài sản khác gắn liền với đất số: DI 726892, số vào sổ cấp GCN: CN 00968 do Chi nhánh Văn phòng đăng kí đất đại Hà Nội Quận Hoàng Mai cấp ngày 18/07/2023, Chủ sử dụng đất là Ông Đặng Tuấn Anh và Bà Nguyễn Thị Hồng Hạnh.</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104,5</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152.000.000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15.884.000.000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15.884.000.000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lăm tỷ tám trăm tám mươi bốn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36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5" w:type="dxa"/>
        <w:tblBorders/>
        <w:tblLayout w:type="fixed"/>
        <w:tblLook w:val="04A0" w:firstRow="1" w:lastRow="0" w:firstColumn="1" w:lastColumn="0" w:noHBand="0" w:noVBand="1"/>
      </w:tblPr>
      <w:tblGrid>
        <w:gridCol w:w="29"/>
        <w:gridCol w:w="1984"/>
        <w:gridCol w:w="7862"/>
      </w:tblGrid>
      <w:tr>
        <w:trPr>
          <w:trHeight w:val="1842"/>
        </w:trPr>
        <w:tc>
          <w:tcPr>
            <w:gridSpan w:val="2"/>
            <w:tcBorders/>
            <w:tcW w:w="201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786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314"/>
        </w:trPr>
        <w:tc>
          <w:tcPr>
            <w:gridSpan w:val="2"/>
            <w:shd w:val="clear" w:color="auto" w:fill="auto"/>
            <w:tcBorders/>
            <w:tcMar>
              <w:left w:w="108" w:type="dxa"/>
              <w:top w:w="0" w:type="dxa"/>
              <w:right w:w="108" w:type="dxa"/>
              <w:bottom w:w="0" w:type="dxa"/>
            </w:tcMar>
            <w:tcW w:w="9847" w:type="dxa"/>
            <w:textDirection w:val="lrTb"/>
            <w:noWrap w:val="false"/>
          </w:tcPr>
          <w:p>
            <w:pPr>
              <w:pStyle w:val="1030"/>
              <w:pBdr/>
              <w:spacing w:after="60"/>
              <w:ind/>
              <w:rPr>
                <w:bCs/>
                <w:i/>
                <w:color w:val="000000" w:themeColor="text1"/>
                <w:sz w:val="24"/>
                <w:szCs w:val="24"/>
              </w:rPr>
            </w:pPr>
            <w:r>
              <w:rPr>
                <w:rStyle w:val="1029"/>
                <w:rFonts w:ascii="Times New Roman" w:hAnsi="Times New Roman"/>
                <w:i/>
                <w:iCs/>
                <w:color w:val="000000" w:themeColor="text1"/>
                <w:lang w:val="pt-BR"/>
              </w:rPr>
              <w:t xml:space="preserve">Số: </w:t>
            </w:r>
            <w:r>
              <w:rPr>
                <w:rStyle w:val="1029"/>
                <w:rFonts w:ascii="Times New Roman" w:hAnsi="Times New Roman"/>
                <w:i/>
                <w:iCs/>
                <w:color w:val="000000" w:themeColor="text1"/>
                <w:lang w:val="pt-BR"/>
              </w:rPr>
              <w:t xml:space="preserve">275/2026/1427/VFI-BC.T003.A</w:t>
            </w:r>
            <w:r>
              <w:rPr>
                <w:i/>
                <w:iCs/>
                <w:color w:val="000000" w:themeColor="text1"/>
                <w:sz w:val="24"/>
                <w:szCs w:val="24"/>
              </w:rPr>
            </w:r>
            <w:r>
              <w:rPr>
                <w:bCs/>
                <w:i/>
                <w:color w:val="000000" w:themeColor="text1"/>
                <w:sz w:val="24"/>
                <w:szCs w:val="24"/>
              </w:rPr>
            </w:r>
          </w:p>
          <w:p>
            <w:pPr>
              <w:pStyle w:val="1030"/>
              <w:pBdr/>
              <w:spacing w:after="60"/>
              <w:ind w:right="-56"/>
              <w:jc w:val="right"/>
              <w:rPr>
                <w:bCs/>
                <w:i/>
                <w:color w:val="000000" w:themeColor="text1"/>
                <w:sz w:val="24"/>
                <w:szCs w:val="24"/>
              </w:rPr>
            </w:pPr>
            <w:r>
              <w:rPr>
                <w:rStyle w:val="1029"/>
                <w:rFonts w:ascii="Times New Roman" w:hAnsi="Times New Roman"/>
                <w:i/>
                <w:iCs/>
                <w:color w:val="auto"/>
              </w:rPr>
              <w:t xml:space="preserve">TP. Hà Nội</w:t>
            </w:r>
            <w:r>
              <w:rPr>
                <w:rStyle w:val="1029"/>
                <w:rFonts w:ascii="Times New Roman" w:hAnsi="Times New Roman"/>
                <w:i/>
                <w:iCs/>
                <w:color w:val="auto"/>
                <w:lang w:val="vi-VN"/>
              </w:rPr>
              <w:t xml:space="preserve">, </w:t>
            </w:r>
            <w:r>
              <w:rPr>
                <w:rStyle w:val="1029"/>
                <w:rFonts w:ascii="Times New Roman" w:hAnsi="Times New Roman"/>
                <w:i/>
                <w:iCs/>
                <w:color w:val="000000" w:themeColor="text1"/>
                <w:lang w:val="vi-VN"/>
              </w:rPr>
              <w:t xml:space="preserve">ngày 14 tháng 9 năm 2026</w:t>
            </w:r>
            <w:r>
              <w:rPr>
                <w:i/>
                <w:iCs/>
                <w:color w:val="000000" w:themeColor="text1"/>
                <w:sz w:val="24"/>
                <w:szCs w:val="24"/>
                <w:lang w:val="vi-VN"/>
              </w:rPr>
            </w:r>
            <w:r>
              <w:rPr>
                <w:bCs/>
                <w:i/>
                <w:color w:val="000000" w:themeColor="text1"/>
                <w:sz w:val="24"/>
                <w:szCs w:val="24"/>
              </w:rPr>
            </w:r>
          </w:p>
        </w:tc>
      </w:tr>
    </w:tbl>
    <w:p>
      <w:pPr>
        <w:pStyle w:val="1030"/>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275/2026/1427/VFI-CT.T003.A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14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Nguyễn Thị Hồng Hạnh</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001170012493</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1970</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rPr>
              <w:t xml:space="preserve">Số 11 ngõ 191 Giáp Bát, phường Giáp Bát, Quận Hoàng Mai, Thành phố Hà Nội</w:t>
            </w:r>
            <w:r>
              <w:rPr>
                <w:color w:val="000000" w:themeColor="text1"/>
                <w:lang w:val="vi-VN"/>
              </w:rPr>
              <w:t xml:space="preserve">.</w:t>
            </w:r>
            <w:r>
              <w:rPr>
                <w:color w:val="ff0000"/>
                <w:lang w:val="pt-BR"/>
              </w:rPr>
            </w:r>
            <w:r>
              <w:rPr>
                <w:color w:val="ff0000"/>
                <w:lang w:val="pt-BR"/>
              </w:rPr>
            </w:r>
          </w:p>
        </w:tc>
      </w:tr>
      <w:tr>
        <w:trPr>
          <w:trHeight w:val="2696"/>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33, tờ bản đồ số: 37, có địa chỉ: Số 11 ngõ 191 Giáp Bát, phường Giáp Bát, Quận Hoàng Mai, Thành phố Hà Nội (Nay là phường Tương Mai, Thành phố Hà Nội) theo Giấy chứng nhận quy</w:t>
            </w:r>
            <w:r>
              <w:rPr>
                <w:bCs/>
                <w:color w:val="000000" w:themeColor="text1"/>
                <w:lang w:val="pt-BR"/>
              </w:rPr>
              <w:t xml:space="preserve">ền sử dụng đất quyền sở hữu nhà ở và tài sản khác gắn liền với đất số: DI 726892, số vào sổ cấp GCN: CN 00968 do Chi nhánh Văn phòng đăng kí đất đại Hà Nội Quận Hoàng Mai cấp ngày 18/07/2023, Chủ sử dụng đất là Ông Đặng Tuấn Anh và Bà Nguyễn Thị Hồng Hạnh.</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Giáp Bát, Quận Hoàng Mai, Thành phố Hà Nội (Nay là Phường Tương Mai,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20.9845, 105.84413888889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10/09/2026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1"/>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1"/>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1"/>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31"/>
        <w:numPr>
          <w:ilvl w:val="0"/>
          <w:numId w:val="1"/>
        </w:numPr>
        <w:pBdr/>
        <w:spacing w:after="120" w:before="120" w:line="276" w:lineRule="auto"/>
        <w:ind/>
        <w:jc w:val="both"/>
        <w:rPr>
          <w:spacing w:val="-4"/>
          <w:lang w:val="pt-BR"/>
        </w:rPr>
      </w:pPr>
      <w:r>
        <w:rPr>
          <w:bCs/>
          <w:spacing w:val="-4"/>
          <w:highlight w:val="none"/>
          <w:lang w:val="pt-BR" w:bidi="pt-BR"/>
        </w:rPr>
      </w:r>
      <w:r>
        <w:rPr>
          <w:rFonts w:ascii="Times New Roman" w:hAnsi="Times New Roman" w:eastAsia="Times New Roman" w:cs="Times New Roman"/>
          <w:color w:val="000000" w:themeColor="text1"/>
          <w:spacing w:val="3"/>
          <w:sz w:val="24"/>
          <w:szCs w:val="24"/>
          <w:highlight w:val="white"/>
        </w:rPr>
        <w:t xml:space="preserve">Quyết định số 425/QĐ-BXD ngày 30/3/2026 của Bộ Xây Dựng</w:t>
      </w:r>
      <w:r>
        <w:rPr>
          <w:bCs/>
          <w:spacing w:val="-4"/>
          <w:lang w:val="pt-BR"/>
        </w:rPr>
        <w:t xml:space="preserve"> về việc Công bố suất vốn đầu tư xây dựng công trình và giá xây dựng tổng hợp bộ phận kết cấu công trình năm</w:t>
      </w:r>
      <w:r>
        <w:rPr>
          <w:bCs/>
          <w:spacing w:val="-4"/>
          <w:highlight w:val="none"/>
          <w:lang w:val="pt-BR"/>
        </w:rPr>
        <w:t xml:space="preserve"> 2025;</w:t>
      </w:r>
      <w:r>
        <w:rPr>
          <w:spacing w:val="-4"/>
          <w:lang w:val="pt-BR"/>
        </w:rPr>
      </w:r>
      <w:r>
        <w:rPr>
          <w:spacing w:val="-4"/>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1"/>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w:t>
      </w:r>
      <w:r>
        <w:rPr>
          <w:bCs/>
          <w:color w:val="000000" w:themeColor="text1"/>
          <w:lang w:val="pt-BR"/>
        </w:rPr>
        <w:t xml:space="preserve">ền sử dụng đất quyền sở hữu nhà ở và tài sản khác gắn liền với đất số: DI 726892, số vào sổ cấp GCN: CN 00968 do Chi nhánh Văn phòng đăng kí đất đại Hà Nội Quận Hoàng Mai cấp ngày 18/07/2023, Chủ sử dụng đất là Ông Đặng Tuấn Anh và Bà Nguyễn Thị Hồng Hạnh.</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1"/>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275/2026/1427/VFI-HĐTĐ.T003.A ngày</w:t>
      </w:r>
      <w:r>
        <w:rPr>
          <w:color w:val="000000" w:themeColor="text1"/>
          <w:lang w:val="pt-BR"/>
        </w:rPr>
        <w:t xml:space="preserve"> 10/09/2026 </w:t>
      </w:r>
      <w:r>
        <w:rPr>
          <w:color w:val="000000" w:themeColor="text1"/>
          <w:lang w:val="pt-BR"/>
        </w:rPr>
        <w:t xml:space="preserve">giữa Bà Nguyễn Thị Hồng Hạnh với Công ty Cổ phần Thẩm định và Đầu tư Tài chính Hoa Sen.</w:t>
      </w:r>
      <w:r>
        <w:rPr>
          <w:b/>
          <w:lang w:val="pt-BR"/>
        </w:rPr>
      </w:r>
      <w:r>
        <w:rPr>
          <w:b/>
          <w:lang w:val="pt-BR"/>
        </w:rPr>
      </w:r>
    </w:p>
    <w:p>
      <w:pPr>
        <w:pStyle w:val="1031"/>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ind w:right="0" w:firstLine="0" w:left="0"/>
        <w:jc w:val="both"/>
        <w:rPr>
          <w:b w:val="0"/>
          <w:bCs w:val="0"/>
        </w:rPr>
      </w:pPr>
      <w:r>
        <w:rPr>
          <w:b w:val="0"/>
          <w:bCs w:val="0"/>
          <w:i/>
          <w:iCs/>
          <w:lang w:val="pt-BR"/>
        </w:rPr>
      </w:r>
      <w:r>
        <w:rPr>
          <w:rFonts w:ascii="Times New Roman" w:hAnsi="Times New Roman" w:eastAsia="Times New Roman" w:cs="Times New Roman"/>
          <w:b w:val="0"/>
          <w:bCs w:val="0"/>
          <w:color w:val="000000"/>
          <w:sz w:val="24"/>
        </w:rPr>
        <w:t xml:space="preserve">Phường Tương Mai là một trong những đơn vị hành chính mới của thành phố Hà Nội, chính thức đi vào hoạt động từ ngày 01/7/2025 theo phương án sắp xếp đơn vị hành chính. Phường được hình thành trên cơ sở sáp nhập phần lớn phường Tương Mai và một phần diện tí</w:t>
      </w:r>
      <w:r>
        <w:rPr>
          <w:rFonts w:ascii="Times New Roman" w:hAnsi="Times New Roman" w:eastAsia="Times New Roman" w:cs="Times New Roman"/>
          <w:b w:val="0"/>
          <w:bCs w:val="0"/>
          <w:color w:val="000000"/>
          <w:sz w:val="24"/>
        </w:rPr>
        <w:t xml:space="preserve">ch của các phường Hoàng Văn Thụ, Tân Mai, Giáp Bát, Mai Động, Vĩnh Hưng, Trương Định, Đồng Tâm, Minh Khai và Phương Liệt trước đây. Theo thông tin của UBND phường, phường Tương Mai có diện tích khoảng 3,56 km², dân số trên 136.000 người, là khu vực có mật </w:t>
      </w:r>
      <w:r>
        <w:rPr>
          <w:rFonts w:ascii="Times New Roman" w:hAnsi="Times New Roman" w:eastAsia="Times New Roman" w:cs="Times New Roman"/>
          <w:b w:val="0"/>
          <w:bCs w:val="0"/>
          <w:color w:val="000000"/>
          <w:sz w:val="24"/>
        </w:rPr>
        <w:t xml:space="preserve">độ dân cư cao và không gian đô thị tương đối phát triển. </w:t>
      </w:r>
      <w:r>
        <w:rPr>
          <w:b w:val="0"/>
          <w:bCs w:val="0"/>
        </w:rPr>
      </w:r>
      <w:r>
        <w:rPr>
          <w:b w:val="0"/>
          <w:bCs w:val="0"/>
        </w:rPr>
      </w:r>
    </w:p>
    <w:p>
      <w:pPr>
        <w:pBdr>
          <w:top w:val="none" w:color="000000" w:sz="4" w:space="0"/>
          <w:left w:val="none" w:color="000000" w:sz="4" w:space="0"/>
          <w:bottom w:val="none" w:color="000000" w:sz="4" w:space="0"/>
          <w:right w:val="none" w:color="000000" w:sz="4" w:space="0"/>
        </w:pBdr>
        <w:spacing/>
        <w:ind w:right="0" w:firstLine="0" w:left="0"/>
        <w:jc w:val="both"/>
        <w:rPr>
          <w:b w:val="0"/>
          <w:bCs w:val="0"/>
        </w:rPr>
      </w:pPr>
      <w:r>
        <w:rPr>
          <w:rFonts w:ascii="Times New Roman" w:hAnsi="Times New Roman" w:eastAsia="Times New Roman" w:cs="Times New Roman"/>
          <w:b w:val="0"/>
          <w:bCs w:val="0"/>
          <w:color w:val="000000"/>
          <w:sz w:val="24"/>
        </w:rPr>
        <w:t xml:space="preserve">Về vị trí và điều kiện phát triển, phường Tương Mai nằm trong khu vực đô thị đã hình thành lâu năm của Hà Nội, có hệ thống đường giao thông và hạ tầng kỹ thuật tương đối hoàn chỉnh, đồng thời tiếp giáp và liên kết với nhiều khu vực dân cư, thương mại – dịc</w:t>
      </w:r>
      <w:r>
        <w:rPr>
          <w:rFonts w:ascii="Times New Roman" w:hAnsi="Times New Roman" w:eastAsia="Times New Roman" w:cs="Times New Roman"/>
          <w:b w:val="0"/>
          <w:bCs w:val="0"/>
          <w:color w:val="000000"/>
          <w:sz w:val="24"/>
        </w:rPr>
        <w:t xml:space="preserve">h vụ quan trọng. Việc hình thành phường mới trên cơ sở sắp xếp nhiều đơn vị hành chính giúp mở rộng không gian quản lý, tạo điều kiện đồng bộ hóa công tác quản lý đất đai, quy hoạch, xây dựng và phát triển hạ tầng đô thị. UBND phường Tương Mai cho biết tro</w:t>
      </w:r>
      <w:r>
        <w:rPr>
          <w:rFonts w:ascii="Times New Roman" w:hAnsi="Times New Roman" w:eastAsia="Times New Roman" w:cs="Times New Roman"/>
          <w:b w:val="0"/>
          <w:bCs w:val="0"/>
          <w:color w:val="000000"/>
          <w:sz w:val="24"/>
        </w:rPr>
        <w:t xml:space="preserve">ng những năm qua trên địa bàn và các khu vực kế cận đã triển khai nhiều dự án hạ tầng giao thông đáng chú ý như hầm chui Kim Đồng, nâng cấp mở rộng đường Lĩnh Nam, đường Tam Trinh và tuyến Vành đai II đoạn Vĩnh Tuy – Ngã Tư Vọng, góp phần cải thiện khả năn</w:t>
      </w:r>
      <w:r>
        <w:rPr>
          <w:rFonts w:ascii="Times New Roman" w:hAnsi="Times New Roman" w:eastAsia="Times New Roman" w:cs="Times New Roman"/>
          <w:b w:val="0"/>
          <w:bCs w:val="0"/>
          <w:color w:val="000000"/>
          <w:sz w:val="24"/>
        </w:rPr>
        <w:t xml:space="preserve">g kết nối giao thông và thúc đẩy phát triển kinh tế - xã hội. </w:t>
      </w:r>
      <w:r>
        <w:rPr>
          <w:b w:val="0"/>
          <w:bCs w:val="0"/>
        </w:rPr>
      </w:r>
      <w:r>
        <w:rPr>
          <w:b w:val="0"/>
          <w:bCs w:val="0"/>
        </w:rPr>
      </w:r>
    </w:p>
    <w:p>
      <w:pPr>
        <w:pBdr>
          <w:top w:val="none" w:color="000000" w:sz="4" w:space="0"/>
          <w:left w:val="none" w:color="000000" w:sz="4" w:space="0"/>
          <w:bottom w:val="none" w:color="000000" w:sz="4" w:space="0"/>
          <w:right w:val="none" w:color="000000" w:sz="4" w:space="0"/>
        </w:pBdr>
        <w:spacing/>
        <w:ind w:right="0" w:firstLine="0" w:left="0"/>
        <w:jc w:val="both"/>
        <w:rPr>
          <w:b w:val="0"/>
          <w:bCs w:val="0"/>
        </w:rPr>
      </w:pPr>
      <w:r>
        <w:rPr>
          <w:rFonts w:ascii="Times New Roman" w:hAnsi="Times New Roman" w:eastAsia="Times New Roman" w:cs="Times New Roman"/>
          <w:b w:val="0"/>
          <w:bCs w:val="0"/>
          <w:color w:val="000000"/>
          <w:sz w:val="24"/>
        </w:rPr>
        <w:t xml:space="preserve">Trong năm 2026, thị trường bất động sản Hà Nội nhìn chung đang bước vào giai đoạn điều chỉnh và phân hóa rõ hơn so với giai đoạn tăng trưởng mạnh trước đó. Theo báo cáo thị trường bất động sản quý II/2026 của Bộ Xây dựng, cả nước ghi nhận khoảng 100.005 gi</w:t>
      </w:r>
      <w:r>
        <w:rPr>
          <w:rFonts w:ascii="Times New Roman" w:hAnsi="Times New Roman" w:eastAsia="Times New Roman" w:cs="Times New Roman"/>
          <w:b w:val="0"/>
          <w:bCs w:val="0"/>
          <w:color w:val="000000"/>
          <w:sz w:val="24"/>
        </w:rPr>
        <w:t xml:space="preserve">ao dịch bất động sản thành công, giảm đáng kể so với quý I/2026 và cùng kỳ năm 2025. Đối với phân khúc chung cư và nhà ở riêng lẻ, số giao dịch trong quý II đạt khoảng 26.567 giao dịch, trong khi đất nền đạt khoảng 73.438 giao dịch. Diễn biến này cho thấy </w:t>
      </w:r>
      <w:r>
        <w:rPr>
          <w:rFonts w:ascii="Times New Roman" w:hAnsi="Times New Roman" w:eastAsia="Times New Roman" w:cs="Times New Roman"/>
          <w:b w:val="0"/>
          <w:bCs w:val="0"/>
          <w:color w:val="000000"/>
          <w:sz w:val="24"/>
        </w:rPr>
        <w:t xml:space="preserve">thanh khoản thị trường đang có xu hướng chậm lại và người mua có sự thận trọng hơn trong quyết định giao dịch. </w:t>
      </w:r>
      <w:r>
        <w:rPr>
          <w:b w:val="0"/>
          <w:bCs w:val="0"/>
        </w:rPr>
      </w:r>
      <w:r>
        <w:rPr>
          <w:b w:val="0"/>
          <w:bCs w:val="0"/>
        </w:rPr>
      </w:r>
    </w:p>
    <w:p>
      <w:pPr>
        <w:pBdr>
          <w:top w:val="none" w:color="000000" w:sz="4" w:space="0"/>
          <w:left w:val="none" w:color="000000" w:sz="4" w:space="0"/>
          <w:bottom w:val="none" w:color="000000" w:sz="4" w:space="0"/>
          <w:right w:val="none" w:color="000000" w:sz="4" w:space="0"/>
        </w:pBdr>
        <w:spacing/>
        <w:ind w:right="0" w:firstLine="0" w:left="0"/>
        <w:jc w:val="both"/>
        <w:rPr>
          <w:b w:val="0"/>
          <w:bCs w:val="0"/>
        </w:rPr>
      </w:pPr>
      <w:r>
        <w:rPr>
          <w:rFonts w:ascii="Times New Roman" w:hAnsi="Times New Roman" w:eastAsia="Times New Roman" w:cs="Times New Roman"/>
          <w:b w:val="0"/>
          <w:bCs w:val="0"/>
          <w:color w:val="000000"/>
          <w:sz w:val="24"/>
        </w:rPr>
        <w:t xml:space="preserve">Đối với riêng thị trường Hà Nội, mặt bằng giá bất động sản vẫn ở mức cao mặc dù thanh khoản có dấu hiệu giảm. Theo báo cáo được VnExpress dẫn lại từ Bộ Xây dựng, trong quý II/2026 giá căn hộ chung cư thứ cấp bình quân tại Hà Nội khoảng 123 triệu đồng/m², g</w:t>
      </w:r>
      <w:r>
        <w:rPr>
          <w:rFonts w:ascii="Times New Roman" w:hAnsi="Times New Roman" w:eastAsia="Times New Roman" w:cs="Times New Roman"/>
          <w:b w:val="0"/>
          <w:bCs w:val="0"/>
          <w:color w:val="000000"/>
          <w:sz w:val="24"/>
        </w:rPr>
        <w:t xml:space="preserve">iảm gần 3,9% so với quý trước. Giá đất nền trên thị trường thứ cấp trên phạm vi cả nước cũng điều chỉnh khoảng 2–3% so với quý I/2026.  Bên cạnh đó, dữ liệu thị trường được công bố trong tháng 6/2026 cho thấy giá nhà riêng lẻ tại một số khu vực trung tâm v</w:t>
      </w:r>
      <w:r>
        <w:rPr>
          <w:rFonts w:ascii="Times New Roman" w:hAnsi="Times New Roman" w:eastAsia="Times New Roman" w:cs="Times New Roman"/>
          <w:b w:val="0"/>
          <w:bCs w:val="0"/>
          <w:color w:val="000000"/>
          <w:sz w:val="24"/>
        </w:rPr>
        <w:t xml:space="preserve">à nội đô Hà Nội đã có sự điều chỉnh nhẹ; trong đó khu vực Hai Bà Trưng và Hoàng Mai được ghi nhận mức giảm khoảng 1% trong giai đoạn khảo sát. </w:t>
      </w:r>
      <w:r>
        <w:rPr>
          <w:b w:val="0"/>
          <w:bCs w:val="0"/>
        </w:rPr>
      </w:r>
      <w:r>
        <w:rPr>
          <w:b w:val="0"/>
          <w:bCs w:val="0"/>
        </w:rPr>
      </w:r>
    </w:p>
    <w:p>
      <w:pPr>
        <w:pBdr>
          <w:top w:val="none" w:color="000000" w:sz="4" w:space="0"/>
          <w:left w:val="none" w:color="000000" w:sz="4" w:space="0"/>
          <w:bottom w:val="none" w:color="000000" w:sz="4" w:space="0"/>
          <w:right w:val="none" w:color="000000" w:sz="4" w:space="0"/>
        </w:pBdr>
        <w:spacing/>
        <w:ind w:right="0" w:firstLine="0" w:left="0"/>
        <w:jc w:val="both"/>
        <w:rPr>
          <w:b w:val="0"/>
          <w:bCs w:val="0"/>
        </w:rPr>
      </w:pPr>
      <w:r>
        <w:rPr>
          <w:rFonts w:ascii="Times New Roman" w:hAnsi="Times New Roman" w:eastAsia="Times New Roman" w:cs="Times New Roman"/>
          <w:b w:val="0"/>
          <w:bCs w:val="0"/>
          <w:color w:val="000000"/>
          <w:sz w:val="24"/>
        </w:rPr>
        <w:t xml:space="preserve">Đối với khu vực phường Tương Mai, đặc điểm nổi bật của thị trường bất động sản là </w:t>
      </w:r>
      <w:r>
        <w:rPr>
          <w:rFonts w:ascii="Times New Roman" w:hAnsi="Times New Roman" w:eastAsia="Times New Roman" w:cs="Times New Roman"/>
          <w:b w:val="0"/>
          <w:bCs w:val="0"/>
          <w:color w:val="000000"/>
          <w:sz w:val="24"/>
        </w:rPr>
        <w:t xml:space="preserve">quỹ đất đô thị hạn chế, mật độ dân cư cao và nhu cầu sử dụng đất ở lớn</w:t>
      </w:r>
      <w:r>
        <w:rPr>
          <w:rFonts w:ascii="Times New Roman" w:hAnsi="Times New Roman" w:eastAsia="Times New Roman" w:cs="Times New Roman"/>
          <w:b w:val="0"/>
          <w:bCs w:val="0"/>
          <w:color w:val="000000"/>
          <w:sz w:val="24"/>
        </w:rPr>
        <w:t xml:space="preserve">. Các loại hình tài sản như đất ở, nhà ở riêng lẻ, nhà trong ngõ và nhà kết hợp kinh doanh có lợi thế nhất định nhờ nằm trong khu vực đô thị đã phát triển, có hệ thống dịch vụ, thương mại và hạ tầng xã hội tương đối đầy đủ. Giá trị bất động sản tại đây chị</w:t>
      </w:r>
      <w:r>
        <w:rPr>
          <w:rFonts w:ascii="Times New Roman" w:hAnsi="Times New Roman" w:eastAsia="Times New Roman" w:cs="Times New Roman"/>
          <w:b w:val="0"/>
          <w:bCs w:val="0"/>
          <w:color w:val="000000"/>
          <w:sz w:val="24"/>
        </w:rPr>
        <w:t xml:space="preserve">u ảnh hưởng đáng kể bởi vị trí thửa đất, khả năng tiếp cận giao thông, chiều rộng mặt đường/ngõ, hình dạng và diện tích thửa đất, mục đích sử dụng đất, tình trạng pháp lý, khả năng xây dựng và khả năng khai thác kinh doanh.</w:t>
      </w:r>
      <w:r>
        <w:rPr>
          <w:b w:val="0"/>
          <w:bCs w:val="0"/>
        </w:rPr>
      </w:r>
      <w:r>
        <w:rPr>
          <w:b w:val="0"/>
          <w:bCs w:val="0"/>
        </w:rPr>
      </w:r>
    </w:p>
    <w:p>
      <w:pPr>
        <w:pBdr>
          <w:top w:val="none" w:color="000000" w:sz="4" w:space="0"/>
          <w:left w:val="none" w:color="000000" w:sz="4" w:space="0"/>
          <w:bottom w:val="none" w:color="000000" w:sz="4" w:space="0"/>
          <w:right w:val="none" w:color="000000" w:sz="4" w:space="0"/>
        </w:pBdr>
        <w:spacing/>
        <w:ind w:right="0" w:firstLine="0" w:left="0"/>
        <w:jc w:val="both"/>
        <w:rPr>
          <w:b w:val="0"/>
          <w:bCs w:val="0"/>
        </w:rPr>
      </w:pPr>
      <w:r>
        <w:rPr>
          <w:rFonts w:ascii="Times New Roman" w:hAnsi="Times New Roman" w:eastAsia="Times New Roman" w:cs="Times New Roman"/>
          <w:b w:val="0"/>
          <w:bCs w:val="0"/>
          <w:color w:val="000000"/>
          <w:sz w:val="24"/>
        </w:rPr>
        <w:t xml:space="preserve">Trong bối cảnh thị trường năm 2026 có xu hướng thận trọng hơn, người mua có xu hướng quan tâm nhiều hơn đến </w:t>
      </w:r>
      <w:r>
        <w:rPr>
          <w:rFonts w:ascii="Times New Roman" w:hAnsi="Times New Roman" w:eastAsia="Times New Roman" w:cs="Times New Roman"/>
          <w:b w:val="0"/>
          <w:bCs w:val="0"/>
          <w:color w:val="000000"/>
          <w:sz w:val="24"/>
        </w:rPr>
        <w:t xml:space="preserve">giá trị sử dụng thực tế, tính pháp lý và khả năng khai thác của bất động sản</w:t>
      </w:r>
      <w:r>
        <w:rPr>
          <w:rFonts w:ascii="Times New Roman" w:hAnsi="Times New Roman" w:eastAsia="Times New Roman" w:cs="Times New Roman"/>
          <w:b w:val="0"/>
          <w:bCs w:val="0"/>
          <w:color w:val="000000"/>
          <w:sz w:val="24"/>
        </w:rPr>
        <w:t xml:space="preserve">, thay vì chỉ kỳ vọng vào mức tăng giá trong tương lai. Điều này đặc biệt có ý nghĩa đối với các tài sản nhà đất tại khu vực nội đô như Tương Mai, nơi giá trị bất động sản được hình thành chủ yếu từ vị trí, mức độ hoàn thiện của hạ tầng đô thị, khả năng kế</w:t>
      </w:r>
      <w:r>
        <w:rPr>
          <w:rFonts w:ascii="Times New Roman" w:hAnsi="Times New Roman" w:eastAsia="Times New Roman" w:cs="Times New Roman"/>
          <w:b w:val="0"/>
          <w:bCs w:val="0"/>
          <w:color w:val="000000"/>
          <w:sz w:val="24"/>
        </w:rPr>
        <w:t xml:space="preserve">t nối giao thông và nhu cầu ở thực. Báo cáo thị trường năm 2026 cũng cho thấy nguồn cung nhà ở đang có sự dịch chuyển ra ngoài khu vực lõi do quỹ đất nội đô ngày càng hạn chế, trong khi người mua ngày càng xem xét kỹ hơn các yếu tố về giá, pháp lý, vị trí </w:t>
      </w:r>
      <w:r>
        <w:rPr>
          <w:rFonts w:ascii="Times New Roman" w:hAnsi="Times New Roman" w:eastAsia="Times New Roman" w:cs="Times New Roman"/>
          <w:b w:val="0"/>
          <w:bCs w:val="0"/>
          <w:color w:val="000000"/>
          <w:sz w:val="24"/>
        </w:rPr>
        <w:t xml:space="preserve">và tiềm năng tăng giá dài hạn. </w:t>
      </w:r>
      <w:r>
        <w:rPr>
          <w:b w:val="0"/>
          <w:bCs w:val="0"/>
        </w:rPr>
      </w:r>
      <w:r>
        <w:rPr>
          <w:b w:val="0"/>
          <w:bCs w:val="0"/>
        </w:rPr>
      </w:r>
    </w:p>
    <w:p>
      <w:pPr>
        <w:pBdr>
          <w:top w:val="none" w:color="000000" w:sz="4" w:space="0"/>
          <w:left w:val="none" w:color="000000" w:sz="4" w:space="0"/>
          <w:bottom w:val="none" w:color="000000" w:sz="4" w:space="0"/>
          <w:right w:val="none" w:color="000000" w:sz="4" w:space="0"/>
        </w:pBdr>
        <w:spacing/>
        <w:ind w:right="0" w:firstLine="0" w:left="0"/>
        <w:jc w:val="both"/>
        <w:rPr>
          <w:b w:val="0"/>
          <w:bCs w:val="0"/>
        </w:rPr>
      </w:pPr>
      <w:r>
        <w:rPr>
          <w:rFonts w:ascii="Times New Roman" w:hAnsi="Times New Roman" w:eastAsia="Times New Roman" w:cs="Times New Roman"/>
          <w:b w:val="0"/>
          <w:bCs w:val="0"/>
          <w:color w:val="000000"/>
          <w:sz w:val="24"/>
        </w:rPr>
        <w:t xml:space="preserve">Về triển vọng, phường Tương Mai có những điều kiện thuận lợi để duy trì giá trị bất động sản trong trung và dài hạn nhờ vị trí trong khu vực đô thị trung tâm, dân số lớn, nhu cầu nhà ở cao và tiếp tục được hưởng lợi từ quá trình hoàn thiện hệ thống hạ tầng</w:t>
      </w:r>
      <w:r>
        <w:rPr>
          <w:rFonts w:ascii="Times New Roman" w:hAnsi="Times New Roman" w:eastAsia="Times New Roman" w:cs="Times New Roman"/>
          <w:b w:val="0"/>
          <w:bCs w:val="0"/>
          <w:color w:val="000000"/>
          <w:sz w:val="24"/>
        </w:rPr>
        <w:t xml:space="preserve"> giao thông của Hà Nội. Tuy nhiên, thị trường cũng chịu tác động từ mặt bằng giá nhà đất cao, khả năng chi trả của người dân, lãi suất và xu hướng thận trọng của người mua. Theo đánh giá của VARS, giá đất và lãi suất là những yếu tố có thể tạo áp lực đối v</w:t>
      </w:r>
      <w:r>
        <w:rPr>
          <w:rFonts w:ascii="Times New Roman" w:hAnsi="Times New Roman" w:eastAsia="Times New Roman" w:cs="Times New Roman"/>
          <w:b w:val="0"/>
          <w:bCs w:val="0"/>
          <w:color w:val="000000"/>
          <w:sz w:val="24"/>
        </w:rPr>
        <w:t xml:space="preserve">ới thị trường bất động sản năm 2026, làm cho thanh khoản giữa các khu vực và phân khúc có sự phân hóa mạnh. </w:t>
      </w:r>
      <w:r>
        <w:rPr>
          <w:b w:val="0"/>
          <w:bCs w:val="0"/>
        </w:rPr>
      </w:r>
      <w:r>
        <w:rPr>
          <w:b w:val="0"/>
          <w:bCs w:val="0"/>
        </w:rPr>
      </w:r>
    </w:p>
    <w:p>
      <w:pPr>
        <w:pBdr>
          <w:top w:val="none" w:color="000000" w:sz="4" w:space="0"/>
          <w:left w:val="none" w:color="000000" w:sz="4" w:space="0"/>
          <w:bottom w:val="none" w:color="000000" w:sz="4" w:space="0"/>
          <w:right w:val="none" w:color="000000" w:sz="4" w:space="0"/>
        </w:pBdr>
        <w:spacing/>
        <w:ind w:right="0" w:firstLine="0" w:left="0"/>
        <w:jc w:val="both"/>
        <w:rPr>
          <w:b w:val="0"/>
          <w:bCs w:val="0"/>
        </w:rPr>
      </w:pPr>
      <w:r>
        <w:rPr>
          <w:rFonts w:ascii="Times New Roman" w:hAnsi="Times New Roman" w:eastAsia="Times New Roman" w:cs="Times New Roman"/>
          <w:b w:val="0"/>
          <w:bCs w:val="0"/>
          <w:color w:val="000000"/>
          <w:sz w:val="24"/>
        </w:rPr>
        <w:t xml:space="preserve">Nhìn chung, thị trường bất động sản tại phường Tương Mai năm 2026 được đánh giá là thị trường đô thị có nhu cầu thực tương đối cao, giá trị bất động sản ở mức cao và nguồn cung đất ở hạn chế.</w:t>
      </w:r>
      <w:r>
        <w:rPr>
          <w:rFonts w:ascii="Times New Roman" w:hAnsi="Times New Roman" w:eastAsia="Times New Roman" w:cs="Times New Roman"/>
          <w:b w:val="0"/>
          <w:bCs w:val="0"/>
          <w:color w:val="000000"/>
          <w:sz w:val="24"/>
        </w:rPr>
        <w:t xml:space="preserve"> Tuy nhiên, thanh khoản đang có sự phân hóa, các tài sản có vị trí thuận lợi, pháp lý rõ ràng, khả năng sử dụng và khai thác tốt vẫn có khả năng giao dịch tốt hơn. Vì vậy, khi thẩm định giá tài sản tại phường Tương Mai, cần đặc biệt chú trọng đến các yếu t</w:t>
      </w:r>
      <w:r>
        <w:rPr>
          <w:rFonts w:ascii="Times New Roman" w:hAnsi="Times New Roman" w:eastAsia="Times New Roman" w:cs="Times New Roman"/>
          <w:b w:val="0"/>
          <w:bCs w:val="0"/>
          <w:color w:val="000000"/>
          <w:sz w:val="24"/>
        </w:rPr>
        <w:t xml:space="preserve">ố vị trí, diện tích, mặt tiền, điều kiện giao thông, khả năng kinh doanh, mục đích sử dụng đất, tình trạng pháp lý và các giao dịch bất động sản có đặc điểm tương đồng trong khu vực lân cận tại thời điểm thẩm định</w:t>
      </w:r>
      <w:r>
        <w:rPr>
          <w:b w:val="0"/>
          <w:bCs w:val="0"/>
        </w:rPr>
      </w:r>
      <w:r>
        <w:rPr>
          <w:b w:val="0"/>
          <w:bCs w:val="0"/>
        </w:rPr>
      </w:r>
    </w:p>
    <w:p>
      <w:pPr>
        <w:pBdr/>
        <w:tabs>
          <w:tab w:val="left" w:leader="none" w:pos="426"/>
        </w:tabs>
        <w:spacing w:after="120" w:before="120" w:line="276" w:lineRule="auto"/>
        <w:ind/>
        <w:rPr>
          <w:bCs/>
          <w:i/>
          <w:highlight w:val="none"/>
          <w:lang w:val="pt-BR"/>
        </w:rPr>
      </w:pPr>
      <w:r>
        <w:rPr>
          <w:lang w:val="pt-BR"/>
        </w:rPr>
      </w:r>
      <w:r>
        <w:rPr>
          <w:i/>
          <w:iCs/>
          <w:lang w:val="pt-BR"/>
        </w:rPr>
        <w:t xml:space="preserve">(</w:t>
      </w:r>
      <w:r>
        <w:rPr>
          <w:i/>
          <w:iCs/>
          <w:lang w:val="pt-BR"/>
        </w:rPr>
        <w:t xml:space="preserve">https://vietnamnet.vn/chung-cu-ha-noi-roi-noi-do-nguoi-mua-ngay-cang-kho-xuong-tien-2544646.html?utm</w:t>
      </w:r>
      <w:r>
        <w:rPr>
          <w:bCs/>
          <w:i/>
          <w:highlight w:val="none"/>
          <w:lang w:val="pt-BR"/>
        </w:rPr>
        <w:t xml:space="preserve">)</w:t>
      </w:r>
      <w:r>
        <w:rPr>
          <w:bCs/>
          <w:i/>
          <w:highlight w:val="none"/>
          <w:lang w:val="pt-BR"/>
        </w:rPr>
      </w:r>
      <w:r>
        <w:rPr>
          <w:bCs/>
          <w:i/>
          <w:highlight w:val="none"/>
          <w:lang w:val="pt-BR"/>
        </w:rPr>
      </w:r>
    </w:p>
    <w:p>
      <w:pPr>
        <w:pStyle w:val="1031"/>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33, tờ bản đồ số: 37, có địa chỉ: Số 11 ngõ 191 Giáp Bát, phường Giáp Bát, Quận Hoàng Mai, Thành phố Hà Nội (Nay là phường Tương Mai, Thành phố Hà Nội) theo Giấy chứng nhận quy</w:t>
            </w:r>
            <w:r>
              <w:rPr>
                <w:b/>
                <w:bCs/>
                <w:color w:val="000000"/>
              </w:rPr>
              <w:t xml:space="preserve">ền sử dụng đất quyền sở hữu nhà ở và tài sản khác gắn liền với đất số: DI 726892, số vào sổ cấp GCN: CN 00968 do Chi nhánh Văn phòng đăng kí đất đại Hà Nội Quận Hoàng Mai cấp ngày 18/07/2023, Chủ sử dụng đất là Ông Đặng Tuấn Anh và Bà Nguyễn Thị Hồng Hạnh.</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33</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37</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Phường Giáp Bát, Quận Hoàng Mai,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104,5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104,5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Được tặng cho đất được Công nhận QSDĐ như giao đất có thu tiền sử dụng đất.</w:t>
            </w:r>
            <w:r>
              <w:rPr>
                <w:color w:val="000000"/>
              </w:rPr>
            </w:r>
            <w:r>
              <w:rPr>
                <w:color w:val="000000"/>
              </w:rPr>
            </w:r>
          </w:p>
        </w:tc>
      </w:tr>
      <w:tr>
        <w:trPr>
          <w:trHeight w:val="1582"/>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w:t>
            </w:r>
            <w:r>
              <w:rPr>
                <w:rFonts w:ascii="Times New Roman" w:hAnsi="Times New Roman" w:eastAsia="Times New Roman" w:cs="Times New Roman"/>
                <w:color w:val="000000"/>
                <w:sz w:val="24"/>
              </w:rPr>
              <w:t xml:space="preserve">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Meey map xác định vị t</w:t>
            </w:r>
            <w:r>
              <w:rPr>
                <w:rFonts w:ascii="Times New Roman" w:hAnsi="Times New Roman" w:eastAsia="Times New Roman" w:cs="Times New Roman"/>
                <w:color w:val="000000"/>
                <w:sz w:val="24"/>
              </w:rPr>
              <w:t xml:space="preserve">rí tài sản thuộc quy hoạch đất ở.</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4"/>
            <w:tcBorders/>
            <w:tcW w:w="8781" w:type="dxa"/>
            <w:vAlign w:val="center"/>
            <w:vMerge w:val="restart"/>
            <w:textDirection w:val="lrTb"/>
            <w:noWrap w:val="false"/>
          </w:tcPr>
          <w:p>
            <w:pPr>
              <w:pBdr/>
              <w:spacing/>
              <w:ind/>
              <w:jc w:val="both"/>
              <w:rPr>
                <w:color w:val="000000"/>
              </w:rPr>
            </w:pPr>
            <w:r>
              <w:rPr>
                <w:color w:val="000000"/>
              </w:rPr>
            </w:r>
            <w:r>
              <mc:AlternateContent>
                <mc:Choice Requires="wpg">
                  <w:drawing>
                    <wp:inline xmlns:wp="http://schemas.openxmlformats.org/drawingml/2006/wordprocessingDrawing" distT="0" distB="0" distL="0" distR="0">
                      <wp:extent cx="5516554" cy="289330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481548" name=""/>
                              <pic:cNvPicPr>
                                <a:picLocks noChangeAspect="1"/>
                              </pic:cNvPicPr>
                              <pic:nvPr/>
                            </pic:nvPicPr>
                            <pic:blipFill rotWithShape="1">
                              <a:blip r:embed="rId17"/>
                              <a:stretch/>
                            </pic:blipFill>
                            <pic:spPr bwMode="auto">
                              <a:xfrm flipH="0" flipV="0">
                                <a:off x="0" y="0"/>
                                <a:ext cx="5516553" cy="28932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4.37pt;height:227.82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Mặt ngõ (Đường bê tông) </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2,6</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2,6</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sản nằm tiếp giáp ngõ 191 đường Giáp Bát, cách đường Giáp Bát khoảng 100m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highlight w:val="none"/>
              </w:rPr>
            </w:pPr>
            <w:r/>
            <w:bookmarkStart w:id="3" w:name="OLE_LINK1"/>
            <w:r>
              <w:rPr>
                <w:color w:val="000000" w:themeColor="text1"/>
              </w:rPr>
            </w:r>
            <w:bookmarkEnd w:id="3"/>
            <w:r>
              <w:rPr>
                <w:color w:val="000000" w:themeColor="text1"/>
              </w:rPr>
              <w:t xml:space="preserve">Hướng Nam: Tiếp giáp mặt ngõ 191 đường Giáp Bát </w:t>
            </w:r>
            <w:r>
              <w:rPr>
                <w:color w:val="000000" w:themeColor="text1"/>
                <w:highlight w:val="none"/>
              </w:rPr>
            </w:r>
            <w:r>
              <w:rPr>
                <w:color w:val="000000" w:themeColor="text1"/>
                <w:highlight w:val="none"/>
              </w:rPr>
            </w:r>
          </w:p>
          <w:p>
            <w:pPr>
              <w:pBdr/>
              <w:spacing/>
              <w:ind/>
              <w:rPr>
                <w:color w:val="000000" w:themeColor="text1"/>
              </w:rPr>
            </w:pPr>
            <w:r>
              <w:rPr>
                <w:color w:val="000000" w:themeColor="text1"/>
                <w:highlight w:val="none"/>
              </w:rPr>
              <w:t xml:space="preserve">Các hướng còn lại: Tiếp giáp các thửa đất khác </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20.9845</w:t>
            </w:r>
            <w:r>
              <w:rPr>
                <w:color w:val="000000"/>
              </w:rPr>
              <w:t xml:space="preserve">, </w:t>
            </w:r>
            <w:r>
              <w:rPr>
                <w:color w:val="000000"/>
              </w:rPr>
              <w:t xml:space="preserve">105.84413888889</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5464599" cy="313663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26364" name=""/>
                              <pic:cNvPicPr>
                                <a:picLocks noChangeAspect="1"/>
                              </pic:cNvPicPr>
                              <pic:nvPr/>
                            </pic:nvPicPr>
                            <pic:blipFill rotWithShape="1">
                              <a:blip r:embed="rId18"/>
                              <a:stretch/>
                            </pic:blipFill>
                            <pic:spPr bwMode="auto">
                              <a:xfrm flipH="0" flipV="0">
                                <a:off x="0" y="0"/>
                                <a:ext cx="5464599" cy="31366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0.28pt;height:246.98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104,5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5,24</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15,2</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định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hợp để ở</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left"/>
              <w:rPr>
                <w:color w:val="000000"/>
              </w:rPr>
            </w:pPr>
            <w:r>
              <w:rPr>
                <w:color w:val="000000"/>
              </w:rPr>
            </w:r>
            <w:r>
              <w:rPr>
                <w:color w:val="000000"/>
              </w:rPr>
              <w:t xml:space="preserve">Tại thời điểm khảo sát, trên đất có công trình trên đất có công trình nhà 3 tầng</w:t>
            </w:r>
            <w:r>
              <w:rPr>
                <w:color w:val="000000"/>
              </w:rPr>
              <w:t xml:space="preserve">, </w:t>
            </w:r>
            <w:r>
              <w:rPr>
                <w:color w:val="000000"/>
              </w:rPr>
              <w:t xml:space="preserve">kết cấu BTCT, tường xây gạch chịu lực, sàn lát gạch men, ngoại quan khá. Diện tích xây dựng</w:t>
            </w:r>
            <w:r>
              <w:rPr>
                <w:color w:val="000000"/>
              </w:rPr>
              <w:t xml:space="preserve">, diện tích xây dựng khoảng 87 </w:t>
            </w:r>
            <w:r>
              <w:rPr>
                <w:color w:val="000000"/>
              </w:rPr>
              <w:t xml:space="preserve">m²</w:t>
            </w:r>
            <w:r>
              <w:rPr>
                <w:color w:val="000000"/>
              </w:rPr>
              <w:t xml:space="preserve">/ sàn</w:t>
            </w:r>
            <w:r>
              <w:rPr>
                <w:color w:val="000000"/>
              </w:rPr>
              <w:t xml:space="preserve">, </w:t>
            </w:r>
            <w:r>
              <w:rPr>
                <w:color w:val="000000"/>
              </w:rPr>
              <w:t xml:space="preserve">sửa lại 2023,</w:t>
            </w:r>
            <w:r>
              <w:rPr>
                <w:color w:val="000000"/>
              </w:rPr>
              <w:t xml:space="preserve">diện tích sử dụng khoảng 261m2.</w:t>
            </w:r>
            <w:r>
              <w:rPr>
                <w:color w:val="000000"/>
              </w:rPr>
              <w:t xml:space="preserve"> Công trình chưa được ghi nhận trên sổ. </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0"/>
        <w:jc w:val="both"/>
        <w:rPr>
          <w:u w:val="single"/>
        </w:rPr>
      </w:pPr>
      <w:r>
        <w:rPr>
          <w:u w:val="single"/>
        </w:rPr>
      </w:r>
      <w:r>
        <w:rPr>
          <w:u w:val="single"/>
        </w:rPr>
      </w:r>
      <w:r>
        <w:rPr>
          <w:u w:val="single"/>
        </w:rPr>
      </w:r>
    </w:p>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1"/>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1"/>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1"/>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1"/>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1"/>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1"/>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Tương Mai,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Hoàng Mai,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Tương Mai,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Tương Mai, Thành phố Hà Nội</w:t>
            </w:r>
            <w:r>
              <w:rPr>
                <w:sz w:val="22"/>
                <w:szCs w:val="22"/>
                <w:highlight w:val="white"/>
              </w:rPr>
            </w:r>
            <w:r>
              <w:rPr>
                <w:sz w:val="22"/>
                <w:szCs w:val="22"/>
                <w:highlight w:val="white"/>
              </w:rPr>
            </w:r>
          </w:p>
        </w:tc>
      </w:tr>
      <w:tr>
        <w:trPr>
          <w:trHeight w:val="459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https://www.facebook.com/groups/hoiniengranghnoi/posts/1705438584041189/</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t>
            </w:r>
            <w:r>
              <w:rPr>
                <w:color w:val="000000" w:themeColor="text1"/>
                <w:sz w:val="22"/>
                <w:szCs w:val="22"/>
              </w:rPr>
              <w:t xml:space="preserve">guland.vn/post/can-ban-nhanh-duoi-10ty-sieu-pham-40m-x-5-tang-thang-may-tang-noi-that-ngo-nong-ba-gac-phi-truoc-nha-42m-thoang-tt-hoang-mai-hai-ba-trung-gan-truong-dinh-cho-giao-thong-thuan-tien-gan-cac-truong-dai-hoc-lon-bach-kinh-xay-truoc-nha-la-2325232</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0974175026</w:t>
            </w:r>
            <w:r>
              <w:rPr>
                <w:sz w:val="22"/>
                <w:szCs w:val="22"/>
              </w:rPr>
              <w:t xml:space="preserve"> </w:t>
            </w:r>
            <w:r>
              <w:rPr>
                <w:sz w:val="22"/>
                <w:szCs w:val="22"/>
              </w:rPr>
              <w:br/>
              <w:t xml:space="preserve">(</w:t>
            </w:r>
            <w:r>
              <w:rPr>
                <w:sz w:val="22"/>
                <w:szCs w:val="22"/>
              </w:rPr>
              <w:t xml:space="preserve">Duy</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0962379658</w:t>
            </w:r>
            <w:r>
              <w:rPr>
                <w:sz w:val="22"/>
                <w:szCs w:val="22"/>
              </w:rPr>
              <w:br/>
            </w:r>
            <w:r>
              <w:rPr>
                <w:sz w:val="22"/>
                <w:szCs w:val="22"/>
              </w:rPr>
              <w:t xml:space="preserve">(</w:t>
            </w:r>
            <w:r>
              <w:rPr>
                <w:sz w:val="22"/>
                <w:szCs w:val="22"/>
              </w:rPr>
              <w:t xml:space="preserve">Nhung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0981909134</w:t>
            </w:r>
            <w:r>
              <w:rPr>
                <w:sz w:val="22"/>
                <w:szCs w:val="22"/>
              </w:rPr>
              <w:br/>
            </w:r>
            <w:r>
              <w:rPr>
                <w:sz w:val="22"/>
                <w:szCs w:val="22"/>
              </w:rPr>
              <w:t xml:space="preserve">(</w:t>
            </w:r>
            <w:r>
              <w:rPr>
                <w:sz w:val="22"/>
                <w:szCs w:val="22"/>
              </w:rPr>
              <w:t xml:space="preserve">Vương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Đang giao dịch</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Đang giao dịch</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Đang giao dịch</w:t>
            </w:r>
            <w:r>
              <w:rPr>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Tương Mai, Thành phố Hà Nội,</w:t>
            </w:r>
            <w:r>
              <w:rPr>
                <w:color w:val="000000" w:themeColor="text1"/>
                <w:highlight w:val="white"/>
              </w:rPr>
              <w:t xml:space="preserve">Tài sản nằm tiếp giáp ngõ 191 đường Giáp Bát, cách đường Giáp Bát khoảng 100m</w:t>
            </w:r>
            <w:r>
              <w:rPr>
                <w:color w:val="000000" w:themeColor="text1"/>
                <w:sz w:val="22"/>
                <w:szCs w:val="22"/>
                <w:highlight w:val="white"/>
              </w:rPr>
              <w:t xml:space="preserve">, 20.9845, 105.84413888889</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tại:Phường Hoàng Mai, Thành phố Hà Nội, Tài sản nằm trong ngõ,cách đường Giáp Nhị khoảng 300m  20.97725620518384, 105.84321436704242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Tài sản tại: Phường Tương Mai, Thành phố Hà Nội, Tài sản nằm trong ngõ 149 đường Giáp Bát, cách đường Giáp Bát khoảng 400m, 20.9860839, 105.8437067</w:t>
            </w:r>
            <w:r>
              <w:rPr>
                <w:b/>
                <w:bCs/>
                <w:color w:val="000000"/>
                <w:sz w:val="22"/>
                <w:szCs w:val="22"/>
                <w:highlight w:val="white"/>
              </w:rPr>
            </w:r>
            <w:r>
              <w:rPr>
                <w:b/>
                <w:bCs/>
                <w:color w:val="000000"/>
                <w:sz w:val="22"/>
                <w:szCs w:val="22"/>
                <w:highlight w:val="white"/>
              </w:rPr>
            </w:r>
          </w:p>
          <w:p>
            <w:pPr>
              <w:pBdr/>
              <w:spacing/>
              <w:ind/>
              <w:jc w:val="center"/>
              <w:rPr>
                <w:color w:val="000000"/>
                <w:sz w:val="22"/>
                <w:szCs w:val="22"/>
                <w:highlight w:val="yellow"/>
              </w:rPr>
            </w:pPr>
            <w:r>
              <w:rPr>
                <w:color w:val="000000" w:themeColor="text1"/>
                <w:sz w:val="22"/>
                <w:szCs w:val="22"/>
                <w:highlight w:val="yellow"/>
              </w:rPr>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Phường Tương Mai, Thành phố Hà Nội, Tài sản nằm trên ngõ 121 đường Giáp Bát, cách đường Giáp Bát Khoảng 200m, 20.9865, 105.843236</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r>
            <w:r>
              <w:rPr>
                <w:color w:val="000000" w:themeColor="text1"/>
                <w:sz w:val="22"/>
                <w:szCs w:val="22"/>
              </w:rPr>
              <w:t xml:space="preserve">Vị trí tương quan giữa TSTĐ và các TSSS</w:t>
            </w:r>
            <w:r>
              <w:rPr>
                <w:color w:val="000000" w:themeColor="text1"/>
                <w:sz w:val="22"/>
                <w:szCs w:val="22"/>
              </w:rPr>
            </w:r>
            <w:r>
              <w:rPr>
                <w:color w:val="000000" w:themeColor="text1"/>
                <w:sz w:val="22"/>
                <w:szCs w:val="22"/>
              </w:rPr>
            </w:r>
          </w:p>
          <w:p>
            <w:pPr>
              <w:pBdr/>
              <w:spacing/>
              <w:ind/>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gridSpan w:val="4"/>
            <w:tcBorders>
              <w:top w:val="none" w:color="000000" w:sz="4" w:space="0"/>
              <w:left w:val="none" w:color="000000" w:sz="4" w:space="0"/>
              <w:bottom w:val="single" w:color="000000" w:sz="4" w:space="0"/>
              <w:right w:val="single" w:color="000000" w:sz="4" w:space="0"/>
            </w:tcBorders>
            <w:tcW w:w="6968"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rPr>
              <mc:AlternateContent>
                <mc:Choice Requires="wpg">
                  <w:drawing>
                    <wp:inline xmlns:wp="http://schemas.openxmlformats.org/drawingml/2006/wordprocessingDrawing" distT="0" distB="0" distL="0" distR="0">
                      <wp:extent cx="4372419" cy="2540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443754822" name="" descr=""/>
                              <pic:cNvPicPr/>
                              <pic:nvPr/>
                            </pic:nvPicPr>
                            <pic:blipFill rotWithShape="1">
                              <a:blip r:embed="rId19"/>
                              <a:stretch/>
                            </pic:blipFill>
                            <pic:spPr bwMode="auto">
                              <a:xfrm rot="0" flipH="0" flipV="0">
                                <a:off x="0" y="0"/>
                                <a:ext cx="4372419"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44.28pt;height:200.00pt;mso-wrap-distance-left:0.00pt;mso-wrap-distance-top:0.00pt;mso-wrap-distance-right:0.00pt;mso-wrap-distance-bottom:0.00pt;rotation:0;z-index:1;" stroked="false">
                      <v:imagedata r:id="rId19" o:title=""/>
                      <o:lock v:ext="edit" rotation="t"/>
                    </v:shape>
                  </w:pict>
                </mc:Fallback>
              </mc:AlternateConten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Mặt tiền bị che chắn bởi cột điện, Ngõ cụt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hd w:val="nil" w:color="000000"/>
              <w:spacing/>
              <w:ind/>
              <w:jc w:val="center"/>
              <w:rPr>
                <w:sz w:val="22"/>
                <w:szCs w:val="22"/>
                <w:highlight w:val="white"/>
                <w14:ligatures w14:val="none"/>
              </w:rPr>
            </w:pPr>
            <w:r>
              <w:rPr>
                <w:sz w:val="22"/>
                <w:szCs w:val="22"/>
                <w:highlight w:val="white"/>
              </w:rPr>
            </w:r>
            <w:r>
              <w:rPr>
                <w:sz w:val="22"/>
                <w:szCs w:val="22"/>
                <w:highlight w:val="white"/>
              </w:rPr>
              <w:t xml:space="preserve">Tà</w:t>
            </w:r>
            <w:r>
              <w:rPr>
                <w:sz w:val="22"/>
                <w:szCs w:val="22"/>
                <w:highlight w:val="white"/>
              </w:rPr>
              <w:t xml:space="preserve">i sản trên đ</w:t>
            </w:r>
            <w:r>
              <w:rPr>
                <w:sz w:val="22"/>
                <w:szCs w:val="22"/>
                <w:highlight w:val="white"/>
              </w:rPr>
              <w:t xml:space="preserve">ất</w:t>
            </w:r>
            <w:r>
              <w:rPr>
                <w:sz w:val="22"/>
                <w:szCs w:val="22"/>
                <w:highlight w:val="white"/>
                <w14:ligatures w14:val="none"/>
              </w:rPr>
            </w:r>
            <w:r>
              <w:rPr>
                <w:sz w:val="22"/>
                <w:szCs w:val="22"/>
                <w:highlight w:val="whit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Nhà 5 tầng, kết cấu khung chịu lực BTCT; tường bao xây gạch; sàn, mái BTCT đổ tại chỗ, không có tầng hầm - Diện tích xây dựng dưới 50m</w:t>
            </w:r>
            <w:r>
              <w:rPr>
                <w:rFonts w:ascii="Times New Roman" w:hAnsi="Times New Roman" w:eastAsia="Times New Roman" w:cs="Times New Roman"/>
                <w:color w:val="000000" w:themeColor="text1"/>
                <w:sz w:val="20"/>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Nhà 5 tầng, kết cấu khung chịu lực BTCT; tường bao xây gạch; sàn, mái BTCT đổ tại chỗ, không có tầng hầm - Diện tích xây dựng dưới 50m2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Nhà 5 tầng, kết cấu khung chịu lực BTCT; tường bao xây gạch; sàn, mái BTCT đổ tại chỗ, không có tầng hầm - Diện tích xây dựng dưới 50m2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rPr>
              <w:t xml:space="preserve">5</w:t>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t xml:space="preserve">242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215</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12.600.000.000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9.300.000.000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13.740.000.000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11.088.000.000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8.184.000.000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10.992.000.000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1.933.861.727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1.350.285.597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1.561.909.305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jc w:val="left"/>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r>
            <w:r>
              <w:rPr>
                <w:rFonts w:ascii="Times New Roman" w:hAnsi="Times New Roman" w:eastAsia="Times New Roman" w:cs="Times New Roman"/>
                <w:color w:val="000000" w:themeColor="text1"/>
                <w:spacing w:val="3"/>
                <w:sz w:val="24"/>
                <w:szCs w:val="24"/>
                <w:highlight w:val="white"/>
              </w:rPr>
              <w:t xml:space="preserve">Đơn giá xây dựng theo Quyết định số 425/QĐ-BXD ngày 30/3/2026 của Bộ Xây Dựng (đồng/m²)</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000000"/>
              <w:spacing/>
              <w:ind/>
              <w:jc w:val="center"/>
              <w:rPr>
                <w:highlight w:val="white"/>
                <w14:ligatures w14:val="none"/>
              </w:rPr>
            </w:pPr>
            <w:r>
              <w:rPr>
                <w:highlight w:val="white"/>
              </w:rPr>
              <w:t xml:space="preserve"> 8.089.144</w:t>
            </w:r>
            <w:r>
              <w:rPr>
                <w:highlight w:val="white"/>
                <w14:ligatures w14:val="none"/>
              </w:rPr>
            </w:r>
            <w:r>
              <w:rPr>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000000"/>
              <w:spacing/>
              <w:ind/>
              <w:jc w:val="center"/>
              <w:rPr>
                <w:highlight w:val="white"/>
                <w14:ligatures w14:val="none"/>
              </w:rPr>
            </w:pPr>
            <w:r>
              <w:rPr>
                <w:highlight w:val="white"/>
              </w:rPr>
            </w:r>
            <w:r>
              <w:rPr>
                <w:highlight w:val="white"/>
              </w:rPr>
              <w:t xml:space="preserve">8.089.144</w:t>
            </w:r>
            <w:r>
              <w:rPr>
                <w:highlight w:val="white"/>
                <w14:ligatures w14:val="none"/>
              </w:rPr>
            </w:r>
            <w:r>
              <w:rPr>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000000"/>
              <w:spacing/>
              <w:ind/>
              <w:jc w:val="center"/>
              <w:rPr>
                <w:highlight w:val="white"/>
                <w14:ligatures w14:val="none"/>
              </w:rPr>
            </w:pPr>
            <w:r>
              <w:rPr>
                <w:highlight w:val="white"/>
              </w:rPr>
            </w:r>
            <w:r>
              <w:rPr>
                <w:highlight w:val="white"/>
              </w:rPr>
              <w:t xml:space="preserve">8.089.144</w:t>
            </w:r>
            <w:r>
              <w:rPr>
                <w:highlight w:val="white"/>
                <w14:ligatures w14:val="none"/>
              </w:rPr>
            </w:r>
            <w:r>
              <w:rPr>
                <w:highlight w:val="white"/>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Tỷ lệ hao mòn (%)</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11.088.000.000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8.184.000.000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10.992.000.000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208.048.597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189.825.400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219.304.435</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1"/>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9.154.138.273</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6.833.714.403</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9.430.090.695</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208.048.597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189.825.400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219.304.435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rFonts w:ascii="Times New Roman" w:hAnsi="Times New Roman" w:eastAsia="Times New Roman" w:cs="Times New Roman"/>
                <w:color w:val="000000"/>
                <w:sz w:val="22"/>
              </w:rPr>
              <w:t xml:space="preserve">Có Giấy chứng nhận QSDĐ</w:t>
            </w:r>
            <w:r>
              <w:rPr>
                <w:color w:val="000000"/>
                <w:sz w:val="22"/>
                <w:szCs w:val="22"/>
                <w:highlight w:val="yellow"/>
              </w:rPr>
            </w:r>
            <w:r>
              <w:rPr>
                <w:color w:val="000000"/>
                <w:sz w:val="22"/>
                <w:szCs w:val="22"/>
                <w:highlight w:val="yellow"/>
              </w:rPr>
            </w:r>
          </w:p>
        </w:tc>
        <w:tc>
          <w:tcPr>
            <w:shd w:val="clear" w:color="000000" w:fill="ffffff"/>
            <w:tcBorders/>
            <w:tcW w:w="152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rFonts w:ascii="Times New Roman" w:hAnsi="Times New Roman" w:eastAsia="Times New Roman" w:cs="Times New Roman"/>
                <w:color w:val="000000"/>
                <w:sz w:val="22"/>
              </w:rPr>
              <w:t xml:space="preserve">Có Giấy chứng nhận QSDĐ</w:t>
            </w:r>
            <w:r>
              <w:rPr>
                <w:color w:val="000000"/>
                <w:sz w:val="22"/>
                <w:szCs w:val="22"/>
                <w:highlight w:val="yellow"/>
              </w:rPr>
            </w:r>
            <w:r>
              <w:rPr>
                <w:color w:val="000000"/>
                <w:sz w:val="22"/>
                <w:szCs w:val="22"/>
                <w:highlight w:val="yellow"/>
              </w:rPr>
            </w:r>
          </w:p>
        </w:tc>
        <w:tc>
          <w:tcPr>
            <w:shd w:val="clear" w:color="000000" w:fill="ffffff"/>
            <w:tcBorders/>
            <w:tcW w:w="152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rFonts w:ascii="Times New Roman" w:hAnsi="Times New Roman" w:eastAsia="Times New Roman" w:cs="Times New Roman"/>
                <w:color w:val="000000"/>
                <w:sz w:val="22"/>
              </w:rPr>
              <w:t xml:space="preserve">Có Giấy chứng nhận QSDĐ</w:t>
            </w:r>
            <w:r>
              <w:rPr>
                <w:color w:val="000000"/>
                <w:sz w:val="22"/>
                <w:szCs w:val="22"/>
                <w:highlight w:val="yellow"/>
              </w:rPr>
            </w:r>
            <w:r>
              <w:rPr>
                <w:color w:val="000000"/>
                <w:sz w:val="22"/>
                <w:szCs w:val="22"/>
                <w:highlight w:val="yellow"/>
              </w:rPr>
            </w:r>
          </w:p>
        </w:tc>
        <w:tc>
          <w:tcPr>
            <w:shd w:val="clear" w:color="000000" w:fill="ffffff"/>
            <w:tcBorders/>
            <w:tcW w:w="152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rFonts w:ascii="Times New Roman" w:hAnsi="Times New Roman" w:eastAsia="Times New Roman" w:cs="Times New Roman"/>
                <w:color w:val="000000"/>
                <w:sz w:val="22"/>
              </w:rPr>
              <w:t xml:space="preserve">Có Giấy chứng nhận QSDĐ</w:t>
            </w:r>
            <w:r>
              <w:rPr>
                <w:color w:val="000000"/>
                <w:sz w:val="22"/>
                <w:szCs w:val="22"/>
                <w:highlight w:val="yellow"/>
              </w:rPr>
            </w:r>
            <w:r>
              <w:rPr>
                <w:color w:val="000000"/>
                <w:sz w:val="22"/>
                <w:szCs w:val="22"/>
                <w:highlight w:val="yellow"/>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208.048.597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189.825.400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219.304.435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208.048.597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189.825.400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219.304.435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208.048.597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189.825.400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219.304.435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highlight w:val="white"/>
              </w:rPr>
            </w:pPr>
            <w:r>
              <w:rPr>
                <w:b/>
                <w:bCs/>
                <w:color w:val="000000"/>
                <w:sz w:val="22"/>
                <w:szCs w:val="22"/>
                <w:highlight w:val="yellow"/>
              </w:rPr>
            </w:r>
            <w:r>
              <w:rPr>
                <w:color w:val="000000" w:themeColor="text1"/>
                <w:sz w:val="22"/>
                <w:szCs w:val="22"/>
                <w:highlight w:val="white"/>
              </w:rPr>
              <w:t xml:space="preserve">Tài sản tại: </w:t>
            </w:r>
            <w:r>
              <w:rPr>
                <w:color w:val="000000" w:themeColor="text1"/>
                <w:sz w:val="22"/>
                <w:szCs w:val="22"/>
                <w:highlight w:val="white"/>
              </w:rPr>
              <w:t xml:space="preserve">Phường Tương Mai, Thành phố Hà Nội,</w:t>
            </w:r>
            <w:r>
              <w:rPr>
                <w:color w:val="000000" w:themeColor="text1"/>
                <w:highlight w:val="white"/>
              </w:rPr>
              <w:t xml:space="preserve">Tài sản nằm tiếp giáp ngõ 191 đường Giáp Bát, cách đường Giáp Bát khoảng 100m</w:t>
            </w:r>
            <w:r>
              <w:rPr>
                <w:color w:val="000000" w:themeColor="text1"/>
                <w:sz w:val="22"/>
                <w:szCs w:val="22"/>
                <w:highlight w:val="white"/>
              </w:rPr>
              <w:t xml:space="preserve">, 20.9845, 105.84413888889</w:t>
            </w:r>
            <w:r>
              <w:rPr>
                <w:color w:val="000000"/>
                <w:highlight w:val="white"/>
              </w:rPr>
            </w:r>
            <w:r>
              <w:rPr>
                <w:color w:val="000000"/>
                <w:highlight w:val="white"/>
              </w:rPr>
            </w:r>
          </w:p>
          <w:p>
            <w:pPr>
              <w:pBdr/>
              <w:spacing/>
              <w:ind/>
              <w:jc w:val="center"/>
              <w:rPr>
                <w:b/>
                <w:bCs/>
                <w:color w:val="000000"/>
                <w:sz w:val="22"/>
                <w:szCs w:val="22"/>
                <w:highlight w:val="yellow"/>
              </w:rPr>
            </w:pPr>
            <w:r>
              <w:rPr>
                <w:color w:val="000000" w:themeColor="text1"/>
                <w:sz w:val="22"/>
                <w:szCs w:val="22"/>
                <w:highlight w:val="yellow"/>
              </w:rPr>
            </w:r>
            <w:r>
              <w:rPr>
                <w:b/>
                <w:bCs/>
                <w:color w:val="000000"/>
                <w:sz w:val="22"/>
                <w:szCs w:val="22"/>
                <w:highlight w:val="yellow"/>
              </w:rPr>
            </w:r>
            <w:r>
              <w:rPr>
                <w:b/>
                <w:bCs/>
                <w:color w:val="000000"/>
                <w:sz w:val="22"/>
                <w:szCs w:val="22"/>
                <w:highlight w:val="yellow"/>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tại:Phường Hoàng Mai, Thành phố Hà Nội, Tài sản nằm trong ngõ,cách đường Giáp Nhị khoảng 300m  20.97725620518384, 105.84321436704242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Tài sản tại: Phường Tương Mai, Thành phố Hà Nội, Tài sản nằm trong ngõ 149 đường Giáp Bát, cách đường Giáp Bát khoảng 400m, 20.9860839, 105.8437067</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Phường Tương Mai, Thành phố Hà Nội, Tài sản nằm trên ngõ 121 đường Giáp Bát, cách đường Giáp Bát Khoảng 200m, 20.9865, 105.84323</w:t>
            </w: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p>
            <w:pPr>
              <w:pBdr/>
              <w:spacing/>
              <w:ind/>
              <w:jc w:val="center"/>
              <w:rPr>
                <w:b/>
                <w:bCs/>
                <w:color w:val="000000"/>
                <w:sz w:val="22"/>
                <w:szCs w:val="22"/>
                <w:highlight w:val="yellow"/>
              </w:rPr>
            </w:pPr>
            <w:r>
              <w:rPr>
                <w:color w:val="000000" w:themeColor="text1"/>
                <w:sz w:val="22"/>
                <w:szCs w:val="22"/>
                <w:highlight w:val="yellow"/>
              </w:rPr>
            </w:r>
            <w:r>
              <w:rPr>
                <w:b/>
                <w:bCs/>
                <w:color w:val="000000"/>
                <w:sz w:val="22"/>
                <w:szCs w:val="22"/>
                <w:highlight w:val="yellow"/>
              </w:rPr>
            </w:r>
            <w:r>
              <w:rPr>
                <w:b/>
                <w:bCs/>
                <w:color w:val="000000"/>
                <w:sz w:val="22"/>
                <w:szCs w:val="22"/>
                <w:highlight w:val="yellow"/>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208.048.597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189.825.400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219.304.435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208.048.597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189.825.400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219.304.435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-10.402.430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-9.491.270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197.646.167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180.334.130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219.304.435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-16.643.888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-17.084.286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-17.544.355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181.002.279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163.249.844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201.760.080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5,24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12.482.916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11.389.524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-17.544.355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193.485.195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174.639.368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184.215.725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-16.643.888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176.841.307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174.639.368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184.215.725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176.841.307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174.639.368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184.215.725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Mặt tiền bị che chắn bởi cột điện, Ngõ cụt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-20.804.860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-28.473.810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-32.895.665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156.036.447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146.165.558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151.320.060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156.036.447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146.165.558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151.320.060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151.174.022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3,22%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-3,31%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76.977.982</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66.438.890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67.984.375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52.012.150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43.659.842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67.984.375</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-3,31</w:t>
      </w:r>
      <w:r>
        <w:t xml:space="preserve">% đến</w:t>
      </w:r>
      <w:r>
        <w:t xml:space="preserve"> </w:t>
      </w:r>
      <w:r>
        <w:t xml:space="preserve"> </w:t>
      </w:r>
      <w:r>
        <w:t xml:space="preserve">3,22</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156.036.447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52.022.551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146.165.558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48.716.980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151.320.060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50.434.976</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151.174.507</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152.000.000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152.000.000</w:t>
      </w:r>
      <w:r>
        <w:rPr>
          <w:b/>
          <w:bCs/>
          <w:color w:val="000000" w:themeColor="text1"/>
        </w:rPr>
        <w:t xml:space="preserve"> </w:t>
      </w:r>
      <w:r>
        <w:rPr>
          <w:b/>
          <w:bCs/>
        </w:rPr>
        <w:t xml:space="preserve">đồng/m².</w:t>
      </w:r>
      <w:r>
        <w:rPr>
          <w:b/>
          <w:bCs/>
        </w:rPr>
      </w:r>
      <w:r>
        <w:rPr>
          <w:b/>
          <w:bCs/>
        </w:rPr>
      </w:r>
    </w:p>
    <w:p>
      <w:pPr>
        <w:pStyle w:val="1031"/>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1"/>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33, tờ bản đồ số: 37, có địa chỉ: Số 11 ngõ 191 Giáp Bát, phường Giáp Bát, Quận Hoàng Mai, Thành phố Hà Nội (Nay là phường Tương Mai, Thành phố Hà Nội) theo Giấy chứng nhận quy</w:t>
            </w:r>
            <w:r>
              <w:rPr>
                <w:color w:val="000000"/>
              </w:rPr>
              <w:t xml:space="preserve">ền sử dụng đất quyền sở hữu nhà ở và tài sản khác gắn liền với đất số: DI 726892, số vào sổ cấp GCN: CN 00968 do Chi nhánh Văn phòng đăng kí đất đại Hà Nội Quận Hoàng Mai cấp ngày 18/07/2023, Chủ sử dụng đất là Ông Đặng Tuấn Anh và Bà Nguyễn Thị Hồng Hạnh.</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104,5</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152.000.000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15.884.000.000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15.884.000.000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lăm tỷ tám trăm tám mươi bốn triệu đồng</w:t>
            </w:r>
            <w:r>
              <w:rPr>
                <w:b/>
                <w:bCs/>
                <w:i/>
                <w:iCs/>
                <w:color w:val="000000"/>
              </w:rPr>
              <w:t xml:space="preserve">./.)</w:t>
            </w:r>
            <w:r>
              <w:rPr>
                <w:b/>
                <w:bCs/>
                <w:i/>
                <w:iCs/>
                <w:color w:val="000000"/>
              </w:rPr>
            </w:r>
            <w:r>
              <w:rPr>
                <w:b/>
                <w:bCs/>
                <w:i/>
                <w:iCs/>
                <w:color w:val="000000"/>
              </w:rPr>
            </w:r>
          </w:p>
        </w:tc>
      </w:tr>
    </w:tbl>
    <w:p>
      <w:pPr>
        <w:pStyle w:val="1031"/>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1"/>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1"/>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1"/>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w:t>
      </w:r>
      <w:r>
        <w:rPr>
          <w:rFonts w:ascii="Times New Roman Bold" w:hAnsi="Times New Roman Bold"/>
          <w:b/>
          <w:bCs/>
          <w:spacing w:val="-4"/>
          <w:lang w:val="pt-BR"/>
        </w:rPr>
        <w:t xml:space="preserve">A KẾT QUẢ TH</w:t>
      </w:r>
      <w:r>
        <w:rPr>
          <w:rFonts w:ascii="Times New Roman Bold" w:hAnsi="Times New Roman Bold"/>
          <w:b/>
          <w:bCs/>
          <w:spacing w:val="-4"/>
          <w:lang w:val="pt-BR"/>
        </w:rPr>
        <w:t xml:space="preserve">ẨM ĐỊNH GIÁ</w:t>
      </w:r>
      <w:r>
        <w:rPr>
          <w:rFonts w:ascii="Times New Roman Bold" w:hAnsi="Times New Roman Bold"/>
          <w:b/>
          <w:spacing w:val="-4"/>
          <w:lang w:val="pt-BR"/>
        </w:rPr>
      </w:r>
      <w:r>
        <w:rPr>
          <w:rFonts w:ascii="Times New Roman Bold" w:hAnsi="Times New Roman Bold"/>
          <w:b/>
          <w:spacing w:val="-4"/>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1"/>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1"/>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1"/>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1"/>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1"/>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1"/>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1"/>
        <w:numPr>
          <w:ilvl w:val="0"/>
          <w:numId w:val="39"/>
        </w:numPr>
        <w:pBdr/>
        <w:tabs>
          <w:tab w:val="left" w:leader="none" w:pos="993"/>
        </w:tabs>
        <w:spacing w:after="120" w:before="120" w:line="288" w:lineRule="auto"/>
        <w:ind/>
        <w:jc w:val="both"/>
        <w:rPr>
          <w:lang w:val="vi-VN"/>
        </w:rPr>
      </w:pPr>
      <w:r>
        <w:rPr>
          <w:lang w:val="vi-VN"/>
        </w:rPr>
      </w:r>
      <w:r>
        <w:rPr>
          <w:lang w:val="vi-VN"/>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w:t>
      </w:r>
      <w:r>
        <w:rPr>
          <w:lang w:val="vi-VN"/>
        </w:rPr>
        <w:t xml:space="preserve">mô tả, nên nguồn định vị các tsss chỉ mang tính chính xác tương đối . Khách hàng và các bên thứ ba khi sử dụng kết quả thẩm định giá cần lưu ý khi sử dụng Chứng thư thẩm định giá</w:t>
      </w:r>
      <w:r>
        <w:rPr>
          <w:lang w:val="vi-VN"/>
        </w:rPr>
        <w:t xml:space="preserve">.</w:t>
      </w:r>
      <w:r>
        <w:rPr>
          <w:lang w:val="vi-VN"/>
        </w:rPr>
      </w:r>
      <w:r>
        <w:rPr>
          <w:lang w:val="vi-VN"/>
        </w:rPr>
      </w:r>
    </w:p>
    <w:p>
      <w:pPr>
        <w:pStyle w:val="1031"/>
        <w:numPr>
          <w:ilvl w:val="0"/>
          <w:numId w:val="39"/>
        </w:numPr>
        <w:pBdr/>
        <w:tabs>
          <w:tab w:val="left" w:leader="none" w:pos="993"/>
        </w:tabs>
        <w:spacing w:after="120" w:before="120" w:line="288" w:lineRule="auto"/>
        <w:ind/>
        <w:jc w:val="both"/>
        <w:rPr>
          <w:rFonts w:ascii="Times New Roman" w:hAnsi="Times New Roman" w:cs="Times New Roman"/>
          <w:sz w:val="24"/>
          <w:szCs w:val="24"/>
        </w:rPr>
      </w:pPr>
      <w:r>
        <w:rPr>
          <w:rFonts w:ascii="Times New Roman" w:hAnsi="Times New Roman" w:eastAsia="Times New Roman" w:cs="Times New Roman"/>
          <w:sz w:val="24"/>
          <w:szCs w:val="24"/>
          <w:highlight w:val="none"/>
          <w:lang w:val="vi-VN" w:bidi="vi-VN"/>
        </w:rPr>
      </w:r>
      <w:r>
        <w:rPr>
          <w:rFonts w:ascii="Times New Roman" w:hAnsi="Times New Roman" w:eastAsia="Times New Roman" w:cs="Times New Roman"/>
          <w:color w:val="081b3a"/>
          <w:spacing w:val="3"/>
          <w:sz w:val="24"/>
          <w:szCs w:val="24"/>
          <w:highlight w:val="white"/>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w:t>
      </w:r>
      <w:r>
        <w:rPr>
          <w:rFonts w:ascii="Times New Roman" w:hAnsi="Times New Roman" w:eastAsia="Times New Roman" w:cs="Times New Roman"/>
          <w:color w:val="081b3a"/>
          <w:spacing w:val="3"/>
          <w:sz w:val="24"/>
          <w:szCs w:val="24"/>
          <w:highlight w:val="white"/>
        </w:rPr>
        <w:t xml:space="preserve"> mô tả, nên nguồn định vị các tsss chỉ mang tính chính xác tương đối . Khách hàng và các bên thứ ba khi sử dụng kết quả thẩm định giá cần lưu ý khi sử dụng Chứng thư thẩm định giá.</w:t>
      </w:r>
      <w:r>
        <w:rPr>
          <w:rFonts w:ascii="Times New Roman" w:hAnsi="Times New Roman" w:eastAsia="Times New Roman" w:cs="Times New Roman"/>
          <w:sz w:val="24"/>
          <w:szCs w:val="24"/>
          <w:highlight w:val="none"/>
          <w:lang w:val="vi-VN" w:bidi="vi-VN"/>
        </w:rPr>
      </w:r>
      <w:r>
        <w:rPr>
          <w:rFonts w:ascii="Times New Roman" w:hAnsi="Times New Roman" w:eastAsia="Times New Roman" w:cs="Times New Roman"/>
          <w:sz w:val="24"/>
          <w:szCs w:val="24"/>
          <w:highlight w:val="none"/>
          <w:lang w:val="vi-VN"/>
        </w:rPr>
      </w:r>
    </w:p>
    <w:p>
      <w:pPr>
        <w:pStyle w:val="1031"/>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1"/>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1"/>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1"/>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1"/>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275/2026/1427/VFI-CT.T003.A</w:t>
      </w:r>
      <w:r>
        <w:rPr>
          <w:color w:val="ff0000"/>
          <w:lang w:val="vi-VN"/>
        </w:rPr>
        <w:t xml:space="preserve"> </w:t>
      </w:r>
      <w:r>
        <w:rPr>
          <w:color w:val="000000" w:themeColor="text1"/>
        </w:rPr>
        <w:t xml:space="preserve">ngày 14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r>
        <w:rPr>
          <w:lang w:val="vi-VN"/>
        </w:rPr>
      </w:r>
      <w:r>
        <w:rPr>
          <w:lang w:val="vi-VN"/>
        </w:rPr>
      </w:r>
      <w:r>
        <w:rPr>
          <w:lang w:val="vi-VN"/>
        </w:rPr>
      </w:r>
      <w:r>
        <w:rPr>
          <w:lang w:val="vi-VN"/>
        </w:rPr>
      </w:r>
    </w:p>
    <w:p>
      <w:pPr>
        <w:pStyle w:val="1031"/>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Nhâm Văn Hưng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275/2026/1427/VFI-BC.T003.A</w:t>
      </w:r>
      <w:r>
        <w:rPr>
          <w:i/>
          <w:lang w:val="pt-BR"/>
        </w:rPr>
        <w:t xml:space="preserve"> </w:t>
      </w:r>
      <w:r>
        <w:rPr>
          <w:i/>
          <w:lang w:val="pt-BR"/>
        </w:rPr>
        <w:t xml:space="preserve">ngày 14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070164" cy="223301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544550" name=""/>
                              <pic:cNvPicPr>
                                <a:picLocks noChangeAspect="1"/>
                              </pic:cNvPicPr>
                              <pic:nvPr/>
                            </pic:nvPicPr>
                            <pic:blipFill rotWithShape="1">
                              <a:blip r:embed="rId20"/>
                              <a:stretch/>
                            </pic:blipFill>
                            <pic:spPr bwMode="auto">
                              <a:xfrm flipH="0" flipV="0">
                                <a:off x="0" y="0"/>
                                <a:ext cx="2070163" cy="22330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63.01pt;height:175.83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86305" cy="1753039"/>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486729" name=""/>
                              <pic:cNvPicPr>
                                <a:picLocks noChangeAspect="1"/>
                              </pic:cNvPicPr>
                              <pic:nvPr/>
                            </pic:nvPicPr>
                            <pic:blipFill rotWithShape="1">
                              <a:blip r:embed="rId21"/>
                              <a:stretch/>
                            </pic:blipFill>
                            <pic:spPr bwMode="auto">
                              <a:xfrm flipH="0" flipV="0">
                                <a:off x="0" y="0"/>
                                <a:ext cx="2586305" cy="17530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3.65pt;height:138.03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78327" cy="208374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50769" name=""/>
                              <pic:cNvPicPr>
                                <a:picLocks noChangeAspect="1"/>
                              </pic:cNvPicPr>
                              <pic:nvPr/>
                            </pic:nvPicPr>
                            <pic:blipFill rotWithShape="1">
                              <a:blip r:embed="rId22"/>
                              <a:stretch/>
                            </pic:blipFill>
                            <pic:spPr bwMode="auto">
                              <a:xfrm flipH="0" flipV="0">
                                <a:off x="0" y="0"/>
                                <a:ext cx="2778327" cy="20837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8.77pt;height:164.07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9463" cy="2167097"/>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02855" name=""/>
                              <pic:cNvPicPr>
                                <a:picLocks noChangeAspect="1"/>
                              </pic:cNvPicPr>
                              <pic:nvPr/>
                            </pic:nvPicPr>
                            <pic:blipFill rotWithShape="1">
                              <a:blip r:embed="rId23"/>
                              <a:stretch/>
                            </pic:blipFill>
                            <pic:spPr bwMode="auto">
                              <a:xfrm flipH="0" flipV="0">
                                <a:off x="0" y="0"/>
                                <a:ext cx="2889463" cy="21670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7.52pt;height:170.64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Điểm bất lợi của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67495" cy="2075621"/>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97456" name=""/>
                              <pic:cNvPicPr>
                                <a:picLocks noChangeAspect="1"/>
                              </pic:cNvPicPr>
                              <pic:nvPr/>
                            </pic:nvPicPr>
                            <pic:blipFill rotWithShape="1">
                              <a:blip r:embed="rId24"/>
                              <a:stretch/>
                            </pic:blipFill>
                            <pic:spPr bwMode="auto">
                              <a:xfrm flipH="0" flipV="0">
                                <a:off x="0" y="0"/>
                                <a:ext cx="2767494" cy="20756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7.91pt;height:163.43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054880" cy="2288766"/>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132163" name=""/>
                              <pic:cNvPicPr>
                                <a:picLocks noChangeAspect="1"/>
                              </pic:cNvPicPr>
                              <pic:nvPr/>
                            </pic:nvPicPr>
                            <pic:blipFill rotWithShape="1">
                              <a:blip r:embed="rId25"/>
                              <a:stretch/>
                            </pic:blipFill>
                            <pic:spPr bwMode="auto">
                              <a:xfrm flipH="0" flipV="0">
                                <a:off x="0" y="0"/>
                                <a:ext cx="3054880" cy="22887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40.54pt;height:180.22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275/2026/1427/VFI-BC.T003.A </w:t>
      </w:r>
      <w:r>
        <w:rPr>
          <w:i/>
          <w:lang w:val="pt-BR"/>
        </w:rPr>
        <w:t xml:space="preserve">ngày </w:t>
      </w:r>
      <w:r>
        <w:rPr>
          <w:i/>
          <w:lang w:val="pt-BR"/>
        </w:rPr>
        <w:t xml:space="preserve">14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https://www.facebook.com/groups/hoiniengranghnoi/posts/1705438584041189/</w:t>
            </w:r>
            <w:r>
              <w:rPr>
                <w:color w:val="000000" w:themeColor="text1"/>
                <w:sz w:val="22"/>
                <w:szCs w:val="22"/>
              </w:rPr>
              <w:br/>
              <w:t xml:space="preserve">0974175026</w:t>
            </w:r>
            <w:r>
              <w:rPr>
                <w:sz w:val="22"/>
                <w:szCs w:val="22"/>
              </w:rPr>
              <w:t xml:space="preserve"> </w:t>
            </w:r>
            <w:r>
              <w:rPr>
                <w:sz w:val="22"/>
                <w:szCs w:val="22"/>
              </w:rPr>
              <w:br/>
              <w:t xml:space="preserve">(Duy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11.088.000.000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rPr>
                <w:sz w:val="22"/>
                <w:szCs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(44m²)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tại:Phường Hoàng Mai, Thành phố Hà Nội, Tài sản nằm trong ngõ,cách đường Giáp Nhị khoảng 300m  20.97725620518384, 105.84321436704242</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5 tầng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Ngõ cụt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5385"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146538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15.38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961649"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496164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90.68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95782"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429578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38.25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785938"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178593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40.63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35547"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183554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44.53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Tấn Sang</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jc w:val="center"/>
        <w:rPr>
          <w:b/>
          <w:bCs/>
          <w:iCs/>
          <w:lang w:val="pt-BR"/>
        </w:rPr>
      </w:pPr>
      <w:r>
        <w:rPr>
          <w:b/>
          <w:bCs/>
          <w:iCs/>
          <w:lang w:val="pt-BR"/>
        </w:rPr>
        <w:br w:type="page" w:clear="all"/>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t>
            </w:r>
            <w:r>
              <w:rPr>
                <w:color w:val="000000" w:themeColor="text1"/>
                <w:sz w:val="22"/>
                <w:szCs w:val="22"/>
              </w:rPr>
              <w:t xml:space="preserve">guland.vn/post/can-ban-nhanh-duoi-10ty-sieu-pham-40m-x-5-tang-thang-may-tang-noi-that-ngo-nong-ba-gac-phi-truoc-nha-42m-thoang-tt-hoang-mai-hai-ba-trung-gan-truong-dinh-cho-giao-thong-thuan-tien-gan-cac-truong-dai-hoc-lon-bach-kinh-xay-truoc-nha-la-2325232</w:t>
            </w:r>
            <w:r>
              <w:rPr>
                <w:color w:val="000000" w:themeColor="text1"/>
                <w:sz w:val="22"/>
                <w:szCs w:val="22"/>
              </w:rPr>
              <w:br/>
              <w:t xml:space="preserve">0962379658</w:t>
            </w:r>
            <w:r>
              <w:rPr>
                <w:sz w:val="22"/>
                <w:szCs w:val="22"/>
              </w:rPr>
              <w:t xml:space="preserve"> </w:t>
            </w:r>
            <w:r>
              <w:rPr>
                <w:sz w:val="22"/>
                <w:szCs w:val="22"/>
              </w:rPr>
              <w:br/>
              <w:t xml:space="preserve">(Nhung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8.184.000.000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rPr>
                <w:sz w:val="22"/>
                <w:szCs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(36m²)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Tài sản tại: Phường Tương Mai, Thành phố Hà Nội, Tài sản nằm trong ngõ 149 đường Giáp Bát, cách đường Giáp Bát khoảng 400m, 20.9860839, 105.8437067</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sản trên đất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5 tầng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680729"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668072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526.04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961146"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496114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90.64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438913"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543891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28.26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066686"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406668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20.21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33.33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333.33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Nhâm Văn Hưng</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0981909134</w:t>
            </w:r>
            <w:r>
              <w:rPr>
                <w:sz w:val="22"/>
                <w:szCs w:val="22"/>
              </w:rPr>
              <w:t xml:space="preserve"> </w:t>
            </w:r>
            <w:r>
              <w:rPr>
                <w:sz w:val="22"/>
                <w:szCs w:val="22"/>
              </w:rPr>
              <w:br/>
              <w:t xml:space="preserve">(Vương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13.740.000.000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10.992.000.000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rPr>
                <w:sz w:val="22"/>
                <w:szCs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(43m²)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Phường Tương Mai, Thành phố Hà Nội, Tài sản nằm trên ngõ 121 đường Giáp Bát, cách đường Giáp Bát Khoảng 200m, 20.9865, 105.84323</w:t>
            </w: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sản trên đất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5 tầng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072217"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507221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399.39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4861"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14648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15.34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4861"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14648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15.34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4861"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a:off x="0" y="0"/>
                                <a:ext cx="14648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15.34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333.33pt;height:250.00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3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333.33pt;height:250.00pt;mso-wrap-distance-left:0.00pt;mso-wrap-distance-top:0.00pt;mso-wrap-distance-right:0.00pt;mso-wrap-distance-bottom:0.00pt;z-index:1;" stroked="false">
                      <v:imagedata r:id="rId4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3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3"/>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333.33pt;height:250.00pt;mso-wrap-distance-left:0.00pt;mso-wrap-distance-top:0.00pt;mso-wrap-distance-right:0.00pt;mso-wrap-distance-bottom:0.00pt;z-index:1;" stroked="false">
                      <v:imagedata r:id="rId4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Nhâm Văn Hưng</w:t>
            </w:r>
            <w:r>
              <w:rPr>
                <w:b/>
                <w:bCs/>
              </w:rPr>
            </w: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jc w:val="left"/>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iCs/>
          <w:highlight w:val="none"/>
          <w:lang w:val="pt-BR"/>
        </w:rPr>
      </w:pPr>
      <w:r>
        <w:rPr>
          <w:b/>
          <w:bCs/>
          <w:iCs/>
          <w:lang w:val="pt-BR"/>
        </w:rPr>
        <w:t xml:space="preserve">Giấy chứng nhận QSD</w:t>
      </w:r>
      <w:r>
        <w:rPr>
          <w:b/>
          <w:bCs/>
          <w:iCs/>
          <w:highlight w:val="none"/>
          <w:lang w:val="pt-BR"/>
        </w:rPr>
      </w:r>
      <w:r>
        <w:rPr>
          <w:b/>
          <w:bCs/>
          <w:i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860299" name=""/>
                        <pic:cNvPicPr>
                          <a:picLocks noChangeAspect="1"/>
                        </pic:cNvPicPr>
                        <pic:nvPr/>
                      </pic:nvPicPr>
                      <pic:blipFill rotWithShape="1">
                        <a:blip r:embed="rId4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476.25pt;height:635.00pt;mso-wrap-distance-left:0.00pt;mso-wrap-distance-top:0.00pt;mso-wrap-distance-right:0.00pt;mso-wrap-distance-bottom:0.00pt;z-index:1;" stroked="false">
                <v:imagedata r:id="rId44"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highlight w:val="none"/>
          <w:lang w:val="pt-BR"/>
        </w:rPr>
      </w:pPr>
      <w:r>
        <w:rPr>
          <w:b/>
          <w:bCs/>
          <w:highlight w:val="none"/>
          <w:lang w:val="pt-BR"/>
        </w:rPr>
      </w:r>
      <w:r>
        <w:rPr>
          <w:b/>
          <w:bCs/>
          <w:highlight w:val="none"/>
          <w:lang w:val="pt-BR"/>
        </w:rPr>
      </w:r>
      <w:r>
        <w:rPr>
          <w:b/>
          <w:bCs/>
          <w:highlight w:val="none"/>
          <w:lang w:val="pt-BR"/>
        </w:rPr>
      </w:r>
    </w:p>
    <w:p>
      <w:pPr>
        <w:pBdr/>
        <w:spacing w:after="200" w:line="276" w:lineRule="auto"/>
        <w:ind/>
        <w:jc w:val="left"/>
        <w:rPr>
          <w:b/>
          <w:bCs/>
          <w:highlight w:val="none"/>
          <w:lang w:val="pt-BR"/>
        </w:rPr>
      </w:pPr>
      <w:r>
        <w:rPr>
          <w:b/>
          <w:b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870953" name=""/>
                        <pic:cNvPicPr>
                          <a:picLocks noChangeAspect="1"/>
                        </pic:cNvPicPr>
                        <pic:nvPr/>
                      </pic:nvPicPr>
                      <pic:blipFill rotWithShape="1">
                        <a:blip r:embed="rId4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476.25pt;height:635.00pt;mso-wrap-distance-left:0.00pt;mso-wrap-distance-top:0.00pt;mso-wrap-distance-right:0.00pt;mso-wrap-distance-bottom:0.00pt;z-index:1;" stroked="false">
                <v:imagedata r:id="rId45"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highlight w:val="none"/>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493277" name=""/>
                        <pic:cNvPicPr>
                          <a:picLocks noChangeAspect="1"/>
                        </pic:cNvPicPr>
                        <pic:nvPr/>
                      </pic:nvPicPr>
                      <pic:blipFill rotWithShape="1">
                        <a:blip r:embed="rId4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476.25pt;height:635.00pt;mso-wrap-distance-left:0.00pt;mso-wrap-distance-top:0.00pt;mso-wrap-distance-right:0.00pt;mso-wrap-distance-bottom:0.00pt;z-index:1;" stroked="false">
                <v:imagedata r:id="rId46" o:title=""/>
                <o:lock v:ext="edit" rotation="t"/>
              </v:shape>
            </w:pict>
          </mc:Fallback>
        </mc:AlternateContent>
      </w:r>
      <w:r>
        <w:rPr>
          <w:highlight w:val="none"/>
        </w:rPr>
      </w:r>
      <w:r>
        <w:rPr>
          <w:highlight w:val="none"/>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highlight w:val="none"/>
        </w:rPr>
      </w:r>
      <w:r>
        <w:rPr>
          <w:b/>
          <w:bCs/>
        </w:rPr>
      </w:r>
      <w:r>
        <w:rPr>
          <w:b/>
          <w:bCs/>
        </w:rPr>
      </w:r>
    </w:p>
    <w:p>
      <w:pPr>
        <w:pBdr/>
        <w:spacing w:after="200" w:line="276" w:lineRule="auto"/>
        <w:ind/>
        <w:jc w:val="center"/>
        <w:rPr>
          <w:highlight w:val="none"/>
        </w:rPr>
      </w:pPr>
      <w:r>
        <mc:AlternateContent>
          <mc:Choice Requires="wpg">
            <w:drawing>
              <wp:inline xmlns:wp="http://schemas.openxmlformats.org/drawingml/2006/wordprocessingDrawing" distT="0" distB="0" distL="0" distR="0">
                <wp:extent cx="6048375" cy="8064500"/>
                <wp:effectExtent l="0" t="0" r="0" b="0"/>
                <wp:docPr id="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136388" name=""/>
                        <pic:cNvPicPr>
                          <a:picLocks noChangeAspect="1"/>
                        </pic:cNvPicPr>
                        <pic:nvPr/>
                      </pic:nvPicPr>
                      <pic:blipFill rotWithShape="1">
                        <a:blip r:embed="rId4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476.25pt;height:635.00pt;mso-wrap-distance-left:0.00pt;mso-wrap-distance-top:0.00pt;mso-wrap-distance-right:0.00pt;mso-wrap-distance-bottom:0.00pt;z-index:1;" stroked="false">
                <v:imagedata r:id="rId47" o:title=""/>
                <o:lock v:ext="edit" rotation="t"/>
              </v:shape>
            </w:pict>
          </mc:Fallback>
        </mc:AlternateContent>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mc:AlternateContent>
          <mc:Choice Requires="wpg">
            <w:drawing>
              <wp:inline xmlns:wp="http://schemas.openxmlformats.org/drawingml/2006/wordprocessingDrawing" distT="0" distB="0" distL="0" distR="0">
                <wp:extent cx="6048375" cy="8039377"/>
                <wp:effectExtent l="0" t="0" r="0" b="0"/>
                <wp:docPr id="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052040" name=""/>
                        <pic:cNvPicPr>
                          <a:picLocks noChangeAspect="1"/>
                        </pic:cNvPicPr>
                        <pic:nvPr/>
                      </pic:nvPicPr>
                      <pic:blipFill rotWithShape="1">
                        <a:blip r:embed="rId48"/>
                        <a:stretch/>
                      </pic:blipFill>
                      <pic:spPr bwMode="auto">
                        <a:xfrm>
                          <a:off x="0" y="0"/>
                          <a:ext cx="6048374" cy="80393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476.25pt;height:633.02pt;mso-wrap-distance-left:0.00pt;mso-wrap-distance-top:0.00pt;mso-wrap-distance-right:0.00pt;mso-wrap-distance-bottom:0.00pt;z-index:1;" stroked="false">
                <v:imagedata r:id="rId48" o:title=""/>
                <o:lock v:ext="edit" rotation="t"/>
              </v:shape>
            </w:pict>
          </mc:Fallback>
        </mc:AlternateContent>
      </w:r>
      <w:r>
        <w:rPr>
          <w:highlight w:val="none"/>
        </w:rPr>
      </w:r>
      <w:r>
        <w:rPr>
          <w:highlight w:val="non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9">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image" Target="media/image30.jpg"/><Relationship Id="rId45" Type="http://schemas.openxmlformats.org/officeDocument/2006/relationships/image" Target="media/image31.jpg"/><Relationship Id="rId46" Type="http://schemas.openxmlformats.org/officeDocument/2006/relationships/image" Target="media/image32.jpg"/><Relationship Id="rId47" Type="http://schemas.openxmlformats.org/officeDocument/2006/relationships/image" Target="media/image33.jpg"/><Relationship Id="rId48" Type="http://schemas.openxmlformats.org/officeDocument/2006/relationships/image" Target="media/image34.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Nhâm Văn Hưng</cp:lastModifiedBy>
  <cp:revision>283</cp:revision>
  <dcterms:created xsi:type="dcterms:W3CDTF">2025-09-15T09:58:00Z</dcterms:created>
  <dcterms:modified xsi:type="dcterms:W3CDTF">2026-09-16T10:24:59Z</dcterms:modified>
</cp:coreProperties>
</file>