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bCs/>
          <w:sz w:val="28"/>
          <w:szCs w:val="28"/>
          <w:lang w:val="vi-VN"/>
        </w:rPr>
      </w:pPr>
      <w:r>
        <w:rPr>
          <w:b/>
          <w:sz w:val="28"/>
          <w:lang w:val="vi-VN"/>
        </w:rPr>
      </w:r>
      <w:r>
        <w:rPr>
          <w:b/>
          <w:sz w:val="28"/>
          <w:lang w:val="vi-VN"/>
        </w:rPr>
      </w:r>
      <w:r>
        <w:rPr>
          <w:b/>
          <w:sz w:val="28"/>
          <w:lang w:val="vi-VN"/>
        </w:rPr>
      </w:r>
    </w:p>
    <w:p>
      <w:pPr>
        <w:pBdr/>
        <w:spacing/>
        <w:ind w:right="-1"/>
        <w:jc w:val="left"/>
        <w:rPr>
          <w:b/>
          <w:bCs/>
          <w:sz w:val="28"/>
          <w:szCs w:val="28"/>
          <w:lang w:val="vi-VN"/>
        </w:rPr>
      </w:pPr>
      <w:r>
        <w:rPr>
          <w:b/>
          <w:bCs/>
          <w:sz w:val="28"/>
          <w:szCs w:val="28"/>
          <w:lang w:val="vi-VN"/>
        </w:rPr>
      </w:r>
      <w:r>
        <w:rPr>
          <w:b/>
          <w:bCs/>
          <w:sz w:val="28"/>
          <w:szCs w:val="28"/>
          <w:lang w:val="vi-VN"/>
        </w:rPr>
      </w:r>
      <w:r>
        <w:rPr>
          <w:b/>
          <w:bCs/>
          <w:sz w:val="28"/>
          <w:szCs w:val="28"/>
          <w:lang w:val="vi-VN"/>
        </w:rPr>
      </w:r>
    </w:p>
    <w:p>
      <w:pPr>
        <w:pBdr/>
        <w:spacing/>
        <w:ind w:right="-1"/>
        <w:jc w:val="left"/>
        <w:rPr>
          <w:b/>
          <w:bCs/>
          <w:sz w:val="28"/>
          <w:szCs w:val="28"/>
          <w:lang w:val="vi-VN"/>
        </w:rPr>
      </w:pPr>
      <w:r>
        <w:rPr>
          <w:b/>
          <w:bCs/>
          <w:sz w:val="28"/>
          <w:szCs w:val="28"/>
          <w:lang w:val="vi-VN"/>
        </w:rPr>
      </w:r>
      <w:r>
        <w:rPr>
          <w:b/>
          <w:bCs/>
          <w:sz w:val="28"/>
          <w:szCs w:val="28"/>
          <w:lang w:val="vi-VN"/>
        </w:rPr>
      </w:r>
      <w:r>
        <w:rPr>
          <w:b/>
          <w:bCs/>
          <w:sz w:val="28"/>
          <w:szCs w:val="28"/>
          <w:lang w:val="vi-VN"/>
        </w:rPr>
      </w:r>
    </w:p>
    <w:p>
      <w:pPr>
        <w:pBdr/>
        <w:spacing/>
        <w:ind w:right="-1"/>
        <w:jc w:val="left"/>
        <w:rPr>
          <w:b/>
          <w:bCs/>
          <w:sz w:val="28"/>
          <w:szCs w:val="28"/>
          <w:lang w:val="vi-VN"/>
        </w:rPr>
      </w:pPr>
      <w:r>
        <w:rPr>
          <w:b/>
          <w:bCs/>
          <w:sz w:val="28"/>
          <w:szCs w:val="28"/>
          <w:lang w:val="vi-VN"/>
        </w:rPr>
      </w:r>
      <w:r>
        <w:rPr>
          <w:b/>
          <w:bCs/>
          <w:sz w:val="28"/>
          <w:szCs w:val="28"/>
          <w:lang w:val="vi-VN"/>
        </w:rPr>
      </w:r>
      <w:r>
        <w:rPr>
          <w:b/>
          <w:bCs/>
          <w:sz w:val="28"/>
          <w:szCs w:val="28"/>
          <w:lang w:val="vi-VN"/>
        </w:rPr>
      </w:r>
    </w:p>
    <w:p>
      <w:pPr>
        <w:pBdr/>
        <w:spacing/>
        <w:ind w:right="-1"/>
        <w:jc w:val="left"/>
        <w:rPr>
          <w:b/>
          <w:bCs/>
          <w:sz w:val="28"/>
          <w:szCs w:val="28"/>
          <w:lang w:val="vi-VN"/>
        </w:rPr>
      </w:pPr>
      <w:r>
        <w:rPr>
          <w:b/>
          <w:bCs/>
          <w:sz w:val="28"/>
          <w:szCs w:val="28"/>
          <w:lang w:val="vi-VN"/>
        </w:rPr>
      </w:r>
      <w:r>
        <w:rPr>
          <w:b/>
          <w:bCs/>
          <w:sz w:val="28"/>
          <w:szCs w:val="28"/>
          <w:lang w:val="vi-VN"/>
        </w:rPr>
      </w:r>
      <w:r>
        <w:rPr>
          <w:b/>
          <w:bCs/>
          <w:sz w:val="28"/>
          <w:szCs w:val="28"/>
          <w:lang w:val="vi-VN"/>
        </w:rPr>
      </w:r>
    </w:p>
    <w:p>
      <w:pPr>
        <w:pBdr/>
        <w:spacing/>
        <w:ind w:right="-1"/>
        <w:jc w:val="left"/>
        <w:rPr>
          <w:b/>
          <w:bCs/>
          <w:sz w:val="28"/>
          <w:szCs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0</wp:posOffset>
                </wp:positionH>
                <wp:positionV relativeFrom="paragraph">
                  <wp:posOffset>108778</wp:posOffset>
                </wp:positionV>
                <wp:extent cx="5467350" cy="36925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925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275/2026/1424/VFI-CT.44.A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Hữu Hanh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416, tờ bản đồ số: 16, có địa chỉ: Tổ dân phố 3, phường Văn Quán, quận Hà Đông, Thành phố Hà Nội theo </w:t>
                            </w:r>
                            <w:r>
                              <w:rPr>
                                <w:color w:val="000000"/>
                              </w:rPr>
                              <w:t xml:space="preserve">(Nay là phường Hà Đông, Thành phố Hà Nội)</w:t>
                            </w:r>
                            <w:r>
                              <w:rPr>
                                <w:color w:val="000000"/>
                              </w:rPr>
                              <w:t xml:space="preserve"> Giấy chứn</w:t>
                            </w:r>
                            <w:r>
                              <w:rPr>
                                <w:color w:val="000000"/>
                              </w:rPr>
                              <w:t xml:space="preserve">g nhận quyền sử dụng đất, quyền sở hữu nhà ở và tài sản khác gắn liền với đất số: DB 738619, Số vào sổ cấp GCN: CS-HĐO 40178 do Sở Tài nguyên và môi trường Thành phố Hà Nội cấp ngày 13/07/2021; chủ sử dụng đất là Ông Nguyễn Hữu Hanh và Bà Nguyễn Thị Mười</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0.00pt;mso-position-horizontal:absolute;mso-position-vertical-relative:text;margin-top:8.57pt;mso-position-vertical:absolute;width:430.50pt;height:290.7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275/2026/1424/VFI-CT.44.A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Hữu Hanh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416, tờ bản đồ số: 16, có địa chỉ: Tổ dân phố 3, phường Văn Quán, quận Hà Đông, Thành phố Hà Nội theo </w:t>
                      </w:r>
                      <w:r>
                        <w:rPr>
                          <w:color w:val="000000"/>
                        </w:rPr>
                        <w:t xml:space="preserve">(Nay là phường Hà Đông, Thành phố Hà Nội)</w:t>
                      </w:r>
                      <w:r>
                        <w:rPr>
                          <w:color w:val="000000"/>
                        </w:rPr>
                        <w:t xml:space="preserve"> Giấy chứn</w:t>
                      </w:r>
                      <w:r>
                        <w:rPr>
                          <w:color w:val="000000"/>
                        </w:rPr>
                        <w:t xml:space="preserve">g nhận quyền sử dụng đất, quyền sở hữu nhà ở và tài sản khác gắn liền với đất số: DB 738619, Số vào sổ cấp GCN: CS-HĐO 40178 do Sở Tài nguyên và môi trường Thành phố Hà Nội cấp ngày 13/07/2021; chủ sử dụng đất là Ông Nguyễn Hữu Hanh và Bà Nguyễn Thị Mười</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4-21</w:t>
            </w:r>
            <w:r>
              <w:rPr>
                <w:b/>
                <w:highlight w:val="white"/>
                <w:lang w:val="vi-VN"/>
              </w:rPr>
            </w:r>
            <w:r>
              <w:rPr>
                <w:b/>
                <w:highlight w:val="white"/>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yellow"/>
              </w:rPr>
            </w:pPr>
            <w:r>
              <w:rPr>
                <w:b/>
                <w:bCs/>
                <w:highlight w:val="yellow"/>
              </w:rPr>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none"/>
              </w:rPr>
              <w:t xml:space="preserve">22-25</w:t>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none"/>
              </w:rPr>
              <w:t xml:space="preserve">25-33</w:t>
            </w:r>
            <w:r>
              <w:rPr>
                <w:b/>
                <w:bCs/>
                <w:highlight w:val="yellow"/>
              </w:rPr>
            </w:r>
            <w:r>
              <w:rPr>
                <w:b/>
                <w:bCs/>
                <w:highlight w:val="yellow"/>
              </w:rPr>
            </w:r>
          </w:p>
        </w:tc>
      </w:tr>
    </w:tbl>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517" w:type="dxa"/>
        <w:tblBorders/>
        <w:tblLayout w:type="fixed"/>
        <w:tblLook w:val="04A0" w:firstRow="1" w:lastRow="0" w:firstColumn="1" w:lastColumn="0" w:noHBand="0" w:noVBand="1"/>
      </w:tblPr>
      <w:tblGrid>
        <w:gridCol w:w="29"/>
        <w:gridCol w:w="2126"/>
        <w:gridCol w:w="1984"/>
        <w:gridCol w:w="6378"/>
      </w:tblGrid>
      <w:tr>
        <w:trPr>
          <w:trHeight w:val="1152"/>
        </w:trPr>
        <w:tc>
          <w:tcPr>
            <w:gridSpan w:val="2"/>
            <w:tcBorders/>
            <w:tcW w:w="215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4110"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275/2026/1424/VFI-CT.44.A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378" w:type="dxa"/>
            <w:textDirection w:val="lrTb"/>
            <w:noWrap w:val="false"/>
          </w:tcPr>
          <w:p>
            <w:pPr>
              <w:pStyle w:val="1036"/>
              <w:pBdr/>
              <w:spacing w:after="60"/>
              <w:ind w:right="-56"/>
              <w:jc w:val="right"/>
              <w:rPr>
                <w:color w:val="000000" w:themeColor="text1"/>
                <w:sz w:val="24"/>
                <w:szCs w:val="24"/>
                <w:lang w:val="vi-VN"/>
              </w:rPr>
            </w:pPr>
            <w:r>
              <w:rPr>
                <w:rStyle w:val="1035"/>
                <w:rFonts w:ascii="Times New Roman" w:hAnsi="Times New Roman"/>
                <w:i/>
                <w:color w:val="auto"/>
              </w:rPr>
              <w:t xml:space="preserve">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lang w:val="vi-VN"/>
              </w:rPr>
            </w:r>
          </w:p>
        </w:tc>
      </w:tr>
    </w:tbl>
    <w:p>
      <w:pPr>
        <w:pStyle w:val="1036"/>
        <w:pBdr/>
        <w:spacing w:after="120" w:before="200" w:line="288" w:lineRule="auto"/>
        <w:ind/>
        <w:jc w:val="center"/>
        <w:rPr>
          <w:rStyle w:val="1035"/>
          <w:rFonts w:ascii="Times New Roman" w:hAnsi="Times New Roman"/>
          <w:b/>
          <w:bCs/>
          <w:color w:val="auto"/>
          <w:sz w:val="30"/>
          <w:szCs w:val="30"/>
          <w:lang w:val="vi-VN"/>
        </w:rPr>
      </w:pPr>
      <w:r>
        <w:rPr>
          <w:rStyle w:val="1035"/>
          <w:rFonts w:ascii="Times New Roman" w:hAnsi="Times New Roman"/>
          <w:b/>
          <w:bCs/>
          <w:color w:val="auto"/>
          <w:sz w:val="30"/>
          <w:szCs w:val="30"/>
          <w:lang w:val="vi-VN"/>
        </w:rPr>
        <w:t xml:space="preserve">CHỨNG THƯ THẨM ĐỊNH GIÁ</w:t>
      </w:r>
      <w:r>
        <w:rPr>
          <w:rStyle w:val="1035"/>
          <w:rFonts w:ascii="Times New Roman" w:hAnsi="Times New Roman"/>
          <w:b/>
          <w:bCs/>
          <w:color w:val="auto"/>
          <w:sz w:val="30"/>
          <w:szCs w:val="30"/>
          <w:lang w:val="vi-VN"/>
        </w:rPr>
      </w:r>
      <w:r>
        <w:rPr>
          <w:rStyle w:val="103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Hữu Hanh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275/2026/1424/VFI-HĐTĐ.44.A</w:t>
      </w:r>
      <w:r>
        <w:rPr>
          <w:spacing w:val="-4"/>
          <w:lang w:val="vi-VN"/>
        </w:rPr>
        <w:t xml:space="preserve"> ký ngày </w:t>
      </w:r>
      <w:r>
        <w:rPr>
          <w:color w:val="000000" w:themeColor="text1"/>
          <w:spacing w:val="-4"/>
        </w:rPr>
        <w:t xml:space="preserve">7 tháng 9 năm 2026</w:t>
      </w:r>
      <w:r>
        <w:rPr>
          <w:spacing w:val="-4"/>
          <w:lang w:val="vi-VN"/>
        </w:rPr>
        <w:t xml:space="preserve"> </w:t>
      </w:r>
      <w:r>
        <w:rPr>
          <w:spacing w:val="-4"/>
          <w:lang w:val="vi-VN"/>
        </w:rPr>
        <w:t xml:space="preserve">giữa </w:t>
      </w:r>
      <w:r>
        <w:rPr>
          <w:color w:val="000000" w:themeColor="text1"/>
          <w:spacing w:val="-4"/>
        </w:rPr>
        <w:t xml:space="preserve">Ông Nguyễn Hữu Hanh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275/2026/1424/VFI-BC.44.A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14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74" w:type="pct"/>
        <w:tblBorders/>
        <w:tblLayout w:type="fixed"/>
        <w:tblLook w:val="04A0" w:firstRow="1" w:lastRow="0" w:firstColumn="1" w:lastColumn="0" w:noHBand="0" w:noVBand="1"/>
      </w:tblPr>
      <w:tblGrid>
        <w:gridCol w:w="2438"/>
        <w:gridCol w:w="283"/>
        <w:gridCol w:w="6945"/>
      </w:tblGrid>
      <w:tr>
        <w:trPr>
          <w:trHeight w:val="20"/>
        </w:trPr>
        <w:tc>
          <w:tcPr>
            <w:shd w:val="clear" w:color="auto" w:fill="auto"/>
            <w:tcBorders/>
            <w:tcW w:w="243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Nguyễn Hữu Hanh</w:t>
            </w:r>
            <w:r/>
          </w:p>
        </w:tc>
      </w:tr>
      <w:tr>
        <w:trPr>
          <w:trHeight w:val="20"/>
        </w:trPr>
        <w:tc>
          <w:tcPr>
            <w:shd w:val="clear" w:color="auto" w:fill="auto"/>
            <w:tcBorders/>
            <w:tcW w:w="243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033090007411</w:t>
            </w:r>
            <w:r>
              <w:rPr>
                <w:color w:val="ff0000"/>
                <w:lang w:val="pt-BR"/>
              </w:rPr>
            </w:r>
            <w:r>
              <w:rPr>
                <w:color w:val="ff0000"/>
                <w:lang w:val="pt-BR"/>
              </w:rPr>
            </w:r>
          </w:p>
        </w:tc>
      </w:tr>
      <w:tr>
        <w:trPr>
          <w:trHeight w:val="20"/>
        </w:trPr>
        <w:tc>
          <w:tcPr>
            <w:shd w:val="clear" w:color="auto" w:fill="auto"/>
            <w:tcBorders/>
            <w:tcW w:w="243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1990</w:t>
            </w:r>
            <w:r>
              <w:rPr>
                <w:color w:val="ff0000"/>
                <w:lang w:val="pt-BR"/>
              </w:rPr>
            </w:r>
            <w:r>
              <w:rPr>
                <w:color w:val="ff0000"/>
                <w:lang w:val="pt-BR"/>
              </w:rPr>
            </w:r>
          </w:p>
        </w:tc>
      </w:tr>
      <w:tr>
        <w:trPr>
          <w:trHeight w:val="20"/>
        </w:trPr>
        <w:tc>
          <w:tcPr>
            <w:shd w:val="clear" w:color="auto" w:fill="auto"/>
            <w:tcBorders/>
            <w:tcW w:w="243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 Phương Trù, xã Tứ Dân, huyện Khoái Châu, tỉnh Hưng Yên (xã Châu Ninh, tỉnh Hưng Yên)</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577" w:type="dxa"/>
        <w:tblBorders/>
        <w:tblLayout w:type="fixed"/>
        <w:tblLook w:val="04A0" w:firstRow="1" w:lastRow="0" w:firstColumn="1" w:lastColumn="0" w:noHBand="0" w:noVBand="1"/>
      </w:tblPr>
      <w:tblGrid>
        <w:gridCol w:w="1809"/>
        <w:gridCol w:w="283"/>
        <w:gridCol w:w="7485"/>
      </w:tblGrid>
      <w:tr>
        <w:trPr>
          <w:trHeight w:val="20"/>
        </w:trPr>
        <w:tc>
          <w:tcPr>
            <w:tcBorders/>
            <w:tcW w:w="180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3"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48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180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3"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48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80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3"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48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180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3"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48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180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3"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48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1809" w:type="dxa"/>
            <w:vAlign w:val="center"/>
            <w:textDirection w:val="lrTb"/>
            <w:noWrap w:val="false"/>
          </w:tcPr>
          <w:p>
            <w:pPr>
              <w:pBdr/>
              <w:spacing w:after="40" w:before="40" w:line="276" w:lineRule="auto"/>
              <w:ind/>
              <w:jc w:val="both"/>
              <w:rPr/>
            </w:pPr>
            <w:r>
              <w:t xml:space="preserve">Thông báo</w:t>
            </w:r>
            <w:r/>
          </w:p>
        </w:tc>
        <w:tc>
          <w:tcPr>
            <w:tcBorders/>
            <w:tcW w:w="283"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48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180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3"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48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80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3"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48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416, tờ bản đồ số: 16, có địa chỉ: Tổ dân phố 3, phường Văn Quán, quận Hà Đông, Thành phố Hà Nội </w:t>
      </w:r>
      <w:r>
        <w:rPr>
          <w:color w:val="000000"/>
        </w:rPr>
        <w:t xml:space="preserve">(Nay là phường Hà Đông, Thành phố Hà Nội)</w:t>
      </w:r>
      <w:r>
        <w:rPr>
          <w:color w:val="000000" w:themeColor="text1"/>
        </w:rPr>
        <w:t xml:space="preserve"> theo Giấy chứn</w:t>
      </w:r>
      <w:r>
        <w:rPr>
          <w:color w:val="000000" w:themeColor="text1"/>
        </w:rPr>
        <w:t xml:space="preserve">g nhận quyền sử dụng đất, quyền sở hữu nhà ở và tài sản khác gắn liền với đất số: DB 738619, Số vào sổ cấp GCN: CS-HĐO 40178 do Sở Tài nguyên và môi trường Thành phố Hà Nội cấp ngày 13/07/2021; chủ sử dụng đất là Ông Nguyễn Hữu Hanh và Bà Nguyễn Thị Mười</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416, tờ bản đồ số: 16, có địa chỉ: Tổ dân phố 3, phường Văn Quán, quận Hà Đông, Thành phố Hà Nội (Nay là phường Hà Đông, Thành phố Hà Nội) theo Giấy chứn</w:t>
            </w:r>
            <w:r>
              <w:rPr>
                <w:color w:val="000000"/>
              </w:rPr>
              <w:t xml:space="preserve">g nhận quyền sử dụng đất, quyền sở hữu nhà ở và tài sản khác gắn liền với đất số: DB 738619, Số vào sổ cấp GCN: CS - HĐO 40178 do Sở Tài nguyên và môi trường Thành phố Hà Nội cấp ngày 13/07/2021; chủ sử dụng đất là Ông Nguyễn Hữu Hanh và Bà Nguyễn Thị Mười</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tại đô thị</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31</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222.000.000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6.882.000.000</w:t>
            </w:r>
            <w:r/>
          </w:p>
        </w:tc>
      </w:tr>
      <w:tr>
        <w:trPr>
          <w:trHeight w:val="196"/>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6.882.000.000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Sáu tỷ tám trăm tám mươi hai triệu</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29"/>
        <w:gridCol w:w="827"/>
        <w:gridCol w:w="874"/>
        <w:gridCol w:w="2976"/>
        <w:gridCol w:w="5669"/>
        <w:gridCol w:w="4042"/>
      </w:tblGrid>
      <w:tr>
        <w:trPr>
          <w:gridAfter w:val="1"/>
          <w:trHeight w:val="1843"/>
        </w:trPr>
        <w:tc>
          <w:tcPr>
            <w:gridSpan w:val="3"/>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64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3"/>
            <w:shd w:val="clear" w:color="auto" w:fill="auto"/>
            <w:tcBorders/>
            <w:tcMar>
              <w:left w:w="108" w:type="dxa"/>
              <w:top w:w="0" w:type="dxa"/>
              <w:right w:w="108" w:type="dxa"/>
              <w:bottom w:w="0" w:type="dxa"/>
            </w:tcMar>
            <w:tcW w:w="4677"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275/2026/1424/VFI-CT.44.A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669" w:type="dxa"/>
            <w:textDirection w:val="lrTb"/>
            <w:noWrap w:val="false"/>
          </w:tcPr>
          <w:p>
            <w:pPr>
              <w:pStyle w:val="1036"/>
              <w:pBdr/>
              <w:spacing w:after="60"/>
              <w:ind w:right="-56"/>
              <w:jc w:val="right"/>
              <w:rPr>
                <w:color w:val="000000" w:themeColor="text1"/>
                <w:sz w:val="24"/>
                <w:szCs w:val="24"/>
                <w:lang w:val="vi-VN"/>
              </w:rPr>
            </w:pPr>
            <w:r>
              <w:rPr>
                <w:rStyle w:val="1035"/>
                <w:rFonts w:ascii="Times New Roman" w:hAnsi="Times New Roman"/>
                <w:i/>
                <w:color w:val="auto"/>
              </w:rPr>
              <w:t xml:space="preserve">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lang w:val="vi-VN"/>
              </w:rPr>
            </w:r>
          </w:p>
        </w:tc>
      </w:tr>
      <w:tr>
        <w:trPr>
          <w:gridBefore w:val="2"/>
          <w:trHeight w:val="84"/>
        </w:trPr>
        <w:tc>
          <w:tcPr>
            <w:shd w:val="clear" w:color="auto" w:fill="auto"/>
            <w:tcBorders/>
            <w:tcMar>
              <w:left w:w="108" w:type="dxa"/>
              <w:top w:w="0" w:type="dxa"/>
              <w:right w:w="108" w:type="dxa"/>
              <w:bottom w:w="0" w:type="dxa"/>
            </w:tcMar>
            <w:tcW w:w="874" w:type="dxa"/>
            <w:textDirection w:val="lrTb"/>
            <w:noWrap w:val="false"/>
          </w:tcPr>
          <w:p>
            <w:pPr>
              <w:pStyle w:val="1036"/>
              <w:pBdr/>
              <w:spacing w:after="60"/>
              <w:ind/>
              <w:rPr>
                <w:rStyle w:val="1035"/>
                <w:rFonts w:ascii="Times New Roman" w:hAnsi="Times New Roman"/>
                <w:color w:val="000000" w:themeColor="text1"/>
                <w:lang w:val="pt-BR"/>
              </w:rPr>
            </w:pPr>
            <w:r>
              <w:rPr>
                <w:rStyle w:val="1035"/>
                <w:rFonts w:ascii="Times New Roman" w:hAnsi="Times New Roman"/>
                <w:color w:val="000000" w:themeColor="text1"/>
                <w:lang w:val="pt-BR"/>
              </w:rPr>
            </w:r>
            <w:r>
              <w:rPr>
                <w:rStyle w:val="1035"/>
                <w:rFonts w:ascii="Times New Roman" w:hAnsi="Times New Roman"/>
                <w:color w:val="000000" w:themeColor="text1"/>
                <w:lang w:val="pt-BR"/>
              </w:rPr>
            </w:r>
            <w:r>
              <w:rPr>
                <w:rStyle w:val="1035"/>
                <w:rFonts w:ascii="Times New Roman" w:hAnsi="Times New Roman"/>
                <w:color w:val="000000" w:themeColor="text1"/>
                <w:lang w:val="pt-BR"/>
              </w:rPr>
            </w:r>
          </w:p>
        </w:tc>
        <w:tc>
          <w:tcPr>
            <w:gridSpan w:val="3"/>
            <w:shd w:val="clear" w:color="auto" w:fill="auto"/>
            <w:tcBorders/>
            <w:tcMar>
              <w:left w:w="108" w:type="dxa"/>
              <w:top w:w="0" w:type="dxa"/>
              <w:right w:w="108" w:type="dxa"/>
              <w:bottom w:w="0" w:type="dxa"/>
            </w:tcMar>
            <w:tcW w:w="12688" w:type="dxa"/>
            <w:textDirection w:val="lrTb"/>
            <w:noWrap w:val="false"/>
          </w:tcPr>
          <w:p>
            <w:pPr>
              <w:pStyle w:val="1036"/>
              <w:pBdr/>
              <w:spacing w:after="60"/>
              <w:ind w:right="-56"/>
              <w:rPr>
                <w:rStyle w:val="1035"/>
                <w:rFonts w:ascii="Times New Roman" w:hAnsi="Times New Roman"/>
                <w:i/>
                <w:color w:val="auto"/>
              </w:rPr>
            </w:pPr>
            <w:r>
              <w:rPr>
                <w:rFonts w:ascii="Times New Roman" w:hAnsi="Times New Roman"/>
                <w:i/>
                <w:color w:val="auto"/>
              </w:rPr>
            </w:r>
            <w:r>
              <w:rPr>
                <w:rStyle w:val="1035"/>
                <w:rFonts w:ascii="Times New Roman" w:hAnsi="Times New Roman"/>
                <w:i/>
                <w:color w:val="auto"/>
              </w:rPr>
            </w:r>
            <w:r>
              <w:rPr>
                <w:rStyle w:val="1035"/>
                <w:rFonts w:ascii="Times New Roman" w:hAnsi="Times New Roman"/>
                <w:i/>
                <w:color w:val="auto"/>
              </w:rPr>
            </w:r>
          </w:p>
        </w:tc>
      </w:tr>
    </w:tbl>
    <w:p>
      <w:pPr>
        <w:pStyle w:val="103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275/2026/1424/VFI-CT.44.A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14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Nguyễn Hữu Hanh</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033090007411</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1990</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Thôn Phương Trù, xã Tứ Dân, huyện Khoái Châu, tỉnh Hưng Yên</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416, tờ bản đồ số: 16, có địa chỉ: Tổ dân phố 3, phường Văn Quán, quận Hà Đông, Thành phố Hà Nội </w:t>
            </w:r>
            <w:r>
              <w:rPr>
                <w:color w:val="000000"/>
              </w:rPr>
              <w:t xml:space="preserve">(Nay là phường Hà Đông, Thành phố Hà Nội) </w:t>
            </w:r>
            <w:r>
              <w:rPr>
                <w:bCs/>
                <w:color w:val="000000" w:themeColor="text1"/>
                <w:lang w:val="pt-BR"/>
              </w:rPr>
              <w:t xml:space="preserve">theo Giấy chứn</w:t>
            </w:r>
            <w:r>
              <w:rPr>
                <w:bCs/>
                <w:color w:val="000000" w:themeColor="text1"/>
                <w:lang w:val="pt-BR"/>
              </w:rPr>
              <w:t xml:space="preserve">g nhận quyền sử dụng đất, quyền sở hữu nhà ở và tài sản khác gắn liền với đất số: DB 738619, Số vào sổ cấp GCN: CS-HĐO 40178 do Sở Tài nguyên và môi trường Thành phố Hà Nội cấp ngày 13/07/2021; chủ sử dụng đất là Ông Nguyễn Hữu Hanh và Bà Nguyễn Thị Mười</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Hà Đông,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20.976203, 105.7862241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10/09/2026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7"/>
        <w:numPr>
          <w:ilvl w:val="0"/>
          <w:numId w:val="39"/>
        </w:numPr>
        <w:pBdr/>
        <w:spacing w:after="120" w:before="120" w:line="276" w:lineRule="auto"/>
        <w:ind/>
        <w:jc w:val="both"/>
        <w:rPr>
          <w:rFonts w:ascii="Times New Roman" w:hAnsi="Times New Roman" w:cs="Times New Roman"/>
          <w:bCs/>
          <w:color w:val="000000" w:themeColor="text1"/>
          <w:spacing w:val="-4"/>
          <w:highlight w:val="white"/>
        </w:rPr>
      </w:pPr>
      <w:r>
        <w:rPr>
          <w:rFonts w:ascii="Times New Roman" w:hAnsi="Times New Roman" w:eastAsia="Times New Roman" w:cs="Times New Roman"/>
          <w:bCs/>
          <w:color w:val="000000" w:themeColor="text1"/>
          <w:spacing w:val="-4"/>
          <w:highlight w:val="white"/>
          <w:lang w:val="pt-BR"/>
        </w:rPr>
        <w:t xml:space="preserve">Quyết định số 425/QĐ-BXD ngày 30/03/2026 của Bộ Xây dựng về việc Công bố suất vốn đầu tư xây dựng công trình và giá xây dựng tổng hợp bộ phận kết cấu công trình năm 2025;</w:t>
      </w:r>
      <w:r>
        <w:rPr>
          <w:rFonts w:ascii="Times New Roman" w:hAnsi="Times New Roman" w:cs="Times New Roman"/>
          <w:bCs/>
          <w:color w:val="000000" w:themeColor="text1"/>
          <w:spacing w:val="-4"/>
          <w:highlight w:val="white"/>
        </w:rPr>
      </w:r>
      <w:r>
        <w:rPr>
          <w:rFonts w:ascii="Times New Roman" w:hAnsi="Times New Roman" w:cs="Times New Roman"/>
          <w:bCs/>
          <w:color w:val="000000" w:themeColor="text1"/>
          <w:spacing w:val="-4"/>
          <w:highlight w:val="white"/>
        </w:rPr>
      </w:r>
    </w:p>
    <w:p>
      <w:pPr>
        <w:pStyle w:val="103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w:t>
      </w:r>
      <w:r>
        <w:rPr>
          <w:bCs/>
          <w:color w:val="000000" w:themeColor="text1"/>
          <w:lang w:val="pt-BR"/>
        </w:rPr>
        <w:t xml:space="preserve"> nhận quyền sử dụng đất, quyền sở hữu nhà ở và tài sản khác gắn liền với đất số: DB 738619, Số vào sổ cấp GCN: CS-HĐO 40178 do Sở Tài nguyên và môi trường Thành phố Hà Nội cấp ngày 13/07/2021; chủ sử dụng đất là Ông Nguyễn Hữu Hanh và Bà Nguyễn Thị Mười.</w:t>
      </w:r>
      <w:r>
        <w:rPr>
          <w:i/>
          <w:iCs/>
          <w:lang w:val="pt-BR"/>
        </w:rPr>
      </w:r>
      <w:r>
        <w:rPr>
          <w:i/>
          <w:iCs/>
          <w:lang w:val="pt-BR"/>
        </w:rPr>
      </w:r>
    </w:p>
    <w:p>
      <w:pPr>
        <w:pBdr/>
        <w:spacing w:after="120" w:before="120" w:line="276" w:lineRule="auto"/>
        <w:ind/>
        <w:jc w:val="both"/>
        <w:rPr>
          <w:b/>
        </w:rPr>
      </w:pPr>
      <w:r>
        <w:rPr>
          <w:b/>
          <w:lang w:val="pt-BR"/>
        </w:rPr>
        <w:t xml:space="preserve">b. Hồ sơ khác</w:t>
      </w:r>
      <w:r>
        <w:rPr>
          <w:b/>
        </w:rPr>
      </w:r>
      <w:r>
        <w:rPr>
          <w:b/>
        </w:rPr>
      </w:r>
    </w:p>
    <w:p>
      <w:pPr>
        <w:pStyle w:val="103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275/2026/1424/VFI-HĐTĐ.44.A ngày 07/09/2026 giữa ông Nguyễn Hữu Hanh với Công ty Cổ phần Thẩm định và Đầu tư Tài chính Hoa Sen.</w:t>
      </w:r>
      <w:r>
        <w:rPr>
          <w:b/>
          <w:lang w:val="pt-BR"/>
        </w:rPr>
      </w:r>
      <w:r>
        <w:rPr>
          <w:b/>
          <w:lang w:val="pt-BR"/>
        </w:rPr>
      </w:r>
    </w:p>
    <w:p>
      <w:pPr>
        <w:pStyle w:val="103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5" w:left="0"/>
        <w:jc w:val="both"/>
        <w:rPr>
          <w:color w:val="000000" w:themeColor="text1"/>
          <w:lang w:val="pt-BR"/>
          <w14:ligatures w14:val="none"/>
        </w:rPr>
      </w:pPr>
      <w:r>
        <w:rPr>
          <w:color w:val="000000" w:themeColor="text1"/>
          <w:lang w:val="pt-BR"/>
        </w:rPr>
        <w:t xml:space="preserve">Hà Nội là trung tâm chính trị, hành chính, kinh tế và văn hóa của cả nước, đồng thời là một trong những thị trường bất động sản lớn và có tính dẫn dắt tại khu vực phía Bắc. Với quy mô dân số lớn, tốc độ đô thị hóa cao, nhu cầu nhà ở và đầu tư bất động sản </w:t>
      </w:r>
      <w:r>
        <w:rPr>
          <w:color w:val="000000" w:themeColor="text1"/>
          <w:lang w:val="pt-BR"/>
        </w:rPr>
        <w:t xml:space="preserve">thường xuyên, thị trường đất Hà Nội có sự đa dạng về khu vực và loại hình, từ đất ở khu vực nội đô, đất trong các khu đô thị, đất thổ cư tại các huyện ngoại thành đến đất nền tại các khu vực đang được định hướng phát triển đô thị. Đặc biệt, quá trình mở rộ</w:t>
      </w:r>
      <w:r>
        <w:rPr>
          <w:color w:val="000000" w:themeColor="text1"/>
          <w:lang w:val="pt-BR"/>
        </w:rPr>
        <w:t xml:space="preserve">ng không gian đô thị, phát triển các khu đô thị mới và đầu tư hệ thống hạ tầng giao thông đã tạo động lực thúc đẩy giá trị đất tại nhiều khu vực trên địa bàn thành phố.</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5" w:left="0"/>
        <w:jc w:val="both"/>
        <w:rPr>
          <w:color w:val="000000" w:themeColor="text1"/>
          <w:lang w:val="pt-BR"/>
          <w14:ligatures w14:val="none"/>
        </w:rPr>
      </w:pPr>
      <w:r>
        <w:rPr>
          <w:color w:val="000000" w:themeColor="text1"/>
          <w:lang w:val="pt-BR"/>
        </w:rPr>
        <w:t xml:space="preserve">Một trong những yếu tố quan trọng tác động đến thị trường đất Hà Nội là sự phát triển mạnh của hệ thống hạ tầng giao thông. Thành phố đang tiếp tục đầu tư và hoàn thiện các tuyến đường vành đai, các trục hướng tâm, cầu vượt sông Hồng và hệ thống giao thông</w:t>
      </w:r>
      <w:r>
        <w:rPr>
          <w:color w:val="000000" w:themeColor="text1"/>
          <w:lang w:val="pt-BR"/>
        </w:rPr>
        <w:t xml:space="preserve"> kết nối khu vực trung tâm với các huyện ngoại thành. Các tuyến Vành đai 3, Vành đai 4 – Vùng Thủ đô, các tuyến cao tốc và các trục đường kết nối Hà Nội với các tỉnh lân cận góp phần rút ngắn thời gian di chuyển và mở rộng không gian phát triển đô thị. Bên</w:t>
      </w:r>
      <w:r>
        <w:rPr>
          <w:color w:val="000000" w:themeColor="text1"/>
          <w:lang w:val="pt-BR"/>
        </w:rPr>
        <w:t xml:space="preserve"> cạnh đó, hệ thống đường sắt đô thị từng bước được phát triển, góp phần cải thiện khả năng kết nối giữa các khu vực. Việc hạ tầng được đầu tư đồng bộ đã tạo động lực gia tăng giá trị đất tại những khu vực có khả năng kết nối tốt, đặc biệt tại các khu vực p</w:t>
      </w:r>
      <w:r>
        <w:rPr>
          <w:color w:val="000000" w:themeColor="text1"/>
          <w:lang w:val="pt-BR"/>
        </w:rPr>
        <w:t xml:space="preserve">hía Đông, phía Tây và phía Nam Hà Nội.</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5" w:left="0"/>
        <w:jc w:val="both"/>
        <w:rPr>
          <w:color w:val="000000" w:themeColor="text1"/>
          <w:lang w:val="pt-BR"/>
          <w14:ligatures w14:val="none"/>
        </w:rPr>
      </w:pPr>
      <w:r>
        <w:rPr>
          <w:color w:val="000000" w:themeColor="text1"/>
          <w:lang w:val="pt-BR"/>
        </w:rPr>
        <w:t xml:space="preserve">Thị trường đất Hà Nội trong những năm gần đây có sự phân hóa rõ nét giữa khu vực trung tâm và ngoại thành, cũng như giữa các loại hình đất có vị trí và pháp lý khác nhau. Tại khu vực nội đô, quỹ đất ở ngày càng hạn chế trong khi nhu cầu sử dụng và đầu tư v</w:t>
      </w:r>
      <w:r>
        <w:rPr>
          <w:color w:val="000000" w:themeColor="text1"/>
          <w:lang w:val="pt-BR"/>
        </w:rPr>
        <w:t xml:space="preserve">ẫn ở mức cao, khiến mặt bằng giá đất duy trì ở mức tương đối cao. Các khu vực như Ba Đình, Hoàn Kiếm, Đống Đa, Hai Bà Trưng, Cầu Giấy và Thanh Xuân tập trung nhiều khu dân cư hiện hữu, có hệ thống hạ tầng và dịch vụ phát triển, do đó giá đất ở thường cao h</w:t>
      </w:r>
      <w:r>
        <w:rPr>
          <w:color w:val="000000" w:themeColor="text1"/>
          <w:lang w:val="pt-BR"/>
        </w:rPr>
        <w:t xml:space="preserve">ơn đáng kể so với các khu vực ngoại thành. Trong khi đó, tại các khu vực như Hà Đông, Hoàng Mai, Long Biên, Gia Lâm, Đông Anh, Hoài Đức, Thanh Oai, Đan Phượng và Thường Tín, thị trường đất có sự phát triển mạnh hơn tại những khu vực được hưởng lợi từ quá t</w:t>
      </w:r>
      <w:r>
        <w:rPr>
          <w:color w:val="000000" w:themeColor="text1"/>
          <w:lang w:val="pt-BR"/>
        </w:rPr>
        <w:t xml:space="preserve">rình đô thị hóa và các dự án hạ tầng giao thông.</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5" w:left="0"/>
        <w:jc w:val="both"/>
        <w:rPr>
          <w:color w:val="000000" w:themeColor="text1"/>
          <w:lang w:val="pt-BR"/>
          <w14:ligatures w14:val="none"/>
        </w:rPr>
      </w:pPr>
      <w:r>
        <w:rPr>
          <w:color w:val="000000" w:themeColor="text1"/>
          <w:lang w:val="pt-BR"/>
        </w:rPr>
        <w:t xml:space="preserve">Đối với phân khúc đất ở tại các khu vực ngoại thành, mặt bằng giá có sự chênh lệch lớn tùy thuộc vào vị trí, mặt đường, khả năng kinh doanh, quy hoạch, hạ tầng và tình trạng pháp lý. Những thửa đất nằm trong khu dân cư hiện hữu, gần các tuyến đường lớn, tr</w:t>
      </w:r>
      <w:r>
        <w:rPr>
          <w:color w:val="000000" w:themeColor="text1"/>
          <w:lang w:val="pt-BR"/>
        </w:rPr>
        <w:t xml:space="preserve">ung tâm hành chính, khu đô thị, trường học và các công trình dịch vụ thường có mức giá cao hơn so với đất nằm sâu trong khu dân cư hoặc khu vực có khả năng kết nối hạn chế. Trong những năm gần đây, các khu vực phía Đông Hà Nội như Gia Lâm, Long Biên, Đông </w:t>
      </w:r>
      <w:r>
        <w:rPr>
          <w:color w:val="000000" w:themeColor="text1"/>
          <w:lang w:val="pt-BR"/>
        </w:rPr>
        <w:t xml:space="preserve">Anh và phía Tây như Hoài Đức, Hà Đông có xu hướng được quan tâm nhờ quá trình phát triển đô thị và đầu tư hạ tầng. Khu vực phía Nam như Thanh Oai, Thường Tín cũng từng bước thu hút sự quan tâm khi các tuyến giao thông kết nối được cải thiện.</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5" w:left="0"/>
        <w:jc w:val="both"/>
        <w:rPr>
          <w:color w:val="000000" w:themeColor="text1"/>
          <w:lang w:val="pt-BR"/>
          <w14:ligatures w14:val="none"/>
        </w:rPr>
      </w:pPr>
      <w:r>
        <w:rPr>
          <w:color w:val="000000" w:themeColor="text1"/>
          <w:lang w:val="pt-BR"/>
        </w:rPr>
        <w:t xml:space="preserve">Xét về cơ cấu thị trường, đất ở vẫn là một trong những phân khúc được quan tâm lớn tại Hà Nội do vừa đáp ứng nhu cầu sử dụng thực tế, vừa có khả năng tích lũy tài sản trong dài hạn. Bên cạnh đất ở trong khu dân cư, đất nền tại các khu đô thị và khu vực ven</w:t>
      </w:r>
      <w:r>
        <w:rPr>
          <w:color w:val="000000" w:themeColor="text1"/>
          <w:lang w:val="pt-BR"/>
        </w:rPr>
        <w:t xml:space="preserve"> các dự án hạ tầng lớn cũng thu hút sự quan tâm của nhà đầu tư. Tuy nhiên, sau những giai đoạn thị trường biến động, xu hướng lựa chọn của người mua ngày càng tập trung vào các tài sản có pháp lý rõ ràng, mục đích sử dụng ổn định, hạ tầng đã hình thành và </w:t>
      </w:r>
      <w:r>
        <w:rPr>
          <w:color w:val="000000" w:themeColor="text1"/>
          <w:lang w:val="pt-BR"/>
        </w:rPr>
        <w:t xml:space="preserve">có khả năng khai thác thực tế. Những khu vực có thông tin quy hoạch chưa rõ ràng hoặc phụ thuộc quá lớn vào kỳ vọng phát triển trong tương lai thường có tính thanh khoản thấp hơn.</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5" w:left="0"/>
        <w:jc w:val="both"/>
        <w:rPr>
          <w:color w:val="000000" w:themeColor="text1"/>
          <w:lang w:val="pt-BR"/>
          <w14:ligatures w14:val="none"/>
        </w:rPr>
      </w:pPr>
      <w:r>
        <w:rPr>
          <w:color w:val="000000" w:themeColor="text1"/>
          <w:lang w:val="pt-BR"/>
        </w:rPr>
        <w:t xml:space="preserve">Nhìn chung, triển vọng của thị trường đất Hà Nội trong những năm tới vẫn được đánh giá tích cực, đặc biệt tại các khu vực có tốc độ đô thị hóa cao, quỹ đất còn tương đối lớn và được hưởng lợi trực tiếp từ các dự án hạ tầng trọng điểm. Khu vực phía Đông tiế</w:t>
      </w:r>
      <w:r>
        <w:rPr>
          <w:color w:val="000000" w:themeColor="text1"/>
          <w:lang w:val="pt-BR"/>
        </w:rPr>
        <w:t xml:space="preserve">p tục có lợi thế nhờ quá trình phát triển đô thị và kết nối với các tỉnh phía Bắc; khu vực phía Tây có tiềm năng nhờ tốc độ đô thị hóa và sự tập trung của các khu đô thị, khu công nghệ và dịch vụ; trong khi khu vực phía Nam có dư địa phát triển nhờ quỹ đất</w:t>
      </w:r>
      <w:r>
        <w:rPr>
          <w:color w:val="000000" w:themeColor="text1"/>
          <w:lang w:val="pt-BR"/>
        </w:rPr>
        <w:t xml:space="preserve"> và các dự án giao thông mới. Tuy nhiên, thị trường vẫn tồn tại một số thách thức như mặt bằng giá tại nhiều khu vực đã ở mức cao, tính thanh khoản không đồng đều, chênh lệch giá lớn giữa các vị trí và rủi ro liên quan đến quy hoạch, pháp lý. Vì vậy, xu hư</w:t>
      </w:r>
      <w:r>
        <w:rPr>
          <w:color w:val="000000" w:themeColor="text1"/>
          <w:lang w:val="pt-BR"/>
        </w:rPr>
        <w:t xml:space="preserve">ớng phù hợp trong giai đoạn hiện nay là ưu tiên các tài sản đất có vị trí tốt, pháp lý đầy đủ, mục đích sử dụng rõ ràng, hạ tầng đã hình thành và có nhu cầu sử dụng thực tế, thay vì chỉ dựa vào kỳ vọng tăng giá trong tương lai.</w:t>
      </w:r>
      <w:r>
        <w:rPr>
          <w:color w:val="000000" w:themeColor="text1"/>
          <w:lang w:val="pt-BR"/>
          <w14:ligatures w14:val="none"/>
        </w:rPr>
      </w:r>
      <w:r>
        <w:rPr>
          <w:color w:val="000000" w:themeColor="text1"/>
          <w:lang w:val="pt-BR"/>
          <w14:ligatures w14:val="none"/>
        </w:rPr>
      </w:r>
    </w:p>
    <w:p>
      <w:pPr>
        <w:pStyle w:val="103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val="0"/>
                <w:bCs w:val="0"/>
                <w:color w:val="000000"/>
              </w:rPr>
            </w:pPr>
            <w:r>
              <w:rPr>
                <w:b w:val="0"/>
                <w:bCs w:val="0"/>
                <w:color w:val="000000"/>
              </w:rPr>
              <w:t xml:space="preserve">Quyền sử dụng đất tại thửa đất số: 416, tờ bản đồ số: 16, có địa chỉ: Tổ dân phố 3, phường Văn Quán, quận Hà Đông, Thành phố Hà Nội </w:t>
            </w:r>
            <w:r>
              <w:rPr>
                <w:b w:val="0"/>
                <w:bCs w:val="0"/>
                <w:color w:val="000000"/>
              </w:rPr>
              <w:t xml:space="preserve">(Nay là phường Hà Đông, Thành phố Hà Nội) </w:t>
            </w:r>
            <w:r>
              <w:rPr>
                <w:b w:val="0"/>
                <w:bCs w:val="0"/>
                <w:color w:val="000000"/>
              </w:rPr>
              <w:t xml:space="preserve">theo Giấy chứn</w:t>
            </w:r>
            <w:r>
              <w:rPr>
                <w:b w:val="0"/>
                <w:bCs w:val="0"/>
                <w:color w:val="000000"/>
              </w:rPr>
              <w:t xml:space="preserve">g nhận quyền sử dụng đất, quyền sở hữu nhà ở và tài sản khác gắn liền với đất số: DB 738619, Số vào sổ cấp GCN: CS-HĐO 40178 do Sở Tài nguyên và môi trường Thành phố Hà Nội cấp ngày 13/07/2021; chủ sử dụng đất là Ông Nguyễn Hữu Hanh và Bà Nguyễn Thị Mười</w:t>
            </w:r>
            <w:r>
              <w:rPr>
                <w:b w:val="0"/>
                <w:bCs w:val="0"/>
                <w:color w:val="000000"/>
              </w:rPr>
              <w:t xml:space="preserve">.</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416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16</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Tổ dân phố 3, Phường Hà Đông,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Được tặng cho đất được Công nhận QSDĐ như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jc w:val="both"/>
              <w:rPr/>
            </w:pPr>
            <w:r>
              <w:rPr>
                <w:rFonts w:ascii="Times New Roman" w:hAnsi="Times New Roman" w:eastAsia="Times New Roman" w:cs="Times New Roman"/>
                <w:color w:val="000000"/>
                <w:sz w:val="24"/>
              </w:rPr>
            </w:r>
            <w:r>
              <w:rPr>
                <w:rFonts w:ascii="Times New Roman" w:hAnsi="Times New Roman" w:eastAsia="Times New Roman" w:cs="Times New Roman"/>
                <w:color w:val="ee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ee0000"/>
                <w:sz w:val="24"/>
              </w:rPr>
              <w:t xml:space="preserve">định vị trí tài sản thuộc quy hoạch đất ở.</w:t>
            </w:r>
            <w:r>
              <w:rPr>
                <w:rFonts w:ascii="Times New Roman" w:hAnsi="Times New Roman" w:eastAsia="Times New Roman" w:cs="Times New Roman"/>
                <w:color w:val="000000"/>
                <w:sz w:val="24"/>
              </w:rPr>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p>
        </w:tc>
        <w:tc>
          <w:tcPr>
            <w:gridSpan w:val="4"/>
            <w:tcBorders/>
            <w:tcW w:w="878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90"/>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5401605" cy="255563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639036" name=""/>
                              <pic:cNvPicPr>
                                <a:picLocks noChangeAspect="1"/>
                              </pic:cNvPicPr>
                              <pic:nvPr/>
                            </pic:nvPicPr>
                            <pic:blipFill rotWithShape="1">
                              <a:blip r:embed="rId17"/>
                              <a:stretch/>
                            </pic:blipFill>
                            <pic:spPr bwMode="auto">
                              <a:xfrm flipH="0" flipV="0">
                                <a:off x="0" y="0"/>
                                <a:ext cx="5401604" cy="25556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5.32pt;height:201.23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r>
            <w:r>
              <w:rPr>
                <w:rFonts w:ascii="Times New Roman" w:hAnsi="Times New Roman" w:eastAsia="Times New Roman" w:cs="Times New Roman"/>
                <w:color w:val="000000"/>
                <w:sz w:val="24"/>
              </w:rPr>
              <w:t xml:space="preserve">Tiếp giáp ngõ 181 đường Trần Phú</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3</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300m ra đường Trần Phú</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90"/>
              <w:rPr/>
            </w:pPr>
            <w:r>
              <w:rPr>
                <w:rFonts w:ascii="Times New Roman" w:hAnsi="Times New Roman" w:eastAsia="Times New Roman" w:cs="Times New Roman"/>
                <w:color w:val="000000"/>
                <w:sz w:val="24"/>
              </w:rPr>
              <w:t xml:space="preserve">Hướng Nam - Tiếp giáp ngõ 181 đường Trần Phú</w:t>
            </w:r>
            <w:r/>
          </w:p>
          <w:p>
            <w:pPr>
              <w:pBdr>
                <w:top w:val="none" w:color="000000" w:sz="4" w:space="0"/>
                <w:left w:val="none" w:color="000000" w:sz="4" w:space="0"/>
                <w:bottom w:val="none" w:color="000000" w:sz="4" w:space="0"/>
                <w:right w:val="none" w:color="000000" w:sz="4" w:space="0"/>
              </w:pBdr>
              <w:shd w:val="clear" w:color="ffffff" w:fill="ffffff"/>
              <w:spacing/>
              <w:ind w:right="0" w:firstLine="0" w:left="90"/>
              <w:rPr/>
            </w:pPr>
            <w:r>
              <w:rPr>
                <w:rFonts w:ascii="Times New Roman" w:hAnsi="Times New Roman" w:eastAsia="Times New Roman" w:cs="Times New Roman"/>
                <w:color w:val="000000"/>
                <w:sz w:val="24"/>
              </w:rPr>
              <w:t xml:space="preserve">Các hướng còn lại tiếp giáp với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20.976203</w:t>
            </w:r>
            <w:r>
              <w:rPr>
                <w:color w:val="000000"/>
              </w:rPr>
              <w:t xml:space="preserve">, </w:t>
            </w:r>
            <w:r>
              <w:rPr>
                <w:color w:val="000000"/>
              </w:rPr>
              <w:t xml:space="preserve">105.7862241</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6048375" cy="271190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21391" name=""/>
                              <pic:cNvPicPr>
                                <a:picLocks noChangeAspect="1"/>
                              </pic:cNvPicPr>
                              <pic:nvPr/>
                            </pic:nvPicPr>
                            <pic:blipFill rotWithShape="1">
                              <a:blip r:embed="rId18"/>
                              <a:stretch/>
                            </pic:blipFill>
                            <pic:spPr bwMode="auto">
                              <a:xfrm>
                                <a:off x="0" y="0"/>
                                <a:ext cx="6048374" cy="27119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76.25pt;height:213.54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8,63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Tại thời điểm khảo sát, dưới sự hướng dẫn của chủ tài sản, trên đất CTXD Nhà 4 tầng 1 tum, tổng diện tích xây dựng khoảng 128,25, xây dựng từ năm 2022. Công trình chưa được công nhận trên GCN QSDĐ số: DB 752928.</w:t>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7"/>
        <w:numPr>
          <w:ilvl w:val="0"/>
          <w:numId w:val="3"/>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spacing w:val="-2"/>
          <w:lang w:val="pt-BR"/>
          <w14:ligatures w14:val="none"/>
        </w:rPr>
      </w:pPr>
      <w:r>
        <w:rPr>
          <w:spacing w:val="-2"/>
          <w:lang w:val="pt-BR"/>
        </w:rPr>
        <w:t xml:space="preserve">Tại thời điểm khảo sát, dưới sự hướng dẫn của chủ tài sản, trên đất CTXD Nhà 4 tầng 1 tum, tổng diện tích xây dựng khoảng 128,25, xây dựng từ năm 2022. Công trình chưa được công nhận trên GCN QSDĐ số: DB 752928</w:t>
      </w:r>
      <w:r>
        <w:rPr>
          <w:spacing w:val="-2"/>
          <w:lang w:val="pt-BR"/>
        </w:rPr>
        <w:t xml:space="preserve">. Đồng thời, Tổ thẩm định cũng không nhận được bất kỳ giấy tờ pháp lý nào liên quan đến chủ tài sản. Theo đề nghị của Khách hàng/ Ngân hàng, Tổ thẩm định không xác định giá trị CTXD nhưng vẫn coi đó là phần không thể tách rời của tài sản thẩm định.</w:t>
      </w:r>
      <w:r>
        <w:rPr>
          <w:spacing w:val="-2"/>
          <w:lang w:val="pt-BR"/>
          <w14:ligatures w14:val="none"/>
        </w:rPr>
      </w:r>
      <w:r>
        <w:rPr>
          <w:spacing w:val="-2"/>
          <w:lang w:val="pt-BR"/>
          <w14:ligatures w14:val="none"/>
        </w:rPr>
      </w:r>
    </w:p>
    <w:p>
      <w:pPr>
        <w:pStyle w:val="103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Bdr/>
        <w:spacing w:after="120" w:before="120" w:line="276" w:lineRule="auto"/>
        <w:ind w:firstLine="0" w:left="0"/>
        <w:jc w:val="both"/>
        <w:rPr>
          <w:spacing w:val="-4"/>
          <w:lang w:val="pt-BR"/>
        </w:rPr>
      </w:pPr>
      <w:r>
        <w:rPr>
          <w:spacing w:val="-4"/>
          <w:lang w:val="pt-BR"/>
        </w:rPr>
      </w: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spacing w:val="-4"/>
          <w:lang w:val="pt-BR"/>
        </w:rPr>
      </w:r>
      <w:r>
        <w:rPr>
          <w:spacing w:val="-4"/>
          <w:lang w:val="pt-BR"/>
        </w:rPr>
      </w:r>
    </w:p>
    <w:p>
      <w:pPr>
        <w:pStyle w:val="103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gridCol w:w="8749"/>
      </w:tblGrid>
      <w:tr>
        <w:trPr>
          <w:gridAfter w:val="1"/>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gridAfter w:val="1"/>
          <w:trHeight w:val="85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Hà Đông,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Hà Đông,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Hà Đông,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Hà Đông, Thành phố Hà Nội</w:t>
            </w:r>
            <w:r>
              <w:rPr>
                <w:sz w:val="22"/>
                <w:szCs w:val="22"/>
              </w:rPr>
            </w:r>
            <w:r>
              <w:rPr>
                <w:sz w:val="22"/>
                <w:szCs w:val="22"/>
              </w:rPr>
            </w:r>
          </w:p>
        </w:tc>
      </w:tr>
      <w:tr>
        <w:trPr>
          <w:gridAfter w:val="1"/>
          <w:trHeight w:val="55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0987.168.838</w:t>
            </w:r>
            <w:r>
              <w:rPr>
                <w:sz w:val="22"/>
                <w:szCs w:val="22"/>
              </w:rPr>
              <w:t xml:space="preserve"> </w:t>
            </w:r>
            <w:r>
              <w:rPr>
                <w:sz w:val="22"/>
                <w:szCs w:val="22"/>
              </w:rPr>
              <w:br/>
              <w:t xml:space="preserve">(Anh </w:t>
            </w:r>
            <w:r>
              <w:rPr>
                <w:sz w:val="22"/>
                <w:szCs w:val="22"/>
              </w:rPr>
              <w:t xml:space="preserve">Nguyễn Dũng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096.870.4395</w:t>
            </w:r>
            <w:r>
              <w:rPr>
                <w:sz w:val="22"/>
                <w:szCs w:val="22"/>
              </w:rPr>
              <w:br/>
            </w:r>
            <w:r>
              <w:rPr>
                <w:sz w:val="22"/>
                <w:szCs w:val="22"/>
              </w:rPr>
              <w:t xml:space="preserve">(Anh </w:t>
            </w:r>
            <w:r>
              <w:rPr>
                <w:sz w:val="22"/>
                <w:szCs w:val="22"/>
              </w:rPr>
              <w:t xml:space="preserve">Nguyễn Minh Việt</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0903476273</w:t>
            </w:r>
            <w:r>
              <w:rPr>
                <w:sz w:val="22"/>
                <w:szCs w:val="22"/>
              </w:rPr>
              <w:br/>
            </w:r>
            <w:r>
              <w:rPr>
                <w:sz w:val="22"/>
                <w:szCs w:val="22"/>
              </w:rPr>
              <w:t xml:space="preserve">(Anh </w:t>
            </w:r>
            <w:r>
              <w:rPr>
                <w:sz w:val="22"/>
                <w:szCs w:val="22"/>
              </w:rPr>
              <w:t xml:space="preserve">Dũng</w:t>
            </w:r>
            <w:r>
              <w:rPr>
                <w:sz w:val="22"/>
                <w:szCs w:val="22"/>
              </w:rPr>
              <w:t xml:space="preserve">)</w:t>
            </w:r>
            <w:r>
              <w:rPr>
                <w:sz w:val="22"/>
                <w:szCs w:val="22"/>
              </w:rPr>
            </w:r>
            <w:r>
              <w:rPr>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t xml:space="preserve"> </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ff0000"/>
                <w:sz w:val="22"/>
                <w:szCs w:val="22"/>
              </w:rPr>
              <w:t xml:space="preserve">VT3,</w:t>
            </w:r>
            <w:r>
              <w:rPr>
                <w:color w:val="000000" w:themeColor="text1"/>
                <w:sz w:val="22"/>
                <w:szCs w:val="22"/>
              </w:rPr>
              <w:t xml:space="preserve">  Phường Hà Đông, Thành phố Hà Nội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ff0000"/>
                <w:sz w:val="22"/>
                <w:szCs w:val="22"/>
              </w:rPr>
              <w:t xml:space="preserve">VT4</w:t>
            </w:r>
            <w:r>
              <w:rPr>
                <w:color w:val="000000" w:themeColor="text1"/>
                <w:sz w:val="22"/>
                <w:szCs w:val="22"/>
              </w:rPr>
              <w:t xml:space="preserve">, Phường Hà Đông, Thành phố Hà Nội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ff0000"/>
                <w:sz w:val="22"/>
                <w:szCs w:val="22"/>
              </w:rPr>
              <w:t xml:space="preserve">VT4</w:t>
            </w:r>
            <w:r>
              <w:rPr>
                <w:color w:val="000000" w:themeColor="text1"/>
                <w:sz w:val="22"/>
                <w:szCs w:val="22"/>
              </w:rPr>
              <w:t xml:space="preserve"> Phường Hà Đông, Thành phố Hà Nội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ff0000"/>
                <w:sz w:val="22"/>
                <w:szCs w:val="22"/>
              </w:rPr>
              <w:t xml:space="preserve">VT3</w:t>
            </w:r>
            <w:r>
              <w:rPr>
                <w:color w:val="000000" w:themeColor="text1"/>
                <w:sz w:val="22"/>
                <w:szCs w:val="22"/>
              </w:rPr>
              <w:t xml:space="preserve">, Phường Hà Đông, Thành phố Hà Nội</w:t>
            </w:r>
            <w:r>
              <w:rPr>
                <w:color w:val="000000"/>
                <w:sz w:val="22"/>
                <w:szCs w:val="22"/>
              </w:rPr>
            </w:r>
          </w:p>
        </w:tc>
      </w:tr>
      <w:tr>
        <w:trPr>
          <w:gridAfter w:val="1"/>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Vị trí tương quan giữa TSTĐ  và các TSSS</w:t>
            </w:r>
            <w:r>
              <w:rPr>
                <w:color w:val="000000" w:themeColor="text1"/>
                <w:sz w:val="22"/>
                <w:szCs w:val="22"/>
              </w:rPr>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mc:AlternateContent>
                <mc:Choice Requires="wpg">
                  <w:drawing>
                    <wp:inline xmlns:wp="http://schemas.openxmlformats.org/drawingml/2006/wordprocessingDrawing" distT="0" distB="0" distL="0" distR="0">
                      <wp:extent cx="4166536" cy="1851283"/>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45632" name=""/>
                              <pic:cNvPicPr>
                                <a:picLocks noChangeAspect="1"/>
                              </pic:cNvPicPr>
                              <pic:nvPr/>
                            </pic:nvPicPr>
                            <pic:blipFill rotWithShape="1">
                              <a:blip r:embed="rId19"/>
                              <a:stretch/>
                            </pic:blipFill>
                            <pic:spPr bwMode="auto">
                              <a:xfrm rot="0" flipH="0" flipV="0">
                                <a:off x="0" y="0"/>
                                <a:ext cx="4166535" cy="18512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28.07pt;height:145.77pt;mso-wrap-distance-left:0.00pt;mso-wrap-distance-top:0.00pt;mso-wrap-distance-right:0.00pt;mso-wrap-distance-bottom:0.00pt;rotation:0;z-index:1;" stroked="false">
                      <v:imagedata r:id="rId19" o:title=""/>
                      <o:lock v:ext="edit" rotation="t"/>
                    </v:shape>
                  </w:pict>
                </mc:Fallback>
              </mc:AlternateContent>
            </w:r>
            <w:r>
              <w:rPr>
                <w:color w:val="000000" w:themeColor="text1"/>
                <w:sz w:val="22"/>
                <w:szCs w:val="22"/>
              </w:rPr>
            </w:r>
            <w:r>
              <w:rPr>
                <w:color w:val="000000" w:themeColor="text1"/>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8,86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9,17</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9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w:t>
            </w:r>
            <w:r/>
          </w:p>
        </w:tc>
        <w:tc>
          <w:tcPr>
            <w:tcBorders/>
            <w:tcMar>
              <w:left w:w="0" w:type="dxa"/>
              <w:top w:w="0" w:type="dxa"/>
              <w:right w:w="0" w:type="dxa"/>
              <w:bottom w:w="0" w:type="dxa"/>
            </w:tcMar>
            <w:tcW w:w="8749" w:type="dxa"/>
            <w:vAlign w:val="center"/>
            <w:textDirection w:val="lrTb"/>
            <w:noWrap w:val="false"/>
          </w:tcPr>
          <w:p>
            <w:pPr>
              <w:pBdr/>
              <w:spacing w:after="0" w:before="0" w:line="240" w:lineRule="auto"/>
              <w:ind/>
              <w:rPr/>
            </w:pPr>
            <w:r/>
            <w:r/>
          </w:p>
        </w:tc>
      </w:tr>
      <w:tr>
        <w:trPr>
          <w:trHeight w:val="59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tcBorders/>
            <w:tcMar>
              <w:left w:w="0" w:type="dxa"/>
              <w:top w:w="0" w:type="dxa"/>
              <w:right w:w="0" w:type="dxa"/>
              <w:bottom w:w="0" w:type="dxa"/>
            </w:tcMar>
            <w:tcW w:w="8749" w:type="dxa"/>
            <w:vAlign w:val="center"/>
            <w:textDirection w:val="lrTb"/>
            <w:noWrap w:val="false"/>
          </w:tcPr>
          <w:p>
            <w:pPr>
              <w:pBdr/>
              <w:spacing w:after="0" w:before="0" w:line="240" w:lineRule="auto"/>
              <w:ind/>
              <w:rPr/>
            </w:pPr>
            <w:r/>
            <w:r/>
          </w:p>
        </w:tc>
      </w:tr>
      <w:tr>
        <w:trPr>
          <w:trHeight w:val="59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tcMar>
              <w:left w:w="0" w:type="dxa"/>
              <w:top w:w="0" w:type="dxa"/>
              <w:right w:w="0" w:type="dxa"/>
              <w:bottom w:w="0" w:type="dxa"/>
            </w:tcMar>
            <w:tcW w:w="8749" w:type="dxa"/>
            <w:vAlign w:val="center"/>
            <w:textDirection w:val="lrTb"/>
            <w:noWrap w:val="false"/>
          </w:tcPr>
          <w:p>
            <w:pPr>
              <w:pBdr/>
              <w:spacing w:after="0" w:before="0" w:line="240" w:lineRule="auto"/>
              <w:ind/>
              <w:rPr/>
            </w:pPr>
            <w:r/>
            <w:r/>
          </w:p>
        </w:tc>
      </w:tr>
      <w:tr>
        <w:trPr>
          <w:trHeight w:val="59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Nhà 5 tầng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5 tầng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4 tầng</w:t>
            </w:r>
            <w:r/>
          </w:p>
        </w:tc>
        <w:tc>
          <w:tcPr>
            <w:tcBorders/>
            <w:tcMar>
              <w:left w:w="0" w:type="dxa"/>
              <w:top w:w="0" w:type="dxa"/>
              <w:right w:w="0" w:type="dxa"/>
              <w:bottom w:w="0" w:type="dxa"/>
            </w:tcMar>
            <w:tcW w:w="8749" w:type="dxa"/>
            <w:vAlign w:val="center"/>
            <w:textDirection w:val="lrTb"/>
            <w:noWrap w:val="false"/>
          </w:tcPr>
          <w:p>
            <w:pPr>
              <w:pBdr/>
              <w:spacing w:after="0" w:before="0" w:line="240" w:lineRule="auto"/>
              <w:ind/>
              <w:rPr/>
            </w:pPr>
            <w:r/>
            <w:r/>
          </w:p>
        </w:tc>
      </w:tr>
      <w:tr>
        <w:trPr>
          <w:trHeight w:val="59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tầng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5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5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4 </w:t>
            </w:r>
            <w:r/>
          </w:p>
        </w:tc>
        <w:tc>
          <w:tcPr>
            <w:tcBorders/>
            <w:tcMar>
              <w:left w:w="0" w:type="dxa"/>
              <w:top w:w="0" w:type="dxa"/>
              <w:right w:w="0" w:type="dxa"/>
              <w:bottom w:w="0" w:type="dxa"/>
            </w:tcMar>
            <w:tcW w:w="8749" w:type="dxa"/>
            <w:vAlign w:val="center"/>
            <w:textDirection w:val="lrTb"/>
            <w:noWrap w:val="false"/>
          </w:tcPr>
          <w:p>
            <w:pPr>
              <w:pBdr/>
              <w:spacing w:after="0" w:before="0" w:line="240" w:lineRule="auto"/>
              <w:ind/>
              <w:rPr/>
            </w:pPr>
            <w:r/>
            <w:r/>
          </w:p>
        </w:tc>
      </w:tr>
      <w:tr>
        <w:trPr>
          <w:trHeight w:val="59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sàn sử dụng (m²)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160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94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132 </w:t>
            </w:r>
            <w:r/>
          </w:p>
        </w:tc>
        <w:tc>
          <w:tcPr>
            <w:tcBorders/>
            <w:tcMar>
              <w:left w:w="0" w:type="dxa"/>
              <w:top w:w="0" w:type="dxa"/>
              <w:right w:w="0" w:type="dxa"/>
              <w:bottom w:w="0" w:type="dxa"/>
            </w:tcMar>
            <w:tcW w:w="8749" w:type="dxa"/>
            <w:vAlign w:val="center"/>
            <w:textDirection w:val="lrTb"/>
            <w:noWrap w:val="false"/>
          </w:tcPr>
          <w:p>
            <w:pPr>
              <w:pBdr/>
              <w:spacing w:after="0" w:before="0" w:line="240" w:lineRule="auto"/>
              <w:ind/>
              <w:rPr/>
            </w:pPr>
            <w:r/>
            <w:r/>
          </w:p>
        </w:tc>
      </w:tr>
      <w:tr>
        <w:trPr>
          <w:trHeight w:val="59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9.500.000.000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9.900.000.000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7.500.000.000</w:t>
            </w:r>
            <w:r/>
          </w:p>
        </w:tc>
        <w:tc>
          <w:tcPr>
            <w:tcBorders/>
            <w:tcMar>
              <w:left w:w="0" w:type="dxa"/>
              <w:top w:w="0" w:type="dxa"/>
              <w:right w:w="0" w:type="dxa"/>
              <w:bottom w:w="0" w:type="dxa"/>
            </w:tcMar>
            <w:tcW w:w="8749" w:type="dxa"/>
            <w:vAlign w:val="center"/>
            <w:textDirection w:val="lrTb"/>
            <w:noWrap w:val="false"/>
          </w:tcPr>
          <w:p>
            <w:pPr>
              <w:pBdr/>
              <w:spacing w:after="0" w:before="0" w:line="240" w:lineRule="auto"/>
              <w:ind/>
              <w:rPr/>
            </w:pPr>
            <w:r/>
            <w:r/>
          </w:p>
        </w:tc>
      </w:tr>
      <w:tr>
        <w:trPr>
          <w:trHeight w:val="59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Khả năng giao dịch thành công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85%</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85%</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90%</w:t>
            </w:r>
            <w:r/>
          </w:p>
        </w:tc>
        <w:tc>
          <w:tcPr>
            <w:tcBorders/>
            <w:tcMar>
              <w:left w:w="0" w:type="dxa"/>
              <w:top w:w="0" w:type="dxa"/>
              <w:right w:w="0" w:type="dxa"/>
              <w:bottom w:w="0" w:type="dxa"/>
            </w:tcMar>
            <w:tcW w:w="8749" w:type="dxa"/>
            <w:vAlign w:val="center"/>
            <w:textDirection w:val="lrTb"/>
            <w:noWrap w:val="false"/>
          </w:tcPr>
          <w:p>
            <w:pPr>
              <w:pBdr/>
              <w:spacing w:after="0" w:before="0" w:line="240" w:lineRule="auto"/>
              <w:ind/>
              <w:rPr/>
            </w:pPr>
            <w:r/>
            <w:r/>
          </w:p>
        </w:tc>
      </w:tr>
      <w:tr>
        <w:trPr>
          <w:trHeight w:val="59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8.075.000.000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8.415.000.000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6.750.000.000</w:t>
            </w:r>
            <w:r/>
          </w:p>
        </w:tc>
        <w:tc>
          <w:tcPr>
            <w:tcBorders/>
            <w:tcMar>
              <w:left w:w="0" w:type="dxa"/>
              <w:top w:w="0" w:type="dxa"/>
              <w:right w:w="0" w:type="dxa"/>
              <w:bottom w:w="0" w:type="dxa"/>
            </w:tcMar>
            <w:tcW w:w="8749" w:type="dxa"/>
            <w:vAlign w:val="center"/>
            <w:textDirection w:val="lrTb"/>
            <w:noWrap w:val="false"/>
          </w:tcPr>
          <w:p>
            <w:pPr>
              <w:pBdr/>
              <w:spacing w:after="0" w:before="0" w:line="240" w:lineRule="auto"/>
              <w:ind/>
              <w:rPr/>
            </w:pPr>
            <w:r/>
            <w:r/>
          </w:p>
        </w:tc>
      </w:tr>
      <w:tr>
        <w:trPr>
          <w:trHeight w:val="59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8749" w:type="dxa"/>
            <w:vAlign w:val="center"/>
            <w:textDirection w:val="lrTb"/>
            <w:noWrap w:val="false"/>
          </w:tcPr>
          <w:p>
            <w:pPr>
              <w:pBdr/>
              <w:spacing w:after="0" w:before="0" w:line="240" w:lineRule="auto"/>
              <w:ind/>
              <w:rPr/>
            </w:pPr>
            <w:r/>
            <w:r/>
          </w:p>
        </w:tc>
      </w:tr>
      <w:tr>
        <w:trPr>
          <w:trHeight w:val="59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1.297.416.064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1.473.762.221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990.209.438 </w:t>
            </w:r>
            <w:r/>
          </w:p>
        </w:tc>
        <w:tc>
          <w:tcPr>
            <w:tcBorders/>
            <w:tcMar>
              <w:left w:w="0" w:type="dxa"/>
              <w:top w:w="0" w:type="dxa"/>
              <w:right w:w="0" w:type="dxa"/>
              <w:bottom w:w="0" w:type="dxa"/>
            </w:tcMar>
            <w:tcW w:w="8749"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i/>
                <w:color w:val="000000"/>
                <w:sz w:val="22"/>
              </w:rPr>
              <w:t xml:space="preserve">Đơn giá xây dựng mới theo QĐ 409/QĐ-BXD; Hệ số vùng điều chỉnh (Vùng 7-TP Hà Nội)</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8.535.632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   8.535.632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7.896.407 </w:t>
            </w:r>
            <w:r/>
          </w:p>
        </w:tc>
        <w:tc>
          <w:tcPr>
            <w:tcBorders/>
            <w:tcMar>
              <w:left w:w="0" w:type="dxa"/>
              <w:top w:w="0" w:type="dxa"/>
              <w:right w:w="0" w:type="dxa"/>
              <w:bottom w:w="0" w:type="dxa"/>
            </w:tcMar>
            <w:tcW w:w="8749"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i/>
                <w:color w:val="000000"/>
                <w:sz w:val="22"/>
              </w:rPr>
              <w:t xml:space="preserve">Tỷ lệ hao mòn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11%</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2"/>
              </w:rPr>
              <w:t xml:space="preserve">5%</w:t>
            </w:r>
            <w:r/>
          </w:p>
        </w:tc>
        <w:tc>
          <w:tcPr>
            <w:tcBorders/>
            <w:tcMar>
              <w:left w:w="0" w:type="dxa"/>
              <w:top w:w="0" w:type="dxa"/>
              <w:right w:w="0" w:type="dxa"/>
              <w:bottom w:w="0" w:type="dxa"/>
            </w:tcMar>
            <w:tcW w:w="8749"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i/>
                <w:color w:val="000000"/>
                <w:sz w:val="22"/>
              </w:rPr>
              <w:t xml:space="preserve"> Tỷ lệ % CLCL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95%</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89%</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95%</w:t>
            </w:r>
            <w:r/>
          </w:p>
        </w:tc>
        <w:tc>
          <w:tcPr>
            <w:tcBorders/>
            <w:tcMar>
              <w:left w:w="0" w:type="dxa"/>
              <w:top w:w="0" w:type="dxa"/>
              <w:right w:w="0" w:type="dxa"/>
              <w:bottom w:w="0" w:type="dxa"/>
            </w:tcMar>
            <w:tcW w:w="8749"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6.777.583.936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    6.941.237.779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    5.759.790.562   </w:t>
            </w:r>
            <w:r/>
          </w:p>
        </w:tc>
        <w:tc>
          <w:tcPr>
            <w:tcBorders/>
            <w:tcMar>
              <w:left w:w="0" w:type="dxa"/>
              <w:top w:w="0" w:type="dxa"/>
              <w:right w:w="0" w:type="dxa"/>
              <w:bottom w:w="0" w:type="dxa"/>
            </w:tcMar>
            <w:tcW w:w="8749"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211.799.498</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204.154.052</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174.539.108</w:t>
            </w:r>
            <w:r/>
          </w:p>
        </w:tc>
        <w:tc>
          <w:tcPr>
            <w:tcBorders/>
            <w:tcMar>
              <w:left w:w="0" w:type="dxa"/>
              <w:top w:w="0" w:type="dxa"/>
              <w:right w:w="0" w:type="dxa"/>
              <w:bottom w:w="0" w:type="dxa"/>
            </w:tcMar>
            <w:tcW w:w="8749" w:type="dxa"/>
            <w:vAlign w:val="center"/>
            <w:textDirection w:val="lrTb"/>
            <w:noWrap w:val="false"/>
          </w:tcPr>
          <w:p>
            <w:pPr>
              <w:pBdr/>
              <w:spacing w:after="0" w:before="0" w:line="240" w:lineRule="auto"/>
              <w:ind/>
              <w:rPr/>
            </w:pPr>
            <w: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6.777.583.936</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6.941.237.779</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5.759.790.562</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211.799.498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204.154.052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174.539.108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211.799.498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204.154.052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174.539.108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211.799.498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204.154.052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174.539.108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369"/>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211.799.498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204.154.052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174.539.108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ff0000"/>
                <w:sz w:val="22"/>
                <w:szCs w:val="22"/>
              </w:rPr>
              <w:t xml:space="preserve">VT3,</w:t>
            </w:r>
            <w:r>
              <w:rPr>
                <w:color w:val="000000" w:themeColor="text1"/>
                <w:sz w:val="22"/>
                <w:szCs w:val="22"/>
              </w:rPr>
              <w:t xml:space="preserve">  Phường Hà Đông, Thành phố Hà Nội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ff0000"/>
                <w:sz w:val="22"/>
                <w:szCs w:val="22"/>
              </w:rPr>
              <w:t xml:space="preserve">VT4</w:t>
            </w:r>
            <w:r>
              <w:rPr>
                <w:color w:val="000000" w:themeColor="text1"/>
                <w:sz w:val="22"/>
                <w:szCs w:val="22"/>
              </w:rPr>
              <w:t xml:space="preserve">, Phường Hà Đông, Thành phố Hà Nội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ff0000"/>
                <w:sz w:val="22"/>
                <w:szCs w:val="22"/>
              </w:rPr>
              <w:t xml:space="preserve">VT4</w:t>
            </w:r>
            <w:r>
              <w:rPr>
                <w:color w:val="000000" w:themeColor="text1"/>
                <w:sz w:val="22"/>
                <w:szCs w:val="22"/>
              </w:rPr>
              <w:t xml:space="preserve"> Phường Hà Đông, Thành phố Hà Nội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ff0000"/>
                <w:sz w:val="22"/>
                <w:szCs w:val="22"/>
              </w:rPr>
              <w:t xml:space="preserve">VT3</w:t>
            </w:r>
            <w:r>
              <w:rPr>
                <w:color w:val="000000" w:themeColor="text1"/>
                <w:sz w:val="22"/>
                <w:szCs w:val="22"/>
              </w:rPr>
              <w:t xml:space="preserve">, Phường Hà Đông, Thành phố Hà Nội</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6.353.985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6.124.622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218.153.483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210.278.674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174.539.108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12.707.970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12.249.243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10.472.346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230.861.453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222.527.917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185.011.454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21.179.950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20.415.405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8.726.955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252.041.403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242.943.322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193.738.409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252.041.403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242.943.322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193.738.409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-14.825.965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-10.207.703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237.215.438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232.735.619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193.738.409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8,86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8,44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9,17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237.215.438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232.735.619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193.738.409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-14.290.784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-12.217.738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237.215.438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218.444.835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181.520.671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20.415.405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8.726.955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237.215.438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238.860.240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190.247.626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237.215.438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238.860.240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190.247.626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222.107.768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7,54%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-14,34%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55.067.870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83.703.162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40.143.994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- 7%</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25.415.940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34.706.188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15.708.518</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-14,34</w:t>
      </w:r>
      <w:r>
        <w:t xml:space="preserve">%  đến</w:t>
      </w:r>
      <w:r>
        <w:t xml:space="preserve"> </w:t>
      </w:r>
      <w:r>
        <w:t xml:space="preserve"> </w:t>
      </w:r>
      <w:r>
        <w:t xml:space="preserve">7,54</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237.215.438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79.087.627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238.860.240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79.612.118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190.247.626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63.409.534</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222.109.279</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222.000.000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222.000.000</w:t>
      </w:r>
      <w:r>
        <w:rPr>
          <w:b/>
          <w:bCs/>
          <w:color w:val="000000" w:themeColor="text1"/>
        </w:rPr>
        <w:t xml:space="preserve"> </w:t>
      </w:r>
      <w:r>
        <w:rPr>
          <w:b/>
          <w:bCs/>
        </w:rPr>
        <w:t xml:space="preserve">đồng/m².</w:t>
      </w:r>
      <w:r>
        <w:rPr>
          <w:b/>
          <w:bCs/>
        </w:rPr>
      </w:r>
      <w:r>
        <w:rPr>
          <w:b/>
          <w:bCs/>
        </w:rPr>
      </w:r>
    </w:p>
    <w:p>
      <w:pPr>
        <w:pStyle w:val="103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416, tờ bản đồ số: 16, có địa chỉ: Tổ dân phố 3, phường Văn Quán, quận Hà Đông, Thành phố Hà Nội (Nay là phường Hà Đông, thành phố Hà Nội)  theo Giấy chứn</w:t>
            </w:r>
            <w:r>
              <w:rPr>
                <w:color w:val="000000"/>
              </w:rPr>
              <w:t xml:space="preserve">g nhận quyền sử dụng đất, quyền sở hữu nhà ở và tài sản khác gắn liền với đất số: DB 738619, Số vào sổ cấp GCN: CS - HĐO 40178 do Sở Tài nguyên và môi trường Thành phố Hà Nội cấp ngày 13/07/2021; chủ sử dụng đất là Ông Nguyễn Hữu Hanh và Bà Nguyễn Thị Mười</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tại đô thị</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31</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222.000.000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6.882.000.000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6.882.000.000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Sáu tỷ tám trăm tám mươi hai triệu</w:t>
            </w:r>
            <w:r>
              <w:rPr>
                <w:b/>
                <w:bCs/>
                <w:i/>
                <w:iCs/>
                <w:color w:val="000000"/>
              </w:rPr>
              <w:t xml:space="preserve">./.)</w:t>
            </w:r>
            <w:r>
              <w:rPr>
                <w:b/>
                <w:bCs/>
                <w:i/>
                <w:iCs/>
                <w:color w:val="000000"/>
              </w:rPr>
            </w:r>
            <w:r>
              <w:rPr>
                <w:b/>
                <w:bCs/>
                <w:i/>
                <w:iCs/>
                <w:color w:val="000000"/>
              </w:rPr>
            </w:r>
          </w:p>
        </w:tc>
      </w:tr>
    </w:tbl>
    <w:p>
      <w:pPr>
        <w:pStyle w:val="103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spacing w:val="-2"/>
          <w:lang w:val="pt-BR"/>
        </w:rPr>
        <w:t xml:space="preserve">Tại thời điểm khảo sát, dưới sự hướng dẫn của chủ tài sản, trên đất CTXD Nhà 4 tầng 1 tum, tổng diện tích xây dựng khoảng 128,25, xây dựng từ năm 2022. Công trình chưa được công nhận trên GCN QSDĐ số: DB 752928</w:t>
      </w:r>
      <w:r>
        <w:rPr>
          <w:spacing w:val="-2"/>
          <w:lang w:val="pt-BR"/>
        </w:rPr>
        <w:t xml:space="preserve">. Đồng thời, Tổ thẩm định cũng không nhận được bất kỳ giấy tờ pháp lý nào liên quan đến chủ tài sản. Theo đề nghị của Khách hàng/ Ngân hàng, Tổ thẩm định không xác định giá trị CTXD nhưng vẫn coi đó là phần không thể tách rời của tài sản thẩm định. </w:t>
      </w:r>
      <w:r>
        <w:rPr>
          <w:rFonts w:ascii="Times New Roman" w:hAnsi="Times New Roman" w:eastAsia="Times New Roman" w:cs="Times New Roman"/>
          <w:color w:val="000000"/>
          <w:sz w:val="24"/>
        </w:rPr>
        <w:t xml:space="preserve">Kính đề nghị đơn vị sử dụng kết quả lưu ý.</w:t>
      </w:r>
      <w:r>
        <w:rPr>
          <w:rFonts w:ascii="Times New Roman" w:hAnsi="Times New Roman" w:eastAsia="Times New Roman" w:cs="Times New Roman"/>
          <w:sz w:val="24"/>
        </w:rPr>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ee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ee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ee0000"/>
          <w:sz w:val="24"/>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sz w:val="24"/>
        </w:rPr>
      </w:r>
      <w:r/>
    </w:p>
    <w:p>
      <w:pPr>
        <w:pStyle w:val="103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7"/>
        <w:pBdr/>
        <w:tabs>
          <w:tab w:val="left" w:leader="none" w:pos="993"/>
          <w:tab w:val="left" w:leader="none" w:pos="6464"/>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tab/>
      </w:r>
      <w:r>
        <w:rPr>
          <w:lang w:val="pt-BR"/>
        </w:rPr>
      </w:r>
      <w:r>
        <w:rPr>
          <w:lang w:val="pt-BR"/>
        </w:rPr>
      </w:r>
    </w:p>
    <w:p>
      <w:pPr>
        <w:pStyle w:val="103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275/2026/1424/VFI-CT.44.A</w:t>
      </w:r>
      <w:r>
        <w:rPr>
          <w:color w:val="ff0000"/>
          <w:lang w:val="vi-VN"/>
        </w:rPr>
        <w:t xml:space="preserve"> </w:t>
      </w:r>
      <w:r>
        <w:rPr>
          <w:color w:val="000000" w:themeColor="text1"/>
        </w:rPr>
        <w:t xml:space="preserve">ngày 14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rPr>
            </w:pPr>
            <w:r>
              <w:rPr>
                <w:rFonts w:eastAsia="Calibri"/>
                <w:b/>
                <w:bCs/>
                <w:lang w:val="pt-BR"/>
              </w:rPr>
              <w:t xml:space="preserve">Lê Đình Duy</w:t>
            </w:r>
            <w:r>
              <w:rPr>
                <w:rFonts w:eastAsia="Calibri"/>
                <w:b/>
                <w:bCs/>
                <w:color w:val="000000" w:themeColor="text1"/>
              </w:rPr>
            </w:r>
            <w:r>
              <w:rPr>
                <w:rFonts w:eastAsia="Calibri"/>
                <w:b/>
                <w:bCs/>
                <w:color w:val="000000" w:themeColor="text1"/>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tabs>
                <w:tab w:val="left" w:leader="none" w:pos="1230"/>
              </w:tabs>
              <w:spacing w:line="276" w:lineRule="auto"/>
              <w:ind/>
              <w:rPr>
                <w:rFonts w:eastAsia="Calibri"/>
                <w:b/>
                <w:lang w:val="pt-BR"/>
              </w:rPr>
            </w:pPr>
            <w:r>
              <w:rPr>
                <w:rFonts w:eastAsia="Calibri"/>
                <w:b/>
                <w:lang w:val="pt-BR"/>
              </w:rPr>
            </w:r>
            <w:r>
              <w:rPr>
                <w:rFonts w:eastAsia="Calibri"/>
                <w:b/>
                <w:lang w:val="pt-BR"/>
              </w:rPr>
              <w:tab/>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275/2026/1424/VFI-BC.44.A</w:t>
      </w:r>
      <w:r>
        <w:rPr>
          <w:i/>
          <w:lang w:val="pt-BR"/>
        </w:rPr>
        <w:t xml:space="preserve"> ngày </w:t>
      </w:r>
      <w:r>
        <w:rPr>
          <w:i/>
          <w:lang w:val="pt-BR"/>
        </w:rPr>
        <w:t xml:space="preserve">14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12722" cy="392756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929099" name=""/>
                              <pic:cNvPicPr>
                                <a:picLocks noChangeAspect="1"/>
                              </pic:cNvPicPr>
                              <pic:nvPr/>
                            </pic:nvPicPr>
                            <pic:blipFill rotWithShape="1">
                              <a:blip r:embed="rId20"/>
                              <a:stretch/>
                            </pic:blipFill>
                            <pic:spPr bwMode="auto">
                              <a:xfrm flipH="0" flipV="0">
                                <a:off x="0" y="0"/>
                                <a:ext cx="1812721" cy="39275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42.73pt;height:309.2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19424" cy="233712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463246" name=""/>
                              <pic:cNvPicPr>
                                <a:picLocks noChangeAspect="1"/>
                              </pic:cNvPicPr>
                              <pic:nvPr/>
                            </pic:nvPicPr>
                            <pic:blipFill rotWithShape="1">
                              <a:blip r:embed="rId21"/>
                              <a:stretch/>
                            </pic:blipFill>
                            <pic:spPr bwMode="auto">
                              <a:xfrm flipH="0" flipV="0">
                                <a:off x="0" y="0"/>
                                <a:ext cx="3119424" cy="23371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45.62pt;height:184.03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68553" cy="230141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451948" name=""/>
                              <pic:cNvPicPr>
                                <a:picLocks noChangeAspect="1"/>
                              </pic:cNvPicPr>
                              <pic:nvPr/>
                            </pic:nvPicPr>
                            <pic:blipFill rotWithShape="1">
                              <a:blip r:embed="rId22"/>
                              <a:stretch/>
                            </pic:blipFill>
                            <pic:spPr bwMode="auto">
                              <a:xfrm flipH="0" flipV="0">
                                <a:off x="0" y="0"/>
                                <a:ext cx="3068552" cy="23014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41.62pt;height:181.21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21343" cy="211379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406104" name=""/>
                              <pic:cNvPicPr>
                                <a:picLocks noChangeAspect="1"/>
                              </pic:cNvPicPr>
                              <pic:nvPr/>
                            </pic:nvPicPr>
                            <pic:blipFill rotWithShape="1">
                              <a:blip r:embed="rId23"/>
                              <a:stretch/>
                            </pic:blipFill>
                            <pic:spPr bwMode="auto">
                              <a:xfrm flipH="0" flipV="0">
                                <a:off x="0" y="0"/>
                                <a:ext cx="2821342" cy="21137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2.15pt;height:166.44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04620" cy="320616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534252" name=""/>
                              <pic:cNvPicPr>
                                <a:picLocks noChangeAspect="1"/>
                              </pic:cNvPicPr>
                              <pic:nvPr/>
                            </pic:nvPicPr>
                            <pic:blipFill rotWithShape="1">
                              <a:blip r:embed="rId24"/>
                              <a:stretch/>
                            </pic:blipFill>
                            <pic:spPr bwMode="auto">
                              <a:xfrm flipH="0" flipV="0">
                                <a:off x="0" y="0"/>
                                <a:ext cx="2404620" cy="32061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89.34pt;height:252.45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173293" cy="237997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456033" name=""/>
                              <pic:cNvPicPr>
                                <a:picLocks noChangeAspect="1"/>
                              </pic:cNvPicPr>
                              <pic:nvPr/>
                            </pic:nvPicPr>
                            <pic:blipFill rotWithShape="1">
                              <a:blip r:embed="rId25"/>
                              <a:stretch/>
                            </pic:blipFill>
                            <pic:spPr bwMode="auto">
                              <a:xfrm flipH="0" flipV="0">
                                <a:off x="0" y="0"/>
                                <a:ext cx="3173292" cy="23799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49.87pt;height:187.40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r>
        <w:trPr/>
        <w:tc>
          <w:tcPr>
            <w:tcBorders/>
            <w:tcW w:w="4758" w:type="dxa"/>
            <w:vAlign w:val="center"/>
            <w:vMerge w:val="restart"/>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vMerge w:val="restart"/>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19997" cy="2039998"/>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583811" name=""/>
                              <pic:cNvPicPr>
                                <a:picLocks noChangeAspect="1"/>
                              </pic:cNvPicPr>
                              <pic:nvPr/>
                            </pic:nvPicPr>
                            <pic:blipFill rotWithShape="1">
                              <a:blip r:embed="rId26"/>
                              <a:stretch/>
                            </pic:blipFill>
                            <pic:spPr bwMode="auto">
                              <a:xfrm flipH="0" flipV="0">
                                <a:off x="0" y="0"/>
                                <a:ext cx="2719996" cy="20399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4.17pt;height:160.63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63569" cy="1997677"/>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760996" name=""/>
                              <pic:cNvPicPr>
                                <a:picLocks noChangeAspect="1"/>
                              </pic:cNvPicPr>
                              <pic:nvPr/>
                            </pic:nvPicPr>
                            <pic:blipFill rotWithShape="1">
                              <a:blip r:embed="rId27"/>
                              <a:stretch/>
                            </pic:blipFill>
                            <pic:spPr bwMode="auto">
                              <a:xfrm flipH="0" flipV="0">
                                <a:off x="0" y="0"/>
                                <a:ext cx="2663568" cy="19976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09.73pt;height:157.30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c>
      </w:tr>
    </w:tbl>
    <w:p>
      <w:pPr>
        <w:pBdr/>
        <w:spacing/>
        <w:ind/>
        <w:rPr/>
      </w:pPr>
      <w:r/>
      <w:r/>
    </w:p>
    <w:p>
      <w:pPr>
        <w:pBdr/>
        <w:tabs>
          <w:tab w:val="left" w:leader="none" w:pos="5506"/>
        </w:tabs>
        <w:spacing w:after="200" w:line="276" w:lineRule="auto"/>
        <w:ind/>
        <w:jc w:val="center"/>
        <w:rPr/>
      </w:pPr>
      <w:r>
        <w:br w:type="page" w:clear="all"/>
      </w:r>
      <w:r>
        <w:t xml:space="preserve">Pháp </w:t>
      </w:r>
      <w:r>
        <w:t xml:space="preserve">lý</w:t>
      </w:r>
      <w:r/>
      <w:r>
        <mc:AlternateContent>
          <mc:Choice Requires="wpg">
            <w:drawing>
              <wp:inline xmlns:wp="http://schemas.openxmlformats.org/drawingml/2006/wordprocessingDrawing" distT="0" distB="0" distL="0" distR="0">
                <wp:extent cx="6074533" cy="8099378"/>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368068" name=""/>
                        <pic:cNvPicPr>
                          <a:picLocks noChangeAspect="1"/>
                        </pic:cNvPicPr>
                        <pic:nvPr/>
                      </pic:nvPicPr>
                      <pic:blipFill rotWithShape="1">
                        <a:blip r:embed="rId28"/>
                        <a:stretch/>
                      </pic:blipFill>
                      <pic:spPr bwMode="auto">
                        <a:xfrm rot="0" flipH="0" flipV="0">
                          <a:off x="0" y="0"/>
                          <a:ext cx="6074533" cy="80993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8.31pt;height:637.75pt;mso-wrap-distance-left:0.00pt;mso-wrap-distance-top:0.00pt;mso-wrap-distance-right:0.00pt;mso-wrap-distance-bottom:0.00pt;rotation:0;z-index:1;" stroked="false">
                <v:imagedata r:id="rId28" o:title=""/>
                <o:lock v:ext="edit" rotation="t"/>
              </v:shape>
            </w:pict>
          </mc:Fallback>
        </mc:AlternateContent>
      </w:r>
      <w:r/>
      <w:r/>
      <w:r/>
      <w:r>
        <w:rPr>
          <w:highlight w:val="none"/>
        </w:rPr>
      </w:r>
      <w:r/>
      <w:r/>
      <w:r/>
      <w:r/>
      <w:r>
        <w:tab/>
      </w:r>
      <w:r>
        <mc:AlternateContent>
          <mc:Choice Requires="wpg">
            <w:drawing>
              <wp:inline xmlns:wp="http://schemas.openxmlformats.org/drawingml/2006/wordprocessingDrawing" distT="0" distB="0" distL="0" distR="0">
                <wp:extent cx="5204579" cy="925258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342964" name=""/>
                        <pic:cNvPicPr>
                          <a:picLocks noChangeAspect="1"/>
                        </pic:cNvPicPr>
                        <pic:nvPr/>
                      </pic:nvPicPr>
                      <pic:blipFill rotWithShape="1">
                        <a:blip r:embed="rId29"/>
                        <a:stretch/>
                      </pic:blipFill>
                      <pic:spPr bwMode="auto">
                        <a:xfrm>
                          <a:off x="0" y="0"/>
                          <a:ext cx="5204579" cy="9252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09.81pt;height:728.55pt;mso-wrap-distance-left:0.00pt;mso-wrap-distance-top:0.00pt;mso-wrap-distance-right:0.00pt;mso-wrap-distance-bottom:0.00pt;z-index:1;" stroked="false">
                <v:imagedata r:id="rId29" o:title=""/>
                <o:lock v:ext="edit" rotation="t"/>
              </v:shape>
            </w:pict>
          </mc:Fallback>
        </mc:AlternateContent>
      </w:r>
      <w:r/>
      <w:r/>
      <w:r/>
    </w:p>
    <w:p>
      <w:pPr>
        <w:pBdr/>
        <w:tabs>
          <w:tab w:val="left" w:leader="none" w:pos="5506"/>
        </w:tabs>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pPr>
      <w:r>
        <w:rPr>
          <w:highlight w:val="none"/>
        </w:rPr>
      </w:r>
      <w:r>
        <w:rPr>
          <w:highlight w:val="none"/>
        </w:rPr>
      </w:r>
      <w:r>
        <w:rPr>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275/2026/1424/VFI-BC.44.A</w:t>
      </w:r>
      <w:r>
        <w:rPr>
          <w:i/>
          <w:lang w:val="pt-BR"/>
        </w:rPr>
        <w:t xml:space="preserve"> </w:t>
      </w:r>
      <w:r>
        <w:rPr>
          <w:i/>
          <w:lang w:val="pt-BR"/>
        </w:rPr>
        <w:t xml:space="preserve">14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0987.168.838</w:t>
            </w:r>
            <w:r>
              <w:rPr>
                <w:sz w:val="22"/>
                <w:szCs w:val="22"/>
              </w:rPr>
              <w:t xml:space="preserve"> </w:t>
            </w:r>
            <w:r>
              <w:rPr>
                <w:sz w:val="22"/>
                <w:szCs w:val="22"/>
              </w:rPr>
              <w:t xml:space="preserve">(Nguyễn Dũng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8.075.000.000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VT4, Phường Hà Đông, Thành phố Hà Nội</w:t>
            </w:r>
            <w:r>
              <w:rPr>
                <w:sz w:val="22"/>
                <w:szCs w:val="22"/>
              </w:rPr>
            </w:r>
            <w:r>
              <w:rPr>
                <w:sz w:val="22"/>
                <w:szCs w:val="22"/>
              </w:rPr>
            </w:r>
          </w:p>
        </w:tc>
      </w:tr>
      <w:tr>
        <w:trPr>
          <w:trHeight w:val="291"/>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4,54</w:t>
            </w:r>
            <w:r>
              <w:rPr>
                <w:sz w:val="22"/>
                <w:szCs w:val="22"/>
              </w:rPr>
            </w:r>
            <w:r>
              <w:rPr>
                <w:sz w:val="22"/>
                <w:szCs w:val="22"/>
              </w:rPr>
            </w:r>
          </w:p>
        </w:tc>
      </w:tr>
      <w:tr>
        <w:trPr>
          <w:trHeight w:val="38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132"/>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w:t>
            </w:r>
            <w:r>
              <w:rPr>
                <w:color w:val="000000" w:themeColor="text1"/>
                <w:sz w:val="22"/>
                <w:szCs w:val="22"/>
              </w:rPr>
              <w:t xml:space="preserve">nhật</w:t>
            </w:r>
            <w:r>
              <w:rPr>
                <w:sz w:val="22"/>
                <w:szCs w:val="22"/>
              </w:rPr>
            </w:r>
            <w:r>
              <w:rPr>
                <w:sz w:val="22"/>
                <w:szCs w:val="22"/>
              </w:rPr>
            </w:r>
          </w:p>
        </w:tc>
      </w:tr>
      <w:tr>
        <w:trPr>
          <w:trHeight w:val="132"/>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Nhà 5 tầng</w:t>
            </w:r>
            <w:r>
              <w:rPr>
                <w:color w:val="000000" w:themeColor="text1"/>
                <w:sz w:val="22"/>
                <w:szCs w:val="22"/>
              </w:rPr>
            </w:r>
          </w:p>
        </w:tc>
      </w:tr>
      <w:tr>
        <w:trPr>
          <w:trHeight w:val="132"/>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Giá trị tài sản trên đất</w:t>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1.297.416.064</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08843"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1685668324" name="" descr=""/>
                              <pic:cNvPicPr/>
                              <pic:nvPr/>
                            </pic:nvPicPr>
                            <pic:blipFill rotWithShape="1">
                              <a:blip r:embed="rId31"/>
                              <a:srcRect l="0" t="0" r="39314" b="0"/>
                            </pic:blipFill>
                            <pic:spPr bwMode="auto">
                              <a:xfrm flipH="0" flipV="0">
                                <a:off x="0" y="0"/>
                                <a:ext cx="3008843"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36.92pt;height:250.00pt;mso-wrap-distance-left:0.00pt;mso-wrap-distance-top:0.00pt;mso-wrap-distance-right:0.00pt;mso-wrap-distance-bottom:0.00pt;z-index:1;" stroked="false">
                      <v:imagedata r:id="rId31" o:title="" croptop="0f" cropleft="0f" cropbottom="0f" cropright="25765f"/>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rP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689200" cy="2085251"/>
                      <wp:effectExtent l="0" t="0" r="0" b="0"/>
                      <wp:docPr id="20" name=""/>
                      <wp:cNvGraphicFramePr/>
                      <a:graphic xmlns:a="http://schemas.openxmlformats.org/drawingml/2006/main">
                        <a:graphicData uri="http://schemas.openxmlformats.org/drawingml/2006/picture">
                          <pic:pic xmlns:pic="http://schemas.openxmlformats.org/drawingml/2006/picture">
                            <pic:nvPicPr>
                              <pic:cNvPr id="1712229922" name="" descr=""/>
                              <pic:cNvPicPr/>
                              <pic:nvPr/>
                            </pic:nvPicPr>
                            <pic:blipFill rotWithShape="1">
                              <a:blip r:embed="rId32"/>
                              <a:stretch/>
                            </pic:blipFill>
                            <pic:spPr bwMode="auto">
                              <a:xfrm flipH="0" flipV="0">
                                <a:off x="0" y="0"/>
                                <a:ext cx="3689200" cy="208525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90.49pt;height:164.19pt;mso-wrap-distance-left:0.00pt;mso-wrap-distance-top:0.00pt;mso-wrap-distance-right:0.00pt;mso-wrap-distance-bottom:0.00pt;z-index:1;" stroked="false">
                      <v:imagedata r:id="rId32"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521442117" name="" descr=""/>
                              <pic:cNvPicPr/>
                              <pic:nvPr/>
                            </pic:nvPicPr>
                            <pic:blipFill rotWithShape="1">
                              <a:blip r:embed="rId33"/>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7.5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87.50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Lê Đình Duy</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096.870.4395</w:t>
            </w:r>
            <w:r>
              <w:rPr>
                <w:sz w:val="22"/>
                <w:szCs w:val="22"/>
              </w:rPr>
              <w:t xml:space="preserve"> </w:t>
            </w:r>
            <w:r>
              <w:rPr>
                <w:sz w:val="22"/>
                <w:szCs w:val="22"/>
              </w:rPr>
              <w:t xml:space="preserve">(Nguyễn Minh Việt</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8.415.000.000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tại:VT4,  Phường Hà Đông, Thành phố Hà Nội, 20.97601582676067, 105.78573063453217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Nhà 5 tầng</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Giá trị tài sản trên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1.297.416.064</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817563" cy="234578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3817562" cy="234577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00.60pt;height:184.71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highlight w:val="none"/>
              </w:rPr>
            </w:pPr>
            <w:r>
              <w:rPr>
                <w:color w:val="000000"/>
                <w:sz w:val="22"/>
                <w:szCs w:val="22"/>
              </w:rPr>
              <mc:AlternateContent>
                <mc:Choice Requires="wpg">
                  <w:drawing>
                    <wp:inline xmlns:wp="http://schemas.openxmlformats.org/drawingml/2006/wordprocessingDrawing" distT="0" distB="0" distL="0" distR="0">
                      <wp:extent cx="3376236" cy="2260917"/>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3376236" cy="226091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65.85pt;height:178.02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rPr>
                <w:color w:val="000000"/>
                <w:sz w:val="22"/>
                <w:szCs w:val="22"/>
              </w:rPr>
            </w:pPr>
            <w:r>
              <w:rPr>
                <w:color w:val="000000"/>
                <w:sz w:val="22"/>
                <w:szCs w:val="22"/>
                <w:highlight w:val="none"/>
              </w:rPr>
            </w:r>
            <w:r>
              <w:rPr>
                <w:color w:val="000000"/>
                <w:sz w:val="22"/>
                <w:szCs w:val="22"/>
              </w:rPr>
              <mc:AlternateContent>
                <mc:Choice Requires="wpg">
                  <w:drawing>
                    <wp:inline xmlns:wp="http://schemas.openxmlformats.org/drawingml/2006/wordprocessingDrawing" distT="0" distB="0" distL="0" distR="0">
                      <wp:extent cx="2778975" cy="3294593"/>
                      <wp:effectExtent l="0" t="0" r="0" b="0"/>
                      <wp:docPr id="25" name=""/>
                      <wp:cNvGraphicFramePr/>
                      <a:graphic xmlns:a="http://schemas.openxmlformats.org/drawingml/2006/main">
                        <a:graphicData uri="http://schemas.openxmlformats.org/drawingml/2006/picture">
                          <pic:pic xmlns:pic="http://schemas.openxmlformats.org/drawingml/2006/picture">
                            <pic:nvPicPr>
                              <pic:cNvPr id="1150804553" name="" descr=""/>
                              <pic:cNvPicPr/>
                              <pic:nvPr/>
                            </pic:nvPicPr>
                            <pic:blipFill rotWithShape="1">
                              <a:blip r:embed="rId37"/>
                              <a:stretch/>
                            </pic:blipFill>
                            <pic:spPr bwMode="auto">
                              <a:xfrm rot="16199969" flipH="0" flipV="0">
                                <a:off x="0" y="0"/>
                                <a:ext cx="2778975" cy="329459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18.82pt;height:259.42pt;mso-wrap-distance-left:0.00pt;mso-wrap-distance-top:0.00pt;mso-wrap-distance-right:0.00pt;mso-wrap-distance-bottom:0.00pt;rotation:269;z-index:1;" stroked="false">
                      <v:imagedata r:id="rId37" o:title=""/>
                      <o:lock v:ext="edit" rotation="t"/>
                    </v:shape>
                  </w:pict>
                </mc:Fallback>
              </mc:AlternateConten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Lê Đình Duy</w:t>
            </w:r>
            <w:r/>
          </w:p>
          <w:p>
            <w:pPr>
              <w:pBdr/>
              <w:spacing/>
              <w:ind/>
              <w:jc w:val="center"/>
              <w:rPr/>
            </w:pPr>
            <w:r/>
            <w:r/>
          </w:p>
        </w:tc>
      </w:tr>
    </w:tbl>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0903476273</w:t>
            </w:r>
            <w:r>
              <w:rPr>
                <w:sz w:val="22"/>
                <w:szCs w:val="22"/>
              </w:rPr>
              <w:t xml:space="preserve"> </w:t>
            </w:r>
            <w:r>
              <w:rPr>
                <w:sz w:val="22"/>
                <w:szCs w:val="22"/>
              </w:rPr>
              <w:t xml:space="preserve">(Dũng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6.750.000.000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tại:VT3,  Phường Hà Đông, Thành phố Hà Nội, 20.977205, 105.777197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Nhà 5 tầng</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Giá trị tài sản trên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1.297.416.064</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56943"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46569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366.69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12.50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4861"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15.34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4861"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15.34pt;height:250.00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4861"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115.34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4861" cy="3175000"/>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115.34pt;height:250.00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Lê Đình Duy</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9">
    <w:nsid w:val="0E3157F9"/>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1">
    <w:nsid w:val="694B1C31"/>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56B5582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9">
    <w:name w:val="Table Grid Light"/>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1"/>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2"/>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3"/>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4"/>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5"/>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w:basedOn w:val="10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w:basedOn w:val="10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1"/>
    <w:basedOn w:val="10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2"/>
    <w:basedOn w:val="10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3"/>
    <w:basedOn w:val="10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4"/>
    <w:basedOn w:val="10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5"/>
    <w:basedOn w:val="10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6"/>
    <w:basedOn w:val="10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Accent 1"/>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2"/>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3"/>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4"/>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5"/>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6"/>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1">
    <w:name w:val="Grid Table 6 Colorful - Accent 1"/>
    <w:basedOn w:val="10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2">
    <w:name w:val="Grid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3">
    <w:name w:val="Grid Table 6 Colorful - Accent 3"/>
    <w:basedOn w:val="10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4">
    <w:name w:val="Grid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5">
    <w:name w:val="Grid Table 6 Colorful - Accent 5"/>
    <w:basedOn w:val="10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6 Colorful - Accent 6"/>
    <w:basedOn w:val="10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7">
    <w:name w:val="Grid Table 7 Colorful"/>
    <w:basedOn w:val="10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1"/>
    <w:basedOn w:val="10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5"/>
    <w:basedOn w:val="10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6"/>
    <w:basedOn w:val="10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1"/>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2"/>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3"/>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4"/>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5"/>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6"/>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w:basedOn w:val="10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1"/>
    <w:basedOn w:val="10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2"/>
    <w:basedOn w:val="10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3"/>
    <w:basedOn w:val="10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4"/>
    <w:basedOn w:val="10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5"/>
    <w:basedOn w:val="10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6"/>
    <w:basedOn w:val="10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1"/>
    <w:basedOn w:val="10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3"/>
    <w:basedOn w:val="10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5"/>
    <w:basedOn w:val="10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6"/>
    <w:basedOn w:val="10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1"/>
    <w:basedOn w:val="10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2"/>
    <w:basedOn w:val="10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3"/>
    <w:basedOn w:val="10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4"/>
    <w:basedOn w:val="10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5"/>
    <w:basedOn w:val="10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6"/>
    <w:basedOn w:val="10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5 Dark"/>
    <w:basedOn w:val="10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1"/>
    <w:basedOn w:val="10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2"/>
    <w:basedOn w:val="10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3"/>
    <w:basedOn w:val="10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4"/>
    <w:basedOn w:val="10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5"/>
    <w:basedOn w:val="10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6"/>
    <w:basedOn w:val="10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1"/>
    <w:basedOn w:val="10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3"/>
    <w:basedOn w:val="10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5"/>
    <w:basedOn w:val="10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6"/>
    <w:basedOn w:val="10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7 Colorful"/>
    <w:basedOn w:val="10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7">
    <w:name w:val="List Table 7 Colorful - Accent 1"/>
    <w:basedOn w:val="10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8">
    <w:name w:val="List Table 7 Colorful - Accent 2"/>
    <w:basedOn w:val="10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9">
    <w:name w:val="List Table 7 Colorful - Accent 3"/>
    <w:basedOn w:val="10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0">
    <w:name w:val="List Table 7 Colorful - Accent 4"/>
    <w:basedOn w:val="10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1">
    <w:name w:val="List Table 7 Colorful - Accent 5"/>
    <w:basedOn w:val="10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2">
    <w:name w:val="List Table 7 Colorful - Accent 6"/>
    <w:basedOn w:val="10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3">
    <w:name w:val="Lined - Accent"/>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1"/>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2"/>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3"/>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4"/>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5"/>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6"/>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w:basedOn w:val="10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1"/>
    <w:basedOn w:val="10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2"/>
    <w:basedOn w:val="10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3"/>
    <w:basedOn w:val="10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4"/>
    <w:basedOn w:val="10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5"/>
    <w:basedOn w:val="10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6"/>
    <w:basedOn w:val="10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w:basedOn w:val="10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4">
    <w:name w:val="Heading 5"/>
    <w:basedOn w:val="1015"/>
    <w:next w:val="1015"/>
    <w:link w:val="97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5">
    <w:name w:val="Heading 6"/>
    <w:basedOn w:val="1015"/>
    <w:next w:val="1015"/>
    <w:link w:val="98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6">
    <w:name w:val="Heading 7"/>
    <w:basedOn w:val="1015"/>
    <w:next w:val="1015"/>
    <w:link w:val="98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7">
    <w:name w:val="Heading 8"/>
    <w:basedOn w:val="1015"/>
    <w:next w:val="1015"/>
    <w:link w:val="98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8">
    <w:name w:val="Heading 9"/>
    <w:basedOn w:val="1015"/>
    <w:next w:val="1015"/>
    <w:link w:val="98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9">
    <w:name w:val="Heading 5 Char"/>
    <w:basedOn w:val="1020"/>
    <w:link w:val="974"/>
    <w:uiPriority w:val="9"/>
    <w:pPr>
      <w:pBdr/>
      <w:spacing/>
      <w:ind/>
    </w:pPr>
    <w:rPr>
      <w:rFonts w:ascii="Arial" w:hAnsi="Arial" w:eastAsia="Arial" w:cs="Arial"/>
      <w:color w:val="0f4761" w:themeColor="accent1" w:themeShade="BF"/>
    </w:rPr>
  </w:style>
  <w:style w:type="character" w:styleId="980">
    <w:name w:val="Heading 6 Char"/>
    <w:basedOn w:val="1020"/>
    <w:link w:val="975"/>
    <w:uiPriority w:val="9"/>
    <w:pPr>
      <w:pBdr/>
      <w:spacing/>
      <w:ind/>
    </w:pPr>
    <w:rPr>
      <w:rFonts w:ascii="Arial" w:hAnsi="Arial" w:eastAsia="Arial" w:cs="Arial"/>
      <w:i/>
      <w:iCs/>
      <w:color w:val="595959" w:themeColor="text1" w:themeTint="A6"/>
    </w:rPr>
  </w:style>
  <w:style w:type="character" w:styleId="981">
    <w:name w:val="Heading 7 Char"/>
    <w:basedOn w:val="1020"/>
    <w:link w:val="976"/>
    <w:uiPriority w:val="9"/>
    <w:pPr>
      <w:pBdr/>
      <w:spacing/>
      <w:ind/>
    </w:pPr>
    <w:rPr>
      <w:rFonts w:ascii="Arial" w:hAnsi="Arial" w:eastAsia="Arial" w:cs="Arial"/>
      <w:color w:val="595959" w:themeColor="text1" w:themeTint="A6"/>
    </w:rPr>
  </w:style>
  <w:style w:type="character" w:styleId="982">
    <w:name w:val="Heading 8 Char"/>
    <w:basedOn w:val="1020"/>
    <w:link w:val="977"/>
    <w:uiPriority w:val="9"/>
    <w:pPr>
      <w:pBdr/>
      <w:spacing/>
      <w:ind/>
    </w:pPr>
    <w:rPr>
      <w:rFonts w:ascii="Arial" w:hAnsi="Arial" w:eastAsia="Arial" w:cs="Arial"/>
      <w:i/>
      <w:iCs/>
      <w:color w:val="272727" w:themeColor="text1" w:themeTint="D8"/>
    </w:rPr>
  </w:style>
  <w:style w:type="character" w:styleId="983">
    <w:name w:val="Heading 9 Char"/>
    <w:basedOn w:val="1020"/>
    <w:link w:val="978"/>
    <w:uiPriority w:val="9"/>
    <w:pPr>
      <w:pBdr/>
      <w:spacing/>
      <w:ind/>
    </w:pPr>
    <w:rPr>
      <w:rFonts w:ascii="Arial" w:hAnsi="Arial" w:eastAsia="Arial" w:cs="Arial"/>
      <w:i/>
      <w:iCs/>
      <w:color w:val="272727" w:themeColor="text1" w:themeTint="D8"/>
    </w:rPr>
  </w:style>
  <w:style w:type="paragraph" w:styleId="984">
    <w:name w:val="Subtitle"/>
    <w:basedOn w:val="1015"/>
    <w:next w:val="1015"/>
    <w:link w:val="985"/>
    <w:uiPriority w:val="11"/>
    <w:qFormat/>
    <w:pPr>
      <w:numPr>
        <w:ilvl w:val="1"/>
      </w:numPr>
      <w:pBdr/>
      <w:spacing/>
      <w:ind/>
    </w:pPr>
    <w:rPr>
      <w:color w:val="595959" w:themeColor="text1" w:themeTint="A6"/>
      <w:spacing w:val="15"/>
      <w:sz w:val="28"/>
      <w:szCs w:val="28"/>
    </w:rPr>
  </w:style>
  <w:style w:type="character" w:styleId="985">
    <w:name w:val="Subtitle Char"/>
    <w:basedOn w:val="1020"/>
    <w:link w:val="984"/>
    <w:uiPriority w:val="11"/>
    <w:pPr>
      <w:pBdr/>
      <w:spacing/>
      <w:ind/>
    </w:pPr>
    <w:rPr>
      <w:color w:val="595959" w:themeColor="text1" w:themeTint="A6"/>
      <w:spacing w:val="15"/>
      <w:sz w:val="28"/>
      <w:szCs w:val="28"/>
    </w:rPr>
  </w:style>
  <w:style w:type="paragraph" w:styleId="986">
    <w:name w:val="Quote"/>
    <w:basedOn w:val="1015"/>
    <w:next w:val="1015"/>
    <w:link w:val="987"/>
    <w:uiPriority w:val="29"/>
    <w:qFormat/>
    <w:pPr>
      <w:pBdr/>
      <w:spacing w:before="160"/>
      <w:ind/>
      <w:jc w:val="center"/>
    </w:pPr>
    <w:rPr>
      <w:i/>
      <w:iCs/>
      <w:color w:val="404040" w:themeColor="text1" w:themeTint="BF"/>
    </w:rPr>
  </w:style>
  <w:style w:type="character" w:styleId="987">
    <w:name w:val="Quote Char"/>
    <w:basedOn w:val="1020"/>
    <w:link w:val="986"/>
    <w:uiPriority w:val="29"/>
    <w:pPr>
      <w:pBdr/>
      <w:spacing/>
      <w:ind/>
    </w:pPr>
    <w:rPr>
      <w:i/>
      <w:iCs/>
      <w:color w:val="404040" w:themeColor="text1" w:themeTint="BF"/>
    </w:rPr>
  </w:style>
  <w:style w:type="character" w:styleId="988">
    <w:name w:val="Intense Emphasis"/>
    <w:basedOn w:val="1020"/>
    <w:uiPriority w:val="21"/>
    <w:qFormat/>
    <w:pPr>
      <w:pBdr/>
      <w:spacing/>
      <w:ind/>
    </w:pPr>
    <w:rPr>
      <w:i/>
      <w:iCs/>
      <w:color w:val="0f4761" w:themeColor="accent1" w:themeShade="BF"/>
    </w:rPr>
  </w:style>
  <w:style w:type="paragraph" w:styleId="989">
    <w:name w:val="Intense Quote"/>
    <w:basedOn w:val="1015"/>
    <w:next w:val="1015"/>
    <w:link w:val="99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0">
    <w:name w:val="Intense Quote Char"/>
    <w:basedOn w:val="1020"/>
    <w:link w:val="989"/>
    <w:uiPriority w:val="30"/>
    <w:pPr>
      <w:pBdr/>
      <w:spacing/>
      <w:ind/>
    </w:pPr>
    <w:rPr>
      <w:i/>
      <w:iCs/>
      <w:color w:val="0f4761" w:themeColor="accent1" w:themeShade="BF"/>
    </w:rPr>
  </w:style>
  <w:style w:type="character" w:styleId="991">
    <w:name w:val="Intense Reference"/>
    <w:basedOn w:val="1020"/>
    <w:uiPriority w:val="32"/>
    <w:qFormat/>
    <w:pPr>
      <w:pBdr/>
      <w:spacing/>
      <w:ind/>
    </w:pPr>
    <w:rPr>
      <w:b/>
      <w:bCs/>
      <w:smallCaps/>
      <w:color w:val="0f4761" w:themeColor="accent1" w:themeShade="BF"/>
      <w:spacing w:val="5"/>
    </w:rPr>
  </w:style>
  <w:style w:type="paragraph" w:styleId="992">
    <w:name w:val="No Spacing"/>
    <w:basedOn w:val="1015"/>
    <w:uiPriority w:val="1"/>
    <w:qFormat/>
    <w:pPr>
      <w:pBdr/>
      <w:spacing w:after="0" w:line="240" w:lineRule="auto"/>
      <w:ind/>
    </w:pPr>
  </w:style>
  <w:style w:type="character" w:styleId="993">
    <w:name w:val="Subtle Emphasis"/>
    <w:basedOn w:val="1020"/>
    <w:uiPriority w:val="19"/>
    <w:qFormat/>
    <w:pPr>
      <w:pBdr/>
      <w:spacing/>
      <w:ind/>
    </w:pPr>
    <w:rPr>
      <w:i/>
      <w:iCs/>
      <w:color w:val="404040" w:themeColor="text1" w:themeTint="BF"/>
    </w:rPr>
  </w:style>
  <w:style w:type="character" w:styleId="994">
    <w:name w:val="Subtle Reference"/>
    <w:basedOn w:val="1020"/>
    <w:uiPriority w:val="31"/>
    <w:qFormat/>
    <w:pPr>
      <w:pBdr/>
      <w:spacing/>
      <w:ind/>
    </w:pPr>
    <w:rPr>
      <w:smallCaps/>
      <w:color w:val="5a5a5a" w:themeColor="text1" w:themeTint="A5"/>
    </w:rPr>
  </w:style>
  <w:style w:type="character" w:styleId="995">
    <w:name w:val="Book Title"/>
    <w:basedOn w:val="1020"/>
    <w:uiPriority w:val="33"/>
    <w:qFormat/>
    <w:pPr>
      <w:pBdr/>
      <w:spacing/>
      <w:ind/>
    </w:pPr>
    <w:rPr>
      <w:b/>
      <w:bCs/>
      <w:i/>
      <w:iCs/>
      <w:spacing w:val="5"/>
    </w:rPr>
  </w:style>
  <w:style w:type="paragraph" w:styleId="996">
    <w:name w:val="Caption"/>
    <w:basedOn w:val="1015"/>
    <w:next w:val="1015"/>
    <w:uiPriority w:val="35"/>
    <w:unhideWhenUsed/>
    <w:qFormat/>
    <w:pPr>
      <w:pBdr/>
      <w:spacing w:after="200" w:line="240" w:lineRule="auto"/>
      <w:ind/>
    </w:pPr>
    <w:rPr>
      <w:i/>
      <w:iCs/>
      <w:color w:val="0e2841" w:themeColor="text2"/>
      <w:sz w:val="18"/>
      <w:szCs w:val="18"/>
    </w:rPr>
  </w:style>
  <w:style w:type="paragraph" w:styleId="997">
    <w:name w:val="footnote text"/>
    <w:basedOn w:val="1015"/>
    <w:link w:val="998"/>
    <w:uiPriority w:val="99"/>
    <w:semiHidden/>
    <w:unhideWhenUsed/>
    <w:pPr>
      <w:pBdr/>
      <w:spacing w:after="0" w:line="240" w:lineRule="auto"/>
      <w:ind/>
    </w:pPr>
    <w:rPr>
      <w:sz w:val="20"/>
      <w:szCs w:val="20"/>
    </w:rPr>
  </w:style>
  <w:style w:type="character" w:styleId="998">
    <w:name w:val="Footnote Text Char"/>
    <w:basedOn w:val="1020"/>
    <w:link w:val="997"/>
    <w:uiPriority w:val="99"/>
    <w:semiHidden/>
    <w:pPr>
      <w:pBdr/>
      <w:spacing/>
      <w:ind/>
    </w:pPr>
    <w:rPr>
      <w:sz w:val="20"/>
      <w:szCs w:val="20"/>
    </w:rPr>
  </w:style>
  <w:style w:type="character" w:styleId="999">
    <w:name w:val="footnote reference"/>
    <w:basedOn w:val="1020"/>
    <w:uiPriority w:val="99"/>
    <w:semiHidden/>
    <w:unhideWhenUsed/>
    <w:pPr>
      <w:pBdr/>
      <w:spacing/>
      <w:ind/>
    </w:pPr>
    <w:rPr>
      <w:vertAlign w:val="superscript"/>
    </w:rPr>
  </w:style>
  <w:style w:type="paragraph" w:styleId="1000">
    <w:name w:val="endnote text"/>
    <w:basedOn w:val="1015"/>
    <w:link w:val="1001"/>
    <w:uiPriority w:val="99"/>
    <w:semiHidden/>
    <w:unhideWhenUsed/>
    <w:pPr>
      <w:pBdr/>
      <w:spacing w:after="0" w:line="240" w:lineRule="auto"/>
      <w:ind/>
    </w:pPr>
    <w:rPr>
      <w:sz w:val="20"/>
      <w:szCs w:val="20"/>
    </w:rPr>
  </w:style>
  <w:style w:type="character" w:styleId="1001">
    <w:name w:val="Endnote Text Char"/>
    <w:basedOn w:val="1020"/>
    <w:link w:val="1000"/>
    <w:uiPriority w:val="99"/>
    <w:semiHidden/>
    <w:pPr>
      <w:pBdr/>
      <w:spacing/>
      <w:ind/>
    </w:pPr>
    <w:rPr>
      <w:sz w:val="20"/>
      <w:szCs w:val="20"/>
    </w:rPr>
  </w:style>
  <w:style w:type="character" w:styleId="1002">
    <w:name w:val="endnote reference"/>
    <w:basedOn w:val="1020"/>
    <w:uiPriority w:val="99"/>
    <w:semiHidden/>
    <w:unhideWhenUsed/>
    <w:pPr>
      <w:pBdr/>
      <w:spacing/>
      <w:ind/>
    </w:pPr>
    <w:rPr>
      <w:vertAlign w:val="superscript"/>
    </w:rPr>
  </w:style>
  <w:style w:type="paragraph" w:styleId="1003">
    <w:name w:val="toc 1"/>
    <w:basedOn w:val="1015"/>
    <w:next w:val="1015"/>
    <w:uiPriority w:val="39"/>
    <w:unhideWhenUsed/>
    <w:pPr>
      <w:pBdr/>
      <w:spacing w:after="100"/>
      <w:ind/>
    </w:pPr>
  </w:style>
  <w:style w:type="paragraph" w:styleId="1004">
    <w:name w:val="toc 2"/>
    <w:basedOn w:val="1015"/>
    <w:next w:val="1015"/>
    <w:uiPriority w:val="39"/>
    <w:unhideWhenUsed/>
    <w:pPr>
      <w:pBdr/>
      <w:spacing w:after="100"/>
      <w:ind w:left="220"/>
    </w:pPr>
  </w:style>
  <w:style w:type="paragraph" w:styleId="1005">
    <w:name w:val="toc 3"/>
    <w:basedOn w:val="1015"/>
    <w:next w:val="1015"/>
    <w:uiPriority w:val="39"/>
    <w:unhideWhenUsed/>
    <w:pPr>
      <w:pBdr/>
      <w:spacing w:after="100"/>
      <w:ind w:left="440"/>
    </w:pPr>
  </w:style>
  <w:style w:type="paragraph" w:styleId="1006">
    <w:name w:val="toc 4"/>
    <w:basedOn w:val="1015"/>
    <w:next w:val="1015"/>
    <w:uiPriority w:val="39"/>
    <w:unhideWhenUsed/>
    <w:pPr>
      <w:pBdr/>
      <w:spacing w:after="100"/>
      <w:ind w:left="660"/>
    </w:pPr>
  </w:style>
  <w:style w:type="paragraph" w:styleId="1007">
    <w:name w:val="toc 5"/>
    <w:basedOn w:val="1015"/>
    <w:next w:val="1015"/>
    <w:uiPriority w:val="39"/>
    <w:unhideWhenUsed/>
    <w:pPr>
      <w:pBdr/>
      <w:spacing w:after="100"/>
      <w:ind w:left="880"/>
    </w:pPr>
  </w:style>
  <w:style w:type="paragraph" w:styleId="1008">
    <w:name w:val="toc 6"/>
    <w:basedOn w:val="1015"/>
    <w:next w:val="1015"/>
    <w:uiPriority w:val="39"/>
    <w:unhideWhenUsed/>
    <w:pPr>
      <w:pBdr/>
      <w:spacing w:after="100"/>
      <w:ind w:left="1100"/>
    </w:pPr>
  </w:style>
  <w:style w:type="paragraph" w:styleId="1009">
    <w:name w:val="toc 7"/>
    <w:basedOn w:val="1015"/>
    <w:next w:val="1015"/>
    <w:uiPriority w:val="39"/>
    <w:unhideWhenUsed/>
    <w:pPr>
      <w:pBdr/>
      <w:spacing w:after="100"/>
      <w:ind w:left="1320"/>
    </w:pPr>
  </w:style>
  <w:style w:type="paragraph" w:styleId="1010">
    <w:name w:val="toc 8"/>
    <w:basedOn w:val="1015"/>
    <w:next w:val="1015"/>
    <w:uiPriority w:val="39"/>
    <w:unhideWhenUsed/>
    <w:pPr>
      <w:pBdr/>
      <w:spacing w:after="100"/>
      <w:ind w:left="1540"/>
    </w:pPr>
  </w:style>
  <w:style w:type="paragraph" w:styleId="1011">
    <w:name w:val="toc 9"/>
    <w:basedOn w:val="1015"/>
    <w:next w:val="1015"/>
    <w:uiPriority w:val="39"/>
    <w:unhideWhenUsed/>
    <w:pPr>
      <w:pBdr/>
      <w:spacing w:after="100"/>
      <w:ind w:left="1760"/>
    </w:pPr>
  </w:style>
  <w:style w:type="character" w:styleId="1012">
    <w:name w:val="Placeholder Text"/>
    <w:basedOn w:val="1020"/>
    <w:uiPriority w:val="99"/>
    <w:semiHidden/>
    <w:pPr>
      <w:pBdr/>
      <w:spacing/>
      <w:ind/>
    </w:pPr>
    <w:rPr>
      <w:color w:val="666666"/>
    </w:rPr>
  </w:style>
  <w:style w:type="paragraph" w:styleId="1013">
    <w:name w:val="TOC Heading"/>
    <w:uiPriority w:val="39"/>
    <w:unhideWhenUsed/>
    <w:pPr>
      <w:pBdr/>
      <w:spacing/>
      <w:ind/>
    </w:pPr>
  </w:style>
  <w:style w:type="paragraph" w:styleId="1014">
    <w:name w:val="table of figures"/>
    <w:basedOn w:val="1015"/>
    <w:next w:val="1015"/>
    <w:uiPriority w:val="99"/>
    <w:unhideWhenUsed/>
    <w:pPr>
      <w:pBdr/>
      <w:spacing w:after="0" w:afterAutospacing="0"/>
      <w:ind/>
    </w:pPr>
  </w:style>
  <w:style w:type="paragraph" w:styleId="1015" w:default="1">
    <w:name w:val="Normal"/>
    <w:qFormat/>
    <w:pPr>
      <w:pBdr/>
      <w:spacing w:after="0" w:line="240" w:lineRule="auto"/>
      <w:ind/>
    </w:pPr>
    <w:rPr>
      <w:rFonts w:ascii="Times New Roman" w:hAnsi="Times New Roman" w:eastAsia="Times New Roman" w:cs="Times New Roman"/>
      <w:sz w:val="24"/>
      <w:szCs w:val="24"/>
    </w:rPr>
  </w:style>
  <w:style w:type="paragraph" w:styleId="1016">
    <w:name w:val="Heading 1"/>
    <w:basedOn w:val="1015"/>
    <w:next w:val="1015"/>
    <w:link w:val="1023"/>
    <w:qFormat/>
    <w:pPr>
      <w:keepNext w:val="true"/>
      <w:pBdr/>
      <w:spacing w:after="120" w:before="120"/>
      <w:ind/>
      <w:jc w:val="center"/>
      <w:outlineLvl w:val="0"/>
    </w:pPr>
    <w:rPr>
      <w:b/>
      <w:bCs/>
      <w:sz w:val="27"/>
      <w:szCs w:val="27"/>
    </w:rPr>
  </w:style>
  <w:style w:type="paragraph" w:styleId="1017">
    <w:name w:val="Heading 2"/>
    <w:basedOn w:val="1015"/>
    <w:next w:val="1015"/>
    <w:link w:val="102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8">
    <w:name w:val="Heading 3"/>
    <w:basedOn w:val="1015"/>
    <w:next w:val="1015"/>
    <w:link w:val="1025"/>
    <w:qFormat/>
    <w:pPr>
      <w:keepNext w:val="true"/>
      <w:pBdr/>
      <w:spacing w:before="60"/>
      <w:ind/>
      <w:outlineLvl w:val="2"/>
    </w:pPr>
    <w:rPr>
      <w:sz w:val="28"/>
      <w:szCs w:val="28"/>
    </w:rPr>
  </w:style>
  <w:style w:type="paragraph" w:styleId="1019">
    <w:name w:val="Heading 4"/>
    <w:basedOn w:val="1015"/>
    <w:next w:val="1015"/>
    <w:link w:val="1026"/>
    <w:qFormat/>
    <w:pPr>
      <w:keepNext w:val="true"/>
      <w:pBdr/>
      <w:spacing/>
      <w:ind/>
      <w:jc w:val="center"/>
      <w:outlineLvl w:val="3"/>
    </w:pPr>
    <w:rPr>
      <w:b/>
      <w:bCs/>
    </w:rPr>
  </w:style>
  <w:style w:type="character" w:styleId="1020" w:default="1">
    <w:name w:val="Default Paragraph Font"/>
    <w:uiPriority w:val="1"/>
    <w:semiHidden/>
    <w:unhideWhenUsed/>
    <w:pPr>
      <w:pBdr/>
      <w:spacing/>
      <w:ind/>
    </w:pPr>
  </w:style>
  <w:style w:type="table" w:styleId="102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2" w:default="1">
    <w:name w:val="No List"/>
    <w:uiPriority w:val="99"/>
    <w:semiHidden/>
    <w:unhideWhenUsed/>
    <w:pPr>
      <w:pBdr/>
      <w:spacing/>
      <w:ind/>
    </w:pPr>
  </w:style>
  <w:style w:type="character" w:styleId="1023" w:customStyle="1">
    <w:name w:val="Heading 1 Char"/>
    <w:basedOn w:val="1020"/>
    <w:link w:val="1016"/>
    <w:pPr>
      <w:pBdr/>
      <w:spacing/>
      <w:ind/>
    </w:pPr>
    <w:rPr>
      <w:rFonts w:ascii="Times New Roman" w:hAnsi="Times New Roman" w:eastAsia="Times New Roman" w:cs="Times New Roman"/>
      <w:b/>
      <w:bCs/>
      <w:sz w:val="27"/>
      <w:szCs w:val="27"/>
    </w:rPr>
  </w:style>
  <w:style w:type="character" w:styleId="1024" w:customStyle="1">
    <w:name w:val="Heading 2 Char"/>
    <w:basedOn w:val="1020"/>
    <w:link w:val="1017"/>
    <w:uiPriority w:val="9"/>
    <w:pPr>
      <w:pBdr/>
      <w:spacing/>
      <w:ind/>
    </w:pPr>
    <w:rPr>
      <w:rFonts w:asciiTheme="majorHAnsi" w:hAnsiTheme="majorHAnsi" w:eastAsiaTheme="majorEastAsia" w:cstheme="majorBidi"/>
      <w:color w:val="365f91" w:themeColor="accent1" w:themeShade="BF"/>
      <w:sz w:val="26"/>
      <w:szCs w:val="26"/>
    </w:rPr>
  </w:style>
  <w:style w:type="character" w:styleId="1025" w:customStyle="1">
    <w:name w:val="Heading 3 Char"/>
    <w:basedOn w:val="1020"/>
    <w:link w:val="1018"/>
    <w:pPr>
      <w:pBdr/>
      <w:spacing/>
      <w:ind/>
    </w:pPr>
    <w:rPr>
      <w:rFonts w:ascii="Times New Roman" w:hAnsi="Times New Roman" w:eastAsia="Times New Roman" w:cs="Times New Roman"/>
      <w:sz w:val="28"/>
      <w:szCs w:val="28"/>
    </w:rPr>
  </w:style>
  <w:style w:type="character" w:styleId="1026" w:customStyle="1">
    <w:name w:val="Heading 4 Char"/>
    <w:basedOn w:val="1020"/>
    <w:link w:val="1019"/>
    <w:pPr>
      <w:pBdr/>
      <w:spacing/>
      <w:ind/>
    </w:pPr>
    <w:rPr>
      <w:rFonts w:ascii="Times New Roman" w:hAnsi="Times New Roman" w:eastAsia="Times New Roman" w:cs="Times New Roman"/>
      <w:b/>
      <w:bCs/>
      <w:sz w:val="24"/>
      <w:szCs w:val="24"/>
    </w:rPr>
  </w:style>
  <w:style w:type="character" w:styleId="1027">
    <w:name w:val="Hyperlink"/>
    <w:uiPriority w:val="99"/>
    <w:pPr>
      <w:pBdr/>
      <w:spacing/>
      <w:ind/>
    </w:pPr>
    <w:rPr>
      <w:color w:val="000000"/>
      <w:u w:val="single"/>
    </w:rPr>
  </w:style>
  <w:style w:type="character" w:styleId="1028">
    <w:name w:val="Strong"/>
    <w:uiPriority w:val="22"/>
    <w:qFormat/>
    <w:pPr>
      <w:pBdr/>
      <w:spacing/>
      <w:ind/>
    </w:pPr>
    <w:rPr>
      <w:b/>
      <w:bCs/>
    </w:rPr>
  </w:style>
  <w:style w:type="paragraph" w:styleId="1029">
    <w:name w:val="Balloon Text"/>
    <w:basedOn w:val="1015"/>
    <w:link w:val="1030"/>
    <w:uiPriority w:val="99"/>
    <w:semiHidden/>
    <w:unhideWhenUsed/>
    <w:pPr>
      <w:pBdr/>
      <w:spacing/>
      <w:ind/>
    </w:pPr>
    <w:rPr>
      <w:rFonts w:ascii="Tahoma" w:hAnsi="Tahoma" w:cs="Tahoma"/>
      <w:sz w:val="16"/>
      <w:szCs w:val="16"/>
    </w:rPr>
  </w:style>
  <w:style w:type="character" w:styleId="1030" w:customStyle="1">
    <w:name w:val="Balloon Text Char"/>
    <w:basedOn w:val="1020"/>
    <w:link w:val="1029"/>
    <w:uiPriority w:val="99"/>
    <w:semiHidden/>
    <w:pPr>
      <w:pBdr/>
      <w:spacing/>
      <w:ind/>
    </w:pPr>
    <w:rPr>
      <w:rFonts w:ascii="Tahoma" w:hAnsi="Tahoma" w:eastAsia="Times New Roman" w:cs="Tahoma"/>
      <w:sz w:val="16"/>
      <w:szCs w:val="16"/>
    </w:rPr>
  </w:style>
  <w:style w:type="paragraph" w:styleId="1031">
    <w:name w:val="Header"/>
    <w:basedOn w:val="1015"/>
    <w:link w:val="1032"/>
    <w:unhideWhenUsed/>
    <w:pPr>
      <w:pBdr/>
      <w:tabs>
        <w:tab w:val="center" w:leader="none" w:pos="4680"/>
        <w:tab w:val="right" w:leader="none" w:pos="9360"/>
      </w:tabs>
      <w:spacing/>
      <w:ind/>
    </w:pPr>
  </w:style>
  <w:style w:type="character" w:styleId="1032" w:customStyle="1">
    <w:name w:val="Header Char"/>
    <w:basedOn w:val="1020"/>
    <w:link w:val="1031"/>
    <w:pPr>
      <w:pBdr/>
      <w:spacing/>
      <w:ind/>
    </w:pPr>
    <w:rPr>
      <w:rFonts w:ascii="Times New Roman" w:hAnsi="Times New Roman" w:eastAsia="Times New Roman" w:cs="Times New Roman"/>
      <w:sz w:val="24"/>
      <w:szCs w:val="24"/>
    </w:rPr>
  </w:style>
  <w:style w:type="paragraph" w:styleId="1033">
    <w:name w:val="Footer"/>
    <w:basedOn w:val="1015"/>
    <w:link w:val="1034"/>
    <w:uiPriority w:val="99"/>
    <w:unhideWhenUsed/>
    <w:pPr>
      <w:pBdr/>
      <w:tabs>
        <w:tab w:val="center" w:leader="none" w:pos="4680"/>
        <w:tab w:val="right" w:leader="none" w:pos="9360"/>
      </w:tabs>
      <w:spacing/>
      <w:ind/>
    </w:pPr>
  </w:style>
  <w:style w:type="character" w:styleId="1034" w:customStyle="1">
    <w:name w:val="Footer Char"/>
    <w:basedOn w:val="1020"/>
    <w:link w:val="1033"/>
    <w:uiPriority w:val="99"/>
    <w:pPr>
      <w:pBdr/>
      <w:spacing/>
      <w:ind/>
    </w:pPr>
    <w:rPr>
      <w:rFonts w:ascii="Times New Roman" w:hAnsi="Times New Roman" w:eastAsia="Times New Roman" w:cs="Times New Roman"/>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normal-p"/>
    <w:basedOn w:val="1015"/>
    <w:pPr>
      <w:pBdr/>
      <w:spacing/>
      <w:ind/>
      <w:jc w:val="both"/>
    </w:pPr>
    <w:rPr>
      <w:sz w:val="20"/>
      <w:szCs w:val="20"/>
    </w:rPr>
  </w:style>
  <w:style w:type="paragraph" w:styleId="1037">
    <w:name w:val="List Paragraph"/>
    <w:basedOn w:val="1015"/>
    <w:link w:val="1124"/>
    <w:uiPriority w:val="34"/>
    <w:qFormat/>
    <w:pPr>
      <w:pBdr/>
      <w:spacing/>
      <w:ind w:left="720"/>
    </w:pPr>
  </w:style>
  <w:style w:type="paragraph" w:styleId="1038">
    <w:name w:val="Normal (Web)"/>
    <w:basedOn w:val="1015"/>
    <w:uiPriority w:val="99"/>
    <w:pPr>
      <w:pBdr/>
      <w:spacing w:after="100" w:afterAutospacing="1" w:before="100" w:beforeAutospacing="1"/>
      <w:ind/>
    </w:pPr>
  </w:style>
  <w:style w:type="paragraph" w:styleId="1039">
    <w:name w:val="Body Text"/>
    <w:basedOn w:val="1015"/>
    <w:link w:val="1040"/>
    <w:pPr>
      <w:pBdr/>
      <w:spacing w:after="120"/>
      <w:ind/>
      <w:jc w:val="both"/>
    </w:pPr>
  </w:style>
  <w:style w:type="character" w:styleId="1040" w:customStyle="1">
    <w:name w:val="Body Text Char"/>
    <w:basedOn w:val="1020"/>
    <w:link w:val="1039"/>
    <w:pPr>
      <w:pBdr/>
      <w:spacing/>
      <w:ind/>
    </w:pPr>
    <w:rPr>
      <w:rFonts w:ascii="Times New Roman" w:hAnsi="Times New Roman" w:eastAsia="Times New Roman" w:cs="Times New Roman"/>
      <w:sz w:val="24"/>
      <w:szCs w:val="24"/>
    </w:rPr>
  </w:style>
  <w:style w:type="table" w:styleId="1041">
    <w:name w:val="Table Grid"/>
    <w:basedOn w:val="102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3">
    <w:name w:val="annotation reference"/>
    <w:basedOn w:val="1020"/>
    <w:uiPriority w:val="99"/>
    <w:semiHidden/>
    <w:unhideWhenUsed/>
    <w:pPr>
      <w:pBdr/>
      <w:spacing/>
      <w:ind/>
    </w:pPr>
    <w:rPr>
      <w:sz w:val="16"/>
      <w:szCs w:val="16"/>
    </w:rPr>
  </w:style>
  <w:style w:type="paragraph" w:styleId="1044">
    <w:name w:val="annotation text"/>
    <w:basedOn w:val="1015"/>
    <w:link w:val="1045"/>
    <w:uiPriority w:val="99"/>
    <w:unhideWhenUsed/>
    <w:pPr>
      <w:pBdr/>
      <w:spacing/>
      <w:ind/>
    </w:pPr>
    <w:rPr>
      <w:sz w:val="20"/>
      <w:szCs w:val="20"/>
    </w:rPr>
  </w:style>
  <w:style w:type="character" w:styleId="1045" w:customStyle="1">
    <w:name w:val="Comment Text Char"/>
    <w:basedOn w:val="1020"/>
    <w:link w:val="1044"/>
    <w:uiPriority w:val="99"/>
    <w:pPr>
      <w:pBdr/>
      <w:spacing/>
      <w:ind/>
    </w:pPr>
    <w:rPr>
      <w:rFonts w:ascii="Times New Roman" w:hAnsi="Times New Roman" w:eastAsia="Times New Roman" w:cs="Times New Roman"/>
      <w:sz w:val="20"/>
      <w:szCs w:val="20"/>
    </w:rPr>
  </w:style>
  <w:style w:type="paragraph" w:styleId="1046">
    <w:name w:val="annotation subject"/>
    <w:basedOn w:val="1044"/>
    <w:next w:val="1044"/>
    <w:link w:val="1047"/>
    <w:uiPriority w:val="99"/>
    <w:semiHidden/>
    <w:unhideWhenUsed/>
    <w:pPr>
      <w:pBdr/>
      <w:spacing/>
      <w:ind/>
    </w:pPr>
    <w:rPr>
      <w:b/>
      <w:bCs/>
    </w:rPr>
  </w:style>
  <w:style w:type="character" w:styleId="1047" w:customStyle="1">
    <w:name w:val="Comment Subject Char"/>
    <w:basedOn w:val="1045"/>
    <w:link w:val="1046"/>
    <w:uiPriority w:val="99"/>
    <w:semiHidden/>
    <w:pPr>
      <w:pBdr/>
      <w:spacing/>
      <w:ind/>
    </w:pPr>
    <w:rPr>
      <w:rFonts w:ascii="Times New Roman" w:hAnsi="Times New Roman" w:eastAsia="Times New Roman" w:cs="Times New Roman"/>
      <w:b/>
      <w:bCs/>
      <w:sz w:val="20"/>
      <w:szCs w:val="20"/>
    </w:rPr>
  </w:style>
  <w:style w:type="paragraph" w:styleId="1048" w:customStyle="1">
    <w:name w:val="font5"/>
    <w:basedOn w:val="1015"/>
    <w:pPr>
      <w:pBdr/>
      <w:spacing w:after="100" w:afterAutospacing="1" w:before="100" w:beforeAutospacing="1"/>
      <w:ind/>
    </w:pPr>
    <w:rPr>
      <w:rFonts w:ascii="Tahoma" w:hAnsi="Tahoma" w:cs="Tahoma"/>
      <w:color w:val="000000"/>
      <w:sz w:val="18"/>
      <w:szCs w:val="18"/>
    </w:rPr>
  </w:style>
  <w:style w:type="paragraph" w:styleId="1049" w:customStyle="1">
    <w:name w:val="font6"/>
    <w:basedOn w:val="1015"/>
    <w:pPr>
      <w:pBdr/>
      <w:spacing w:after="100" w:afterAutospacing="1" w:before="100" w:beforeAutospacing="1"/>
      <w:ind/>
    </w:pPr>
    <w:rPr>
      <w:rFonts w:ascii="Tahoma" w:hAnsi="Tahoma" w:cs="Tahoma"/>
      <w:b/>
      <w:bCs/>
      <w:color w:val="000000"/>
      <w:sz w:val="18"/>
      <w:szCs w:val="18"/>
    </w:rPr>
  </w:style>
  <w:style w:type="paragraph" w:styleId="1050" w:customStyle="1">
    <w:name w:val="xl23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1" w:customStyle="1">
    <w:name w:val="xl234"/>
    <w:basedOn w:val="1015"/>
    <w:pPr>
      <w:pBdr/>
      <w:spacing w:after="100" w:afterAutospacing="1" w:before="100" w:beforeAutospacing="1"/>
      <w:ind/>
      <w:jc w:val="center"/>
    </w:pPr>
  </w:style>
  <w:style w:type="paragraph" w:styleId="1052" w:customStyle="1">
    <w:name w:val="xl235"/>
    <w:basedOn w:val="1015"/>
    <w:pPr>
      <w:pBdr/>
      <w:spacing w:after="100" w:afterAutospacing="1" w:before="100" w:beforeAutospacing="1"/>
      <w:ind/>
      <w:jc w:val="center"/>
    </w:pPr>
    <w:rPr>
      <w:b/>
      <w:bCs/>
    </w:rPr>
  </w:style>
  <w:style w:type="paragraph" w:styleId="1053" w:customStyle="1">
    <w:name w:val="xl236"/>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4" w:customStyle="1">
    <w:name w:val="xl23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38"/>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3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7" w:customStyle="1">
    <w:name w:val="xl240"/>
    <w:basedOn w:val="1015"/>
    <w:pPr>
      <w:pBdr/>
      <w:spacing w:after="100" w:afterAutospacing="1" w:before="100" w:beforeAutospacing="1"/>
      <w:ind/>
    </w:pPr>
  </w:style>
  <w:style w:type="paragraph" w:styleId="1058" w:customStyle="1">
    <w:name w:val="xl241"/>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42"/>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43"/>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44"/>
    <w:basedOn w:val="1015"/>
    <w:pPr>
      <w:pBdr/>
      <w:spacing w:after="100" w:afterAutospacing="1" w:before="100" w:beforeAutospacing="1"/>
      <w:ind/>
    </w:pPr>
    <w:rPr>
      <w:b/>
      <w:bCs/>
    </w:rPr>
  </w:style>
  <w:style w:type="paragraph" w:styleId="1062" w:customStyle="1">
    <w:name w:val="xl245"/>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4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47"/>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5" w:customStyle="1">
    <w:name w:val="xl24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6" w:customStyle="1">
    <w:name w:val="xl24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5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5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5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3"/>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4"/>
    <w:basedOn w:val="101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2" w:customStyle="1">
    <w:name w:val="xl255"/>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3" w:customStyle="1">
    <w:name w:val="xl25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5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8"/>
    <w:basedOn w:val="101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7" w:customStyle="1">
    <w:name w:val="xl260"/>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8" w:customStyle="1">
    <w:name w:val="xl261"/>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62"/>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3"/>
    <w:basedOn w:val="1015"/>
    <w:pPr>
      <w:pBdr/>
      <w:shd w:val="clear" w:color="000000" w:fill="ffffff"/>
      <w:spacing w:after="100" w:afterAutospacing="1" w:before="100" w:beforeAutospacing="1"/>
      <w:ind/>
    </w:pPr>
  </w:style>
  <w:style w:type="paragraph" w:styleId="1081" w:customStyle="1">
    <w:name w:val="xl264"/>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65"/>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6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4" w:customStyle="1">
    <w:name w:val="xl26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68"/>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9"/>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7" w:customStyle="1">
    <w:name w:val="xl27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1"/>
    <w:basedOn w:val="101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9" w:customStyle="1">
    <w:name w:val="xl27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73"/>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1" w:customStyle="1">
    <w:name w:val="xl274"/>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5"/>
    <w:basedOn w:val="1015"/>
    <w:pPr>
      <w:pBdr/>
      <w:spacing w:after="100" w:afterAutospacing="1" w:before="100" w:beforeAutospacing="1"/>
      <w:ind/>
    </w:pPr>
  </w:style>
  <w:style w:type="paragraph" w:styleId="1093" w:customStyle="1">
    <w:name w:val="xl27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4" w:customStyle="1">
    <w:name w:val="xl277"/>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5" w:customStyle="1">
    <w:name w:val="xl27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7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8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8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9" w:customStyle="1">
    <w:name w:val="xl28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8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4"/>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85"/>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8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customStyle="1">
    <w:name w:val="xl287"/>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8"/>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89"/>
    <w:basedOn w:val="1015"/>
    <w:pPr>
      <w:pBdr>
        <w:left w:val="single" w:color="000000" w:sz="4" w:space="0"/>
        <w:right w:val="single" w:color="000000" w:sz="4" w:space="0"/>
      </w:pBdr>
      <w:spacing w:after="100" w:afterAutospacing="1" w:before="100" w:beforeAutospacing="1"/>
      <w:ind/>
    </w:pPr>
    <w:rPr>
      <w:b/>
      <w:bCs/>
    </w:rPr>
  </w:style>
  <w:style w:type="paragraph" w:styleId="1107" w:customStyle="1">
    <w:name w:val="xl29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8" w:customStyle="1">
    <w:name w:val="xl291"/>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9" w:customStyle="1">
    <w:name w:val="xl292"/>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93"/>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94"/>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name w:val="Title"/>
    <w:basedOn w:val="1015"/>
    <w:link w:val="1113"/>
    <w:qFormat/>
    <w:pPr>
      <w:pBdr/>
      <w:spacing/>
      <w:ind/>
      <w:jc w:val="center"/>
    </w:pPr>
    <w:rPr>
      <w:b/>
      <w:bCs/>
      <w:sz w:val="32"/>
      <w:szCs w:val="26"/>
    </w:rPr>
  </w:style>
  <w:style w:type="character" w:styleId="1113" w:customStyle="1">
    <w:name w:val="Title Char"/>
    <w:basedOn w:val="1020"/>
    <w:link w:val="1112"/>
    <w:pPr>
      <w:pBdr/>
      <w:spacing/>
      <w:ind/>
    </w:pPr>
    <w:rPr>
      <w:rFonts w:ascii="Times New Roman" w:hAnsi="Times New Roman" w:eastAsia="Times New Roman" w:cs="Times New Roman"/>
      <w:b/>
      <w:bCs/>
      <w:sz w:val="32"/>
      <w:szCs w:val="26"/>
    </w:rPr>
  </w:style>
  <w:style w:type="character" w:styleId="1114" w:customStyle="1">
    <w:name w:val="Unresolved Mention1"/>
    <w:basedOn w:val="1020"/>
    <w:uiPriority w:val="99"/>
    <w:semiHidden/>
    <w:unhideWhenUsed/>
    <w:pPr>
      <w:pBdr/>
      <w:spacing/>
      <w:ind/>
    </w:pPr>
    <w:rPr>
      <w:color w:val="605e5c"/>
      <w:shd w:val="clear" w:color="auto" w:fill="e1dfdd"/>
    </w:rPr>
  </w:style>
  <w:style w:type="character" w:styleId="1115" w:customStyle="1">
    <w:name w:val="Body text (3)_"/>
    <w:link w:val="1116"/>
    <w:pPr>
      <w:pBdr/>
      <w:spacing/>
      <w:ind/>
    </w:pPr>
    <w:rPr>
      <w:rFonts w:ascii="Times New Roman" w:hAnsi="Times New Roman" w:cs="Times New Roman"/>
      <w:i/>
      <w:iCs/>
      <w:spacing w:val="4"/>
      <w:shd w:val="clear" w:color="auto" w:fill="ffffff"/>
    </w:rPr>
  </w:style>
  <w:style w:type="paragraph" w:styleId="1116" w:customStyle="1">
    <w:name w:val="Body text (3)1"/>
    <w:basedOn w:val="1015"/>
    <w:link w:val="111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7" w:customStyle="1">
    <w:name w:val="t-j"/>
    <w:basedOn w:val="1015"/>
    <w:pPr>
      <w:pBdr/>
      <w:spacing w:after="100" w:afterAutospacing="1" w:before="100" w:beforeAutospacing="1"/>
      <w:ind/>
    </w:pPr>
  </w:style>
  <w:style w:type="character" w:styleId="1118" w:customStyle="1">
    <w:name w:val="Unresolved Mention2"/>
    <w:basedOn w:val="1020"/>
    <w:uiPriority w:val="99"/>
    <w:semiHidden/>
    <w:unhideWhenUsed/>
    <w:pPr>
      <w:pBdr/>
      <w:spacing/>
      <w:ind/>
    </w:pPr>
    <w:rPr>
      <w:color w:val="605e5c"/>
      <w:shd w:val="clear" w:color="auto" w:fill="e1dfdd"/>
    </w:rPr>
  </w:style>
  <w:style w:type="character" w:styleId="1119">
    <w:name w:val="FollowedHyperlink"/>
    <w:basedOn w:val="1020"/>
    <w:uiPriority w:val="99"/>
    <w:semiHidden/>
    <w:unhideWhenUsed/>
    <w:pPr>
      <w:pBdr/>
      <w:spacing/>
      <w:ind/>
    </w:pPr>
    <w:rPr>
      <w:color w:val="800080" w:themeColor="followedHyperlink"/>
      <w:u w:val="single"/>
    </w:rPr>
  </w:style>
  <w:style w:type="character" w:styleId="1120" w:customStyle="1">
    <w:name w:val="text"/>
    <w:basedOn w:val="1020"/>
    <w:pPr>
      <w:pBdr/>
      <w:spacing/>
      <w:ind/>
    </w:pPr>
  </w:style>
  <w:style w:type="character" w:styleId="1121" w:customStyle="1">
    <w:name w:val="card-send-time__sendtime"/>
    <w:basedOn w:val="1020"/>
    <w:pPr>
      <w:pBdr/>
      <w:spacing/>
      <w:ind/>
    </w:pPr>
  </w:style>
  <w:style w:type="character" w:styleId="1122" w:customStyle="1">
    <w:name w:val="Đề cập Chưa giải quyết1"/>
    <w:basedOn w:val="1020"/>
    <w:uiPriority w:val="99"/>
    <w:semiHidden/>
    <w:unhideWhenUsed/>
    <w:pPr>
      <w:pBdr/>
      <w:spacing/>
      <w:ind/>
    </w:pPr>
    <w:rPr>
      <w:color w:val="605e5c"/>
      <w:shd w:val="clear" w:color="auto" w:fill="e1dfdd"/>
    </w:rPr>
  </w:style>
  <w:style w:type="paragraph" w:styleId="1123" w:customStyle="1">
    <w:name w:val="nqtitle"/>
    <w:basedOn w:val="1015"/>
    <w:pPr>
      <w:pBdr/>
      <w:spacing w:after="100" w:afterAutospacing="1" w:before="100" w:beforeAutospacing="1"/>
      <w:ind/>
    </w:pPr>
    <w:rPr>
      <w:lang w:val="vi-VN" w:eastAsia="vi-VN"/>
    </w:rPr>
  </w:style>
  <w:style w:type="character" w:styleId="1124" w:customStyle="1">
    <w:name w:val="List Paragraph Char"/>
    <w:link w:val="1037"/>
    <w:uiPriority w:val="34"/>
    <w:qFormat/>
    <w:pPr>
      <w:pBdr/>
      <w:spacing/>
      <w:ind/>
    </w:pPr>
    <w:rPr>
      <w:rFonts w:ascii="Times New Roman" w:hAnsi="Times New Roman" w:eastAsia="Times New Roman" w:cs="Times New Roman"/>
      <w:sz w:val="24"/>
      <w:szCs w:val="24"/>
    </w:rPr>
  </w:style>
  <w:style w:type="character" w:styleId="1125" w:customStyle="1">
    <w:name w:val="Đề cập Chưa giải quyết2"/>
    <w:basedOn w:val="1020"/>
    <w:uiPriority w:val="99"/>
    <w:semiHidden/>
    <w:unhideWhenUsed/>
    <w:pPr>
      <w:pBdr/>
      <w:spacing/>
      <w:ind/>
    </w:pPr>
    <w:rPr>
      <w:color w:val="605e5c"/>
      <w:shd w:val="clear" w:color="auto" w:fill="e1dfdd"/>
    </w:rPr>
  </w:style>
  <w:style w:type="character" w:styleId="1126" w:customStyle="1">
    <w:name w:val="Unresolved Mention3"/>
    <w:basedOn w:val="1020"/>
    <w:uiPriority w:val="99"/>
    <w:semiHidden/>
    <w:unhideWhenUsed/>
    <w:pPr>
      <w:pBdr/>
      <w:spacing/>
      <w:ind/>
    </w:pPr>
    <w:rPr>
      <w:color w:val="605e5c"/>
      <w:shd w:val="clear" w:color="auto" w:fill="e1dfdd"/>
    </w:rPr>
  </w:style>
  <w:style w:type="character" w:styleId="1127" w:customStyle="1">
    <w:name w:val="copy"/>
    <w:basedOn w:val="1020"/>
    <w:pPr>
      <w:pBdr/>
      <w:spacing/>
      <w:ind/>
    </w:pPr>
  </w:style>
  <w:style w:type="paragraph" w:styleId="1128" w:customStyle="1">
    <w:name w:val="align-justify"/>
    <w:basedOn w:val="1015"/>
    <w:pPr>
      <w:pBdr/>
      <w:spacing w:after="100" w:afterAutospacing="1" w:before="100" w:beforeAutospacing="1"/>
      <w:ind/>
    </w:pPr>
  </w:style>
  <w:style w:type="character" w:styleId="1129" w:customStyle="1">
    <w:name w:val="btn"/>
    <w:basedOn w:val="1020"/>
    <w:pPr>
      <w:pBdr/>
      <w:spacing/>
      <w:ind/>
    </w:pPr>
  </w:style>
  <w:style w:type="character" w:styleId="1130" w:customStyle="1">
    <w:name w:val="hide_mobile"/>
    <w:basedOn w:val="1020"/>
    <w:pPr>
      <w:pBdr/>
      <w:spacing/>
      <w:ind/>
    </w:pPr>
  </w:style>
  <w:style w:type="character" w:styleId="1131">
    <w:name w:val="Emphasis"/>
    <w:basedOn w:val="1020"/>
    <w:uiPriority w:val="20"/>
    <w:qFormat/>
    <w:pPr>
      <w:pBdr/>
      <w:spacing/>
      <w:ind/>
    </w:pPr>
    <w:rPr>
      <w:i/>
      <w:iCs/>
    </w:rPr>
  </w:style>
  <w:style w:type="character" w:styleId="1132" w:customStyle="1">
    <w:name w:val="t1"/>
    <w:basedOn w:val="1020"/>
    <w:pPr>
      <w:pBdr/>
      <w:spacing/>
      <w:ind/>
    </w:pPr>
  </w:style>
  <w:style w:type="character" w:styleId="1133" w:customStyle="1">
    <w:name w:val="Unresolved Mention4"/>
    <w:basedOn w:val="1020"/>
    <w:uiPriority w:val="99"/>
    <w:semiHidden/>
    <w:unhideWhenUsed/>
    <w:pPr>
      <w:pBdr/>
      <w:spacing/>
      <w:ind/>
    </w:pPr>
    <w:rPr>
      <w:color w:val="605e5c"/>
      <w:shd w:val="clear" w:color="auto" w:fill="e1dfdd"/>
    </w:rPr>
  </w:style>
  <w:style w:type="character" w:styleId="1134">
    <w:name w:val="Unresolved Mention"/>
    <w:basedOn w:val="102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jp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282</cp:revision>
  <dcterms:created xsi:type="dcterms:W3CDTF">2025-09-15T09:58:00Z</dcterms:created>
  <dcterms:modified xsi:type="dcterms:W3CDTF">2026-09-16T09:02:42Z</dcterms:modified>
</cp:coreProperties>
</file>