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8493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849324"/>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275/2026/1460/VFI-CT.T02.A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TNHH CƠ KHÍ THƯƠNG MẠI ĐẠI NAM</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số: 494 (tách từ thửa 310), tờ bản đồ số: 04, tỷ lệ 1/1000 xã Thanh Thùy đất có địa chỉ: thôn Rùa Hạ, xã Thanh Thùy, huyện Thanh Oai, Thành phố Hà Nội </w:t>
                            </w:r>
                            <w:r>
                              <w:rPr>
                                <w:i/>
                                <w:iCs/>
                                <w:color w:val="000000"/>
                              </w:rPr>
                              <w:t xml:space="preserve">(nay l</w:t>
                            </w:r>
                            <w:r>
                              <w:rPr>
                                <w:i/>
                                <w:iCs/>
                                <w:color w:val="000000"/>
                              </w:rPr>
                              <w:t xml:space="preserve">à xã Tam Hưng, Thành phố Hà Nội)</w:t>
                            </w:r>
                            <w:r>
                              <w:rPr>
                                <w:color w:val="000000"/>
                              </w:rPr>
                              <w:t xml:space="preserve"> theo Giấy chứng nhận quyền sử dụng đất quyền sở hữu nhà ở và tài sản khác gắn liền với đất số: BS 055205, số vào sổ cấp GCN: CH 00430 TT/TO do UBND Huyện Thanh Oai cấp ngày 03/3/2014; Chủ sử dụng đất là ông Nguyễn Văn Hanh.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303.1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275/2026/1460/VFI-CT.T02.A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CÔNG TY TNHH CƠ KHÍ THƯƠNG MẠI ĐẠI NAM</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tại thửa số: 494 (tách từ thửa 310), tờ bản đồ số: 04, tỷ lệ 1/1000 xã Thanh Thùy đất có địa chỉ: thôn Rùa Hạ, xã Thanh Thùy, huyện Thanh Oai, Thành phố Hà Nội </w:t>
                      </w:r>
                      <w:r>
                        <w:rPr>
                          <w:i/>
                          <w:iCs/>
                          <w:color w:val="000000"/>
                        </w:rPr>
                        <w:t xml:space="preserve">(nay l</w:t>
                      </w:r>
                      <w:r>
                        <w:rPr>
                          <w:i/>
                          <w:iCs/>
                          <w:color w:val="000000"/>
                        </w:rPr>
                        <w:t xml:space="preserve">à xã Tam Hưng, Thành phố Hà Nội)</w:t>
                      </w:r>
                      <w:r>
                        <w:rPr>
                          <w:color w:val="000000"/>
                        </w:rPr>
                        <w:t xml:space="preserve"> theo Giấy chứng nhận quyền sử dụng đất quyền sở hữu nhà ở và tài sản khác gắn liền với đất số: BS 055205, số vào sổ cấp GCN: CH 00430 TT/TO do UBND Huyện Thanh Oai cấp ngày 03/3/2014; Chủ sử dụng đất là ông Nguyễn Văn Hanh.</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09/2026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4-17</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43"/>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18</w:t>
            </w:r>
            <w:r>
              <w:rPr>
                <w:b/>
                <w:bCs/>
              </w:rPr>
            </w:r>
            <w:r>
              <w:rPr>
                <w:b/>
                <w:bCs/>
              </w:rPr>
            </w:r>
          </w:p>
        </w:tc>
      </w:tr>
      <w:tr>
        <w:trPr/>
        <w:tc>
          <w:tcPr>
            <w:tcBorders/>
            <w:tcMar>
              <w:left w:w="108" w:type="dxa"/>
              <w:right w:w="108" w:type="dxa"/>
            </w:tcMar>
            <w:tcW w:w="7280" w:type="dxa"/>
            <w:vAlign w:val="center"/>
            <w:textDirection w:val="lrTb"/>
            <w:noWrap w:val="false"/>
          </w:tcPr>
          <w:p>
            <w:pPr>
              <w:pStyle w:val="1043"/>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19-22</w:t>
            </w:r>
            <w:r>
              <w:rPr>
                <w:b/>
                <w:bCs/>
              </w:rPr>
            </w:r>
            <w:r>
              <w:rPr>
                <w:b/>
                <w:bCs/>
              </w:rPr>
            </w:r>
          </w:p>
        </w:tc>
      </w:tr>
    </w:tbl>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42"/>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856"/>
        <w:gridCol w:w="873"/>
        <w:gridCol w:w="3119"/>
        <w:gridCol w:w="9566"/>
      </w:tblGrid>
      <w:tr>
        <w:trPr>
          <w:trHeight w:val="1152"/>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12685"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3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gridSpan w:val="2"/>
            <w:shd w:val="clear" w:color="auto" w:fill="auto"/>
            <w:tcBorders/>
            <w:tcMar>
              <w:left w:w="108" w:type="dxa"/>
              <w:top w:w="0" w:type="dxa"/>
              <w:right w:w="108" w:type="dxa"/>
              <w:bottom w:w="0" w:type="dxa"/>
            </w:tcMar>
            <w:tcW w:w="3992" w:type="dxa"/>
            <w:textDirection w:val="lrTb"/>
            <w:noWrap w:val="false"/>
          </w:tcPr>
          <w:p>
            <w:pPr>
              <w:pStyle w:val="1042"/>
              <w:pBdr/>
              <w:spacing w:after="60"/>
              <w:ind/>
              <w:rPr>
                <w:color w:val="000000" w:themeColor="text1"/>
                <w:sz w:val="24"/>
                <w:szCs w:val="24"/>
              </w:rPr>
            </w:pPr>
            <w:r>
              <w:rPr>
                <w:rStyle w:val="1041"/>
                <w:rFonts w:ascii="Times New Roman" w:hAnsi="Times New Roman"/>
                <w:color w:val="000000" w:themeColor="text1"/>
                <w:lang w:val="pt-BR"/>
              </w:rPr>
              <w:t xml:space="preserve">Số: </w:t>
            </w:r>
            <w:r>
              <w:rPr>
                <w:rStyle w:val="1041"/>
                <w:rFonts w:ascii="Times New Roman" w:hAnsi="Times New Roman"/>
                <w:color w:val="000000" w:themeColor="text1"/>
                <w:lang w:val="pt-BR"/>
              </w:rPr>
              <w:t xml:space="preserve">275/2026/1460/VFI-CT.T02.A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9566" w:type="dxa"/>
            <w:textDirection w:val="lrTb"/>
            <w:noWrap w:val="false"/>
          </w:tcPr>
          <w:p>
            <w:pPr>
              <w:pStyle w:val="1042"/>
              <w:pBdr/>
              <w:spacing w:after="60"/>
              <w:ind w:right="-56"/>
              <w:jc w:val="left"/>
              <w:rPr>
                <w:color w:val="000000" w:themeColor="text1"/>
                <w:sz w:val="24"/>
                <w:szCs w:val="24"/>
                <w:lang w:val="vi-VN"/>
              </w:rPr>
            </w:pPr>
            <w:r>
              <w:rPr>
                <w:rStyle w:val="1041"/>
                <w:rFonts w:ascii="Times New Roman" w:hAnsi="Times New Roman"/>
                <w:i/>
                <w:color w:val="auto"/>
              </w:rPr>
              <w:t xml:space="preserve">                  TP. Hà Nội</w:t>
            </w:r>
            <w:r>
              <w:rPr>
                <w:rStyle w:val="1041"/>
                <w:rFonts w:ascii="Times New Roman" w:hAnsi="Times New Roman"/>
                <w:i/>
                <w:color w:val="auto"/>
                <w:lang w:val="vi-VN"/>
              </w:rPr>
              <w:t xml:space="preserve">, </w:t>
            </w:r>
            <w:r>
              <w:rPr>
                <w:rStyle w:val="1041"/>
                <w:rFonts w:ascii="Times New Roman" w:hAnsi="Times New Roman"/>
                <w:i/>
                <w:color w:val="000000" w:themeColor="text1"/>
                <w:lang w:val="vi-VN"/>
              </w:rPr>
              <w:t xml:space="preserve">ngày 17 tháng 9 năm 2026</w:t>
            </w:r>
            <w:r>
              <w:rPr>
                <w:color w:val="000000" w:themeColor="text1"/>
                <w:sz w:val="24"/>
                <w:szCs w:val="24"/>
                <w:lang w:val="vi-VN"/>
              </w:rPr>
            </w:r>
            <w:r>
              <w:rPr>
                <w:color w:val="000000" w:themeColor="text1"/>
                <w:sz w:val="24"/>
                <w:szCs w:val="24"/>
                <w:lang w:val="vi-VN"/>
              </w:rPr>
            </w:r>
          </w:p>
        </w:tc>
      </w:tr>
    </w:tbl>
    <w:p>
      <w:pPr>
        <w:pStyle w:val="1042"/>
        <w:pBdr/>
        <w:spacing w:after="120" w:before="200" w:line="288" w:lineRule="auto"/>
        <w:ind/>
        <w:jc w:val="center"/>
        <w:rPr>
          <w:rStyle w:val="1041"/>
          <w:rFonts w:ascii="Times New Roman" w:hAnsi="Times New Roman"/>
          <w:b/>
          <w:bCs/>
          <w:color w:val="auto"/>
          <w:sz w:val="30"/>
          <w:szCs w:val="30"/>
          <w:lang w:val="vi-VN"/>
        </w:rPr>
      </w:pPr>
      <w:r>
        <w:rPr>
          <w:rStyle w:val="1041"/>
          <w:rFonts w:ascii="Times New Roman" w:hAnsi="Times New Roman"/>
          <w:b/>
          <w:bCs/>
          <w:color w:val="auto"/>
          <w:sz w:val="30"/>
          <w:szCs w:val="30"/>
          <w:lang w:val="vi-VN"/>
        </w:rPr>
        <w:t xml:space="preserve">CHỨNG THƯ THẨM ĐỊNH GIÁ</w:t>
      </w:r>
      <w:r>
        <w:rPr>
          <w:rStyle w:val="1041"/>
          <w:rFonts w:ascii="Times New Roman" w:hAnsi="Times New Roman"/>
          <w:b/>
          <w:bCs/>
          <w:color w:val="auto"/>
          <w:sz w:val="30"/>
          <w:szCs w:val="30"/>
          <w:lang w:val="vi-VN"/>
        </w:rPr>
      </w:r>
      <w:r>
        <w:rPr>
          <w:rStyle w:val="1041"/>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CÔNG TY TNHH CƠ KHÍ THƯƠNG MẠI ĐẠI NAM</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275/2026/1460/VFI-HĐTĐ.T02.A</w:t>
      </w:r>
      <w:r>
        <w:rPr>
          <w:spacing w:val="-4"/>
          <w:lang w:val="vi-VN"/>
        </w:rPr>
        <w:t xml:space="preserve"> ký ngày </w:t>
      </w:r>
      <w:r>
        <w:rPr>
          <w:color w:val="000000" w:themeColor="text1"/>
          <w:spacing w:val="-4"/>
        </w:rPr>
        <w:t xml:space="preserve">10 tháng 9 năm 2026</w:t>
      </w:r>
      <w:r>
        <w:rPr>
          <w:spacing w:val="-4"/>
          <w:lang w:val="vi-VN"/>
        </w:rPr>
        <w:t xml:space="preserve"> </w:t>
      </w:r>
      <w:r>
        <w:rPr>
          <w:spacing w:val="-4"/>
          <w:lang w:val="vi-VN"/>
        </w:rPr>
        <w:t xml:space="preserve">giữa </w:t>
      </w:r>
      <w:r>
        <w:rPr>
          <w:color w:val="000000" w:themeColor="text1"/>
          <w:spacing w:val="-4"/>
        </w:rPr>
        <w:t xml:space="preserve">C</w:t>
      </w:r>
      <w:r>
        <w:rPr>
          <w:color w:val="000000" w:themeColor="text1"/>
          <w:spacing w:val="-4"/>
        </w:rPr>
        <w:t xml:space="preserve">ông </w:t>
      </w:r>
      <w:r>
        <w:rPr>
          <w:color w:val="000000" w:themeColor="text1"/>
          <w:spacing w:val="-4"/>
        </w:rPr>
        <w:t xml:space="preserve">ty </w:t>
      </w:r>
      <w:r>
        <w:rPr>
          <w:color w:val="000000" w:themeColor="text1"/>
          <w:spacing w:val="-4"/>
        </w:rPr>
        <w:t xml:space="preserve">TNHH </w:t>
      </w:r>
      <w:r>
        <w:rPr>
          <w:color w:val="000000" w:themeColor="text1"/>
          <w:spacing w:val="-4"/>
        </w:rPr>
        <w:t xml:space="preserve">Cơ </w:t>
      </w:r>
      <w:r>
        <w:rPr>
          <w:color w:val="000000" w:themeColor="text1"/>
          <w:spacing w:val="-4"/>
        </w:rPr>
        <w:t xml:space="preserve">Khí </w:t>
      </w:r>
      <w:r>
        <w:rPr>
          <w:color w:val="000000" w:themeColor="text1"/>
          <w:spacing w:val="-4"/>
        </w:rPr>
        <w:t xml:space="preserve">Thương </w:t>
      </w:r>
      <w:r>
        <w:rPr>
          <w:color w:val="000000" w:themeColor="text1"/>
          <w:spacing w:val="-4"/>
        </w:rPr>
        <w:t xml:space="preserve">Mại </w:t>
      </w:r>
      <w:r>
        <w:rPr>
          <w:color w:val="000000" w:themeColor="text1"/>
          <w:spacing w:val="-4"/>
        </w:rPr>
        <w:t xml:space="preserve">Đại </w:t>
      </w:r>
      <w:r>
        <w:rPr>
          <w:color w:val="000000" w:themeColor="text1"/>
          <w:spacing w:val="-4"/>
        </w:rPr>
        <w:t xml:space="preserve">Nam </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275/2026/1460/VFI-BC.T02.A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17 tháng 9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88" w:lineRule="auto"/>
              <w:ind w:right="-9"/>
              <w:contextualSpacing w:val="true"/>
              <w:rPr>
                <w:b w:val="0"/>
                <w:bCs w:val="0"/>
                <w:color w:val="000000" w:themeColor="text1"/>
                <w:u w:val="none"/>
              </w:rPr>
            </w:pPr>
            <w:r>
              <w:rPr>
                <w:b w:val="0"/>
                <w:bCs w:val="0"/>
                <w:color w:val="000000" w:themeColor="text1"/>
                <w:u w:val="none"/>
              </w:rPr>
              <w:t xml:space="preserve">Tên </w:t>
            </w:r>
            <w:r>
              <w:rPr>
                <w:b w:val="0"/>
                <w:bCs w:val="0"/>
                <w:color w:val="000000" w:themeColor="text1"/>
                <w:u w:val="none"/>
              </w:rPr>
              <w:t xml:space="preserve">khách </w:t>
            </w:r>
            <w:r>
              <w:rPr>
                <w:b w:val="0"/>
                <w:bCs w:val="0"/>
                <w:color w:val="000000" w:themeColor="text1"/>
                <w:u w:val="none"/>
              </w:rPr>
              <w:t xml:space="preserve">hàng</w:t>
            </w:r>
            <w:r>
              <w:rPr>
                <w:b w:val="0"/>
                <w:bCs w:val="0"/>
                <w:color w:val="000000" w:themeColor="text1"/>
                <w:u w:val="none"/>
              </w:rPr>
            </w:r>
            <w:r>
              <w:rPr>
                <w:b w:val="0"/>
                <w:bCs w:val="0"/>
                <w:color w:val="000000" w:themeColor="text1"/>
                <w:u w:val="none"/>
              </w:rPr>
            </w:r>
          </w:p>
        </w:tc>
        <w:tc>
          <w:tcPr>
            <w:shd w:val="clear" w:color="auto" w:fill="auto"/>
            <w:tcBorders/>
            <w:tcW w:w="248" w:type="pct"/>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3643" w:type="pct"/>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r>
            <w:r>
              <w:rPr>
                <w:b/>
                <w:color w:val="000000" w:themeColor="text1"/>
                <w:spacing w:val="-8"/>
                <w:lang w:val="vi-VN"/>
              </w:rPr>
              <w:t xml:space="preserve">CÔNG TY TNHH CƠ KHÍ THƯƠNG MẠI ĐẠI NAM</w:t>
            </w:r>
            <w:r>
              <w:rPr>
                <w:b/>
                <w:color w:val="000000" w:themeColor="text1"/>
                <w:spacing w:val="-8"/>
              </w:rPr>
            </w:r>
            <w:r>
              <w:rPr>
                <w:b/>
                <w:color w:val="000000" w:themeColor="text1"/>
                <w:spacing w:val="-8"/>
              </w:rPr>
            </w:r>
          </w:p>
        </w:tc>
      </w:tr>
      <w:tr>
        <w:trPr>
          <w:trHeight w:val="20"/>
        </w:trPr>
        <w:tc>
          <w:tcPr>
            <w:shd w:val="clear" w:color="auto" w:fill="auto"/>
            <w:tcBorders/>
            <w:tcW w:w="1109" w:type="pct"/>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MST</w:t>
            </w:r>
            <w:r>
              <w:rPr>
                <w:bCs/>
                <w:color w:val="000000" w:themeColor="text1"/>
              </w:rPr>
            </w:r>
            <w:r>
              <w:rPr>
                <w:bCs/>
                <w:color w:val="000000" w:themeColor="text1"/>
              </w:rPr>
            </w:r>
          </w:p>
        </w:tc>
        <w:tc>
          <w:tcPr>
            <w:shd w:val="clear" w:color="auto" w:fill="auto"/>
            <w:tcBorders/>
            <w:tcW w:w="248" w:type="pct"/>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3643" w:type="pct"/>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r>
            <w:r>
              <w:rPr>
                <w:color w:val="000000" w:themeColor="text1"/>
              </w:rPr>
              <w:t xml:space="preserve">0106372819</w:t>
            </w:r>
            <w:r>
              <w:rPr>
                <w:bCs/>
                <w:color w:val="000000" w:themeColor="text1"/>
                <w:lang w:val="vi-VN"/>
              </w:rPr>
            </w:r>
            <w:r>
              <w:rPr>
                <w:bCs/>
                <w:color w:val="000000" w:themeColor="text1"/>
                <w:lang w:val="vi-VN"/>
              </w:rPr>
            </w:r>
          </w:p>
        </w:tc>
      </w:tr>
      <w:tr>
        <w:trPr>
          <w:trHeight w:val="20"/>
        </w:trPr>
        <w:tc>
          <w:tcPr>
            <w:shd w:val="clear" w:color="auto" w:fill="auto"/>
            <w:tcBorders/>
            <w:tcW w:w="1109" w:type="pct"/>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shd w:val="clear" w:color="auto" w:fill="auto"/>
            <w:tcBorders/>
            <w:tcW w:w="248" w:type="pct"/>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3643" w:type="pct"/>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color w:val="000000" w:themeColor="text1"/>
                <w:lang w:val="vi-VN"/>
              </w:rPr>
              <w:t xml:space="preserve">Thôn Rùa Hạ, Xã Tam Hưng, Thành phố Hà Nội</w:t>
            </w:r>
            <w:r>
              <w:rPr>
                <w:bCs/>
                <w:color w:val="000000" w:themeColor="text1"/>
              </w:rPr>
            </w:r>
            <w:r>
              <w:rPr>
                <w:bCs/>
                <w:color w:val="000000" w:themeColor="text1"/>
              </w:rPr>
            </w:r>
          </w:p>
        </w:tc>
      </w:tr>
      <w:tr>
        <w:trPr>
          <w:trHeight w:val="20"/>
        </w:trPr>
        <w:tc>
          <w:tcPr>
            <w:shd w:val="clear" w:color="auto" w:fill="auto"/>
            <w:tcBorders/>
            <w:tcW w:w="1109" w:type="pct"/>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w:t>
            </w:r>
            <w:r>
              <w:rPr>
                <w:bCs/>
                <w:color w:val="000000" w:themeColor="text1"/>
                <w:lang w:val="pt-BR"/>
              </w:rPr>
              <w:t xml:space="preserve">diện</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88" w:lineRule="auto"/>
              <w:ind/>
              <w:contextualSpacing w:val="true"/>
              <w:rPr>
                <w:b/>
                <w:bCs/>
                <w:color w:val="000000" w:themeColor="text1"/>
              </w:rPr>
            </w:pPr>
            <w:r>
              <w:rPr>
                <w:color w:val="000000" w:themeColor="text1"/>
                <w:lang w:val="vi-VN"/>
              </w:rPr>
            </w:r>
            <w:r>
              <w:rPr>
                <w:b/>
                <w:bCs/>
                <w:color w:val="000000" w:themeColor="text1"/>
                <w:lang w:val="vi-VN"/>
              </w:rPr>
              <w:t xml:space="preserve">Ông Nguyễn Văn Huy</w:t>
            </w:r>
            <w:r>
              <w:rPr>
                <w:b/>
                <w:bCs/>
                <w:color w:val="000000" w:themeColor="text1"/>
              </w:rPr>
            </w:r>
            <w:r>
              <w:rPr>
                <w:b/>
                <w:bCs/>
                <w:color w:val="000000" w:themeColor="text1"/>
              </w:rPr>
            </w:r>
          </w:p>
        </w:tc>
      </w:tr>
      <w:tr>
        <w:trPr>
          <w:trHeight w:val="20"/>
        </w:trPr>
        <w:tc>
          <w:tcPr>
            <w:shd w:val="clear" w:color="ffffff" w:fill="ffffff"/>
            <w:tcBorders/>
            <w:tcW w:w="1109" w:type="pct"/>
            <w:vAlign w:val="center"/>
            <w:vMerge w:val="restart"/>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Chức </w:t>
            </w:r>
            <w:r>
              <w:rPr>
                <w:bCs/>
                <w:color w:val="000000" w:themeColor="text1"/>
                <w:lang w:val="pt-BR"/>
              </w:rPr>
              <w:t xml:space="preserve">vụ</w:t>
            </w:r>
            <w:r>
              <w:rPr>
                <w:bCs/>
                <w:color w:val="000000" w:themeColor="text1"/>
                <w:lang w:val="pt-BR"/>
              </w:rPr>
            </w:r>
            <w:r>
              <w:rPr>
                <w:bCs/>
                <w:color w:val="000000" w:themeColor="text1"/>
                <w:lang w:val="pt-BR"/>
              </w:rPr>
            </w:r>
          </w:p>
        </w:tc>
        <w:tc>
          <w:tcPr>
            <w:shd w:val="clear" w:color="ffffff" w:fill="ffffff"/>
            <w:tcBorders/>
            <w:tcW w:w="248" w:type="pct"/>
            <w:vAlign w:val="center"/>
            <w:vMerge w:val="restart"/>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3643" w:type="pct"/>
            <w:vAlign w:val="center"/>
            <w:vMerge w:val="restart"/>
            <w:textDirection w:val="lrTb"/>
            <w:noWrap w:val="false"/>
          </w:tcPr>
          <w:p>
            <w:pPr>
              <w:pBdr/>
              <w:spacing w:after="40" w:before="40" w:line="288" w:lineRule="auto"/>
              <w:ind/>
              <w:contextualSpacing w:val="true"/>
              <w:rPr>
                <w:b/>
                <w:bCs/>
                <w:color w:val="000000" w:themeColor="text1"/>
              </w:rPr>
            </w:pPr>
            <w:r>
              <w:rPr>
                <w:b/>
                <w:bCs/>
                <w:color w:val="000000" w:themeColor="text1"/>
                <w:lang w:val="vi-VN"/>
              </w:rPr>
              <w:t xml:space="preserve">Giám </w:t>
            </w:r>
            <w:r>
              <w:rPr>
                <w:b/>
                <w:bCs/>
                <w:color w:val="000000" w:themeColor="text1"/>
                <w:lang w:val="vi-VN"/>
              </w:rPr>
              <w:t xml:space="preserve">đốc</w:t>
            </w:r>
            <w:r>
              <w:rPr>
                <w:b/>
                <w:bCs/>
                <w:color w:val="000000" w:themeColor="text1"/>
              </w:rPr>
            </w:r>
            <w:r>
              <w:rPr>
                <w:b/>
                <w:bCs/>
                <w:color w:val="000000" w:themeColor="text1"/>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tại thửa số: 494 (tách từ thửa 310), tờ bản đồ số: 04, tỷ lệ 1/1000 xã Thanh Thùy đất có địa chỉ: thôn Rùa Hạ, xã Thanh Thùy, huyện Thanh Oai, Thành phố Hà Nội </w:t>
      </w:r>
      <w:r>
        <w:rPr>
          <w:i/>
          <w:iCs/>
          <w:color w:val="000000" w:themeColor="text1"/>
        </w:rPr>
        <w:t xml:space="preserve">(nay l</w:t>
      </w:r>
      <w:r>
        <w:rPr>
          <w:i/>
          <w:iCs/>
          <w:color w:val="000000" w:themeColor="text1"/>
        </w:rPr>
        <w:t xml:space="preserve">à xã Tam Hưng, Thành phố Hà Nội) </w:t>
      </w:r>
      <w:r>
        <w:rPr>
          <w:color w:val="000000" w:themeColor="text1"/>
        </w:rPr>
        <w:t xml:space="preserve">theo Giấy chứng nhận quyền sử dụng đất quyền sở hữu nhà ở và tài sản khác gắn liền với đất số: BS 055205, số vào sổ cấp GCN: CH 00430 TT/TO do UBND Huyện Thanh Oai cấp ngày 03/3/2014; Chủ sử dụng đất là ông Nguyễn Văn Hanh.</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09/2026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09/2026</w:t>
      </w:r>
      <w:r>
        <w:rPr>
          <w:lang w:val="vi-VN"/>
        </w:rPr>
        <w:t xml:space="preserve"> ước tính</w:t>
      </w:r>
      <w:r>
        <w:t xml:space="preserve"> </w:t>
      </w:r>
      <w:r>
        <w:rPr>
          <w:lang w:val="vi-VN"/>
        </w:rPr>
        <w:t xml:space="preserve">như sau:</w:t>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0"/>
        <w:gridCol w:w="2579"/>
        <w:gridCol w:w="2162"/>
      </w:tblGrid>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63"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46"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55"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364"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số: 494 (tách từ thửa 310), tờ bản đồ số: 04, tỷ lệ 1/1000 xã Thanh Thùy đất có địa chỉ: thôn Rùa Hạ, xã Thanh Thùy, huyện Thanh Oai, Thành phố Hà Nội </w:t>
            </w:r>
            <w:r>
              <w:rPr>
                <w:b/>
                <w:bCs/>
                <w:i/>
                <w:iCs/>
                <w:color w:val="000000"/>
              </w:rPr>
              <w:t xml:space="preserve">(nay l</w:t>
            </w:r>
            <w:r>
              <w:rPr>
                <w:b/>
                <w:bCs/>
                <w:i/>
                <w:iCs/>
                <w:color w:val="000000"/>
              </w:rPr>
              <w:t xml:space="preserve">à xã Tam Hưng, Thành phố Hà Nội)</w:t>
            </w:r>
            <w:r>
              <w:rPr>
                <w:b/>
                <w:bCs/>
                <w:color w:val="000000"/>
              </w:rPr>
              <w:t xml:space="preserve"> theo Giấy chứng nhận quyền sử dụng đất quyền sở hữu nhà ở và tài sản khác gắn liền với đất số: BS 055205, số vào sổ cấp GCN: CH 00430 TT/TO do UBND Huyện Thanh Oai cấp ngày 03/3/2014; Chủ sử dụng đất là ông Nguyễn Văn Hanh.</w:t>
            </w:r>
            <w:r>
              <w:rPr>
                <w:b/>
                <w:bCs/>
              </w:rPr>
              <w:t xml:space="preserve">.</w:t>
            </w:r>
            <w:r>
              <w:rPr>
                <w:b/>
                <w:bCs/>
              </w:rPr>
            </w:r>
            <w:r>
              <w:rPr>
                <w:b/>
                <w:bCs/>
              </w:rPr>
            </w:r>
          </w:p>
        </w:tc>
        <w:tc>
          <w:tcPr>
            <w:shd w:val="clear" w:color="000000" w:fill="ffffff"/>
            <w:tcBorders/>
            <w:tcW w:w="1136"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500" w:type="pct"/>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1063"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46" w:type="pct"/>
            <w:vAlign w:val="center"/>
            <w:textDirection w:val="lrTb"/>
            <w:noWrap/>
          </w:tcPr>
          <w:p>
            <w:pPr>
              <w:pBdr/>
              <w:spacing w:after="40" w:before="40" w:line="288" w:lineRule="auto"/>
              <w:ind/>
              <w:jc w:val="center"/>
              <w:rPr>
                <w:b w:val="0"/>
                <w:bCs w:val="0"/>
                <w:color w:val="000000"/>
              </w:rPr>
            </w:pPr>
            <w:r>
              <w:rPr>
                <w:b w:val="0"/>
                <w:bCs w:val="0"/>
                <w:color w:val="000000" w:themeColor="text1"/>
              </w:rPr>
              <w:t xml:space="preserve">148,</w:t>
            </w:r>
            <w:r>
              <w:rPr>
                <w:b w:val="0"/>
                <w:bCs w:val="0"/>
                <w:color w:val="000000" w:themeColor="text1"/>
              </w:rPr>
              <w:t xml:space="preserve">0</w:t>
            </w:r>
            <w:r>
              <w:rPr>
                <w:b w:val="0"/>
                <w:bCs w:val="0"/>
                <w:color w:val="000000"/>
              </w:rPr>
            </w:r>
            <w:r>
              <w:rPr>
                <w:b w:val="0"/>
                <w:bCs w:val="0"/>
                <w:color w:val="000000"/>
              </w:rPr>
            </w:r>
          </w:p>
        </w:tc>
        <w:tc>
          <w:tcPr>
            <w:shd w:val="clear" w:color="000000" w:fill="ffffff"/>
            <w:tcBorders/>
            <w:tcW w:w="1355" w:type="pct"/>
            <w:vAlign w:val="center"/>
            <w:textDirection w:val="lrTb"/>
            <w:noWrap w:val="false"/>
          </w:tcPr>
          <w:p>
            <w:pPr>
              <w:pBdr/>
              <w:spacing w:after="40" w:before="40" w:line="288" w:lineRule="auto"/>
              <w:ind/>
              <w:jc w:val="center"/>
              <w:rPr>
                <w:b w:val="0"/>
                <w:bCs w:val="0"/>
              </w:rPr>
            </w:pPr>
            <w:r>
              <w:rPr>
                <w:b w:val="0"/>
                <w:bCs w:val="0"/>
                <w:color w:val="000000" w:themeColor="text1"/>
              </w:rPr>
              <w:t xml:space="preserve">54.000.000</w:t>
            </w:r>
            <w:r>
              <w:rPr>
                <w:b w:val="0"/>
                <w:bCs w:val="0"/>
              </w:rPr>
            </w:r>
            <w:r>
              <w:rPr>
                <w:b w:val="0"/>
                <w:bCs w:val="0"/>
              </w:rPr>
            </w:r>
          </w:p>
        </w:tc>
        <w:tc>
          <w:tcPr>
            <w:shd w:val="clear" w:color="000000" w:fill="ffffff"/>
            <w:tcBorders/>
            <w:tcW w:w="1136" w:type="pct"/>
            <w:vAlign w:val="center"/>
            <w:textDirection w:val="lrTb"/>
            <w:noWrap w:val="false"/>
          </w:tcPr>
          <w:p>
            <w:pPr>
              <w:pBdr/>
              <w:spacing w:after="40" w:before="40" w:line="288" w:lineRule="auto"/>
              <w:ind/>
              <w:jc w:val="center"/>
              <w:rPr>
                <w:b w:val="0"/>
                <w:bCs w:val="0"/>
              </w:rPr>
            </w:pPr>
            <w:r>
              <w:rPr>
                <w:b w:val="0"/>
                <w:bCs w:val="0"/>
                <w:color w:val="000000" w:themeColor="text1"/>
              </w:rPr>
              <w:t xml:space="preserve">7.992.000.000</w:t>
            </w:r>
            <w:r>
              <w:rPr>
                <w:b w:val="0"/>
                <w:bCs w:val="0"/>
              </w:rPr>
            </w:r>
            <w:r>
              <w:rPr>
                <w:b w:val="0"/>
                <w:bCs w:val="0"/>
              </w:rPr>
            </w:r>
          </w:p>
        </w:tc>
      </w:tr>
      <w:tr>
        <w:trPr>
          <w:trHeight w:val="20"/>
        </w:trPr>
        <w:tc>
          <w:tcPr>
            <w:gridSpan w:val="4"/>
            <w:tcBorders/>
            <w:tcW w:w="3864"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36" w:type="pct"/>
            <w:vAlign w:val="center"/>
            <w:textDirection w:val="lrTb"/>
            <w:noWrap/>
          </w:tcPr>
          <w:p>
            <w:pPr>
              <w:pBdr/>
              <w:spacing w:after="40" w:before="40" w:line="288" w:lineRule="auto"/>
              <w:ind/>
              <w:jc w:val="center"/>
              <w:rPr>
                <w:b/>
                <w:bCs/>
                <w:color w:val="000000"/>
              </w:rPr>
            </w:pPr>
            <w:r>
              <w:rPr>
                <w:b/>
                <w:bCs/>
              </w:rPr>
              <w:t xml:space="preserve">7.992.000.000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Bảy tỷ chín trăm chín mươi hai triệu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856"/>
        <w:gridCol w:w="1299"/>
        <w:gridCol w:w="3543"/>
        <w:gridCol w:w="4636"/>
        <w:gridCol w:w="4084"/>
      </w:tblGrid>
      <w:tr>
        <w:trPr>
          <w:trHeight w:val="1843"/>
        </w:trPr>
        <w:tc>
          <w:tcPr>
            <w:gridSpan w:val="2"/>
            <w:tcBorders/>
            <w:tcW w:w="2155"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12263"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3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gridSpan w:val="2"/>
            <w:shd w:val="clear" w:color="auto" w:fill="auto"/>
            <w:tcBorders/>
            <w:tcMar>
              <w:left w:w="108" w:type="dxa"/>
              <w:top w:w="0" w:type="dxa"/>
              <w:right w:w="108" w:type="dxa"/>
              <w:bottom w:w="0" w:type="dxa"/>
            </w:tcMar>
            <w:tcW w:w="4842" w:type="dxa"/>
            <w:textDirection w:val="lrTb"/>
            <w:noWrap w:val="false"/>
          </w:tcPr>
          <w:p>
            <w:pPr>
              <w:pStyle w:val="1042"/>
              <w:pBdr/>
              <w:spacing w:after="60"/>
              <w:ind/>
              <w:rPr>
                <w:color w:val="000000" w:themeColor="text1"/>
                <w:sz w:val="24"/>
                <w:szCs w:val="24"/>
              </w:rPr>
            </w:pPr>
            <w:r>
              <w:rPr>
                <w:rStyle w:val="1041"/>
                <w:rFonts w:ascii="Times New Roman" w:hAnsi="Times New Roman"/>
                <w:color w:val="000000" w:themeColor="text1"/>
                <w:lang w:val="pt-BR"/>
              </w:rPr>
              <w:t xml:space="preserve">Số: </w:t>
            </w:r>
            <w:r>
              <w:rPr>
                <w:rStyle w:val="1041"/>
                <w:rFonts w:ascii="Times New Roman" w:hAnsi="Times New Roman"/>
                <w:color w:val="000000" w:themeColor="text1"/>
                <w:lang w:val="pt-BR"/>
              </w:rPr>
              <w:t xml:space="preserve">275/2026/1460/VFI-</w:t>
            </w:r>
            <w:r>
              <w:rPr>
                <w:rStyle w:val="1041"/>
                <w:rFonts w:ascii="Times New Roman" w:hAnsi="Times New Roman"/>
                <w:color w:val="000000" w:themeColor="text1"/>
                <w:lang w:val="pt-BR"/>
              </w:rPr>
              <w:t xml:space="preserve">BC</w:t>
            </w:r>
            <w:r>
              <w:rPr>
                <w:rStyle w:val="1041"/>
                <w:rFonts w:ascii="Times New Roman" w:hAnsi="Times New Roman"/>
                <w:color w:val="000000" w:themeColor="text1"/>
                <w:lang w:val="pt-BR"/>
              </w:rPr>
              <w:t xml:space="preserve">.T02.A</w:t>
            </w:r>
            <w:r>
              <w:rPr>
                <w:color w:val="000000" w:themeColor="text1"/>
                <w:sz w:val="24"/>
                <w:szCs w:val="24"/>
              </w:rPr>
            </w:r>
            <w:r>
              <w:rPr>
                <w:color w:val="000000" w:themeColor="text1"/>
                <w:sz w:val="24"/>
                <w:szCs w:val="24"/>
              </w:rPr>
            </w:r>
          </w:p>
        </w:tc>
        <w:tc>
          <w:tcPr>
            <w:gridSpan w:val="2"/>
            <w:shd w:val="clear" w:color="auto" w:fill="auto"/>
            <w:tcBorders/>
            <w:tcMar>
              <w:left w:w="108" w:type="dxa"/>
              <w:top w:w="0" w:type="dxa"/>
              <w:right w:w="108" w:type="dxa"/>
              <w:bottom w:w="0" w:type="dxa"/>
            </w:tcMar>
            <w:tcW w:w="8719" w:type="dxa"/>
            <w:textDirection w:val="lrTb"/>
            <w:noWrap w:val="false"/>
          </w:tcPr>
          <w:p>
            <w:pPr>
              <w:pStyle w:val="1042"/>
              <w:pBdr/>
              <w:spacing w:after="60"/>
              <w:ind w:right="-56"/>
              <w:jc w:val="left"/>
              <w:rPr>
                <w:color w:val="000000" w:themeColor="text1"/>
                <w:sz w:val="24"/>
                <w:szCs w:val="24"/>
                <w:lang w:val="vi-VN"/>
              </w:rPr>
            </w:pPr>
            <w:r>
              <w:rPr>
                <w:rStyle w:val="1041"/>
                <w:rFonts w:ascii="Times New Roman" w:hAnsi="Times New Roman"/>
                <w:i/>
                <w:color w:val="auto"/>
              </w:rPr>
              <w:t xml:space="preserve">          TP. Hà Nội</w:t>
            </w:r>
            <w:r>
              <w:rPr>
                <w:rStyle w:val="1041"/>
                <w:rFonts w:ascii="Times New Roman" w:hAnsi="Times New Roman"/>
                <w:i/>
                <w:color w:val="auto"/>
                <w:lang w:val="vi-VN"/>
              </w:rPr>
              <w:t xml:space="preserve">, </w:t>
            </w:r>
            <w:r>
              <w:rPr>
                <w:rStyle w:val="1041"/>
                <w:rFonts w:ascii="Times New Roman" w:hAnsi="Times New Roman"/>
                <w:i/>
                <w:color w:val="000000" w:themeColor="text1"/>
                <w:lang w:val="vi-VN"/>
              </w:rPr>
              <w:t xml:space="preserve">ngày 17 tháng 9 năm 2026</w:t>
            </w:r>
            <w:r>
              <w:rPr>
                <w:color w:val="000000" w:themeColor="text1"/>
                <w:sz w:val="24"/>
                <w:szCs w:val="24"/>
                <w:lang w:val="vi-VN"/>
              </w:rPr>
            </w:r>
            <w:r>
              <w:rPr>
                <w:color w:val="000000" w:themeColor="text1"/>
                <w:sz w:val="24"/>
                <w:szCs w:val="24"/>
                <w:lang w:val="vi-VN"/>
              </w:rPr>
            </w:r>
          </w:p>
        </w:tc>
      </w:tr>
      <w:tr>
        <w:trPr>
          <w:gridBefore w:val="1"/>
          <w:trHeight w:val="84"/>
        </w:trPr>
        <w:tc>
          <w:tcPr>
            <w:gridSpan w:val="3"/>
            <w:shd w:val="clear" w:color="auto" w:fill="auto"/>
            <w:tcBorders/>
            <w:tcMar>
              <w:left w:w="108" w:type="dxa"/>
              <w:top w:w="0" w:type="dxa"/>
              <w:right w:w="108" w:type="dxa"/>
              <w:bottom w:w="0" w:type="dxa"/>
            </w:tcMar>
            <w:tcW w:w="9478" w:type="dxa"/>
            <w:textDirection w:val="lrTb"/>
            <w:noWrap w:val="false"/>
          </w:tcPr>
          <w:p>
            <w:pPr>
              <w:pStyle w:val="1042"/>
              <w:pBdr/>
              <w:spacing w:after="60"/>
              <w:ind/>
              <w:rPr>
                <w:rStyle w:val="1041"/>
                <w:rFonts w:ascii="Times New Roman" w:hAnsi="Times New Roman"/>
                <w:color w:val="000000" w:themeColor="text1"/>
                <w:lang w:val="pt-BR"/>
              </w:rPr>
            </w:pPr>
            <w:r>
              <w:rPr>
                <w:rStyle w:val="1041"/>
                <w:rFonts w:ascii="Times New Roman" w:hAnsi="Times New Roman"/>
                <w:color w:val="000000" w:themeColor="text1"/>
                <w:lang w:val="pt-BR"/>
              </w:rPr>
            </w:r>
            <w:r>
              <w:rPr>
                <w:rStyle w:val="1041"/>
                <w:rFonts w:ascii="Times New Roman" w:hAnsi="Times New Roman"/>
                <w:color w:val="000000" w:themeColor="text1"/>
                <w:lang w:val="pt-BR"/>
              </w:rPr>
            </w:r>
            <w:r>
              <w:rPr>
                <w:rStyle w:val="1041"/>
                <w:rFonts w:ascii="Times New Roman" w:hAnsi="Times New Roman"/>
                <w:color w:val="000000" w:themeColor="text1"/>
                <w:lang w:val="pt-BR"/>
              </w:rPr>
            </w:r>
          </w:p>
        </w:tc>
        <w:tc>
          <w:tcPr>
            <w:shd w:val="clear" w:color="auto" w:fill="auto"/>
            <w:tcBorders/>
            <w:tcMar>
              <w:left w:w="108" w:type="dxa"/>
              <w:top w:w="0" w:type="dxa"/>
              <w:right w:w="108" w:type="dxa"/>
              <w:bottom w:w="0" w:type="dxa"/>
            </w:tcMar>
            <w:tcW w:w="4084" w:type="dxa"/>
            <w:textDirection w:val="lrTb"/>
            <w:noWrap w:val="false"/>
          </w:tcPr>
          <w:p>
            <w:pPr>
              <w:pStyle w:val="1042"/>
              <w:pBdr/>
              <w:spacing w:after="60"/>
              <w:ind w:right="-56"/>
              <w:rPr>
                <w:rStyle w:val="1041"/>
                <w:rFonts w:ascii="Times New Roman" w:hAnsi="Times New Roman"/>
                <w:i/>
                <w:color w:val="auto"/>
              </w:rPr>
            </w:pPr>
            <w:r>
              <w:rPr>
                <w:rFonts w:ascii="Times New Roman" w:hAnsi="Times New Roman"/>
                <w:i/>
                <w:color w:val="auto"/>
              </w:rPr>
            </w:r>
            <w:r>
              <w:rPr>
                <w:rStyle w:val="1041"/>
                <w:rFonts w:ascii="Times New Roman" w:hAnsi="Times New Roman"/>
                <w:i/>
                <w:color w:val="auto"/>
              </w:rPr>
            </w:r>
            <w:r>
              <w:rPr>
                <w:rStyle w:val="1041"/>
                <w:rFonts w:ascii="Times New Roman" w:hAnsi="Times New Roman"/>
                <w:i/>
                <w:color w:val="auto"/>
              </w:rPr>
            </w:r>
          </w:p>
        </w:tc>
      </w:tr>
    </w:tbl>
    <w:p>
      <w:pPr>
        <w:pStyle w:val="1042"/>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22"/>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275/2026/1460/VFI-CT.T02.A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17 tháng 9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22"/>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Giám Đốc</w:t>
            </w:r>
            <w:r>
              <w:rPr>
                <w:b/>
                <w:bCs/>
                <w:lang w:val="vi-VN"/>
              </w:rPr>
            </w:r>
            <w:r>
              <w:rPr>
                <w:b/>
                <w:bCs/>
                <w:lang w:val="vi-VN"/>
              </w:rPr>
            </w:r>
          </w:p>
        </w:tc>
      </w:tr>
    </w:tbl>
    <w:p>
      <w:pPr>
        <w:pStyle w:val="1043"/>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88" w:lineRule="auto"/>
              <w:ind w:right="-9"/>
              <w:contextualSpacing w:val="true"/>
              <w:rPr>
                <w:b w:val="0"/>
                <w:bCs w:val="0"/>
                <w:color w:val="000000" w:themeColor="text1"/>
                <w:u w:val="none"/>
              </w:rPr>
            </w:pPr>
            <w:r>
              <w:rPr>
                <w:b w:val="0"/>
                <w:bCs w:val="0"/>
                <w:color w:val="000000" w:themeColor="text1"/>
                <w:u w:val="none"/>
              </w:rPr>
              <w:t xml:space="preserve">Tên </w:t>
            </w:r>
            <w:r>
              <w:rPr>
                <w:b w:val="0"/>
                <w:bCs w:val="0"/>
                <w:color w:val="000000" w:themeColor="text1"/>
                <w:u w:val="none"/>
              </w:rPr>
              <w:t xml:space="preserve">khách </w:t>
            </w:r>
            <w:r>
              <w:rPr>
                <w:b w:val="0"/>
                <w:bCs w:val="0"/>
                <w:color w:val="000000" w:themeColor="text1"/>
                <w:u w:val="none"/>
              </w:rPr>
              <w:t xml:space="preserve">hàng</w:t>
            </w:r>
            <w:r>
              <w:rPr>
                <w:b w:val="0"/>
                <w:bCs w:val="0"/>
                <w:color w:val="000000" w:themeColor="text1"/>
                <w:u w:val="none"/>
              </w:rPr>
            </w:r>
            <w:r>
              <w:rPr>
                <w:b w:val="0"/>
                <w:bCs w:val="0"/>
                <w:color w:val="000000" w:themeColor="text1"/>
                <w:u w:val="none"/>
              </w:rPr>
            </w:r>
          </w:p>
        </w:tc>
        <w:tc>
          <w:tcPr>
            <w:tcBorders/>
            <w:tcW w:w="284"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r>
              <w:rPr>
                <w:b/>
                <w:color w:val="000000" w:themeColor="text1"/>
              </w:rPr>
            </w:r>
          </w:p>
        </w:tc>
        <w:tc>
          <w:tcPr>
            <w:tcBorders/>
            <w:tcW w:w="6945" w:type="dxa"/>
            <w:vAlign w:val="center"/>
            <w:textDirection w:val="lrTb"/>
            <w:noWrap w:val="false"/>
          </w:tcPr>
          <w:p>
            <w:pPr>
              <w:keepNext w:val="true"/>
              <w:pBdr/>
              <w:spacing w:after="40" w:before="40" w:line="288" w:lineRule="auto"/>
              <w:ind/>
              <w:contextualSpacing w:val="true"/>
              <w:outlineLvl w:val="0"/>
              <w:rPr>
                <w:b/>
                <w:color w:val="000000" w:themeColor="text1"/>
                <w:spacing w:val="-8"/>
              </w:rPr>
            </w:pPr>
            <w:r>
              <w:rPr>
                <w:b/>
                <w:color w:val="000000" w:themeColor="text1"/>
                <w:spacing w:val="-8"/>
                <w:lang w:val="vi-VN"/>
              </w:rPr>
            </w:r>
            <w:r>
              <w:rPr>
                <w:b/>
                <w:color w:val="000000" w:themeColor="text1"/>
                <w:spacing w:val="-8"/>
                <w:lang w:val="vi-VN"/>
              </w:rPr>
              <w:t xml:space="preserve">CÔNG TY TNHH CƠ KHÍ THƯƠNG MẠI ĐẠI NAM</w:t>
            </w:r>
            <w:r>
              <w:rPr>
                <w:b/>
                <w:color w:val="000000" w:themeColor="text1"/>
                <w:spacing w:val="-8"/>
              </w:rPr>
            </w:r>
            <w:r>
              <w:rPr>
                <w:b/>
                <w:color w:val="000000" w:themeColor="text1"/>
                <w:spacing w:val="-8"/>
              </w:rPr>
            </w:r>
          </w:p>
        </w:tc>
      </w:tr>
      <w:tr>
        <w:trPr>
          <w:trHeight w:val="20"/>
        </w:trPr>
        <w:tc>
          <w:tcPr>
            <w:tcBorders/>
            <w:tcW w:w="2518"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MST</w:t>
            </w:r>
            <w:r>
              <w:rPr>
                <w:bCs/>
                <w:color w:val="000000" w:themeColor="text1"/>
              </w:rPr>
            </w:r>
            <w:r>
              <w:rPr>
                <w:bCs/>
                <w:color w:val="000000" w:themeColor="text1"/>
              </w:rPr>
            </w:r>
          </w:p>
        </w:tc>
        <w:tc>
          <w:tcPr>
            <w:tcBorders/>
            <w:tcW w:w="284"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r>
              <w:rPr>
                <w:bCs/>
                <w:color w:val="000000" w:themeColor="text1"/>
                <w:lang w:val="vi-VN"/>
              </w:rPr>
            </w:r>
          </w:p>
        </w:tc>
        <w:tc>
          <w:tcPr>
            <w:tcBorders/>
            <w:tcW w:w="6945" w:type="dxa"/>
            <w:vAlign w:val="center"/>
            <w:textDirection w:val="lrTb"/>
            <w:noWrap w:val="false"/>
          </w:tcPr>
          <w:p>
            <w:pPr>
              <w:pBdr/>
              <w:spacing w:after="40" w:before="40" w:line="288" w:lineRule="auto"/>
              <w:ind/>
              <w:contextualSpacing w:val="true"/>
              <w:rPr>
                <w:bCs/>
                <w:color w:val="000000" w:themeColor="text1"/>
                <w:lang w:val="vi-VN"/>
              </w:rPr>
            </w:pPr>
            <w:r>
              <w:rPr>
                <w:color w:val="000000" w:themeColor="text1"/>
              </w:rPr>
            </w:r>
            <w:r>
              <w:rPr>
                <w:color w:val="000000" w:themeColor="text1"/>
              </w:rPr>
              <w:t xml:space="preserve">0106372819</w:t>
            </w:r>
            <w:r>
              <w:rPr>
                <w:bCs/>
                <w:color w:val="000000" w:themeColor="text1"/>
                <w:lang w:val="vi-VN"/>
              </w:rPr>
            </w:r>
            <w:r>
              <w:rPr>
                <w:bCs/>
                <w:color w:val="000000" w:themeColor="text1"/>
                <w:lang w:val="vi-VN"/>
              </w:rPr>
            </w:r>
          </w:p>
        </w:tc>
      </w:tr>
      <w:tr>
        <w:trPr>
          <w:trHeight w:val="20"/>
        </w:trPr>
        <w:tc>
          <w:tcPr>
            <w:tcBorders/>
            <w:tcW w:w="2518" w:type="dxa"/>
            <w:vAlign w:val="center"/>
            <w:textDirection w:val="lrTb"/>
            <w:noWrap w:val="false"/>
          </w:tcPr>
          <w:p>
            <w:pPr>
              <w:pBdr/>
              <w:spacing w:after="40" w:before="40" w:line="288" w:lineRule="auto"/>
              <w:ind/>
              <w:contextualSpacing w:val="true"/>
              <w:jc w:val="both"/>
              <w:rPr>
                <w:bCs/>
                <w:color w:val="000000" w:themeColor="text1"/>
              </w:rPr>
            </w:pPr>
            <w:r>
              <w:rPr>
                <w:bCs/>
                <w:color w:val="000000" w:themeColor="text1"/>
                <w:lang w:val="pt-BR"/>
              </w:rPr>
              <w:t xml:space="preserve">Đia chỉ</w:t>
            </w:r>
            <w:r>
              <w:rPr>
                <w:bCs/>
                <w:color w:val="000000" w:themeColor="text1"/>
              </w:rPr>
            </w:r>
            <w:r>
              <w:rPr>
                <w:bCs/>
                <w:color w:val="000000" w:themeColor="text1"/>
              </w:rPr>
            </w:r>
          </w:p>
        </w:tc>
        <w:tc>
          <w:tcPr>
            <w:tcBorders/>
            <w:tcW w:w="284"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r>
              <w:rPr>
                <w:bCs/>
                <w:color w:val="000000" w:themeColor="text1"/>
              </w:rPr>
            </w:r>
          </w:p>
        </w:tc>
        <w:tc>
          <w:tcPr>
            <w:tcBorders/>
            <w:tcW w:w="6945" w:type="dxa"/>
            <w:vAlign w:val="center"/>
            <w:textDirection w:val="lrTb"/>
            <w:noWrap w:val="false"/>
          </w:tcPr>
          <w:p>
            <w:pPr>
              <w:pBdr/>
              <w:spacing w:after="40" w:before="40" w:line="288" w:lineRule="auto"/>
              <w:ind/>
              <w:contextualSpacing w:val="true"/>
              <w:rPr>
                <w:bCs/>
                <w:color w:val="000000" w:themeColor="text1"/>
              </w:rPr>
            </w:pPr>
            <w:r>
              <w:rPr>
                <w:color w:val="000000" w:themeColor="text1"/>
                <w:lang w:val="vi-VN"/>
              </w:rPr>
            </w:r>
            <w:r>
              <w:rPr>
                <w:color w:val="000000" w:themeColor="text1"/>
                <w:lang w:val="vi-VN"/>
              </w:rPr>
              <w:t xml:space="preserve">Thôn Rùa Hạ, Xã Tam Hưng, Thành phố Hà Nội</w:t>
            </w:r>
            <w:r>
              <w:rPr>
                <w:bCs/>
                <w:color w:val="000000" w:themeColor="text1"/>
              </w:rPr>
            </w:r>
            <w:r>
              <w:rPr>
                <w:bCs/>
                <w:color w:val="000000" w:themeColor="text1"/>
              </w:rPr>
            </w:r>
          </w:p>
        </w:tc>
      </w:tr>
      <w:tr>
        <w:trPr>
          <w:trHeight w:val="20"/>
        </w:trPr>
        <w:tc>
          <w:tcPr>
            <w:tcBorders/>
            <w:tcW w:w="2518" w:type="dxa"/>
            <w:vAlign w:val="center"/>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Đại </w:t>
            </w:r>
            <w:r>
              <w:rPr>
                <w:bCs/>
                <w:color w:val="000000" w:themeColor="text1"/>
                <w:lang w:val="pt-BR"/>
              </w:rPr>
              <w:t xml:space="preserve">diện</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88" w:lineRule="auto"/>
              <w:ind/>
              <w:contextualSpacing w:val="true"/>
              <w:rPr>
                <w:b/>
                <w:bCs/>
                <w:color w:val="000000" w:themeColor="text1"/>
              </w:rPr>
            </w:pPr>
            <w:r>
              <w:rPr>
                <w:color w:val="000000" w:themeColor="text1"/>
                <w:lang w:val="vi-VN"/>
              </w:rPr>
            </w:r>
            <w:r>
              <w:rPr>
                <w:b/>
                <w:bCs/>
                <w:color w:val="000000" w:themeColor="text1"/>
                <w:lang w:val="vi-VN"/>
              </w:rPr>
              <w:t xml:space="preserve">Ông Nguyễn Văn Huy</w:t>
            </w:r>
            <w:r>
              <w:rPr>
                <w:b/>
                <w:bCs/>
                <w:color w:val="000000" w:themeColor="text1"/>
              </w:rPr>
            </w:r>
            <w:r>
              <w:rPr>
                <w:b/>
                <w:bCs/>
                <w:color w:val="000000" w:themeColor="text1"/>
              </w:rPr>
            </w:r>
          </w:p>
        </w:tc>
      </w:tr>
      <w:tr>
        <w:trPr>
          <w:trHeight w:val="20"/>
        </w:trPr>
        <w:tc>
          <w:tcPr>
            <w:tcBorders/>
            <w:tcW w:w="2518" w:type="dxa"/>
            <w:vAlign w:val="center"/>
            <w:vMerge w:val="restart"/>
            <w:textDirection w:val="lrTb"/>
            <w:noWrap w:val="false"/>
          </w:tcPr>
          <w:p>
            <w:pPr>
              <w:pBdr/>
              <w:spacing w:after="40" w:before="40" w:line="288" w:lineRule="auto"/>
              <w:ind/>
              <w:contextualSpacing w:val="true"/>
              <w:jc w:val="both"/>
              <w:rPr>
                <w:bCs/>
                <w:color w:val="000000" w:themeColor="text1"/>
                <w:lang w:val="pt-BR"/>
              </w:rPr>
            </w:pPr>
            <w:r>
              <w:rPr>
                <w:bCs/>
                <w:color w:val="000000" w:themeColor="text1"/>
                <w:lang w:val="pt-BR"/>
              </w:rPr>
              <w:t xml:space="preserve">Chức </w:t>
            </w:r>
            <w:r>
              <w:rPr>
                <w:bCs/>
                <w:color w:val="000000" w:themeColor="text1"/>
                <w:lang w:val="pt-BR"/>
              </w:rPr>
              <w:t xml:space="preserve">vụ</w:t>
            </w:r>
            <w:r>
              <w:rPr>
                <w:bCs/>
                <w:color w:val="000000" w:themeColor="text1"/>
                <w:lang w:val="pt-BR"/>
              </w:rPr>
            </w:r>
            <w:r>
              <w:rPr>
                <w:bCs/>
                <w:color w:val="000000" w:themeColor="text1"/>
                <w:lang w:val="pt-BR"/>
              </w:rPr>
            </w:r>
          </w:p>
        </w:tc>
        <w:tc>
          <w:tcPr>
            <w:tcBorders/>
            <w:tcW w:w="284" w:type="dxa"/>
            <w:vAlign w:val="center"/>
            <w:vMerge w:val="restart"/>
            <w:textDirection w:val="lrTb"/>
            <w:noWrap w:val="false"/>
          </w:tcPr>
          <w:p>
            <w:pPr>
              <w:pBdr/>
              <w:spacing w:after="40" w:before="40" w:line="288" w:lineRule="auto"/>
              <w:ind/>
              <w:contextualSpacing w:val="true"/>
              <w:jc w:val="center"/>
              <w:rPr>
                <w:bCs/>
                <w:color w:val="000000" w:themeColor="text1"/>
                <w:lang w:val="pt-BR"/>
              </w:rPr>
            </w:pPr>
            <w:r>
              <w:rPr>
                <w:bCs/>
                <w:color w:val="000000" w:themeColor="text1"/>
                <w:lang w:val="pt-BR"/>
              </w:rPr>
              <w:t xml:space="preserve">:</w:t>
            </w:r>
            <w:r>
              <w:rPr>
                <w:bCs/>
                <w:color w:val="000000" w:themeColor="text1"/>
                <w:lang w:val="pt-BR"/>
              </w:rPr>
            </w:r>
            <w:r>
              <w:rPr>
                <w:bCs/>
                <w:color w:val="000000" w:themeColor="text1"/>
                <w:lang w:val="pt-BR"/>
              </w:rPr>
            </w:r>
          </w:p>
        </w:tc>
        <w:tc>
          <w:tcPr>
            <w:tcBorders/>
            <w:tcW w:w="6945" w:type="dxa"/>
            <w:vAlign w:val="center"/>
            <w:vMerge w:val="restart"/>
            <w:textDirection w:val="lrTb"/>
            <w:noWrap w:val="false"/>
          </w:tcPr>
          <w:p>
            <w:pPr>
              <w:pBdr/>
              <w:spacing w:after="40" w:before="40" w:line="288" w:lineRule="auto"/>
              <w:ind/>
              <w:contextualSpacing w:val="true"/>
              <w:rPr>
                <w:b/>
                <w:bCs/>
                <w:color w:val="000000" w:themeColor="text1"/>
              </w:rPr>
            </w:pPr>
            <w:r>
              <w:rPr>
                <w:b/>
                <w:bCs/>
                <w:color w:val="000000" w:themeColor="text1"/>
                <w:lang w:val="vi-VN"/>
              </w:rPr>
              <w:t xml:space="preserve">Giám </w:t>
            </w:r>
            <w:r>
              <w:rPr>
                <w:b/>
                <w:bCs/>
                <w:color w:val="000000" w:themeColor="text1"/>
                <w:lang w:val="vi-VN"/>
              </w:rPr>
              <w:t xml:space="preserve">đốc</w:t>
            </w:r>
            <w:r>
              <w:rPr>
                <w:b/>
                <w:bCs/>
                <w:color w:val="000000" w:themeColor="text1"/>
              </w:rPr>
            </w:r>
            <w:r>
              <w:rPr>
                <w:b/>
                <w:bCs/>
                <w:color w:val="000000" w:themeColor="text1"/>
              </w:rPr>
            </w:r>
          </w:p>
        </w:tc>
      </w:tr>
      <w:tr>
        <w:trPr>
          <w:trHeight w:val="20"/>
        </w:trPr>
        <w:tc>
          <w:tcPr>
            <w:tcBorders/>
            <w:tcW w:w="2518" w:type="dxa"/>
            <w:vAlign w:val="center"/>
            <w:vMerge w:val="restart"/>
            <w:textDirection w:val="lrTb"/>
            <w:noWrap w:val="false"/>
          </w:tcPr>
          <w:p>
            <w:pPr>
              <w:pBdr/>
              <w:spacing w:after="60" w:before="60" w:line="276" w:lineRule="auto"/>
              <w:ind/>
              <w:rPr>
                <w:bCs/>
                <w:color w:val="000000" w:themeColor="text1"/>
                <w:lang w:val="pt-BR"/>
              </w:rPr>
            </w:pPr>
            <w:r>
              <w:rPr>
                <w:bCs/>
                <w:color w:val="000000" w:themeColor="text1"/>
                <w:lang w:val="pt-BR"/>
              </w:rPr>
            </w:r>
            <w:r>
              <w:rPr>
                <w:bCs/>
                <w:color w:val="000000" w:themeColor="text1"/>
                <w:lang w:val="pt-BR"/>
              </w:rPr>
            </w:r>
            <w:r>
              <w:rPr>
                <w:bCs/>
                <w:color w:val="000000" w:themeColor="text1"/>
                <w:lang w:val="pt-BR"/>
              </w:rPr>
            </w:r>
          </w:p>
        </w:tc>
        <w:tc>
          <w:tcPr>
            <w:tcBorders/>
            <w:tcW w:w="284" w:type="dxa"/>
            <w:vAlign w:val="center"/>
            <w:vMerge w:val="restart"/>
            <w:textDirection w:val="lrTb"/>
            <w:noWrap w:val="false"/>
          </w:tcPr>
          <w:p>
            <w:pPr>
              <w:pStyle w:val="1043"/>
              <w:pBdr/>
              <w:spacing w:after="60" w:before="60" w:line="276" w:lineRule="auto"/>
              <w:ind w:left="0"/>
              <w:rPr>
                <w:bCs/>
                <w:lang w:val="pt-BR"/>
              </w:rPr>
            </w:pPr>
            <w:r>
              <w:rPr>
                <w:bCs/>
                <w:lang w:val="pt-BR"/>
              </w:rPr>
            </w:r>
            <w:r>
              <w:rPr>
                <w:bCs/>
                <w:lang w:val="pt-BR"/>
              </w:rPr>
            </w:r>
            <w:r>
              <w:rPr>
                <w:bCs/>
                <w:lang w:val="pt-BR"/>
              </w:rPr>
            </w:r>
          </w:p>
        </w:tc>
        <w:tc>
          <w:tcPr>
            <w:tcBorders/>
            <w:tcW w:w="6945" w:type="dxa"/>
            <w:vAlign w:val="center"/>
            <w:vMerge w:val="restart"/>
            <w:textDirection w:val="lrTb"/>
            <w:noWrap w:val="false"/>
          </w:tcPr>
          <w:p>
            <w:pPr>
              <w:pBdr/>
              <w:spacing w:after="60" w:before="60" w:line="276" w:lineRule="auto"/>
              <w:ind/>
              <w:rPr>
                <w:color w:val="000000" w:themeColor="text1"/>
                <w:lang w:val="vi-VN"/>
              </w:rPr>
            </w:pPr>
            <w:r>
              <w:rPr>
                <w:color w:val="000000" w:themeColor="text1"/>
                <w:lang w:val="vi-VN"/>
              </w:rPr>
            </w:r>
            <w:r>
              <w:rPr>
                <w:color w:val="000000" w:themeColor="text1"/>
                <w:lang w:val="vi-VN"/>
              </w:rPr>
            </w:r>
            <w:r>
              <w:rPr>
                <w:color w:val="000000" w:themeColor="text1"/>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tại thửa số: 494 (tách từ thửa 310), tờ bản đồ số: 04, tỷ lệ 1/1000 xã Thanh Thùy đất có địa chỉ: thôn Rùa Hạ, xã Thanh Thùy, huyện Thanh Oai, Thành phố Hà Nội</w:t>
            </w:r>
            <w:r>
              <w:rPr>
                <w:bCs/>
                <w:i/>
                <w:iCs/>
                <w:color w:val="000000" w:themeColor="text1"/>
                <w:lang w:val="pt-BR"/>
              </w:rPr>
              <w:t xml:space="preserve"> (nay l</w:t>
            </w:r>
            <w:r>
              <w:rPr>
                <w:bCs/>
                <w:i/>
                <w:iCs/>
                <w:color w:val="000000" w:themeColor="text1"/>
                <w:lang w:val="pt-BR"/>
              </w:rPr>
              <w:t xml:space="preserve">à xã Tam Hưng, Thành phố Hà Nội)</w:t>
            </w:r>
            <w:r>
              <w:rPr>
                <w:bCs/>
                <w:color w:val="000000" w:themeColor="text1"/>
                <w:lang w:val="pt-BR"/>
              </w:rPr>
              <w:t xml:space="preserve"> theo Giấy chứng nhận quyền sử dụng đất quyền sở hữu nhà ở và tài sản khác gắn liền với đất số: BS 055205, số vào sổ cấp GCN: CH 00430 TT/TO do UBND Huyện Thanh Oai cấp ngày 03/3/2014; Chủ sử dụng đất là ông Nguyễn Văn Hanh.</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09/2026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bCs/>
                <w:color w:val="000000" w:themeColor="text1"/>
                <w:lang w:val="pt-BR"/>
              </w:rPr>
              <w:t xml:space="preserve"> </w:t>
            </w:r>
            <w:r>
              <w:rPr>
                <w:bCs/>
                <w:color w:val="000000" w:themeColor="text1"/>
                <w:lang w:val="pt-BR"/>
              </w:rPr>
              <w:t xml:space="preserve">T</w:t>
            </w:r>
            <w:r>
              <w:rPr>
                <w:bCs/>
                <w:color w:val="000000" w:themeColor="text1"/>
                <w:lang w:val="pt-BR"/>
              </w:rPr>
              <w:t xml:space="preserve">hôn Rùa Hạ, xã Thanh Thùy, huyện Thanh Oai, Thành phố Hà Nội</w:t>
            </w:r>
            <w:r>
              <w:rPr>
                <w:bCs/>
                <w:i/>
                <w:iCs/>
                <w:color w:val="000000" w:themeColor="text1"/>
                <w:lang w:val="pt-BR"/>
              </w:rPr>
              <w:t xml:space="preserve"> (nay l</w:t>
            </w:r>
            <w:r>
              <w:rPr>
                <w:bCs/>
                <w:i/>
                <w:iCs/>
                <w:color w:val="000000" w:themeColor="text1"/>
                <w:lang w:val="pt-BR"/>
              </w:rPr>
              <w:t xml:space="preserve">à xã Tam Hưng,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23"/>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20.8735, 105.80988888889</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4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Ngày </w:t>
            </w:r>
            <w:r>
              <w:rPr>
                <w:lang w:val="pt-BR"/>
              </w:rPr>
              <w:t xml:space="preserve">10/</w:t>
            </w:r>
            <w:r>
              <w:rPr>
                <w:lang w:val="pt-BR"/>
              </w:rPr>
              <w:t xml:space="preserve">09/2026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43"/>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43"/>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43"/>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43"/>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43"/>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43"/>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43"/>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43"/>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43"/>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43"/>
        <w:numPr>
          <w:ilvl w:val="0"/>
          <w:numId w:val="1"/>
        </w:numPr>
        <w:pBdr/>
        <w:spacing w:after="120" w:before="120" w:line="276" w:lineRule="auto"/>
        <w:ind/>
        <w:jc w:val="both"/>
        <w:rPr>
          <w:bCs/>
          <w:spacing w:val="-4"/>
          <w:lang w:val="pt-BR"/>
        </w:rPr>
      </w:pPr>
      <w:r>
        <w:rPr>
          <w:bCs/>
          <w:spacing w:val="-4"/>
          <w:lang w:val="pt-BR"/>
        </w:rPr>
        <w:t xml:space="preserve">Quyết định số 4</w:t>
      </w:r>
      <w:r>
        <w:rPr>
          <w:bCs/>
          <w:spacing w:val="-4"/>
          <w:lang w:val="pt-BR"/>
        </w:rPr>
        <w:t xml:space="preserve">2</w:t>
      </w:r>
      <w:r>
        <w:rPr>
          <w:bCs/>
          <w:spacing w:val="-4"/>
          <w:lang w:val="pt-BR"/>
        </w:rPr>
        <w:t xml:space="preserve">5</w:t>
      </w:r>
      <w:r>
        <w:rPr>
          <w:bCs/>
          <w:spacing w:val="-4"/>
          <w:lang w:val="pt-BR"/>
        </w:rPr>
        <w:t xml:space="preserve">/QĐ-BXD ngày </w:t>
      </w:r>
      <w:r>
        <w:rPr>
          <w:bCs/>
          <w:spacing w:val="-4"/>
          <w:lang w:val="pt-BR"/>
        </w:rPr>
        <w:t xml:space="preserve">30</w:t>
      </w:r>
      <w:r>
        <w:rPr>
          <w:bCs/>
          <w:spacing w:val="-4"/>
          <w:lang w:val="pt-BR"/>
        </w:rPr>
        <w:t xml:space="preserve">/</w:t>
      </w:r>
      <w:r>
        <w:rPr>
          <w:bCs/>
          <w:spacing w:val="-4"/>
          <w:lang w:val="pt-BR"/>
        </w:rPr>
        <w:t xml:space="preserve">3</w:t>
      </w:r>
      <w:r>
        <w:rPr>
          <w:bCs/>
          <w:spacing w:val="-4"/>
          <w:lang w:val="pt-BR"/>
        </w:rPr>
        <w:t xml:space="preserve">/202</w:t>
      </w:r>
      <w:r>
        <w:rPr>
          <w:bCs/>
          <w:spacing w:val="-4"/>
          <w:lang w:val="pt-BR"/>
        </w:rPr>
        <w:t xml:space="preserve">6</w:t>
      </w:r>
      <w:r>
        <w:rPr>
          <w:bCs/>
          <w:spacing w:val="-4"/>
          <w:lang w:val="pt-BR"/>
        </w:rPr>
        <w:t xml:space="preserve"> của Bộ Xây dựng về việc Công bố suất vốn đầu tư xây dựng công trình và giá xây dựng tổng hợp bộ phận kết cấu công trình năm 202</w:t>
      </w:r>
      <w:r>
        <w:rPr>
          <w:bCs/>
          <w:spacing w:val="-4"/>
          <w:lang w:val="pt-BR"/>
        </w:rPr>
        <w:t xml:space="preserve">5</w:t>
      </w:r>
      <w:r>
        <w:rPr>
          <w:bCs/>
          <w:spacing w:val="-4"/>
          <w:lang w:val="pt-BR"/>
        </w:rPr>
        <w:t xml:space="preserve">;</w:t>
      </w:r>
      <w:r>
        <w:rPr>
          <w:bCs/>
          <w:spacing w:val="-4"/>
          <w:lang w:val="pt-BR"/>
        </w:rPr>
      </w:r>
      <w:r>
        <w:rPr>
          <w:bCs/>
          <w:spacing w:val="-4"/>
          <w:lang w:val="pt-BR"/>
        </w:rPr>
      </w:r>
    </w:p>
    <w:p>
      <w:pPr>
        <w:pStyle w:val="1043"/>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43"/>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43"/>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43"/>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43"/>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dụng đất quyền sở hữu nhà ở và tài sản khác gắn liền với đất số: BS 055205, số vào sổ cấp GCN: CH 00430 TT/TO do UBND Huyện Thanh Oai cấp ngày 03/3/2014; Chủ sử dụng đất là ông Nguyễn Văn Hanh.</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43"/>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275/2026/1460/VFI-HĐTĐ.T02.A ngày 10/09/2026 giữa </w:t>
      </w:r>
      <w:r>
        <w:rPr>
          <w:color w:val="000000" w:themeColor="text1"/>
          <w:lang w:val="pt-BR"/>
        </w:rPr>
        <w:t xml:space="preserve">Công </w:t>
      </w:r>
      <w:r>
        <w:rPr>
          <w:color w:val="000000" w:themeColor="text1"/>
          <w:lang w:val="pt-BR"/>
        </w:rPr>
        <w:t xml:space="preserve">ty </w:t>
      </w:r>
      <w:r>
        <w:rPr>
          <w:color w:val="000000" w:themeColor="text1"/>
          <w:lang w:val="pt-BR"/>
        </w:rPr>
        <w:t xml:space="preserve">TNHH </w:t>
      </w:r>
      <w:r>
        <w:rPr>
          <w:color w:val="000000" w:themeColor="text1"/>
          <w:lang w:val="pt-BR"/>
        </w:rPr>
        <w:t xml:space="preserve">Cơ </w:t>
      </w:r>
      <w:r>
        <w:rPr>
          <w:color w:val="000000" w:themeColor="text1"/>
          <w:lang w:val="pt-BR"/>
        </w:rPr>
        <w:t xml:space="preserve">Khí </w:t>
      </w:r>
      <w:r>
        <w:rPr>
          <w:color w:val="000000" w:themeColor="text1"/>
          <w:lang w:val="pt-BR"/>
        </w:rPr>
        <w:t xml:space="preserve">Thương </w:t>
      </w:r>
      <w:r>
        <w:rPr>
          <w:color w:val="000000" w:themeColor="text1"/>
          <w:lang w:val="pt-BR"/>
        </w:rPr>
        <w:t xml:space="preserve">Mại </w:t>
      </w:r>
      <w:r>
        <w:rPr>
          <w:color w:val="000000" w:themeColor="text1"/>
          <w:lang w:val="pt-BR"/>
        </w:rPr>
        <w:t xml:space="preserve">Đại </w:t>
      </w:r>
      <w:r>
        <w:rPr>
          <w:color w:val="000000" w:themeColor="text1"/>
          <w:lang w:val="pt-BR"/>
        </w:rPr>
        <w:t xml:space="preserve">Nam</w:t>
      </w:r>
      <w:r>
        <w:rPr>
          <w:color w:val="000000" w:themeColor="text1"/>
          <w:lang w:val="pt-BR"/>
        </w:rPr>
        <w:t xml:space="preserve"> với Công ty Cổ phần Thẩm định và Đầu tư Tài chính Hoa Sen.</w:t>
      </w:r>
      <w:r>
        <w:rPr>
          <w:b/>
          <w:lang w:val="pt-BR"/>
        </w:rPr>
      </w:r>
      <w:r>
        <w:rPr>
          <w:b/>
          <w:lang w:val="pt-BR"/>
        </w:rPr>
      </w:r>
    </w:p>
    <w:p>
      <w:pPr>
        <w:pStyle w:val="1043"/>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op w:val="none" w:color="000000" w:sz="4" w:space="0"/>
          <w:left w:val="none" w:color="000000" w:sz="4" w:space="0"/>
          <w:bottom w:val="none" w:color="000000" w:sz="4" w:space="0"/>
          <w:right w:val="none" w:color="000000" w:sz="4" w:space="0"/>
        </w:pBdr>
        <w:shd w:val="clear" w:color="ffffff" w:fill="ffffff"/>
        <w:spacing w:after="195" w:line="375" w:lineRule="atLeast"/>
        <w:ind w:right="0" w:firstLine="0" w:left="0"/>
        <w:jc w:val="both"/>
        <w:rPr/>
      </w:pPr>
      <w:r>
        <w:rPr>
          <w:lang w:val="pt-BR"/>
        </w:rPr>
        <w:tab/>
      </w:r>
      <w:r>
        <w:rPr>
          <w:rFonts w:ascii="Times New Roman" w:hAnsi="Times New Roman" w:eastAsia="Times New Roman" w:cs="Times New Roman"/>
          <w:color w:val="000000"/>
          <w:sz w:val="24"/>
        </w:rPr>
        <w:tab/>
      </w:r>
      <w:r>
        <w:rPr>
          <w:rFonts w:ascii="Times New Roman" w:hAnsi="Times New Roman" w:eastAsia="Times New Roman" w:cs="Times New Roman"/>
          <w:color w:val="252525"/>
          <w:sz w:val="24"/>
        </w:rPr>
        <w:t xml:space="preserve">Thanh Oai là một huyện cũ nằm ở cửa ngõ phía Tây Nam Hà Nội. Sau khi thành phố sắp xếp các đơn vị hành chính, ngày nay khu vực này thuộc địa phận 4 xã gồm Thanh Oai, Bình Minh, Tam Hưng và Dân Hoà.</w:t>
      </w:r>
      <w:r/>
    </w:p>
    <w:p>
      <w:pPr>
        <w:pBdr>
          <w:top w:val="none" w:color="000000" w:sz="4" w:space="0"/>
          <w:left w:val="none" w:color="000000" w:sz="4" w:space="0"/>
          <w:bottom w:val="none" w:color="000000" w:sz="4" w:space="0"/>
          <w:right w:val="none" w:color="000000" w:sz="4" w:space="0"/>
        </w:pBdr>
        <w:shd w:val="clear" w:color="ffffff" w:fill="ffffff"/>
        <w:spacing w:after="195" w:line="375" w:lineRule="atLeast"/>
        <w:ind w:right="0" w:firstLine="0" w:left="0"/>
        <w:jc w:val="both"/>
        <w:rPr/>
      </w:pPr>
      <w:r>
        <w:rPr>
          <w:rFonts w:ascii="Times New Roman" w:hAnsi="Times New Roman" w:eastAsia="Times New Roman" w:cs="Times New Roman"/>
          <w:color w:val="252525"/>
          <w:sz w:val="24"/>
        </w:rPr>
        <w:t xml:space="preserve">Cách đây khoảng 2 năm, bất động sản Thanh Oai từng trở thành tâm điểm trên thị trường Hà Nội khi lên cơn sốt. Phiên đấu giá 68 thửa đất thuộc khu Ngõ Ba, thôn Thanh Thần, xã Thanh Cao cũ (nay là xã Bình Minh) diễn ra vào tháng 8/2024 có giá khởi điểm từ 8,</w:t>
      </w:r>
      <w:r>
        <w:rPr>
          <w:rFonts w:ascii="Times New Roman" w:hAnsi="Times New Roman" w:eastAsia="Times New Roman" w:cs="Times New Roman"/>
          <w:color w:val="252525"/>
          <w:sz w:val="24"/>
        </w:rPr>
        <w:t xml:space="preserve">6 - 12,5 triệu/m2, song kết quả ghi nhận giá trúng cao nhất vượt mức 100 triệu/m2.</w:t>
      </w:r>
      <w:r/>
    </w:p>
    <w:p>
      <w:pPr>
        <w:pBdr>
          <w:top w:val="none" w:color="000000" w:sz="4" w:space="0"/>
          <w:left w:val="none" w:color="000000" w:sz="4" w:space="0"/>
          <w:bottom w:val="none" w:color="000000" w:sz="4" w:space="0"/>
          <w:right w:val="none" w:color="000000" w:sz="4" w:space="0"/>
        </w:pBdr>
        <w:shd w:val="clear" w:color="ffffff" w:fill="ffffff"/>
        <w:spacing w:after="195" w:line="375" w:lineRule="atLeast"/>
        <w:ind w:right="0" w:firstLine="0" w:left="0"/>
        <w:jc w:val="both"/>
        <w:rPr/>
      </w:pPr>
      <w:r>
        <w:rPr>
          <w:rFonts w:ascii="Times New Roman" w:hAnsi="Times New Roman" w:eastAsia="Times New Roman" w:cs="Times New Roman"/>
          <w:color w:val="252525"/>
          <w:sz w:val="24"/>
        </w:rPr>
        <w:t xml:space="preserve">Thời điểm đó, Hội Môi giới Bất động sản Việt Nam (VARS) từng nhận định, việc giá đất tại vị trí có cơ sở hạ tầng, tiện ích không nổi bật, ở một địa phương vùng ven sở hữu tiềm năng tăng giá ở mức bình thường, lên tới hơn 100 triệu/m2, ngang bằng với giá đấ</w:t>
      </w:r>
      <w:r>
        <w:rPr>
          <w:rFonts w:ascii="Times New Roman" w:hAnsi="Times New Roman" w:eastAsia="Times New Roman" w:cs="Times New Roman"/>
          <w:color w:val="252525"/>
          <w:sz w:val="24"/>
        </w:rPr>
        <w:t xml:space="preserve">t nền tại các khu đô thị, khu vực đông dân cư là bất bình thường, vượt xa giá trị thực tế, là kết quả của các mục đích không lành mạnh.</w:t>
      </w:r>
      <w:r/>
    </w:p>
    <w:p>
      <w:pPr>
        <w:pBdr>
          <w:top w:val="none" w:color="000000" w:sz="4" w:space="0"/>
          <w:left w:val="none" w:color="000000" w:sz="4" w:space="0"/>
          <w:bottom w:val="none" w:color="000000" w:sz="4" w:space="0"/>
          <w:right w:val="none" w:color="000000" w:sz="4" w:space="0"/>
        </w:pBdr>
        <w:shd w:val="clear" w:color="ffffff" w:fill="ffffff"/>
        <w:spacing w:after="195" w:line="375" w:lineRule="atLeast"/>
        <w:ind w:right="0" w:firstLine="0" w:left="0"/>
        <w:jc w:val="both"/>
        <w:rPr/>
      </w:pPr>
      <w:r>
        <w:rPr>
          <w:rFonts w:ascii="Times New Roman" w:hAnsi="Times New Roman" w:eastAsia="Times New Roman" w:cs="Times New Roman"/>
          <w:color w:val="252525"/>
          <w:sz w:val="24"/>
        </w:rPr>
        <w:t xml:space="preserve">Nhiều nhà đầu tư tham gia phiên chợ đất này là những người có nghề đấu giá. Họ thường tham gia với mục đích đơn giản là lướt sóng, mua bán sang tay ngay để kiếm lời và sẵn sàng bỏ cọc. Hoặc có thể với mục đích nguy hiểm hơn là tạo sốt đất ảo, lợi dụng việc</w:t>
      </w:r>
      <w:r>
        <w:rPr>
          <w:rFonts w:ascii="Times New Roman" w:hAnsi="Times New Roman" w:eastAsia="Times New Roman" w:cs="Times New Roman"/>
          <w:color w:val="252525"/>
          <w:sz w:val="24"/>
        </w:rPr>
        <w:t xml:space="preserve"> đặt cọc đấu giá nhằm mục đích thổi giá các khu đất liên quan.</w:t>
      </w:r>
      <w:r/>
    </w:p>
    <w:p>
      <w:pPr>
        <w:pBdr>
          <w:top w:val="none" w:color="000000" w:sz="4" w:space="0"/>
          <w:left w:val="none" w:color="000000" w:sz="4" w:space="0"/>
          <w:bottom w:val="none" w:color="000000" w:sz="4" w:space="0"/>
          <w:right w:val="none" w:color="000000" w:sz="4" w:space="0"/>
        </w:pBdr>
        <w:shd w:val="clear" w:color="ffffff" w:fill="ffffff"/>
        <w:spacing w:after="195" w:line="375" w:lineRule="atLeast"/>
        <w:ind w:right="0" w:firstLine="0" w:left="0"/>
        <w:jc w:val="both"/>
        <w:rPr/>
      </w:pPr>
      <w:r>
        <w:rPr>
          <w:rFonts w:ascii="Times New Roman" w:hAnsi="Times New Roman" w:eastAsia="Times New Roman" w:cs="Times New Roman"/>
          <w:color w:val="252525"/>
          <w:sz w:val="24"/>
        </w:rPr>
        <w:t xml:space="preserve">Sau sự kiện này, hiệu ứng sốt đất đấu giá tiếp tục lan tỏa ra nhiều khu vực vùng ven khác của Hà Nội như Hoài Đức, Thạch Thất, Sóc Sơn… Trước khi dần hạ nhiệt vào những tháng cuối 2024.</w:t>
      </w:r>
      <w:r/>
    </w:p>
    <w:p>
      <w:pPr>
        <w:pBdr>
          <w:top w:val="none" w:color="000000" w:sz="4" w:space="0"/>
          <w:left w:val="none" w:color="000000" w:sz="4" w:space="0"/>
          <w:bottom w:val="none" w:color="000000" w:sz="4" w:space="0"/>
          <w:right w:val="none" w:color="000000" w:sz="4" w:space="0"/>
        </w:pBdr>
        <w:shd w:val="clear" w:color="ffffff" w:fill="ffffff"/>
        <w:spacing w:after="195" w:line="375" w:lineRule="atLeast"/>
        <w:ind w:right="0" w:firstLine="0" w:left="0"/>
        <w:jc w:val="both"/>
        <w:rPr/>
      </w:pPr>
      <w:r>
        <w:rPr>
          <w:rFonts w:ascii="Times New Roman" w:hAnsi="Times New Roman" w:eastAsia="Times New Roman" w:cs="Times New Roman"/>
          <w:color w:val="252525"/>
          <w:sz w:val="24"/>
        </w:rPr>
        <w:t xml:space="preserve">Sang năm 2025, khu vực Thanh Oai cũ liên tục đón nhiều ông lớn kéo về. Ông Lê Thanh Thản - Chủ tịch Tập đoàn Mường Thanh đã cam kết đẩy nhanh tiến độ Khu đô thị Mỹ Hưng ở xã Tam Hưng (182 ha).</w:t>
      </w:r>
      <w:r/>
    </w:p>
    <w:p>
      <w:pPr>
        <w:pBdr>
          <w:top w:val="none" w:color="000000" w:sz="4" w:space="0"/>
          <w:left w:val="none" w:color="000000" w:sz="4" w:space="0"/>
          <w:bottom w:val="none" w:color="000000" w:sz="4" w:space="0"/>
          <w:right w:val="none" w:color="000000" w:sz="4" w:space="0"/>
        </w:pBdr>
        <w:shd w:val="clear" w:color="ffffff" w:fill="ffffff"/>
        <w:spacing w:after="195" w:line="375" w:lineRule="atLeast"/>
        <w:ind w:right="0" w:firstLine="0" w:left="0"/>
        <w:jc w:val="both"/>
        <w:rPr/>
      </w:pPr>
      <w:r>
        <w:rPr>
          <w:rFonts w:ascii="Times New Roman" w:hAnsi="Times New Roman" w:eastAsia="Times New Roman" w:cs="Times New Roman"/>
          <w:color w:val="252525"/>
          <w:sz w:val="24"/>
        </w:rPr>
        <w:t xml:space="preserve">Tập đoàn Ecopark cũng đến làm việc với UBND xã Tam Hưng vào năm ngoái và đánh giá đây là vùng đất hội tụ đầy đủ các yếu tố để trở thành điểm đến đầu tư hấp dẫn, đủ điều kiện để được đề xuất triển khai các dự án lớn.</w:t>
      </w:r>
      <w:r/>
    </w:p>
    <w:p>
      <w:pPr>
        <w:pBdr>
          <w:top w:val="none" w:color="000000" w:sz="4" w:space="0"/>
          <w:left w:val="none" w:color="000000" w:sz="4" w:space="0"/>
          <w:bottom w:val="none" w:color="000000" w:sz="4" w:space="0"/>
          <w:right w:val="none" w:color="000000" w:sz="4" w:space="0"/>
        </w:pBdr>
        <w:shd w:val="clear" w:color="ffffff" w:fill="ffffff"/>
        <w:spacing w:after="195" w:line="375" w:lineRule="atLeast"/>
        <w:ind w:right="0" w:firstLine="0" w:left="0"/>
        <w:jc w:val="both"/>
        <w:rPr/>
      </w:pPr>
      <w:r>
        <w:rPr>
          <w:rFonts w:ascii="Times New Roman" w:hAnsi="Times New Roman" w:eastAsia="Times New Roman" w:cs="Times New Roman"/>
          <w:color w:val="252525"/>
          <w:sz w:val="24"/>
        </w:rPr>
        <w:t xml:space="preserve">Tháng 4/2025, Tập đoàn HDMon đã đề xuất làm Khu đô thị sinh thái kết hợp sân golf ven sông Đáy với tổng vốn khoảng 10.000 tỷ. Quy mô dự án gần 292 ha, thuộc thị trấn Kim Bài và các xã Kim An, Kim Thư của huyện Thanh Oai cũ.</w:t>
      </w:r>
      <w:r/>
    </w:p>
    <w:p>
      <w:pPr>
        <w:pBdr>
          <w:top w:val="none" w:color="000000" w:sz="4" w:space="0"/>
          <w:left w:val="none" w:color="000000" w:sz="4" w:space="0"/>
          <w:bottom w:val="none" w:color="000000" w:sz="4" w:space="0"/>
          <w:right w:val="none" w:color="000000" w:sz="4" w:space="0"/>
        </w:pBdr>
        <w:shd w:val="clear" w:color="ffffff" w:fill="ffffff"/>
        <w:spacing w:after="195" w:line="375" w:lineRule="atLeast"/>
        <w:ind w:right="0" w:firstLine="0" w:left="0"/>
        <w:jc w:val="both"/>
        <w:rPr/>
      </w:pPr>
      <w:r>
        <w:rPr>
          <w:rFonts w:ascii="Times New Roman" w:hAnsi="Times New Roman" w:eastAsia="Times New Roman" w:cs="Times New Roman"/>
          <w:color w:val="252525"/>
          <w:sz w:val="24"/>
        </w:rPr>
        <w:t xml:space="preserve">Tập đoàn Vingroup cũng đề xuất đầu tư khu đô thị mới quy mô khoảng 1.470 ha, thuộc địa bàn thị trấn Kim Bài và các xã Thanh Văn, Cao Viên, Kim An, Tam Hưng, Thanh Cao cũ. Đến tháng 7/2025, lãnh đạo doanh nghiệp đã đến xã Tam Hưng bàn về phương án nghiên cứ</w:t>
      </w:r>
      <w:r>
        <w:rPr>
          <w:rFonts w:ascii="Times New Roman" w:hAnsi="Times New Roman" w:eastAsia="Times New Roman" w:cs="Times New Roman"/>
          <w:color w:val="252525"/>
          <w:sz w:val="24"/>
        </w:rPr>
        <w:t xml:space="preserve">u lập quy hoạch phân khu phát triển khu đô thị mới trên địa bàn.</w:t>
      </w:r>
      <w:r/>
    </w:p>
    <w:p>
      <w:pPr>
        <w:pBdr>
          <w:top w:val="none" w:color="000000" w:sz="4" w:space="0"/>
          <w:left w:val="none" w:color="000000" w:sz="4" w:space="0"/>
          <w:bottom w:val="none" w:color="000000" w:sz="4" w:space="0"/>
          <w:right w:val="none" w:color="000000" w:sz="4" w:space="0"/>
        </w:pBdr>
        <w:shd w:val="clear" w:color="ffffff" w:fill="ffffff"/>
        <w:spacing w:after="195" w:line="375" w:lineRule="atLeast"/>
        <w:ind w:right="0" w:firstLine="0" w:left="0"/>
        <w:jc w:val="both"/>
        <w:rPr/>
      </w:pPr>
      <w:r>
        <w:rPr>
          <w:rFonts w:ascii="Times New Roman" w:hAnsi="Times New Roman" w:eastAsia="Times New Roman" w:cs="Times New Roman"/>
          <w:color w:val="252525"/>
          <w:sz w:val="24"/>
        </w:rPr>
        <w:t xml:space="preserve">Đầu năm nay, UBND TP Hà Nội đã phê duyệt kế hoạch phát triển nhà ở giai đoạn 2026 - 2030. Trong danh mục dự án có Khu đô thị tập trung phục vụ đa mục tiêu (tái định cư, giải phóng mặt bằng, phát triển nhà ở xã hội) tại các xã Bình Minh và Tam Hưng của CTCP</w:t>
      </w:r>
      <w:r>
        <w:rPr>
          <w:rFonts w:ascii="Times New Roman" w:hAnsi="Times New Roman" w:eastAsia="Times New Roman" w:cs="Times New Roman"/>
          <w:color w:val="252525"/>
          <w:sz w:val="24"/>
        </w:rPr>
        <w:t xml:space="preserve"> Vinhomes. Công trình dự kiến hoàn thành năm 2030, quy mô hơn 603 ha và tổng vốn 134.114 tỷ.</w:t>
      </w:r>
      <w:r/>
    </w:p>
    <w:p>
      <w:pPr>
        <w:pBdr>
          <w:top w:val="none" w:color="000000" w:sz="4" w:space="0"/>
          <w:left w:val="none" w:color="000000" w:sz="4" w:space="0"/>
          <w:bottom w:val="none" w:color="000000" w:sz="4" w:space="0"/>
          <w:right w:val="none" w:color="000000" w:sz="4" w:space="0"/>
        </w:pBdr>
        <w:shd w:val="clear" w:color="ffffff" w:fill="ffffff"/>
        <w:spacing w:after="195" w:line="375" w:lineRule="atLeast"/>
        <w:ind w:right="0" w:firstLine="0" w:left="0"/>
        <w:jc w:val="both"/>
        <w:rPr/>
      </w:pPr>
      <w:r>
        <w:rPr>
          <w:rFonts w:ascii="Times New Roman" w:hAnsi="Times New Roman" w:eastAsia="Times New Roman" w:cs="Times New Roman"/>
          <w:color w:val="252525"/>
          <w:sz w:val="24"/>
        </w:rPr>
        <w:t xml:space="preserve">Theo đánh giá của chị H., môi giới địa phương, hiện nay nếu sở hữu tài chính dưới 3 tỷ thì nhà đầu tư chỉ có thể tìm mua những lô đất thổ cư trong ngõ, còn nếu dưới 2 tỷ thì thậm chí rất khó giao dịch.</w:t>
      </w:r>
      <w:r/>
    </w:p>
    <w:p>
      <w:pPr>
        <w:pBdr>
          <w:top w:val="none" w:color="000000" w:sz="4" w:space="0"/>
          <w:left w:val="none" w:color="000000" w:sz="4" w:space="0"/>
          <w:bottom w:val="none" w:color="000000" w:sz="4" w:space="0"/>
          <w:right w:val="none" w:color="000000" w:sz="4" w:space="0"/>
        </w:pBdr>
        <w:shd w:val="clear" w:color="ffffff" w:fill="ffffff"/>
        <w:spacing w:after="195" w:line="375" w:lineRule="atLeast"/>
        <w:ind w:right="0" w:firstLine="0" w:left="0"/>
        <w:jc w:val="both"/>
        <w:rPr/>
      </w:pPr>
      <w:r>
        <w:rPr>
          <w:rFonts w:ascii="Times New Roman" w:hAnsi="Times New Roman" w:eastAsia="Times New Roman" w:cs="Times New Roman"/>
          <w:color w:val="252525"/>
          <w:sz w:val="24"/>
        </w:rPr>
        <w:t xml:space="preserve">Đất ngõ nhỏ trong dân ở Kim Bài dao động 50 - 60 triệu/m2, ở Thanh Cao hiện khoảng 2,5 - 3 tỷ/lô. Sang mạn Tam Hưng giá đất còn cao hơn khi nhiều lô trên 3 tỷ, những thửa đẹp giáp mặt đường giá từ 100 triệu/m2 trở lên.</w:t>
      </w:r>
      <w:r/>
    </w:p>
    <w:p>
      <w:pPr>
        <w:pBdr>
          <w:top w:val="none" w:color="000000" w:sz="4" w:space="0"/>
          <w:left w:val="none" w:color="000000" w:sz="4" w:space="0"/>
          <w:bottom w:val="none" w:color="000000" w:sz="4" w:space="0"/>
          <w:right w:val="none" w:color="000000" w:sz="4" w:space="0"/>
        </w:pBdr>
        <w:shd w:val="clear" w:color="ffffff" w:fill="ffffff"/>
        <w:spacing w:after="195" w:line="375" w:lineRule="atLeast"/>
        <w:ind w:right="0" w:firstLine="0" w:left="0"/>
        <w:jc w:val="both"/>
        <w:rPr/>
      </w:pPr>
      <w:r>
        <w:rPr>
          <w:rFonts w:ascii="Times New Roman" w:hAnsi="Times New Roman" w:eastAsia="Times New Roman" w:cs="Times New Roman"/>
          <w:color w:val="252525"/>
          <w:sz w:val="24"/>
        </w:rPr>
        <w:t xml:space="preserve">Với đất đấu giá, thị trường hầu như chỉ thu hút các nhà đầu tư vốn khoẻ tham gia với khả năng tài chính từ 5 - 8 tỷ. Tại Thanh Thần (khu vực từng ghi nhận giá trúng vượt 100 triệu/m2 vào năm 2024), hiện các lô mặt ngoài giáp đường nhựa được rao bán từ 120 </w:t>
      </w:r>
      <w:r>
        <w:rPr>
          <w:rFonts w:ascii="Times New Roman" w:hAnsi="Times New Roman" w:eastAsia="Times New Roman" w:cs="Times New Roman"/>
          <w:color w:val="252525"/>
          <w:sz w:val="24"/>
        </w:rPr>
        <w:t xml:space="preserve">- 130 triệu/m2, các lô mặt trong từ 80 triệu/m2.</w:t>
      </w:r>
      <w:r/>
    </w:p>
    <w:p>
      <w:pPr>
        <w:pBdr>
          <w:top w:val="none" w:color="000000" w:sz="4" w:space="0"/>
          <w:left w:val="none" w:color="000000" w:sz="4" w:space="0"/>
          <w:bottom w:val="none" w:color="000000" w:sz="4" w:space="0"/>
          <w:right w:val="none" w:color="000000" w:sz="4" w:space="0"/>
        </w:pBdr>
        <w:shd w:val="clear" w:color="ffffff" w:fill="ffffff"/>
        <w:spacing w:after="195" w:line="375" w:lineRule="atLeast"/>
        <w:ind w:right="0" w:firstLine="0" w:left="0"/>
        <w:jc w:val="both"/>
        <w:rPr/>
      </w:pPr>
      <w:r>
        <w:rPr>
          <w:rFonts w:ascii="Times New Roman" w:hAnsi="Times New Roman" w:eastAsia="Times New Roman" w:cs="Times New Roman"/>
          <w:color w:val="252525"/>
          <w:sz w:val="24"/>
        </w:rPr>
        <w:t xml:space="preserve">“Giá neo cao, song nhìn chung tình hình mua bán đang khá chậm. Tôi thấy nhiều người quan tâm, kéo đi xem đất nhưng giao dịch thực tế không nhiều. Từ sau Tết Nguyên đán, giá đất Thanh Oai hầu như đi ngang. Về phía người bán, họ nhìn thấy tiềm năng thị trườn</w:t>
      </w:r>
      <w:r>
        <w:rPr>
          <w:rFonts w:ascii="Times New Roman" w:hAnsi="Times New Roman" w:eastAsia="Times New Roman" w:cs="Times New Roman"/>
          <w:color w:val="252525"/>
          <w:sz w:val="24"/>
        </w:rPr>
        <w:t xml:space="preserve">g trong tương lai nên vẫn ôm đất và giữ giá, trừ một vài trường hợp nhà đầu tư bị “ngộp” tài chính do lãi suất tăng cao thì mới buộc phải giảm nhẹ để dễ bán.</w:t>
      </w:r>
      <w:r/>
    </w:p>
    <w:p>
      <w:pPr>
        <w:pBdr>
          <w:top w:val="none" w:color="000000" w:sz="4" w:space="0"/>
          <w:left w:val="none" w:color="000000" w:sz="4" w:space="0"/>
          <w:bottom w:val="none" w:color="000000" w:sz="4" w:space="0"/>
          <w:right w:val="none" w:color="000000" w:sz="4" w:space="0"/>
        </w:pBdr>
        <w:shd w:val="clear" w:color="ffffff" w:fill="ffffff"/>
        <w:spacing w:after="195" w:line="375" w:lineRule="atLeast"/>
        <w:ind w:right="0" w:firstLine="0" w:left="0"/>
        <w:jc w:val="both"/>
        <w:rPr/>
      </w:pPr>
      <w:r>
        <w:rPr>
          <w:rFonts w:ascii="Times New Roman" w:hAnsi="Times New Roman" w:eastAsia="Times New Roman" w:cs="Times New Roman"/>
          <w:color w:val="252525"/>
          <w:sz w:val="24"/>
        </w:rPr>
        <w:t xml:space="preserve">Thị trường không có nhiều hàng mới, nguồn cung chủ yếu là đất cũ được rao bán từ trước đó. Thậm chí ở một số nơi, chính người dân địa phương còn đi tìm mua thêm đất vì nơi họ đang sinh sống nằm trong khu vực quy hoạch dự án, sắp phải di dời”, chị H. nói.</w:t>
      </w:r>
      <w:r/>
    </w:p>
    <w:p>
      <w:pPr>
        <w:pBdr>
          <w:top w:val="none" w:color="000000" w:sz="4" w:space="0"/>
          <w:left w:val="none" w:color="000000" w:sz="4" w:space="0"/>
          <w:bottom w:val="none" w:color="000000" w:sz="4" w:space="0"/>
          <w:right w:val="none" w:color="000000" w:sz="4" w:space="0"/>
        </w:pBdr>
        <w:tabs>
          <w:tab w:val="left" w:leader="none" w:pos="426"/>
        </w:tabs>
        <w:spacing w:after="120" w:before="120" w:line="276" w:lineRule="auto"/>
        <w:ind w:right="0" w:firstLine="0" w:left="0"/>
        <w:jc w:val="center"/>
        <w:rPr/>
      </w:pPr>
      <w:r>
        <w:rPr>
          <w:rFonts w:ascii="Times New Roman" w:hAnsi="Times New Roman" w:eastAsia="Times New Roman" w:cs="Times New Roman"/>
          <w:i/>
          <w:color w:val="000000"/>
          <w:sz w:val="24"/>
        </w:rPr>
        <w:t xml:space="preserve">(Nguồn tham khảo: https://vietnambiz.vn/dat-thanh-oai-mot-thoi-day-song-nay-neo-gia-cao-giao-dich-cham-2026551019592.htm)</w:t>
      </w:r>
      <w:r>
        <w:rPr>
          <w:rFonts w:ascii="Times New Roman" w:hAnsi="Times New Roman" w:eastAsia="Times New Roman" w:cs="Times New Roman"/>
          <w:sz w:val="24"/>
        </w:rPr>
      </w:r>
      <w:r/>
    </w:p>
    <w:p>
      <w:pPr>
        <w:pStyle w:val="1043"/>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tại thửa số: 494 (tách từ thửa 310), tờ bản đồ số: 04, tỷ lệ 1/1000 xã Thanh Thùy đất có địa chỉ: thôn Rùa Hạ, xã Thanh Thùy, huyện Thanh Oai, Thành phố Hà Nội </w:t>
            </w:r>
            <w:r>
              <w:rPr>
                <w:b/>
                <w:bCs/>
                <w:i/>
                <w:iCs/>
                <w:color w:val="000000"/>
              </w:rPr>
              <w:t xml:space="preserve">(nay l</w:t>
            </w:r>
            <w:r>
              <w:rPr>
                <w:b/>
                <w:bCs/>
                <w:i/>
                <w:iCs/>
                <w:color w:val="000000"/>
              </w:rPr>
              <w:t xml:space="preserve">à xã Tam Hưng, Thành phố Hà Nội)</w:t>
            </w:r>
            <w:r>
              <w:rPr>
                <w:b/>
                <w:bCs/>
                <w:color w:val="000000"/>
              </w:rPr>
              <w:t xml:space="preserve"> theo Giấy chứng nhận quyền sử dụng đất quyền sở hữu nhà ở và tài sản khác gắn liền với đất số: BS 055205, số vào sổ cấp GCN: CH 00430 TT/TO do UBND Huyện Thanh Oai cấp ngày 03/3/2014; Chủ sử dụng đất là ông Nguyễn Văn Hanh.</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494</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color w:val="ee0000"/>
              </w:rPr>
            </w:pPr>
            <w:r>
              <w:rPr>
                <w:color w:val="000000" w:themeColor="text1"/>
              </w:rPr>
              <w:t xml:space="preserve">04</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bCs/>
                <w:color w:val="000000" w:themeColor="text1"/>
                <w:lang w:val="pt-BR"/>
              </w:rPr>
              <w:t xml:space="preserve">T</w:t>
            </w:r>
            <w:r>
              <w:rPr>
                <w:bCs/>
                <w:color w:val="000000" w:themeColor="text1"/>
                <w:lang w:val="pt-BR"/>
              </w:rPr>
              <w:t xml:space="preserve">hôn Rùa Hạ, xã Thanh Thùy, huyện Thanh Oai, Thành phố Hà Nội</w:t>
            </w:r>
            <w:r>
              <w:rPr>
                <w:bCs/>
                <w:i/>
                <w:iCs/>
                <w:color w:val="000000" w:themeColor="text1"/>
                <w:lang w:val="pt-BR"/>
              </w:rPr>
              <w:t xml:space="preserve"> (nay l</w:t>
            </w:r>
            <w:r>
              <w:rPr>
                <w:bCs/>
                <w:i/>
                <w:iCs/>
                <w:color w:val="000000" w:themeColor="text1"/>
                <w:lang w:val="pt-BR"/>
              </w:rPr>
              <w:t xml:space="preserve">à xã Tam Hưng, Thành phố Hà Nội)</w:t>
            </w:r>
            <w:r>
              <w:rPr>
                <w:color w:val="ee0000"/>
                <w:lang w:val="pt-BR"/>
              </w:rPr>
            </w:r>
            <w:r>
              <w:rPr>
                <w:color w:val="ee0000"/>
                <w:lang w:val="pt-BR"/>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148,</w:t>
            </w:r>
            <w:r>
              <w:rPr>
                <w:color w:val="000000"/>
              </w:rPr>
              <w:t xml:space="preserve">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Nguồn gốc sử dụng đất:</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Nhà </w:t>
            </w:r>
            <w:r>
              <w:rPr>
                <w:color w:val="000000"/>
              </w:rPr>
              <w:t xml:space="preserve">nước </w:t>
            </w:r>
            <w:r>
              <w:rPr>
                <w:color w:val="000000"/>
              </w:rPr>
              <w:t xml:space="preserve">công </w:t>
            </w:r>
            <w:r>
              <w:rPr>
                <w:color w:val="000000"/>
              </w:rPr>
              <w:t xml:space="preserve">nhận </w:t>
            </w:r>
            <w:r>
              <w:rPr>
                <w:color w:val="000000"/>
              </w:rPr>
              <w:t xml:space="preserve">quyền </w:t>
            </w:r>
            <w:r>
              <w:rPr>
                <w:color w:val="000000"/>
              </w:rPr>
              <w:t xml:space="preserve">sử </w:t>
            </w:r>
            <w:r>
              <w:rPr>
                <w:color w:val="000000"/>
              </w:rPr>
              <w:t xml:space="preserve">dụng </w:t>
            </w:r>
            <w:r>
              <w:rPr>
                <w:color w:val="000000"/>
              </w:rPr>
              <w:t xml:space="preserve">đất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76" w:lineRule="atLeast"/>
              <w:ind w:right="0" w:firstLine="0" w:left="0"/>
              <w:jc w:val="both"/>
              <w:rPr>
                <w:rFonts w:ascii="Times New Roman" w:hAnsi="Times New Roman" w:eastAsia="Times New Roman" w:cs="Times New Roman"/>
                <w:color w:val="000000" w:themeColor="text1"/>
                <w:sz w:val="24"/>
                <w:szCs w:val="24"/>
                <w:highlight w:val="none"/>
              </w:rPr>
            </w:pPr>
            <w:r>
              <w:rPr>
                <w:rFonts w:ascii="Times New Roman" w:hAnsi="Times New Roman" w:eastAsia="Times New Roman" w:cs="Times New Roman"/>
                <w:color w:val="000000" w:themeColor="text1"/>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themeColor="text1"/>
                <w:sz w:val="24"/>
              </w:rPr>
              <w:t xml:space="preserve">định vị trí tài sản thuộc quy hoạch đất ở. </w:t>
            </w:r>
            <w:r>
              <w:rPr>
                <w:rFonts w:ascii="Times New Roman" w:hAnsi="Times New Roman" w:eastAsia="Times New Roman" w:cs="Times New Roman"/>
                <w:color w:val="000000" w:themeColor="text1"/>
                <w:sz w:val="24"/>
                <w:szCs w:val="24"/>
                <w:highlight w:val="none"/>
              </w:rPr>
            </w:r>
            <w:r>
              <w:rPr>
                <w:rFonts w:ascii="Times New Roman" w:hAnsi="Times New Roman" w:eastAsia="Times New Roman" w:cs="Times New Roman"/>
                <w:color w:val="000000" w:themeColor="text1"/>
                <w:sz w:val="24"/>
                <w:szCs w:val="24"/>
                <w:highlight w:val="none"/>
              </w:rPr>
            </w:r>
          </w:p>
          <w:p>
            <w:pPr>
              <w:pBdr>
                <w:top w:val="none" w:color="000000" w:sz="4" w:space="0"/>
                <w:left w:val="none" w:color="000000" w:sz="4" w:space="0"/>
                <w:bottom w:val="none" w:color="000000" w:sz="4" w:space="0"/>
                <w:right w:val="none" w:color="000000" w:sz="4" w:space="0"/>
              </w:pBdr>
              <w:spacing w:line="276" w:lineRule="atLeast"/>
              <w:ind w:right="0" w:firstLine="0" w:left="0"/>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highlight w:val="none"/>
              </w:rPr>
            </w:r>
            <w:r>
              <mc:AlternateContent>
                <mc:Choice Requires="wpg">
                  <w:drawing>
                    <wp:inline xmlns:wp="http://schemas.openxmlformats.org/drawingml/2006/wordprocessingDrawing" distT="0" distB="0" distL="0" distR="0">
                      <wp:extent cx="3871847" cy="1985990"/>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975394" name=""/>
                              <pic:cNvPicPr>
                                <a:picLocks noChangeAspect="1"/>
                              </pic:cNvPicPr>
                              <pic:nvPr/>
                            </pic:nvPicPr>
                            <pic:blipFill rotWithShape="1">
                              <a:blip r:embed="rId17"/>
                              <a:stretch/>
                            </pic:blipFill>
                            <pic:spPr bwMode="auto">
                              <a:xfrm flipH="0" flipV="0">
                                <a:off x="0" y="0"/>
                                <a:ext cx="3871845" cy="198598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04.87pt;height:156.38pt;mso-wrap-distance-left:0.00pt;mso-wrap-distance-top:0.00pt;mso-wrap-distance-right:0.00pt;mso-wrap-distance-bottom:0.00pt;z-index:1;" stroked="false">
                      <v:imagedata r:id="rId17" o:title=""/>
                      <o:lock v:ext="edit" rotation="t"/>
                    </v:shape>
                  </w:pict>
                </mc:Fallback>
              </mc:AlternateConten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Bdr/>
              <w:spacing/>
              <w:ind/>
              <w:jc w:val="both"/>
              <w:rPr>
                <w:color w:val="000000"/>
              </w:rPr>
            </w:pPr>
            <w:r>
              <w:rPr>
                <w:color w:val="000000"/>
              </w:rPr>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w:t>
            </w:r>
            <w:r>
              <w:rPr>
                <w:color w:val="000000"/>
              </w:rPr>
              <w:t xml:space="preserve">bê </w:t>
            </w:r>
            <w:r>
              <w:rPr>
                <w:color w:val="000000"/>
              </w:rPr>
              <w:t xml:space="preserve">tông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2 mặt ngõ</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5,</w:t>
            </w:r>
            <w:r>
              <w:rPr>
                <w:color w:val="000000" w:themeColor="text1"/>
              </w:rPr>
              <w:t xml:space="preserve">0</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5,</w:t>
            </w:r>
            <w:r>
              <w:rPr>
                <w:color w:val="000000" w:themeColor="text1"/>
              </w:rPr>
              <w:t xml:space="preserve">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w:t>
            </w:r>
            <w:r>
              <w:rPr>
                <w:color w:val="000000" w:themeColor="text1"/>
              </w:rPr>
              <w:t xml:space="preserve">sản </w:t>
            </w:r>
            <w:r>
              <w:rPr>
                <w:color w:val="000000" w:themeColor="text1"/>
              </w:rPr>
              <w:t xml:space="preserve">nằm </w:t>
            </w:r>
            <w:r>
              <w:rPr>
                <w:color w:val="000000" w:themeColor="text1"/>
              </w:rPr>
              <w:t xml:space="preserve">tiếp </w:t>
            </w:r>
            <w:r>
              <w:rPr>
                <w:color w:val="000000" w:themeColor="text1"/>
              </w:rPr>
              <w:t xml:space="preserve">giáp </w:t>
            </w:r>
            <w:r>
              <w:rPr>
                <w:color w:val="000000" w:themeColor="text1"/>
              </w:rPr>
              <w:t xml:space="preserve">với </w:t>
            </w:r>
            <w:r>
              <w:rPr>
                <w:color w:val="000000" w:themeColor="text1"/>
              </w:rPr>
              <w:t xml:space="preserve">đường </w:t>
            </w:r>
            <w:r>
              <w:rPr>
                <w:color w:val="000000" w:themeColor="text1"/>
              </w:rPr>
              <w:t xml:space="preserve">Xóm </w:t>
            </w:r>
            <w:r>
              <w:rPr>
                <w:color w:val="000000" w:themeColor="text1"/>
              </w:rPr>
              <w:t xml:space="preserve">Trại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r>
            <w:bookmarkEnd w:id="3"/>
            <w:r>
              <w:t xml:space="preserve">+ </w:t>
            </w:r>
            <w:r>
              <w:t xml:space="preserve">Hướng </w:t>
            </w:r>
            <w:r>
              <w:t xml:space="preserve">Tây </w:t>
            </w:r>
            <w:r>
              <w:t xml:space="preserve">Nam: </w:t>
            </w:r>
            <w:r>
              <w:t xml:space="preserve">Tiếp </w:t>
            </w:r>
            <w:r>
              <w:t xml:space="preserve">giáp </w:t>
            </w:r>
            <w:r>
              <w:t xml:space="preserve">với </w:t>
            </w:r>
            <w:r>
              <w:t xml:space="preserve">đường </w:t>
            </w:r>
            <w:r>
              <w:t xml:space="preserve">bê </w:t>
            </w:r>
            <w:r>
              <w:t xml:space="preserve">tô</w:t>
            </w:r>
            <w:r>
              <w:t xml:space="preserve">ng </w:t>
            </w:r>
            <w:r>
              <w:t xml:space="preserve">rộng </w:t>
            </w:r>
            <w:r>
              <w:t xml:space="preserve">khoảng </w:t>
            </w:r>
            <w:r>
              <w:t xml:space="preserve">5m</w:t>
              <w:br/>
              <w:t xml:space="preserve">+ </w:t>
            </w:r>
            <w:r>
              <w:t xml:space="preserve">Hướng </w:t>
            </w:r>
            <w:r>
              <w:t xml:space="preserve">Đông </w:t>
            </w:r>
            <w:r>
              <w:t xml:space="preserve">Nam: </w:t>
            </w:r>
            <w:r>
              <w:t xml:space="preserve">Tiếp </w:t>
            </w:r>
            <w:r>
              <w:t xml:space="preserve">giáp </w:t>
            </w:r>
            <w:r>
              <w:t xml:space="preserve">với </w:t>
            </w:r>
            <w:r>
              <w:t xml:space="preserve">đường </w:t>
            </w:r>
            <w:r>
              <w:t xml:space="preserve">bê </w:t>
            </w:r>
            <w:r>
              <w:t xml:space="preserve">tôn</w:t>
            </w:r>
            <w:r>
              <w:t xml:space="preserve">g </w:t>
            </w:r>
            <w:r>
              <w:t xml:space="preserve">rộng </w:t>
            </w:r>
            <w:r>
              <w:t xml:space="preserve">khoảng </w:t>
            </w:r>
            <w:r>
              <w:t xml:space="preserve">3m</w:t>
              <w:br/>
              <w:t xml:space="preserve">+ </w:t>
            </w:r>
            <w:r>
              <w:t xml:space="preserve">Hướng </w:t>
            </w:r>
            <w:r>
              <w:t xml:space="preserve">khác: </w:t>
            </w:r>
            <w:r>
              <w:t xml:space="preserve">Tiếp </w:t>
            </w:r>
            <w:r>
              <w:t xml:space="preserve">giáp </w:t>
            </w:r>
            <w:r>
              <w:t xml:space="preserve">với </w:t>
            </w:r>
            <w:r>
              <w:t xml:space="preserve">thửa </w:t>
            </w:r>
            <w:r>
              <w:t xml:space="preserve">đất </w:t>
            </w:r>
            <w:r>
              <w:t xml:space="preserve">khác</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20.8735</w:t>
            </w:r>
            <w:r>
              <w:rPr>
                <w:color w:val="000000"/>
              </w:rPr>
              <w:t xml:space="preserve">, </w:t>
            </w:r>
            <w:r>
              <w:rPr>
                <w:color w:val="000000"/>
              </w:rPr>
              <w:t xml:space="preserve">105.80988888889</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6867"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86867"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67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148,</w:t>
            </w:r>
            <w:r>
              <w:rPr>
                <w:color w:val="000000" w:themeColor="text1"/>
              </w:rPr>
              <w:t xml:space="preserve">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10,41</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16,</w:t>
            </w:r>
            <w:r>
              <w:rPr>
                <w:color w:val="000000" w:themeColor="text1"/>
              </w:rPr>
              <w:t xml:space="preserve">5</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Tương đối vuông vức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569"/>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Đông </w:t>
            </w:r>
            <w:r>
              <w:rPr>
                <w:color w:val="000000"/>
              </w:rPr>
              <w:t xml:space="preserve">đúc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Ổn </w:t>
            </w:r>
            <w:r>
              <w:rPr>
                <w:color w:val="000000"/>
              </w:rPr>
              <w:t xml:space="preserve">định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spacing/>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Trung </w:t>
            </w:r>
            <w:r>
              <w:rPr>
                <w:color w:val="000000" w:themeColor="text1"/>
              </w:rPr>
              <w:t xml:space="preserve">bình</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highlight w:val="none"/>
                <w:vertAlign w:val="baseline"/>
              </w:rPr>
            </w:pPr>
            <w:r>
              <w:rPr>
                <w:color w:val="000000"/>
              </w:rPr>
              <w:t xml:space="preserve">+ </w:t>
            </w:r>
            <w:r>
              <w:rPr>
                <w:color w:val="000000"/>
              </w:rPr>
              <w:t xml:space="preserve">Tại </w:t>
            </w:r>
            <w:r>
              <w:rPr>
                <w:color w:val="000000"/>
              </w:rPr>
              <w:t xml:space="preserve">thời </w:t>
            </w:r>
            <w:r>
              <w:rPr>
                <w:color w:val="000000"/>
              </w:rPr>
              <w:t xml:space="preserve">điểm </w:t>
            </w:r>
            <w:r>
              <w:rPr>
                <w:color w:val="000000"/>
              </w:rPr>
              <w:t xml:space="preserve">khảo </w:t>
            </w:r>
            <w:r>
              <w:rPr>
                <w:color w:val="000000"/>
              </w:rPr>
              <w:t xml:space="preserve">sát, </w:t>
            </w:r>
            <w:r>
              <w:rPr>
                <w:color w:val="000000"/>
              </w:rPr>
              <w:t xml:space="preserve">Tổ </w:t>
            </w:r>
            <w:r>
              <w:rPr>
                <w:color w:val="000000"/>
              </w:rPr>
              <w:t xml:space="preserve">thẩm </w:t>
            </w:r>
            <w:r>
              <w:rPr>
                <w:color w:val="000000"/>
              </w:rPr>
              <w:t xml:space="preserve">định </w:t>
            </w:r>
            <w:r>
              <w:rPr>
                <w:color w:val="000000"/>
              </w:rPr>
              <w:t xml:space="preserve">xác </w:t>
            </w:r>
            <w:r>
              <w:rPr>
                <w:color w:val="000000"/>
              </w:rPr>
              <w:t xml:space="preserve">định </w:t>
            </w:r>
            <w:r>
              <w:rPr>
                <w:color w:val="000000"/>
              </w:rPr>
              <w:t xml:space="preserve">trên </w:t>
            </w:r>
            <w:r>
              <w:rPr>
                <w:color w:val="000000"/>
              </w:rPr>
              <w:t xml:space="preserve">đất </w:t>
            </w:r>
            <w:r>
              <w:rPr>
                <w:color w:val="000000"/>
              </w:rPr>
              <w:t xml:space="preserve">có </w:t>
            </w:r>
            <w:r>
              <w:rPr>
                <w:color w:val="000000"/>
              </w:rPr>
              <w:t xml:space="preserve">CTXD </w:t>
            </w:r>
            <w:r>
              <w:rPr>
                <w:color w:val="000000"/>
              </w:rPr>
              <w:t xml:space="preserve">là </w:t>
            </w:r>
            <w:r>
              <w:rPr>
                <w:color w:val="000000"/>
              </w:rPr>
              <w:t xml:space="preserve">nhà </w:t>
            </w:r>
            <w:r>
              <w:rPr>
                <w:color w:val="000000"/>
              </w:rPr>
              <w:t xml:space="preserve">05 </w:t>
            </w:r>
            <w:r>
              <w:rPr>
                <w:color w:val="000000"/>
              </w:rPr>
              <w:t xml:space="preserve">tầng, </w:t>
            </w:r>
            <w:r>
              <w:rPr>
                <w:color w:val="000000"/>
              </w:rPr>
              <w:t xml:space="preserve">diện </w:t>
            </w:r>
            <w:r>
              <w:rPr>
                <w:color w:val="000000"/>
              </w:rPr>
              <w:t xml:space="preserve">tích </w:t>
            </w:r>
            <w:r>
              <w:rPr>
                <w:color w:val="000000"/>
              </w:rPr>
              <w:t xml:space="preserve">xây </w:t>
            </w:r>
            <w:r>
              <w:rPr>
                <w:color w:val="000000"/>
              </w:rPr>
              <w:t xml:space="preserve">dựng ~ </w:t>
            </w:r>
            <w:r>
              <w:rPr>
                <w:color w:val="000000"/>
              </w:rPr>
              <w:t xml:space="preserve">120</w:t>
            </w:r>
            <w:r>
              <w:rPr>
                <w:color w:val="000000"/>
              </w:rPr>
              <w:t xml:space="preserve">m</w:t>
            </w:r>
            <w:r>
              <w:rPr>
                <w:color w:val="000000"/>
                <w:vertAlign w:val="superscript"/>
              </w:rPr>
              <w:t xml:space="preserve">2</w:t>
            </w:r>
            <w:r>
              <w:rPr>
                <w:color w:val="000000"/>
                <w:vertAlign w:val="baseline"/>
              </w:rPr>
              <w:t xml:space="preserve">, </w:t>
            </w:r>
            <w:r>
              <w:rPr>
                <w:color w:val="000000"/>
                <w:vertAlign w:val="baseline"/>
              </w:rPr>
              <w:t xml:space="preserve">tổng </w:t>
            </w:r>
            <w:r>
              <w:rPr>
                <w:color w:val="000000"/>
                <w:vertAlign w:val="baseline"/>
              </w:rPr>
              <w:t xml:space="preserve">diện </w:t>
            </w:r>
            <w:r>
              <w:rPr>
                <w:color w:val="000000"/>
                <w:vertAlign w:val="baseline"/>
              </w:rPr>
              <w:t xml:space="preserve">tích </w:t>
            </w:r>
            <w:r>
              <w:rPr>
                <w:color w:val="000000"/>
                <w:vertAlign w:val="baseline"/>
              </w:rPr>
              <w:t xml:space="preserve">xây </w:t>
            </w:r>
            <w:r>
              <w:rPr>
                <w:color w:val="000000"/>
                <w:vertAlign w:val="baseline"/>
              </w:rPr>
              <w:t xml:space="preserve">dựng </w:t>
            </w:r>
            <w:r>
              <w:rPr>
                <w:color w:val="000000"/>
              </w:rPr>
              <w:t xml:space="preserve">~ </w:t>
            </w:r>
            <w:r>
              <w:rPr>
                <w:color w:val="000000"/>
              </w:rPr>
              <w:t xml:space="preserve">480m</w:t>
            </w:r>
            <w:r>
              <w:rPr>
                <w:color w:val="000000"/>
                <w:vertAlign w:val="superscript"/>
              </w:rPr>
              <w:t xml:space="preserve">2</w:t>
            </w:r>
            <w:r>
              <w:rPr>
                <w:color w:val="000000"/>
                <w:vertAlign w:val="baseline"/>
              </w:rPr>
              <w:t xml:space="preserve">. </w:t>
            </w:r>
            <w:r>
              <w:rPr>
                <w:color w:val="000000"/>
                <w:vertAlign w:val="baseline"/>
              </w:rPr>
              <w:t xml:space="preserve">CTXD </w:t>
            </w:r>
            <w:r>
              <w:rPr>
                <w:color w:val="000000"/>
                <w:vertAlign w:val="baseline"/>
              </w:rPr>
              <w:t xml:space="preserve">đang </w:t>
            </w:r>
            <w:r>
              <w:rPr>
                <w:color w:val="000000"/>
                <w:vertAlign w:val="baseline"/>
              </w:rPr>
              <w:t xml:space="preserve">hoàn </w:t>
            </w:r>
            <w:r>
              <w:rPr>
                <w:color w:val="000000"/>
                <w:vertAlign w:val="baseline"/>
              </w:rPr>
              <w:t xml:space="preserve">thiện</w:t>
            </w:r>
            <w:r>
              <w:rPr>
                <w:color w:val="000000"/>
                <w:highlight w:val="none"/>
                <w:vertAlign w:val="baseline"/>
              </w:rPr>
            </w:r>
            <w:r>
              <w:rPr>
                <w:color w:val="000000"/>
                <w:highlight w:val="none"/>
                <w:vertAlign w:val="baseline"/>
              </w:rPr>
            </w:r>
          </w:p>
          <w:p>
            <w:pPr>
              <w:pBdr/>
              <w:spacing/>
              <w:ind/>
              <w:jc w:val="both"/>
              <w:rPr>
                <w:color w:val="000000"/>
                <w:vertAlign w:val="baseline"/>
              </w:rPr>
            </w:pPr>
            <w:r>
              <w:rPr>
                <w:color w:val="000000"/>
                <w:highlight w:val="none"/>
                <w:vertAlign w:val="baseline"/>
              </w:rPr>
              <w:t xml:space="preserve">+ </w:t>
            </w:r>
            <w:r>
              <w:rPr>
                <w:color w:val="000000"/>
                <w:highlight w:val="none"/>
                <w:vertAlign w:val="baseline"/>
              </w:rPr>
              <w:t xml:space="preserve">CTXD </w:t>
            </w:r>
            <w:r>
              <w:rPr>
                <w:color w:val="000000"/>
                <w:highlight w:val="none"/>
                <w:vertAlign w:val="baseline"/>
              </w:rPr>
              <w:t xml:space="preserve">chưa </w:t>
            </w:r>
            <w:r>
              <w:rPr>
                <w:color w:val="000000"/>
                <w:highlight w:val="none"/>
                <w:vertAlign w:val="baseline"/>
              </w:rPr>
              <w:t xml:space="preserve">được </w:t>
            </w:r>
            <w:r>
              <w:rPr>
                <w:color w:val="000000"/>
                <w:highlight w:val="none"/>
                <w:vertAlign w:val="baseline"/>
              </w:rPr>
              <w:t xml:space="preserve">ghi </w:t>
            </w:r>
            <w:r>
              <w:rPr>
                <w:color w:val="000000"/>
                <w:highlight w:val="none"/>
                <w:vertAlign w:val="baseline"/>
              </w:rPr>
              <w:t xml:space="preserve">nhận </w:t>
            </w:r>
            <w:r>
              <w:rPr>
                <w:color w:val="000000"/>
                <w:highlight w:val="none"/>
                <w:vertAlign w:val="baseline"/>
              </w:rPr>
              <w:t xml:space="preserve">trên </w:t>
            </w:r>
            <w:r>
              <w:rPr>
                <w:color w:val="000000"/>
                <w:highlight w:val="none"/>
                <w:vertAlign w:val="baseline"/>
              </w:rPr>
              <w:t xml:space="preserve">GCN </w:t>
            </w:r>
            <w:r>
              <w:rPr>
                <w:color w:val="000000"/>
                <w:highlight w:val="none"/>
                <w:vertAlign w:val="baseline"/>
              </w:rPr>
              <w:t xml:space="preserve">QSD</w:t>
            </w:r>
            <w:r>
              <w:rPr>
                <w:color w:val="000000"/>
                <w:highlight w:val="none"/>
                <w:vertAlign w:val="baseline"/>
              </w:rPr>
              <w:t xml:space="preserve">Đ </w:t>
            </w:r>
            <w:r>
              <w:rPr>
                <w:color w:val="000000"/>
                <w:highlight w:val="none"/>
                <w:vertAlign w:val="baseline"/>
              </w:rPr>
              <w:t xml:space="preserve">số: </w:t>
            </w:r>
            <w:r>
              <w:rPr>
                <w:color w:val="000000"/>
                <w:highlight w:val="none"/>
                <w:vertAlign w:val="baseline"/>
              </w:rPr>
              <w:t xml:space="preserve">BS 055205</w:t>
            </w:r>
            <w:r>
              <w:rPr>
                <w:color w:val="000000"/>
                <w:vertAlign w:val="baseline"/>
              </w:rPr>
            </w:r>
            <w:r>
              <w:rPr>
                <w:color w:val="000000"/>
                <w:vertAlign w:val="baseline"/>
              </w:rPr>
            </w:r>
          </w:p>
        </w:tc>
      </w:tr>
    </w:tbl>
    <w:p>
      <w:pPr>
        <w:pBdr/>
        <w:spacing w:line="235" w:lineRule="auto"/>
        <w:ind w:left="646"/>
        <w:jc w:val="both"/>
        <w:rPr>
          <w:u w:val="single"/>
        </w:rPr>
      </w:pPr>
      <w:r>
        <w:rPr>
          <w:u w:val="single"/>
        </w:rPr>
      </w:r>
      <w:r>
        <w:rPr>
          <w:u w:val="single"/>
        </w:rPr>
      </w:r>
      <w:r>
        <w:rPr>
          <w:u w:val="single"/>
        </w:rPr>
      </w:r>
    </w:p>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47"/>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rPr>
                <w:bCs/>
                <w:color w:val="000000" w:themeColor="text1"/>
                <w:lang w:val="pt-BR"/>
              </w:rPr>
              <w:t xml:space="preserve">T</w:t>
            </w:r>
            <w:r>
              <w:rPr>
                <w:bCs/>
                <w:color w:val="000000" w:themeColor="text1"/>
                <w:lang w:val="pt-BR"/>
              </w:rPr>
              <w:t xml:space="preserve">hôn Rùa Hạ, xã Thanh Thùy, huyện Thanh Oai, Thành phố Hà Nộ</w:t>
            </w:r>
            <w:r>
              <w:t xml:space="preserve">i</w:t>
            </w:r>
            <w:r/>
          </w:p>
        </w:tc>
        <w:tc>
          <w:tcPr>
            <w:tcBorders/>
            <w:tcW w:w="1605" w:type="dxa"/>
            <w:vAlign w:val="center"/>
            <w:textDirection w:val="lrTb"/>
            <w:noWrap w:val="false"/>
          </w:tcPr>
          <w:p>
            <w:pPr>
              <w:pBdr/>
              <w:spacing/>
              <w:ind/>
              <w:jc w:val="center"/>
              <w:rPr/>
            </w:pPr>
            <w:r>
              <w:rPr>
                <w:bCs/>
                <w:color w:val="000000" w:themeColor="text1"/>
                <w:lang w:val="pt-BR"/>
              </w:rPr>
              <w:t xml:space="preserve">T</w:t>
            </w:r>
            <w:r>
              <w:rPr>
                <w:bCs/>
                <w:color w:val="000000" w:themeColor="text1"/>
                <w:lang w:val="pt-BR"/>
              </w:rPr>
              <w:t xml:space="preserve">hôn Rùa Hạ</w:t>
            </w:r>
            <w:r>
              <w:t xml:space="preserve">, </w:t>
            </w:r>
            <w:r>
              <w:t xml:space="preserve">xã </w:t>
            </w:r>
            <w:r>
              <w:t xml:space="preserve">Tam </w:t>
            </w:r>
            <w:r>
              <w:t xml:space="preserve">Hưng</w:t>
            </w:r>
            <w:r>
              <w:t xml:space="preserve">,</w:t>
            </w:r>
            <w:r>
              <w:rPr>
                <w:bCs/>
                <w:color w:val="000000" w:themeColor="text1"/>
                <w:lang w:val="pt-BR"/>
              </w:rPr>
              <w:t xml:space="preserve">Thành phố Hà Nộ</w:t>
            </w:r>
            <w:r>
              <w:t xml:space="preserve">i</w:t>
            </w:r>
            <w:r>
              <w:t xml:space="preserve">✔</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pPr>
            <w:r>
              <w:t xml:space="preserve">Thay </w:t>
            </w:r>
            <w:r>
              <w:t xml:space="preserve">đổi </w:t>
            </w:r>
            <w:r>
              <w:t xml:space="preserve">thông </w:t>
            </w:r>
            <w:r>
              <w:t xml:space="preserve">tin </w:t>
            </w:r>
            <w:r>
              <w:t xml:space="preserve">sau </w:t>
            </w:r>
            <w:r>
              <w:t xml:space="preserve">sáp </w:t>
            </w:r>
            <w:r>
              <w:t xml:space="preserve">nhập </w:t>
            </w:r>
            <w:r>
              <w:t xml:space="preserve">này </w:t>
            </w:r>
            <w:r>
              <w:t xml:space="preserve">01/</w:t>
            </w:r>
            <w:r>
              <w:t xml:space="preserve">7/</w:t>
            </w:r>
            <w:r>
              <w:t xml:space="preserve">2025</w:t>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w:t>
            </w:r>
            <w:r>
              <w:t xml:space="preserve">khác</w:t>
            </w:r>
            <w:r>
              <w:t xml:space="preserve">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w:t>
            </w:r>
            <w:r>
              <w:t xml:space="preserve">khác</w:t>
            </w:r>
            <w:r>
              <w:t xml:space="preserve"> gắn liền với đất</w:t>
            </w:r>
            <w:r>
              <w:t xml:space="preserve">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pPr>
            <w:r>
              <w:t xml:space="preserve">Đất ở </w:t>
            </w:r>
            <w:r/>
          </w:p>
        </w:tc>
        <w:tc>
          <w:tcPr>
            <w:tcBorders/>
            <w:tcW w:w="1605" w:type="dxa"/>
            <w:vAlign w:val="center"/>
            <w:textDirection w:val="lrTb"/>
            <w:noWrap w:val="false"/>
          </w:tcPr>
          <w:p>
            <w:pPr>
              <w:pBdr/>
              <w:spacing/>
              <w:ind/>
              <w:jc w:val="center"/>
              <w:rPr/>
            </w:pPr>
            <w:r>
              <w:t xml:space="preserve">Đất ở </w:t>
            </w:r>
            <w:r>
              <w:t xml:space="preserve">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pPr>
            <w:r>
              <w:t xml:space="preserve">Lâu dài</w:t>
            </w:r>
            <w:r/>
          </w:p>
        </w:tc>
        <w:tc>
          <w:tcPr>
            <w:tcBorders/>
            <w:tcW w:w="1605" w:type="dxa"/>
            <w:vAlign w:val="center"/>
            <w:textDirection w:val="lrTb"/>
            <w:noWrap w:val="false"/>
          </w:tcPr>
          <w:p>
            <w:pPr>
              <w:pBdr/>
              <w:spacing/>
              <w:ind/>
              <w:jc w:val="center"/>
              <w:rPr/>
            </w:pPr>
            <w:r>
              <w:t xml:space="preserve">Lâu dài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148</w:t>
            </w:r>
            <w:r/>
          </w:p>
        </w:tc>
        <w:tc>
          <w:tcPr>
            <w:tcBorders/>
            <w:tcW w:w="1605" w:type="dxa"/>
            <w:vAlign w:val="center"/>
            <w:textDirection w:val="lrTb"/>
            <w:noWrap w:val="false"/>
          </w:tcPr>
          <w:p>
            <w:pPr>
              <w:pBdr/>
              <w:spacing/>
              <w:ind/>
              <w:jc w:val="center"/>
              <w:rPr/>
            </w:pPr>
            <w:r>
              <w:t xml:space="preserve">171,</w:t>
            </w:r>
            <w:r>
              <w:t xml:space="preserve">2</w:t>
            </w:r>
            <w:r>
              <w:t xml:space="preserve"> ✔</w:t>
            </w:r>
            <w:r/>
          </w:p>
        </w:tc>
        <w:tc>
          <w:tcPr>
            <w:tcBorders/>
            <w:tcW w:w="1371" w:type="dxa"/>
            <w:vAlign w:val="center"/>
            <w:textDirection w:val="lrTb"/>
            <w:noWrap w:val="false"/>
          </w:tcPr>
          <w:p>
            <w:pPr>
              <w:pBdr/>
              <w:spacing/>
              <w:ind/>
              <w:jc w:val="center"/>
              <w:rPr/>
            </w:pPr>
            <w:r>
              <w:t xml:space="preserve">-</w:t>
            </w:r>
            <w:r>
              <w:t xml:space="preserve">23,</w:t>
            </w:r>
            <w:r>
              <w:t xml:space="preserve">2</w:t>
            </w:r>
            <w:r/>
          </w:p>
        </w:tc>
        <w:tc>
          <w:tcPr>
            <w:tcBorders/>
            <w:tcW w:w="2149" w:type="dxa"/>
            <w:vAlign w:val="center"/>
            <w:textDirection w:val="lrTb"/>
            <w:noWrap w:val="false"/>
          </w:tcPr>
          <w:p>
            <w:pPr>
              <w:pBdr/>
              <w:spacing/>
              <w:ind/>
              <w:jc w:val="both"/>
              <w:rPr/>
            </w:pPr>
            <w:r>
              <w:t xml:space="preserve">Diện tích theo </w:t>
            </w:r>
            <w:r>
              <w:t xml:space="preserve">GCN</w:t>
            </w:r>
            <w:r>
              <w:t xml:space="preserve"> thấp hơn diện tích đo đạc theo bản </w:t>
            </w:r>
            <w:r>
              <w:t xml:space="preserve">trích </w:t>
            </w:r>
            <w:r>
              <w:t xml:space="preserve">đo </w:t>
            </w:r>
            <w:r>
              <w:t xml:space="preserve">địa </w:t>
            </w:r>
            <w:r>
              <w:t xml:space="preserve">chính </w:t>
            </w:r>
            <w:r>
              <w:t xml:space="preserve">thửa </w:t>
            </w:r>
            <w:r>
              <w:t xml:space="preserve">đất </w:t>
            </w:r>
            <w:r>
              <w:t xml:space="preserve">theo </w:t>
            </w:r>
            <w:r>
              <w:t xml:space="preserve">HSKT </w:t>
            </w:r>
            <w:r>
              <w:t xml:space="preserve">số: </w:t>
            </w:r>
            <w:r>
              <w:t xml:space="preserve">TH/</w:t>
            </w:r>
            <w:r>
              <w:t xml:space="preserve">319/ </w:t>
            </w:r>
            <w:r>
              <w:t xml:space="preserve">2026 </w:t>
            </w:r>
            <w:r>
              <w:t xml:space="preserve">do </w:t>
            </w:r>
            <w:r>
              <w:t xml:space="preserve">Công </w:t>
            </w:r>
            <w:r>
              <w:t xml:space="preserve">ty </w:t>
            </w:r>
            <w:r>
              <w:t xml:space="preserve">CP </w:t>
            </w:r>
            <w:r>
              <w:t xml:space="preserve">Đo </w:t>
            </w:r>
            <w:r>
              <w:t xml:space="preserve">Đạc </w:t>
            </w:r>
            <w:r>
              <w:t xml:space="preserve">Bản </w:t>
            </w:r>
            <w:r>
              <w:t xml:space="preserve">đồ </w:t>
            </w:r>
            <w:r>
              <w:t xml:space="preserve">và </w:t>
            </w:r>
            <w:r>
              <w:t xml:space="preserve">Xây </w:t>
            </w:r>
            <w:r>
              <w:t xml:space="preserve">Dựng </w:t>
            </w:r>
            <w:r>
              <w:t xml:space="preserve">Thương </w:t>
            </w:r>
            <w:r>
              <w:t xml:space="preserve">Mại </w:t>
            </w:r>
            <w:r>
              <w:t xml:space="preserve">Hà </w:t>
            </w:r>
            <w:r>
              <w:t xml:space="preserve">An</w:t>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pPr>
            <w:r>
              <w:t xml:space="preserve">Không </w:t>
            </w:r>
            <w:r>
              <w:t xml:space="preserve">xác </w:t>
            </w:r>
            <w:r>
              <w:t xml:space="preserve">định</w:t>
            </w:r>
            <w:r>
              <w:t xml:space="preserve">✔</w:t>
            </w:r>
            <w:r/>
          </w:p>
        </w:tc>
        <w:tc>
          <w:tcPr>
            <w:tcBorders/>
            <w:tcW w:w="1605" w:type="dxa"/>
            <w:vAlign w:val="center"/>
            <w:textDirection w:val="lrTb"/>
            <w:noWrap w:val="false"/>
          </w:tcPr>
          <w:p>
            <w:pPr>
              <w:pBdr/>
              <w:spacing/>
              <w:ind/>
              <w:jc w:val="center"/>
              <w:rPr/>
            </w:pPr>
            <w:r>
              <w:t xml:space="preserve">10.41 </w:t>
            </w:r>
            <w:r/>
          </w:p>
        </w:tc>
        <w:tc>
          <w:tcPr>
            <w:tcBorders/>
            <w:tcW w:w="1371" w:type="dxa"/>
            <w:vAlign w:val="center"/>
            <w:textDirection w:val="lrTb"/>
            <w:noWrap w:val="false"/>
          </w:tcPr>
          <w:p>
            <w:pPr>
              <w:pBdr/>
              <w:spacing/>
              <w:ind/>
              <w:jc w:val="center"/>
              <w:rPr/>
            </w:pPr>
            <w:r>
              <w:t xml:space="preserve">-</w:t>
            </w:r>
            <w:r/>
          </w:p>
        </w:tc>
        <w:tc>
          <w:tcPr>
            <w:tcBorders/>
            <w:tcW w:w="2149" w:type="dxa"/>
            <w:vAlign w:val="center"/>
            <w:textDirection w:val="lrTb"/>
            <w:noWrap w:val="false"/>
          </w:tcPr>
          <w:p>
            <w:pPr>
              <w:pBdr/>
              <w:spacing/>
              <w:ind/>
              <w:jc w:val="both"/>
              <w:rPr/>
            </w:pPr>
            <w:r>
              <w:t xml:space="preserve">Kích </w:t>
            </w:r>
            <w:r>
              <w:t xml:space="preserve">thước </w:t>
            </w:r>
            <w:r>
              <w:t xml:space="preserve">th</w:t>
            </w:r>
            <w:r>
              <w:t xml:space="preserve">ửa </w:t>
            </w:r>
            <w:r>
              <w:t xml:space="preserve">đất</w:t>
            </w:r>
            <w:r>
              <w:t xml:space="preserve"> </w:t>
            </w:r>
            <w:r>
              <w:t xml:space="preserve">được </w:t>
            </w:r>
            <w:r>
              <w:t xml:space="preserve">xác </w:t>
            </w:r>
            <w:r>
              <w:t xml:space="preserve">định </w:t>
            </w:r>
            <w:r>
              <w:t xml:space="preserve"> theo bản </w:t>
            </w:r>
            <w:r>
              <w:t xml:space="preserve">trích </w:t>
            </w:r>
            <w:r>
              <w:t xml:space="preserve">đo </w:t>
            </w:r>
            <w:r>
              <w:t xml:space="preserve">địa </w:t>
            </w:r>
            <w:r>
              <w:t xml:space="preserve">chính </w:t>
            </w:r>
            <w:r>
              <w:t xml:space="preserve">thửa </w:t>
            </w:r>
            <w:r>
              <w:t xml:space="preserve">đất </w:t>
            </w:r>
            <w:r>
              <w:t xml:space="preserve">theo </w:t>
            </w:r>
            <w:r>
              <w:t xml:space="preserve">HSKT </w:t>
            </w:r>
            <w:r>
              <w:t xml:space="preserve">số: </w:t>
            </w:r>
            <w:r>
              <w:t xml:space="preserve">TH/</w:t>
            </w:r>
            <w:r>
              <w:t xml:space="preserve">319/ </w:t>
            </w:r>
            <w:r>
              <w:t xml:space="preserve">2026 </w:t>
            </w:r>
            <w:r>
              <w:t xml:space="preserve">do </w:t>
            </w:r>
            <w:r>
              <w:t xml:space="preserve">Công </w:t>
            </w:r>
            <w:r>
              <w:t xml:space="preserve">ty </w:t>
            </w:r>
            <w:r>
              <w:t xml:space="preserve">CP </w:t>
            </w:r>
            <w:r>
              <w:t xml:space="preserve">Đo </w:t>
            </w:r>
            <w:r>
              <w:t xml:space="preserve">Đạc </w:t>
            </w:r>
            <w:r>
              <w:t xml:space="preserve">Bản </w:t>
            </w:r>
            <w:r>
              <w:t xml:space="preserve">đồ </w:t>
            </w:r>
            <w:r>
              <w:t xml:space="preserve">và </w:t>
            </w:r>
            <w:r>
              <w:t xml:space="preserve">Xây </w:t>
            </w:r>
            <w:r>
              <w:t xml:space="preserve">Dựng </w:t>
            </w:r>
            <w:r>
              <w:t xml:space="preserve">Thương </w:t>
            </w:r>
            <w:r>
              <w:t xml:space="preserve">Mại </w:t>
            </w:r>
            <w:r>
              <w:t xml:space="preserve">Hà </w:t>
            </w:r>
            <w:r>
              <w:t xml:space="preserve">An</w:t>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pPr>
            <w:r>
              <w:t xml:space="preserve">Không </w:t>
            </w:r>
            <w:r>
              <w:t xml:space="preserve">xác </w:t>
            </w:r>
            <w:r>
              <w:t xml:space="preserve">định</w:t>
            </w:r>
            <w:r>
              <w:t xml:space="preserve"> ✔</w:t>
            </w:r>
            <w:r/>
          </w:p>
        </w:tc>
        <w:tc>
          <w:tcPr>
            <w:tcBorders/>
            <w:tcW w:w="1605" w:type="dxa"/>
            <w:vAlign w:val="center"/>
            <w:textDirection w:val="lrTb"/>
            <w:noWrap w:val="false"/>
          </w:tcPr>
          <w:p>
            <w:pPr>
              <w:pBdr/>
              <w:spacing/>
              <w:ind/>
              <w:jc w:val="center"/>
              <w:rPr/>
            </w:pPr>
            <w:r>
              <w:t xml:space="preserve">16,</w:t>
            </w:r>
            <w:r>
              <w:t xml:space="preserve">5</w:t>
            </w:r>
            <w:r/>
          </w:p>
        </w:tc>
        <w:tc>
          <w:tcPr>
            <w:tcBorders/>
            <w:tcW w:w="1371" w:type="dxa"/>
            <w:vAlign w:val="center"/>
            <w:textDirection w:val="lrTb"/>
            <w:noWrap w:val="false"/>
          </w:tcPr>
          <w:p>
            <w:pPr>
              <w:pBdr/>
              <w:spacing/>
              <w:ind/>
              <w:jc w:val="center"/>
              <w:rPr/>
            </w:pPr>
            <w:r>
              <w:t xml:space="preserve">-</w:t>
            </w:r>
            <w:r/>
          </w:p>
        </w:tc>
        <w:tc>
          <w:tcPr>
            <w:tcBorders/>
            <w:tcW w:w="2149" w:type="dxa"/>
            <w:vAlign w:val="center"/>
            <w:textDirection w:val="lrTb"/>
            <w:noWrap w:val="false"/>
          </w:tcPr>
          <w:p>
            <w:pPr>
              <w:pBdr/>
              <w:spacing/>
              <w:ind/>
              <w:jc w:val="both"/>
              <w:rPr/>
            </w:pPr>
            <w:r>
              <w:t xml:space="preserve">Kích </w:t>
            </w:r>
            <w:r>
              <w:t xml:space="preserve">thước </w:t>
            </w:r>
            <w:r>
              <w:t xml:space="preserve">th</w:t>
            </w:r>
            <w:r>
              <w:t xml:space="preserve">ửa </w:t>
            </w:r>
            <w:r>
              <w:t xml:space="preserve">đất</w:t>
            </w:r>
            <w:r>
              <w:t xml:space="preserve"> </w:t>
            </w:r>
            <w:r>
              <w:t xml:space="preserve">được </w:t>
            </w:r>
            <w:r>
              <w:t xml:space="preserve">xác </w:t>
            </w:r>
            <w:r>
              <w:t xml:space="preserve">định </w:t>
            </w:r>
            <w:r>
              <w:t xml:space="preserve"> theo bản </w:t>
            </w:r>
            <w:r>
              <w:t xml:space="preserve">trích </w:t>
            </w:r>
            <w:r>
              <w:t xml:space="preserve">đo </w:t>
            </w:r>
            <w:r>
              <w:t xml:space="preserve">địa </w:t>
            </w:r>
            <w:r>
              <w:t xml:space="preserve">chính </w:t>
            </w:r>
            <w:r>
              <w:t xml:space="preserve">thửa </w:t>
            </w:r>
            <w:r>
              <w:t xml:space="preserve">đất </w:t>
            </w:r>
            <w:r>
              <w:t xml:space="preserve">theo </w:t>
            </w:r>
            <w:r>
              <w:t xml:space="preserve">HSKT </w:t>
            </w:r>
            <w:r>
              <w:t xml:space="preserve">số: </w:t>
            </w:r>
            <w:r>
              <w:t xml:space="preserve">TH/</w:t>
            </w:r>
            <w:r>
              <w:t xml:space="preserve">319/ </w:t>
            </w:r>
            <w:r>
              <w:t xml:space="preserve">2026 </w:t>
            </w:r>
            <w:r>
              <w:t xml:space="preserve">do </w:t>
            </w:r>
            <w:r>
              <w:t xml:space="preserve">Công </w:t>
            </w:r>
            <w:r>
              <w:t xml:space="preserve">ty </w:t>
            </w:r>
            <w:r>
              <w:t xml:space="preserve">CP </w:t>
            </w:r>
            <w:r>
              <w:t xml:space="preserve">Đo </w:t>
            </w:r>
            <w:r>
              <w:t xml:space="preserve">Đạc </w:t>
            </w:r>
            <w:r>
              <w:t xml:space="preserve">Bản </w:t>
            </w:r>
            <w:r>
              <w:t xml:space="preserve">đồ </w:t>
            </w:r>
            <w:r>
              <w:t xml:space="preserve">và </w:t>
            </w:r>
            <w:r>
              <w:t xml:space="preserve">Xây </w:t>
            </w:r>
            <w:r>
              <w:t xml:space="preserve">Dựng </w:t>
            </w:r>
            <w:r>
              <w:t xml:space="preserve">Thương </w:t>
            </w:r>
            <w:r>
              <w:t xml:space="preserve">Mại </w:t>
            </w:r>
            <w:r>
              <w:t xml:space="preserve">Hà </w:t>
            </w:r>
            <w:r>
              <w:t xml:space="preserve">An</w:t>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2 mặt ngõ</w:t>
            </w:r>
            <w:r/>
          </w:p>
        </w:tc>
        <w:tc>
          <w:tcPr>
            <w:tcBorders/>
            <w:tcW w:w="1605" w:type="dxa"/>
            <w:vAlign w:val="center"/>
            <w:textDirection w:val="lrTb"/>
            <w:noWrap w:val="false"/>
          </w:tcPr>
          <w:p>
            <w:pPr>
              <w:pBdr/>
              <w:spacing/>
              <w:ind/>
              <w:jc w:val="center"/>
              <w:rPr/>
            </w:pPr>
            <w:r>
              <w:t xml:space="preserve">Tiếp giáp 2 mặt ngõ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w:t>
            </w:r>
            <w:r>
              <w:t xml:space="preserve">0</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Tương đối vuông vức</w:t>
            </w:r>
            <w:r/>
          </w:p>
        </w:tc>
        <w:tc>
          <w:tcPr>
            <w:tcBorders/>
            <w:tcW w:w="1605" w:type="dxa"/>
            <w:vAlign w:val="center"/>
            <w:textDirection w:val="lrTb"/>
            <w:noWrap w:val="false"/>
          </w:tcPr>
          <w:p>
            <w:pPr>
              <w:pBdr/>
              <w:spacing/>
              <w:ind/>
              <w:jc w:val="center"/>
              <w:rPr/>
            </w:pPr>
            <w:r>
              <w:t xml:space="preserve">Tương đối vuông vức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S=0.5ha)&lt;5ha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xung</w:t>
            </w:r>
            <w:r>
              <w:rPr>
                <w:lang w:eastAsia="ko-KR"/>
              </w:rPr>
              <w:t xml:space="preserve"> :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43"/>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43"/>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highlight w:val="none"/>
          <w:lang w:val="pt-BR"/>
        </w:rPr>
        <w:t xml:space="preserve">đới (nếu có) trong trường hợp này.</w:t>
      </w:r>
      <w:r>
        <w:rPr>
          <w:spacing w:val="-2"/>
          <w:lang w:val="pt-BR"/>
        </w:rPr>
      </w:r>
      <w:r>
        <w:rPr>
          <w:spacing w:val="-2"/>
          <w:lang w:val="pt-BR"/>
        </w:rP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spacing w:val="-2"/>
          <w:highlight w:val="none"/>
          <w:lang w:val="pt-BR" w:bidi="pt-BR"/>
        </w:rPr>
      </w:r>
      <w:r>
        <w:rPr>
          <w:color w:val="000000"/>
        </w:rPr>
        <w:t xml:space="preserve">Tại </w:t>
      </w:r>
      <w:r>
        <w:rPr>
          <w:color w:val="000000"/>
        </w:rPr>
        <w:t xml:space="preserve">thời </w:t>
      </w:r>
      <w:r>
        <w:rPr>
          <w:color w:val="000000"/>
        </w:rPr>
        <w:t xml:space="preserve">điểm </w:t>
      </w:r>
      <w:r>
        <w:rPr>
          <w:color w:val="000000"/>
        </w:rPr>
        <w:t xml:space="preserve">khảo </w:t>
      </w:r>
      <w:r>
        <w:rPr>
          <w:color w:val="000000"/>
        </w:rPr>
        <w:t xml:space="preserve">sát, </w:t>
      </w:r>
      <w:r>
        <w:rPr>
          <w:color w:val="000000"/>
        </w:rPr>
        <w:t xml:space="preserve">Tổ </w:t>
      </w:r>
      <w:r>
        <w:rPr>
          <w:color w:val="000000"/>
        </w:rPr>
        <w:t xml:space="preserve">thẩm </w:t>
      </w:r>
      <w:r>
        <w:rPr>
          <w:color w:val="000000"/>
        </w:rPr>
        <w:t xml:space="preserve">định </w:t>
      </w:r>
      <w:r>
        <w:rPr>
          <w:color w:val="000000"/>
        </w:rPr>
        <w:t xml:space="preserve">xác </w:t>
      </w:r>
      <w:r>
        <w:rPr>
          <w:color w:val="000000"/>
        </w:rPr>
        <w:t xml:space="preserve">định </w:t>
      </w:r>
      <w:r>
        <w:rPr>
          <w:color w:val="000000"/>
        </w:rPr>
        <w:t xml:space="preserve">trên </w:t>
      </w:r>
      <w:r>
        <w:rPr>
          <w:color w:val="000000"/>
        </w:rPr>
        <w:t xml:space="preserve">đất </w:t>
      </w:r>
      <w:r>
        <w:rPr>
          <w:color w:val="000000"/>
        </w:rPr>
        <w:t xml:space="preserve">có </w:t>
      </w:r>
      <w:r>
        <w:rPr>
          <w:color w:val="000000"/>
        </w:rPr>
        <w:t xml:space="preserve">CTXD </w:t>
      </w:r>
      <w:r>
        <w:rPr>
          <w:color w:val="000000"/>
        </w:rPr>
        <w:t xml:space="preserve">là </w:t>
      </w:r>
      <w:r>
        <w:rPr>
          <w:color w:val="000000"/>
        </w:rPr>
        <w:t xml:space="preserve">nhà </w:t>
      </w:r>
      <w:r>
        <w:rPr>
          <w:color w:val="000000"/>
        </w:rPr>
        <w:t xml:space="preserve">05 </w:t>
      </w:r>
      <w:r>
        <w:rPr>
          <w:color w:val="000000"/>
        </w:rPr>
        <w:t xml:space="preserve">tầng, </w:t>
      </w:r>
      <w:r>
        <w:rPr>
          <w:color w:val="000000"/>
        </w:rPr>
        <w:t xml:space="preserve">diện </w:t>
      </w:r>
      <w:r>
        <w:rPr>
          <w:color w:val="000000"/>
        </w:rPr>
        <w:t xml:space="preserve">tích </w:t>
      </w:r>
      <w:r>
        <w:rPr>
          <w:color w:val="000000"/>
        </w:rPr>
        <w:t xml:space="preserve">xây </w:t>
      </w:r>
      <w:r>
        <w:rPr>
          <w:color w:val="000000"/>
        </w:rPr>
        <w:t xml:space="preserve">dựng ~ </w:t>
      </w:r>
      <w:r>
        <w:rPr>
          <w:color w:val="000000"/>
        </w:rPr>
        <w:t xml:space="preserve">120</w:t>
      </w:r>
      <w:r>
        <w:rPr>
          <w:color w:val="000000"/>
        </w:rPr>
        <w:t xml:space="preserve">m</w:t>
      </w:r>
      <w:r>
        <w:rPr>
          <w:color w:val="000000"/>
          <w:vertAlign w:val="superscript"/>
        </w:rPr>
        <w:t xml:space="preserve">2</w:t>
      </w:r>
      <w:r>
        <w:rPr>
          <w:color w:val="000000"/>
          <w:vertAlign w:val="baseline"/>
        </w:rPr>
        <w:t xml:space="preserve">, </w:t>
      </w:r>
      <w:r>
        <w:rPr>
          <w:color w:val="000000"/>
          <w:vertAlign w:val="baseline"/>
        </w:rPr>
        <w:t xml:space="preserve">tổng </w:t>
      </w:r>
      <w:r>
        <w:rPr>
          <w:color w:val="000000"/>
          <w:vertAlign w:val="baseline"/>
        </w:rPr>
        <w:t xml:space="preserve">diện </w:t>
      </w:r>
      <w:r>
        <w:rPr>
          <w:color w:val="000000"/>
          <w:vertAlign w:val="baseline"/>
        </w:rPr>
        <w:t xml:space="preserve">tích </w:t>
      </w:r>
      <w:r>
        <w:rPr>
          <w:color w:val="000000"/>
          <w:vertAlign w:val="baseline"/>
        </w:rPr>
        <w:t xml:space="preserve">xây </w:t>
      </w:r>
      <w:r>
        <w:rPr>
          <w:color w:val="000000"/>
          <w:vertAlign w:val="baseline"/>
        </w:rPr>
        <w:t xml:space="preserve">dựng </w:t>
      </w:r>
      <w:r>
        <w:rPr>
          <w:color w:val="000000"/>
        </w:rPr>
        <w:t xml:space="preserve">~ </w:t>
      </w:r>
      <w:r>
        <w:rPr>
          <w:color w:val="000000"/>
        </w:rPr>
        <w:t xml:space="preserve">480m</w:t>
      </w:r>
      <w:r>
        <w:rPr>
          <w:color w:val="000000"/>
          <w:vertAlign w:val="superscript"/>
        </w:rPr>
        <w:t xml:space="preserve">2</w:t>
      </w:r>
      <w:r>
        <w:rPr>
          <w:color w:val="000000"/>
          <w:vertAlign w:val="baseline"/>
        </w:rPr>
        <w:t xml:space="preserve">. </w:t>
      </w:r>
      <w:r>
        <w:rPr>
          <w:color w:val="000000"/>
          <w:vertAlign w:val="baseline"/>
        </w:rPr>
        <w:t xml:space="preserve">CTXD </w:t>
      </w:r>
      <w:r>
        <w:rPr>
          <w:color w:val="000000"/>
          <w:vertAlign w:val="baseline"/>
        </w:rPr>
        <w:t xml:space="preserve">đang </w:t>
      </w:r>
      <w:r>
        <w:rPr>
          <w:color w:val="000000"/>
          <w:vertAlign w:val="baseline"/>
        </w:rPr>
        <w:t xml:space="preserve">hoàn </w:t>
      </w:r>
      <w:r>
        <w:rPr>
          <w:color w:val="000000"/>
          <w:vertAlign w:val="baseline"/>
        </w:rPr>
        <w:t xml:space="preserve">thiện</w:t>
      </w:r>
      <w:r>
        <w:rPr>
          <w:spacing w:val="-2"/>
          <w:highlight w:val="none"/>
          <w:lang w:val="pt-BR" w:bidi="pt-BR"/>
        </w:rPr>
        <w:t xml:space="preserve">. </w:t>
      </w:r>
      <w:r>
        <w:rPr>
          <w:color w:val="000000"/>
          <w:highlight w:val="none"/>
          <w:vertAlign w:val="baseline"/>
        </w:rPr>
        <w:t xml:space="preserve">CTXD </w:t>
      </w:r>
      <w:r>
        <w:rPr>
          <w:color w:val="000000"/>
          <w:highlight w:val="none"/>
          <w:vertAlign w:val="baseline"/>
        </w:rPr>
        <w:t xml:space="preserve">chưa </w:t>
      </w:r>
      <w:r>
        <w:rPr>
          <w:color w:val="000000"/>
          <w:highlight w:val="none"/>
          <w:vertAlign w:val="baseline"/>
        </w:rPr>
        <w:t xml:space="preserve">được </w:t>
      </w:r>
      <w:r>
        <w:rPr>
          <w:color w:val="000000"/>
          <w:highlight w:val="none"/>
          <w:vertAlign w:val="baseline"/>
        </w:rPr>
        <w:t xml:space="preserve">ghi </w:t>
      </w:r>
      <w:r>
        <w:rPr>
          <w:color w:val="000000"/>
          <w:highlight w:val="none"/>
          <w:vertAlign w:val="baseline"/>
        </w:rPr>
        <w:t xml:space="preserve">nhận </w:t>
      </w:r>
      <w:r>
        <w:rPr>
          <w:color w:val="000000"/>
          <w:highlight w:val="none"/>
          <w:vertAlign w:val="baseline"/>
        </w:rPr>
        <w:t xml:space="preserve">trên </w:t>
      </w:r>
      <w:r>
        <w:rPr>
          <w:color w:val="000000"/>
          <w:highlight w:val="none"/>
          <w:vertAlign w:val="baseline"/>
        </w:rPr>
        <w:t xml:space="preserve">GCN </w:t>
      </w:r>
      <w:r>
        <w:rPr>
          <w:color w:val="000000"/>
          <w:highlight w:val="none"/>
          <w:vertAlign w:val="baseline"/>
        </w:rPr>
        <w:t xml:space="preserve">QSD</w:t>
      </w:r>
      <w:r>
        <w:rPr>
          <w:color w:val="000000"/>
          <w:highlight w:val="none"/>
          <w:vertAlign w:val="baseline"/>
        </w:rPr>
        <w:t xml:space="preserve">Đ </w:t>
      </w:r>
      <w:r>
        <w:rPr>
          <w:color w:val="000000"/>
          <w:highlight w:val="none"/>
          <w:vertAlign w:val="baseline"/>
        </w:rPr>
        <w:t xml:space="preserve">số: </w:t>
      </w:r>
      <w:r>
        <w:rPr>
          <w:color w:val="000000"/>
          <w:highlight w:val="none"/>
          <w:vertAlign w:val="baseline"/>
        </w:rPr>
        <w:t xml:space="preserve">BS 055205</w:t>
      </w:r>
      <w:r>
        <w:rPr>
          <w:spacing w:val="-2"/>
          <w:highlight w:val="none"/>
          <w:lang w:val="pt-BR" w:bidi="pt-BR"/>
        </w:rPr>
        <w:t xml:space="preserve">.</w:t>
      </w:r>
      <w:r>
        <w:rPr>
          <w:rFonts w:ascii="Times New Roman" w:hAnsi="Times New Roman" w:eastAsia="Times New Roman" w:cs="Times New Roman"/>
          <w:color w:val="000000"/>
          <w:spacing w:val="3"/>
          <w:sz w:val="23"/>
          <w:highlight w:val="white"/>
        </w:rPr>
        <w:t xml:space="preserve">Do vậy, theo đề nghị của Ngân hàng/Khách hàng, Tổ thẩm định không xác định giá trị công trình hiện có trên đất, nhưng vẫn coi đó là phần không thể tách </w:t>
      </w:r>
      <w:r>
        <w:rPr>
          <w:rFonts w:ascii="Times New Roman" w:hAnsi="Times New Roman" w:eastAsia="Times New Roman" w:cs="Times New Roman"/>
          <w:color w:val="000000"/>
          <w:spacing w:val="3"/>
          <w:sz w:val="23"/>
          <w:highlight w:val="none"/>
        </w:rPr>
        <w:t xml:space="preserve">rời của tải sản thẩm định. Đề nghị đơn vị sử dụng kết quả lưu ý.</w:t>
      </w:r>
      <w:r/>
    </w:p>
    <w:p>
      <w:pPr>
        <w:numPr>
          <w:ilvl w:val="0"/>
          <w:numId w:val="39"/>
        </w:numPr>
        <w:pBdr>
          <w:top w:val="none" w:color="000000" w:sz="4" w:space="0"/>
          <w:left w:val="none" w:color="000000" w:sz="4" w:space="0"/>
          <w:bottom w:val="none" w:color="000000" w:sz="4" w:space="0"/>
          <w:right w:val="none" w:color="000000" w:sz="4" w:space="0"/>
        </w:pBdr>
        <w:spacing w:after="120" w:before="120" w:line="276" w:lineRule="auto"/>
        <w:ind/>
        <w:jc w:val="both"/>
        <w:rPr/>
      </w:pPr>
      <w:r>
        <w:rPr>
          <w:highlight w:val="none"/>
        </w:rPr>
      </w:r>
      <w:r>
        <w:rPr>
          <w:highlight w:val="none"/>
        </w:rPr>
        <w:t xml:space="preserve">Diện tích thửa đất được ghi nhận theo </w:t>
      </w:r>
      <w:r>
        <w:rPr>
          <w:color w:val="000000"/>
          <w:highlight w:val="none"/>
          <w:vertAlign w:val="baseline"/>
        </w:rPr>
        <w:t xml:space="preserve">GCN </w:t>
      </w:r>
      <w:r>
        <w:rPr>
          <w:color w:val="000000"/>
          <w:highlight w:val="none"/>
          <w:vertAlign w:val="baseline"/>
        </w:rPr>
        <w:t xml:space="preserve">QSD</w:t>
      </w:r>
      <w:r>
        <w:rPr>
          <w:color w:val="000000"/>
          <w:highlight w:val="none"/>
          <w:vertAlign w:val="baseline"/>
        </w:rPr>
        <w:t xml:space="preserve">Đ </w:t>
      </w:r>
      <w:r>
        <w:rPr>
          <w:color w:val="000000"/>
          <w:highlight w:val="none"/>
          <w:vertAlign w:val="baseline"/>
        </w:rPr>
        <w:t xml:space="preserve">số: </w:t>
      </w:r>
      <w:r>
        <w:rPr>
          <w:color w:val="000000"/>
          <w:highlight w:val="none"/>
          <w:vertAlign w:val="baseline"/>
        </w:rPr>
        <w:t xml:space="preserve">BS 055205</w:t>
      </w:r>
      <w:r>
        <w:rPr>
          <w:highlight w:val="none"/>
        </w:rPr>
        <w:t xml:space="preserve"> thấp hơn diện tích đo đạc </w:t>
      </w:r>
      <w:r>
        <w:rPr>
          <w:highlight w:val="none"/>
        </w:rPr>
        <w:t xml:space="preserve">theo bản </w:t>
      </w:r>
      <w:r>
        <w:rPr>
          <w:highlight w:val="none"/>
        </w:rPr>
        <w:t xml:space="preserve">trích </w:t>
      </w:r>
      <w:r>
        <w:rPr>
          <w:highlight w:val="none"/>
        </w:rPr>
        <w:t xml:space="preserve">đo </w:t>
      </w:r>
      <w:r>
        <w:rPr>
          <w:highlight w:val="none"/>
        </w:rPr>
        <w:t xml:space="preserve">địa </w:t>
      </w:r>
      <w:r>
        <w:rPr>
          <w:highlight w:val="none"/>
        </w:rPr>
        <w:t xml:space="preserve">chính </w:t>
      </w:r>
      <w:r>
        <w:rPr>
          <w:highlight w:val="none"/>
        </w:rPr>
        <w:t xml:space="preserve">thửa </w:t>
      </w:r>
      <w:r>
        <w:rPr>
          <w:highlight w:val="none"/>
        </w:rPr>
        <w:t xml:space="preserve">đất </w:t>
      </w:r>
      <w:r>
        <w:rPr>
          <w:highlight w:val="none"/>
        </w:rPr>
        <w:t xml:space="preserve">theo </w:t>
      </w:r>
      <w:r>
        <w:rPr>
          <w:highlight w:val="none"/>
        </w:rPr>
        <w:t xml:space="preserve">HSKT </w:t>
      </w:r>
      <w:r>
        <w:rPr>
          <w:highlight w:val="none"/>
        </w:rPr>
        <w:t xml:space="preserve">số: </w:t>
      </w:r>
      <w:r>
        <w:rPr>
          <w:highlight w:val="none"/>
        </w:rPr>
        <w:t xml:space="preserve">TH/</w:t>
      </w:r>
      <w:r>
        <w:rPr>
          <w:highlight w:val="none"/>
        </w:rPr>
        <w:t xml:space="preserve">319/ </w:t>
      </w:r>
      <w:r>
        <w:rPr>
          <w:highlight w:val="none"/>
        </w:rPr>
        <w:t xml:space="preserve">2026 </w:t>
      </w:r>
      <w:r>
        <w:rPr>
          <w:highlight w:val="none"/>
        </w:rPr>
        <w:t xml:space="preserve">do </w:t>
      </w:r>
      <w:r>
        <w:rPr>
          <w:highlight w:val="none"/>
        </w:rPr>
        <w:t xml:space="preserve">Công </w:t>
      </w:r>
      <w:r>
        <w:rPr>
          <w:highlight w:val="none"/>
        </w:rPr>
        <w:t xml:space="preserve">ty </w:t>
      </w:r>
      <w:r>
        <w:rPr>
          <w:highlight w:val="none"/>
        </w:rPr>
        <w:t xml:space="preserve">CP </w:t>
      </w:r>
      <w:r>
        <w:rPr>
          <w:highlight w:val="none"/>
        </w:rPr>
        <w:t xml:space="preserve">Đo </w:t>
      </w:r>
      <w:r>
        <w:rPr>
          <w:highlight w:val="none"/>
        </w:rPr>
        <w:t xml:space="preserve">Đạc </w:t>
      </w:r>
      <w:r>
        <w:rPr>
          <w:highlight w:val="none"/>
        </w:rPr>
        <w:t xml:space="preserve">Bản </w:t>
      </w:r>
      <w:r>
        <w:rPr>
          <w:highlight w:val="none"/>
        </w:rPr>
        <w:t xml:space="preserve">đồ </w:t>
      </w:r>
      <w:r>
        <w:rPr>
          <w:highlight w:val="none"/>
        </w:rPr>
        <w:t xml:space="preserve">và </w:t>
      </w:r>
      <w:r>
        <w:rPr>
          <w:highlight w:val="none"/>
        </w:rPr>
        <w:t xml:space="preserve">Xây </w:t>
      </w:r>
      <w:r>
        <w:rPr>
          <w:highlight w:val="none"/>
        </w:rPr>
        <w:t xml:space="preserve">Dựng </w:t>
      </w:r>
      <w:r>
        <w:rPr>
          <w:highlight w:val="none"/>
        </w:rPr>
        <w:t xml:space="preserve">Thương </w:t>
      </w:r>
      <w:r>
        <w:rPr>
          <w:highlight w:val="none"/>
        </w:rPr>
        <w:t xml:space="preserve">Mại </w:t>
      </w:r>
      <w:r>
        <w:rPr>
          <w:highlight w:val="none"/>
        </w:rPr>
        <w:t xml:space="preserve">Hà </w:t>
      </w:r>
      <w:r>
        <w:rPr>
          <w:highlight w:val="none"/>
        </w:rPr>
        <w:t xml:space="preserve">An</w:t>
      </w:r>
      <w:r>
        <w:rPr>
          <w:highlight w:val="none"/>
        </w:rPr>
        <w:t xml:space="preserve">. Được sự đồng ý của khách hàng, Tổ thẩm định xác định giá trị tài sản theo diện tích và các thông số kích thước  được ghi nhận tại hồ sơ pháp lý là </w:t>
      </w:r>
      <w:r>
        <w:rPr>
          <w:color w:val="000000"/>
          <w:highlight w:val="none"/>
          <w:vertAlign w:val="baseline"/>
        </w:rPr>
        <w:t xml:space="preserve">GCN </w:t>
      </w:r>
      <w:r>
        <w:rPr>
          <w:color w:val="000000"/>
          <w:highlight w:val="none"/>
          <w:vertAlign w:val="baseline"/>
        </w:rPr>
        <w:t xml:space="preserve">QSD</w:t>
      </w:r>
      <w:r>
        <w:rPr>
          <w:color w:val="000000"/>
          <w:highlight w:val="none"/>
          <w:vertAlign w:val="baseline"/>
        </w:rPr>
        <w:t xml:space="preserve">Đ </w:t>
      </w:r>
      <w:r>
        <w:rPr>
          <w:color w:val="000000"/>
          <w:highlight w:val="none"/>
          <w:vertAlign w:val="baseline"/>
        </w:rPr>
        <w:t xml:space="preserve">số: </w:t>
      </w:r>
      <w:r>
        <w:rPr>
          <w:color w:val="000000"/>
          <w:highlight w:val="none"/>
          <w:vertAlign w:val="baseline"/>
        </w:rPr>
        <w:t xml:space="preserve">BS 055205</w:t>
      </w:r>
      <w:r>
        <w:rPr>
          <w:highlight w:val="none"/>
        </w:rPr>
        <w:t xml:space="preserve">.</w:t>
      </w:r>
      <w:r>
        <w:rPr>
          <w:highlight w:val="none"/>
        </w:rPr>
        <w:t xml:space="preserve"> </w:t>
      </w:r>
      <w:r>
        <w:rPr>
          <w:highlight w:val="none"/>
        </w:rPr>
        <w:t xml:space="preserve">Kính đề nghị các đơn vị sử dụng Chứng thư lưu ý.</w:t>
      </w:r>
      <w:r>
        <w:rPr>
          <w:highlight w:val="none"/>
        </w:rPr>
      </w:r>
      <w:r/>
    </w:p>
    <w:p>
      <w:pPr>
        <w:pStyle w:val="1043"/>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43"/>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43"/>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43"/>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43"/>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43"/>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43"/>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43"/>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43"/>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43"/>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Cs/>
          <w:lang w:val="pt-BR"/>
        </w:rPr>
      </w:r>
      <w:r>
        <w:rPr>
          <w:bCs/>
          <w:lang w:val="pt-BR"/>
        </w:rPr>
      </w:r>
    </w:p>
    <w:p>
      <w:pPr>
        <w:pStyle w:val="1043"/>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Xã T</w:t>
            </w:r>
            <w:r>
              <w:rPr>
                <w:color w:val="000000" w:themeColor="text1"/>
                <w:sz w:val="22"/>
                <w:szCs w:val="22"/>
              </w:rPr>
              <w:t xml:space="preserve">am </w:t>
            </w:r>
            <w:r>
              <w:rPr>
                <w:color w:val="000000" w:themeColor="text1"/>
                <w:sz w:val="22"/>
                <w:szCs w:val="22"/>
              </w:rPr>
              <w:t xml:space="preserve">Hưng</w:t>
            </w:r>
            <w:r>
              <w:rPr>
                <w:color w:val="000000" w:themeColor="text1"/>
                <w:sz w:val="22"/>
                <w:szCs w:val="22"/>
              </w:rPr>
              <w:t xml:space="preserve">,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Xã T</w:t>
            </w:r>
            <w:r>
              <w:rPr>
                <w:color w:val="000000" w:themeColor="text1"/>
                <w:sz w:val="22"/>
                <w:szCs w:val="22"/>
              </w:rPr>
              <w:t xml:space="preserve">am </w:t>
            </w:r>
            <w:r>
              <w:rPr>
                <w:color w:val="000000" w:themeColor="text1"/>
                <w:sz w:val="22"/>
                <w:szCs w:val="22"/>
              </w:rPr>
              <w:t xml:space="preserve">Hưng</w:t>
            </w:r>
            <w:r>
              <w:rPr>
                <w:color w:val="000000" w:themeColor="text1"/>
                <w:sz w:val="22"/>
                <w:szCs w:val="22"/>
              </w:rPr>
              <w:t xml:space="preserve">,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Xã T</w:t>
            </w:r>
            <w:r>
              <w:rPr>
                <w:color w:val="000000" w:themeColor="text1"/>
                <w:sz w:val="22"/>
                <w:szCs w:val="22"/>
              </w:rPr>
              <w:t xml:space="preserve">am </w:t>
            </w:r>
            <w:r>
              <w:rPr>
                <w:color w:val="000000" w:themeColor="text1"/>
                <w:sz w:val="22"/>
                <w:szCs w:val="22"/>
              </w:rPr>
              <w:t xml:space="preserve">Hưng</w:t>
            </w:r>
            <w:r>
              <w:rPr>
                <w:color w:val="000000" w:themeColor="text1"/>
                <w:sz w:val="22"/>
                <w:szCs w:val="22"/>
              </w:rPr>
              <w:t xml:space="preserve">,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Xã T</w:t>
            </w:r>
            <w:r>
              <w:rPr>
                <w:color w:val="000000" w:themeColor="text1"/>
                <w:sz w:val="22"/>
                <w:szCs w:val="22"/>
              </w:rPr>
              <w:t xml:space="preserve">am </w:t>
            </w:r>
            <w:r>
              <w:rPr>
                <w:color w:val="000000" w:themeColor="text1"/>
                <w:sz w:val="22"/>
                <w:szCs w:val="22"/>
              </w:rPr>
              <w:t xml:space="preserve">Hưng</w:t>
            </w:r>
            <w:r>
              <w:rPr>
                <w:color w:val="000000" w:themeColor="text1"/>
                <w:sz w:val="22"/>
                <w:szCs w:val="22"/>
              </w:rPr>
              <w:t xml:space="preserve">, Thành phố Hà Nội</w:t>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https://www.facebook.com/groups/1532133027033983/permalink/4382295135351077/?rdid=O1UC2P6rzo1W9WAV#</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0368596836</w:t>
            </w:r>
            <w:r>
              <w:rPr>
                <w:sz w:val="22"/>
                <w:szCs w:val="22"/>
              </w:rPr>
              <w:t xml:space="preserve"> </w:t>
            </w:r>
            <w:r>
              <w:rPr>
                <w:sz w:val="22"/>
                <w:szCs w:val="22"/>
              </w:rPr>
              <w:br/>
              <w:t xml:space="preserve">(</w:t>
            </w:r>
            <w:r>
              <w:rPr>
                <w:sz w:val="22"/>
                <w:szCs w:val="22"/>
              </w:rPr>
              <w:t xml:space="preserve">Nguyễn Phượng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0854 889 333</w:t>
            </w:r>
            <w:r>
              <w:rPr>
                <w:sz w:val="22"/>
                <w:szCs w:val="22"/>
              </w:rPr>
              <w:br/>
            </w:r>
            <w:r>
              <w:rPr>
                <w:sz w:val="22"/>
                <w:szCs w:val="22"/>
              </w:rPr>
              <w:t xml:space="preserve">(</w:t>
            </w:r>
            <w:r>
              <w:rPr>
                <w:sz w:val="22"/>
                <w:szCs w:val="22"/>
              </w:rPr>
              <w:t xml:space="preserve">Bùi Duy Hồng</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0912898831</w:t>
            </w:r>
            <w:r>
              <w:rPr>
                <w:sz w:val="22"/>
                <w:szCs w:val="22"/>
              </w:rPr>
              <w:br/>
            </w:r>
            <w:r>
              <w:rPr>
                <w:sz w:val="22"/>
                <w:szCs w:val="22"/>
              </w:rPr>
              <w:t xml:space="preserve">(</w:t>
            </w:r>
            <w:r>
              <w:rPr>
                <w:sz w:val="22"/>
                <w:szCs w:val="22"/>
              </w:rPr>
              <w:t xml:space="preserve">Hùng Bảng</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 </w:t>
            </w:r>
            <w:r>
              <w:rPr>
                <w:color w:val="000000" w:themeColor="text1"/>
                <w:sz w:val="22"/>
                <w:szCs w:val="22"/>
              </w:rPr>
              <w:t xml:space="preserve">Đang giao dịch</w:t>
            </w:r>
            <w:r>
              <w:rPr>
                <w:color w:val="000000"/>
                <w:sz w:val="22"/>
                <w:szCs w:val="22"/>
              </w:rPr>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rPr/>
            </w:pPr>
            <w:r>
              <w:rPr>
                <w:color w:val="000000"/>
                <w:sz w:val="22"/>
                <w:szCs w:val="22"/>
              </w:rPr>
              <w:t xml:space="preserve"> </w:t>
            </w:r>
            <w:r>
              <w:rPr>
                <w:color w:val="000000" w:themeColor="text1"/>
                <w:sz w:val="22"/>
                <w:szCs w:val="22"/>
              </w:rPr>
              <w:t xml:space="preserve">Đang giao dịch</w:t>
            </w:r>
            <w:r>
              <w:rPr>
                <w:color w:val="000000"/>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03/2026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05/2026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09/2026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nông thôn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Xã T</w:t>
            </w:r>
            <w:r>
              <w:rPr>
                <w:color w:val="000000" w:themeColor="text1"/>
                <w:sz w:val="22"/>
                <w:szCs w:val="22"/>
              </w:rPr>
              <w:t xml:space="preserve">am </w:t>
            </w:r>
            <w:r>
              <w:rPr>
                <w:color w:val="000000" w:themeColor="text1"/>
                <w:sz w:val="22"/>
                <w:szCs w:val="22"/>
              </w:rPr>
              <w:t xml:space="preserve">Hưng</w:t>
            </w:r>
            <w:r>
              <w:rPr>
                <w:color w:val="000000" w:themeColor="text1"/>
                <w:sz w:val="22"/>
                <w:szCs w:val="22"/>
              </w:rPr>
              <w:t xml:space="preserve">, Thành phố Hà Nộ</w:t>
            </w:r>
            <w:r>
              <w:rPr>
                <w:color w:val="000000" w:themeColor="text1"/>
                <w:sz w:val="22"/>
                <w:szCs w:val="22"/>
              </w:rPr>
              <w:t xml:space="preserve">i, </w:t>
            </w:r>
            <w:r>
              <w:rPr>
                <w:color w:val="000000" w:themeColor="text1"/>
                <w:sz w:val="22"/>
                <w:szCs w:val="22"/>
              </w:rPr>
              <w:t xml:space="preserve">Tiếp giáp với đường xóm Trại</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20.8735, 105.80988888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X</w:t>
            </w:r>
            <w:r>
              <w:rPr>
                <w:color w:val="000000" w:themeColor="text1"/>
                <w:sz w:val="22"/>
                <w:szCs w:val="22"/>
              </w:rPr>
              <w:t xml:space="preserve">ã T</w:t>
            </w:r>
            <w:r>
              <w:rPr>
                <w:color w:val="000000" w:themeColor="text1"/>
                <w:sz w:val="22"/>
                <w:szCs w:val="22"/>
              </w:rPr>
              <w:t xml:space="preserve">am </w:t>
            </w:r>
            <w:r>
              <w:rPr>
                <w:color w:val="000000" w:themeColor="text1"/>
                <w:sz w:val="22"/>
                <w:szCs w:val="22"/>
              </w:rPr>
              <w:t xml:space="preserve">Hưng</w:t>
            </w:r>
            <w:r>
              <w:rPr>
                <w:color w:val="000000" w:themeColor="text1"/>
                <w:sz w:val="22"/>
                <w:szCs w:val="22"/>
              </w:rPr>
              <w:t xml:space="preserve">, Thành phố Hà Nộ</w:t>
            </w:r>
            <w:r>
              <w:rPr>
                <w:color w:val="000000" w:themeColor="text1"/>
                <w:sz w:val="22"/>
                <w:szCs w:val="22"/>
              </w:rPr>
              <w:t xml:space="preserve">i</w:t>
            </w:r>
            <w:r>
              <w:rPr>
                <w:color w:val="000000" w:themeColor="text1"/>
                <w:sz w:val="22"/>
                <w:szCs w:val="22"/>
              </w:rPr>
              <w:t xml:space="preserve">, khoảng cách ra đường chính 500m cách DT427B khoảng 500m</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20.86734335, 105.81639425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Xã Tam Hưng, Thành phố Hà Nộ</w:t>
            </w:r>
            <w:r>
              <w:rPr>
                <w:color w:val="000000" w:themeColor="text1"/>
                <w:sz w:val="22"/>
                <w:szCs w:val="22"/>
              </w:rPr>
              <w:t xml:space="preserve">i </w:t>
            </w:r>
            <w:r>
              <w:rPr>
                <w:color w:val="000000" w:themeColor="text1"/>
                <w:sz w:val="22"/>
                <w:szCs w:val="22"/>
              </w:rPr>
              <w:t xml:space="preserve">Thành phố Hà Nội, khoảng cách ra đường chính </w:t>
            </w:r>
            <w:r>
              <w:rPr>
                <w:color w:val="000000" w:themeColor="text1"/>
                <w:sz w:val="22"/>
                <w:szCs w:val="22"/>
              </w:rPr>
              <w:t xml:space="preserve">khoảng </w:t>
            </w:r>
            <w:r>
              <w:rPr>
                <w:color w:val="000000" w:themeColor="text1"/>
                <w:sz w:val="22"/>
                <w:szCs w:val="22"/>
              </w:rPr>
              <w:t xml:space="preserve">80</w:t>
            </w:r>
            <w:r>
              <w:rPr>
                <w:color w:val="000000" w:themeColor="text1"/>
                <w:sz w:val="22"/>
                <w:szCs w:val="22"/>
              </w:rPr>
              <w:t xml:space="preserve">m,</w:t>
            </w:r>
            <w:r>
              <w:rPr>
                <w:color w:val="000000" w:themeColor="text1"/>
                <w:sz w:val="22"/>
                <w:szCs w:val="22"/>
              </w:rPr>
            </w:r>
            <w:r>
              <w:rPr>
                <w:color w:val="000000" w:themeColor="text1"/>
                <w:sz w:val="22"/>
                <w:szCs w:val="22"/>
              </w:rPr>
            </w:r>
          </w:p>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20.86926034, 105.81823199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Xã T</w:t>
            </w:r>
            <w:r>
              <w:rPr>
                <w:color w:val="000000" w:themeColor="text1"/>
                <w:sz w:val="22"/>
                <w:szCs w:val="22"/>
              </w:rPr>
              <w:t xml:space="preserve">am </w:t>
            </w:r>
            <w:r>
              <w:rPr>
                <w:color w:val="000000" w:themeColor="text1"/>
                <w:sz w:val="22"/>
                <w:szCs w:val="22"/>
              </w:rPr>
              <w:t xml:space="preserve">Hưng</w:t>
            </w:r>
            <w:r>
              <w:rPr>
                <w:color w:val="000000" w:themeColor="text1"/>
                <w:sz w:val="22"/>
                <w:szCs w:val="22"/>
              </w:rPr>
              <w:t xml:space="preserve">, Thành phố Hà Nộ</w:t>
            </w:r>
            <w:r>
              <w:rPr>
                <w:color w:val="000000" w:themeColor="text1"/>
                <w:sz w:val="22"/>
                <w:szCs w:val="22"/>
              </w:rPr>
              <w:t xml:space="preserve">i, </w:t>
            </w:r>
            <w:r>
              <w:rPr>
                <w:color w:val="000000" w:themeColor="text1"/>
                <w:sz w:val="22"/>
                <w:szCs w:val="22"/>
              </w:rPr>
              <w:t xml:space="preserve"> </w:t>
            </w:r>
            <w:r>
              <w:rPr>
                <w:color w:val="000000" w:themeColor="text1"/>
                <w:sz w:val="22"/>
                <w:szCs w:val="22"/>
              </w:rPr>
              <w:t xml:space="preserve">tiếp </w:t>
            </w:r>
            <w:r>
              <w:rPr>
                <w:color w:val="000000" w:themeColor="text1"/>
                <w:sz w:val="22"/>
                <w:szCs w:val="22"/>
              </w:rPr>
              <w:t xml:space="preserve">giáp </w:t>
            </w:r>
            <w:r>
              <w:rPr>
                <w:color w:val="000000" w:themeColor="text1"/>
                <w:sz w:val="22"/>
                <w:szCs w:val="22"/>
              </w:rPr>
              <w:t xml:space="preserve"> đường Gia Vĩnh</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20.87044444, 105.80727777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148,</w:t>
            </w:r>
            <w:r>
              <w:rPr>
                <w:color w:val="000000" w:themeColor="text1"/>
                <w:sz w:val="22"/>
                <w:szCs w:val="22"/>
              </w:rPr>
              <w:t xml:space="preserve">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78,3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80,5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51,</w:t>
            </w:r>
            <w:r>
              <w:rPr>
                <w:color w:val="000000" w:themeColor="text1"/>
                <w:sz w:val="22"/>
                <w:szCs w:val="22"/>
              </w:rPr>
              <w:t xml:space="preserve">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10,41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3,25</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themeColor="text1"/>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chữ nhật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552"/>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15</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color w:val="000000" w:themeColor="text1"/>
                <w:sz w:val="22"/>
                <w:szCs w:val="22"/>
              </w:rPr>
            </w:pPr>
            <w:r>
              <w:rPr>
                <w:color w:val="000000" w:themeColor="text1"/>
                <w:sz w:val="22"/>
                <w:szCs w:val="22"/>
              </w:rPr>
              <w:t xml:space="preserve">Tài </w:t>
            </w:r>
            <w:r>
              <w:rPr>
                <w:color w:val="000000" w:themeColor="text1"/>
                <w:sz w:val="22"/>
                <w:szCs w:val="22"/>
              </w:rPr>
              <w:t xml:space="preserve">sản </w:t>
            </w:r>
            <w:r>
              <w:rPr>
                <w:color w:val="000000" w:themeColor="text1"/>
                <w:sz w:val="22"/>
                <w:szCs w:val="22"/>
              </w:rPr>
              <w:t xml:space="preserve">gắn </w:t>
            </w:r>
            <w:r>
              <w:rPr>
                <w:color w:val="000000" w:themeColor="text1"/>
                <w:sz w:val="22"/>
                <w:szCs w:val="22"/>
              </w:rPr>
              <w:t xml:space="preserve">liền </w:t>
            </w:r>
            <w:r>
              <w:rPr>
                <w:color w:val="000000" w:themeColor="text1"/>
                <w:sz w:val="22"/>
                <w:szCs w:val="22"/>
              </w:rPr>
              <w:t xml:space="preserve">với </w:t>
            </w:r>
            <w:r>
              <w:rPr>
                <w:color w:val="000000" w:themeColor="text1"/>
                <w:sz w:val="22"/>
                <w:szCs w:val="22"/>
              </w:rPr>
              <w:t xml:space="preserve">đất</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color w:val="000000" w:themeColor="text1"/>
                <w:sz w:val="22"/>
                <w:szCs w:val="22"/>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pPr>
            <w:r>
              <w:rPr>
                <w:color w:val="000000" w:themeColor="text1"/>
                <w:sz w:val="22"/>
                <w:szCs w:val="22"/>
              </w:rPr>
              <w:t xml:space="preserve">Đất </w:t>
            </w:r>
            <w:r>
              <w:rPr>
                <w:color w:val="000000" w:themeColor="text1"/>
                <w:sz w:val="22"/>
                <w:szCs w:val="22"/>
              </w:rPr>
              <w:t xml:space="preserve">trống</w:t>
            </w:r>
            <w:r>
              <w:rPr>
                <w:color w:val="000000" w:themeColor="text1"/>
                <w:sz w:val="22"/>
                <w:szCs w:val="22"/>
              </w:rPr>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4.541.400.000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3.860.190.000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2.640.000.000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3.860.190.000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4.000.000.000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2.640.000.000</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49.300.000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49.689.441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51.764.706</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w:t>
            </w:r>
            <w:r>
              <w:rPr>
                <w:color w:val="000000" w:themeColor="text1"/>
                <w:sz w:val="22"/>
                <w:szCs w:val="22"/>
              </w:rPr>
              <w:t xml:space="preserve">đồng</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43"/>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3.860.190.000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4.000.000.000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2.640.000.000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49.300.000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49.689.441</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51.764.706</w:t>
            </w:r>
            <w:r>
              <w:rPr>
                <w:color w:val="000000"/>
                <w:sz w:val="22"/>
                <w:szCs w:val="22"/>
              </w:rPr>
            </w:r>
            <w:r>
              <w:rPr>
                <w:color w:val="000000"/>
                <w:sz w:val="22"/>
                <w:szCs w:val="22"/>
              </w:rPr>
            </w:r>
          </w:p>
        </w:tc>
      </w:tr>
      <w:tr>
        <w:trPr>
          <w:trHeight w:val="325"/>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c>
          <w:tcPr>
            <w:shd w:val="clear" w:color="000000" w:fill="ffffff"/>
            <w:tcBorders/>
            <w:tcW w:w="1522" w:type="dxa"/>
            <w:vAlign w:val="center"/>
            <w:textDirection w:val="lrTb"/>
            <w:noWrap w:val="false"/>
          </w:tcPr>
          <w:p>
            <w:pPr>
              <w:pBdr/>
              <w:spacing/>
              <w:ind/>
              <w:jc w:val="center"/>
              <w:rPr/>
            </w:pPr>
            <w:r>
              <w:rPr>
                <w:color w:val="000000" w:themeColor="text1"/>
                <w:sz w:val="22"/>
                <w:szCs w:val="22"/>
              </w:rPr>
              <w:t xml:space="preserve">Giấy chứng nhận quyền sử dụng đất</w:t>
            </w:r>
            <w:r>
              <w:rPr>
                <w:b/>
                <w:bCs/>
                <w:color w:val="000000"/>
                <w:sz w:val="22"/>
                <w:szCs w:val="22"/>
              </w:rPr>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49.300.000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49.689.441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51.764.706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Xã T</w:t>
            </w:r>
            <w:r>
              <w:rPr>
                <w:color w:val="000000" w:themeColor="text1"/>
                <w:sz w:val="22"/>
                <w:szCs w:val="22"/>
              </w:rPr>
              <w:t xml:space="preserve">am </w:t>
            </w:r>
            <w:r>
              <w:rPr>
                <w:color w:val="000000" w:themeColor="text1"/>
                <w:sz w:val="22"/>
                <w:szCs w:val="22"/>
              </w:rPr>
              <w:t xml:space="preserve">Hưng</w:t>
            </w:r>
            <w:r>
              <w:rPr>
                <w:color w:val="000000" w:themeColor="text1"/>
                <w:sz w:val="22"/>
                <w:szCs w:val="22"/>
              </w:rPr>
              <w:t xml:space="preserve">, Thành phố Hà Nộ</w:t>
            </w:r>
            <w:r>
              <w:rPr>
                <w:color w:val="000000" w:themeColor="text1"/>
                <w:sz w:val="22"/>
                <w:szCs w:val="22"/>
              </w:rPr>
              <w:t xml:space="preserve">i, </w:t>
            </w:r>
            <w:r>
              <w:rPr>
                <w:color w:val="000000" w:themeColor="text1"/>
                <w:sz w:val="22"/>
                <w:szCs w:val="22"/>
              </w:rPr>
              <w:t xml:space="preserve">Tiếp giáp với đường xóm Trại</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20.8735, 105.80988888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X</w:t>
            </w:r>
            <w:r>
              <w:rPr>
                <w:color w:val="000000" w:themeColor="text1"/>
                <w:sz w:val="22"/>
                <w:szCs w:val="22"/>
              </w:rPr>
              <w:t xml:space="preserve">ã T</w:t>
            </w:r>
            <w:r>
              <w:rPr>
                <w:color w:val="000000" w:themeColor="text1"/>
                <w:sz w:val="22"/>
                <w:szCs w:val="22"/>
              </w:rPr>
              <w:t xml:space="preserve">am </w:t>
            </w:r>
            <w:r>
              <w:rPr>
                <w:color w:val="000000" w:themeColor="text1"/>
                <w:sz w:val="22"/>
                <w:szCs w:val="22"/>
              </w:rPr>
              <w:t xml:space="preserve">Hưng</w:t>
            </w:r>
            <w:r>
              <w:rPr>
                <w:color w:val="000000" w:themeColor="text1"/>
                <w:sz w:val="22"/>
                <w:szCs w:val="22"/>
              </w:rPr>
              <w:t xml:space="preserve">, Thành phố Hà Nộ</w:t>
            </w:r>
            <w:r>
              <w:rPr>
                <w:color w:val="000000" w:themeColor="text1"/>
                <w:sz w:val="22"/>
                <w:szCs w:val="22"/>
              </w:rPr>
              <w:t xml:space="preserve">i</w:t>
            </w:r>
            <w:r>
              <w:rPr>
                <w:color w:val="000000" w:themeColor="text1"/>
                <w:sz w:val="22"/>
                <w:szCs w:val="22"/>
              </w:rPr>
              <w:t xml:space="preserve">, khoảng cách ra đường chính 500m cách DT427B khoảng 500m</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20.86734335, 105.81639425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Xã Tam Hưng, Thành phố Hà Nộ</w:t>
            </w:r>
            <w:r>
              <w:rPr>
                <w:color w:val="000000" w:themeColor="text1"/>
                <w:sz w:val="22"/>
                <w:szCs w:val="22"/>
              </w:rPr>
              <w:t xml:space="preserve">i </w:t>
            </w:r>
            <w:r>
              <w:rPr>
                <w:color w:val="000000" w:themeColor="text1"/>
                <w:sz w:val="22"/>
                <w:szCs w:val="22"/>
              </w:rPr>
              <w:t xml:space="preserve">Thành phố Hà Nội, khoảng cách ra đường chính </w:t>
            </w:r>
            <w:r>
              <w:rPr>
                <w:color w:val="000000" w:themeColor="text1"/>
                <w:sz w:val="22"/>
                <w:szCs w:val="22"/>
              </w:rPr>
              <w:t xml:space="preserve">khoảng </w:t>
            </w:r>
            <w:r>
              <w:rPr>
                <w:color w:val="000000" w:themeColor="text1"/>
                <w:sz w:val="22"/>
                <w:szCs w:val="22"/>
              </w:rPr>
              <w:t xml:space="preserve">80</w:t>
            </w:r>
            <w:r>
              <w:rPr>
                <w:color w:val="000000" w:themeColor="text1"/>
                <w:sz w:val="22"/>
                <w:szCs w:val="22"/>
              </w:rPr>
              <w:t xml:space="preserve">m,</w:t>
            </w:r>
            <w:r>
              <w:rPr>
                <w:color w:val="000000" w:themeColor="text1"/>
                <w:sz w:val="22"/>
                <w:szCs w:val="22"/>
              </w:rPr>
            </w:r>
            <w:r>
              <w:rPr>
                <w:color w:val="000000" w:themeColor="text1"/>
                <w:sz w:val="22"/>
                <w:szCs w:val="22"/>
              </w:rPr>
            </w:r>
          </w:p>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20.86926034, 105.81823199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Xã T</w:t>
            </w:r>
            <w:r>
              <w:rPr>
                <w:color w:val="000000" w:themeColor="text1"/>
                <w:sz w:val="22"/>
                <w:szCs w:val="22"/>
              </w:rPr>
              <w:t xml:space="preserve">am </w:t>
            </w:r>
            <w:r>
              <w:rPr>
                <w:color w:val="000000" w:themeColor="text1"/>
                <w:sz w:val="22"/>
                <w:szCs w:val="22"/>
              </w:rPr>
              <w:t xml:space="preserve">Hưng</w:t>
            </w:r>
            <w:r>
              <w:rPr>
                <w:color w:val="000000" w:themeColor="text1"/>
                <w:sz w:val="22"/>
                <w:szCs w:val="22"/>
              </w:rPr>
              <w:t xml:space="preserve">, Thành phố Hà Nộ</w:t>
            </w:r>
            <w:r>
              <w:rPr>
                <w:color w:val="000000" w:themeColor="text1"/>
                <w:sz w:val="22"/>
                <w:szCs w:val="22"/>
              </w:rPr>
              <w:t xml:space="preserve">i, </w:t>
            </w:r>
            <w:r>
              <w:rPr>
                <w:color w:val="000000" w:themeColor="text1"/>
                <w:sz w:val="22"/>
                <w:szCs w:val="22"/>
              </w:rPr>
              <w:t xml:space="preserve"> </w:t>
            </w:r>
            <w:r>
              <w:rPr>
                <w:color w:val="000000" w:themeColor="text1"/>
                <w:sz w:val="22"/>
                <w:szCs w:val="22"/>
              </w:rPr>
              <w:t xml:space="preserve">tiếp </w:t>
            </w:r>
            <w:r>
              <w:rPr>
                <w:color w:val="000000" w:themeColor="text1"/>
                <w:sz w:val="22"/>
                <w:szCs w:val="22"/>
              </w:rPr>
              <w:t xml:space="preserve">giáp </w:t>
            </w:r>
            <w:r>
              <w:rPr>
                <w:color w:val="000000" w:themeColor="text1"/>
                <w:sz w:val="22"/>
                <w:szCs w:val="22"/>
              </w:rPr>
              <w:t xml:space="preserve"> đường Gia Vĩnh</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20.87044444, 105.80727777</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2.465.000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2.484.472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51.765.000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52.173.913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51.764.706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bê tông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51.765.000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52.173.913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51.764.706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w:t>
            </w:r>
            <w:r>
              <w:rPr>
                <w:color w:val="000000" w:themeColor="text1"/>
                <w:sz w:val="22"/>
                <w:szCs w:val="22"/>
              </w:rPr>
              <w:t xml:space="preserve">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color w:val="000000" w:themeColor="text1"/>
                <w:sz w:val="22"/>
                <w:szCs w:val="22"/>
              </w:rPr>
              <w:t xml:space="preserve">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w:t>
            </w:r>
            <w:r>
              <w:rPr>
                <w:color w:val="000000" w:themeColor="text1"/>
                <w:sz w:val="22"/>
                <w:szCs w:val="22"/>
              </w:rPr>
              <w:t xml:space="preserve">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2,8</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1.972.000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1.987.578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2.070.588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53.737.000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54.161.491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53.835.294</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78,3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80,5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51</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-4.930.000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-4.968.944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-6.211.765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48.807.000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49.192.547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47.623.529</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10.41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4.21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3.25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2.465.000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2.484.472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4.141.176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51.272.000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51.677.019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51.764.705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2.465.000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2.484.472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2.588.235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53.737.000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54.161.491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54.352.940</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w:t>
            </w: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chữ nhật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53.737.000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54.161.491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54.352.940</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53.737.000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54.161.491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54.352.940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54.083.810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-0,64%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0,14%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0,5%</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14.297.000</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14.409.938</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15.011.764</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 - 10%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 - 12%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4.437.000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4.472.050</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2.588.234</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 0,</w:t>
      </w:r>
      <w:r>
        <w:t xml:space="preserve">5 </w:t>
      </w:r>
      <w:r>
        <w:t xml:space="preserve">% đến</w:t>
      </w:r>
      <w:r>
        <w:t xml:space="preserve"> </w:t>
      </w:r>
      <w:r>
        <w:t xml:space="preserve"> </w:t>
      </w:r>
      <w:r>
        <w:t xml:space="preserve">0,</w:t>
      </w:r>
      <w:r>
        <w:t xml:space="preserve">64</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53.737.000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w:t>
            </w:r>
            <w:r>
              <w:rPr>
                <w:color w:val="000000"/>
              </w:rPr>
              <w:t xml:space="preserve">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17.915.916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54.161.491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18.052.025</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54.352.940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18.115.835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54.083.776</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54.000.000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54.000.000</w:t>
      </w:r>
      <w:r>
        <w:rPr>
          <w:b/>
          <w:bCs/>
          <w:color w:val="000000" w:themeColor="text1"/>
        </w:rPr>
        <w:t xml:space="preserve"> </w:t>
      </w:r>
      <w:r>
        <w:rPr>
          <w:b/>
          <w:bCs/>
        </w:rPr>
        <w:t xml:space="preserve">đồng/m².</w:t>
      </w:r>
      <w:r>
        <w:rPr>
          <w:b/>
          <w:bCs/>
        </w:rPr>
      </w:r>
      <w:r>
        <w:rPr>
          <w:b/>
          <w:bCs/>
        </w:rPr>
      </w:r>
    </w:p>
    <w:p>
      <w:pPr>
        <w:pStyle w:val="1043"/>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43"/>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09/2026</w:t>
      </w:r>
      <w:r>
        <w:t xml:space="preserve"> </w:t>
      </w:r>
      <w:r>
        <w:t xml:space="preserve">ước tính </w:t>
      </w:r>
      <w:r>
        <w:t xml:space="preserve">như sau</w:t>
      </w:r>
      <w:r>
        <w:t xml:space="preserve">:</w:t>
      </w:r>
      <w:r/>
    </w:p>
    <w:p>
      <w:pPr>
        <w:pStyle w:val="1043"/>
        <w:pBdr/>
        <w:tabs>
          <w:tab w:val="left" w:leader="none" w:pos="993"/>
        </w:tabs>
        <w:spacing w:after="120" w:before="120" w:line="276" w:lineRule="auto"/>
        <w:ind w:left="0"/>
        <w:jc w:val="both"/>
        <w:rPr/>
      </w:pPr>
      <w:r/>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52"/>
        <w:gridCol w:w="2022"/>
        <w:gridCol w:w="1801"/>
        <w:gridCol w:w="2578"/>
        <w:gridCol w:w="2162"/>
      </w:tblGrid>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1097" w:type="pct"/>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981" w:type="pct"/>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1389" w:type="pct"/>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3467" w:type="pct"/>
            <w:vAlign w:val="center"/>
            <w:textDirection w:val="lrTb"/>
            <w:noWrap w:val="false"/>
          </w:tcPr>
          <w:p>
            <w:pPr>
              <w:pBdr/>
              <w:spacing w:after="40" w:before="40" w:line="288" w:lineRule="auto"/>
              <w:ind/>
              <w:jc w:val="both"/>
              <w:rPr>
                <w:b/>
                <w:bCs/>
              </w:rPr>
            </w:pPr>
            <w:r>
              <w:rPr>
                <w:b/>
                <w:bCs/>
                <w:color w:val="000000"/>
              </w:rPr>
              <w:t xml:space="preserve">Quyền sử dụng đất tại thửa số: 494 (tách từ thửa 310), tờ bản đồ số: 04, tỷ lệ 1/1000 xã Thanh Thùy đất có địa chỉ: thôn Rùa Hạ, xã Thanh Thùy, huyện Thanh Oai, Thành phố Hà Nội </w:t>
            </w:r>
            <w:r>
              <w:rPr>
                <w:b/>
                <w:bCs/>
                <w:i/>
                <w:iCs/>
                <w:color w:val="000000"/>
              </w:rPr>
              <w:t xml:space="preserve">(nay l</w:t>
            </w:r>
            <w:r>
              <w:rPr>
                <w:b/>
                <w:bCs/>
                <w:i/>
                <w:iCs/>
                <w:color w:val="000000"/>
              </w:rPr>
              <w:t xml:space="preserve">à xã Tam Hưng, Thành phố Hà Nội)</w:t>
            </w:r>
            <w:r>
              <w:rPr>
                <w:b/>
                <w:bCs/>
                <w:color w:val="000000"/>
              </w:rPr>
              <w:t xml:space="preserve"> theo Giấy chứng nhận quyền sử dụng đất quyền sở hữu nhà ở và tài sản khác gắn liền với đất số: BS 055205, số vào sổ cấp GCN: CH 00430 TT/TO do UBND Huyện Thanh Oai cấp ngày 03/3/2014; Chủ sử dụng đất là ông Nguyễn Văn Hanh.</w:t>
            </w:r>
            <w:r>
              <w:rPr>
                <w:b/>
                <w:bCs/>
              </w:rPr>
              <w:t xml:space="preserve">.</w:t>
            </w:r>
            <w:r>
              <w:rPr>
                <w:b/>
                <w:bCs/>
              </w:rPr>
            </w:r>
            <w:r>
              <w:rPr>
                <w:b/>
                <w:bCs/>
              </w:rPr>
            </w:r>
          </w:p>
        </w:tc>
        <w:tc>
          <w:tcPr>
            <w:shd w:val="clear" w:color="000000" w:fill="ffffff"/>
            <w:tcBorders/>
            <w:tcW w:w="1170" w:type="pct"/>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363" w:type="pct"/>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1097" w:type="pct"/>
            <w:vAlign w:val="center"/>
            <w:textDirection w:val="lrTb"/>
            <w:noWrap w:val="false"/>
          </w:tcPr>
          <w:p>
            <w:pPr>
              <w:pBdr/>
              <w:spacing w:after="40" w:before="40" w:line="288" w:lineRule="auto"/>
              <w:ind/>
              <w:rPr>
                <w:b w:val="0"/>
                <w:bCs w:val="0"/>
              </w:rPr>
            </w:pPr>
            <w:r>
              <w:rPr>
                <w:b w:val="0"/>
                <w:bCs w:val="0"/>
              </w:rPr>
              <w:t xml:space="preserve">Đất ở tại đô thị</w:t>
            </w:r>
            <w:r>
              <w:rPr>
                <w:b w:val="0"/>
                <w:bCs w:val="0"/>
              </w:rPr>
            </w:r>
            <w:r>
              <w:rPr>
                <w:b w:val="0"/>
                <w:bCs w:val="0"/>
              </w:rPr>
            </w:r>
          </w:p>
        </w:tc>
        <w:tc>
          <w:tcPr>
            <w:tcBorders/>
            <w:tcW w:w="981" w:type="pct"/>
            <w:vAlign w:val="center"/>
            <w:textDirection w:val="lrTb"/>
            <w:noWrap/>
          </w:tcPr>
          <w:p>
            <w:pPr>
              <w:pBdr/>
              <w:spacing w:after="40" w:before="40" w:line="288" w:lineRule="auto"/>
              <w:ind/>
              <w:jc w:val="center"/>
              <w:rPr>
                <w:b w:val="0"/>
                <w:bCs w:val="0"/>
                <w:color w:val="000000"/>
              </w:rPr>
            </w:pPr>
            <w:r>
              <w:rPr>
                <w:b w:val="0"/>
                <w:bCs w:val="0"/>
                <w:color w:val="000000" w:themeColor="text1"/>
              </w:rPr>
              <w:t xml:space="preserve">148</w:t>
            </w:r>
            <w:r>
              <w:rPr>
                <w:b w:val="0"/>
                <w:bCs w:val="0"/>
                <w:color w:val="000000"/>
              </w:rPr>
            </w:r>
            <w:r>
              <w:rPr>
                <w:b w:val="0"/>
                <w:bCs w:val="0"/>
                <w:color w:val="000000"/>
              </w:rPr>
            </w:r>
          </w:p>
        </w:tc>
        <w:tc>
          <w:tcPr>
            <w:shd w:val="clear" w:color="000000" w:fill="ffffff"/>
            <w:tcBorders/>
            <w:tcW w:w="1389" w:type="pct"/>
            <w:vAlign w:val="center"/>
            <w:textDirection w:val="lrTb"/>
            <w:noWrap w:val="false"/>
          </w:tcPr>
          <w:p>
            <w:pPr>
              <w:pBdr/>
              <w:spacing w:after="40" w:before="40" w:line="288" w:lineRule="auto"/>
              <w:ind/>
              <w:jc w:val="center"/>
              <w:rPr>
                <w:b w:val="0"/>
                <w:bCs w:val="0"/>
              </w:rPr>
            </w:pPr>
            <w:r>
              <w:rPr>
                <w:b w:val="0"/>
                <w:bCs w:val="0"/>
                <w:color w:val="000000" w:themeColor="text1"/>
              </w:rPr>
              <w:t xml:space="preserve">54.000.000</w:t>
            </w:r>
            <w:r>
              <w:rPr>
                <w:b w:val="0"/>
                <w:bCs w:val="0"/>
              </w:rPr>
            </w:r>
            <w:r>
              <w:rPr>
                <w:b w:val="0"/>
                <w:bCs w:val="0"/>
              </w:rPr>
            </w:r>
          </w:p>
        </w:tc>
        <w:tc>
          <w:tcPr>
            <w:shd w:val="clear" w:color="000000" w:fill="ffffff"/>
            <w:tcBorders/>
            <w:tcW w:w="1170" w:type="pct"/>
            <w:vAlign w:val="center"/>
            <w:textDirection w:val="lrTb"/>
            <w:noWrap w:val="false"/>
          </w:tcPr>
          <w:p>
            <w:pPr>
              <w:pBdr/>
              <w:spacing w:after="40" w:before="40" w:line="288" w:lineRule="auto"/>
              <w:ind/>
              <w:jc w:val="center"/>
              <w:rPr/>
            </w:pPr>
            <w:r>
              <w:rPr>
                <w:color w:val="000000" w:themeColor="text1"/>
              </w:rPr>
              <w:t xml:space="preserve">7.992.000.000</w:t>
            </w:r>
            <w:r/>
          </w:p>
        </w:tc>
      </w:tr>
      <w:tr>
        <w:trPr>
          <w:trHeight w:val="20"/>
        </w:trPr>
        <w:tc>
          <w:tcPr>
            <w:gridSpan w:val="4"/>
            <w:tcBorders/>
            <w:tcW w:w="3830" w:type="pct"/>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1170" w:type="pct"/>
            <w:vAlign w:val="center"/>
            <w:textDirection w:val="lrTb"/>
            <w:noWrap/>
          </w:tcPr>
          <w:p>
            <w:pPr>
              <w:pBdr/>
              <w:spacing w:after="40" w:before="40" w:line="288" w:lineRule="auto"/>
              <w:ind/>
              <w:jc w:val="center"/>
              <w:rPr>
                <w:b/>
                <w:bCs/>
                <w:color w:val="000000"/>
              </w:rPr>
            </w:pPr>
            <w:r>
              <w:rPr>
                <w:b/>
                <w:bCs/>
              </w:rPr>
              <w:t xml:space="preserve">7.992.000.000</w:t>
            </w:r>
            <w:r>
              <w:rPr>
                <w:b/>
                <w:bCs/>
                <w:color w:val="000000"/>
              </w:rPr>
            </w:r>
            <w:r>
              <w:rPr>
                <w:b/>
                <w:bCs/>
                <w:color w:val="000000"/>
              </w:rPr>
            </w:r>
          </w:p>
        </w:tc>
      </w:tr>
      <w:tr>
        <w:trPr>
          <w:trHeight w:val="20"/>
        </w:trPr>
        <w:tc>
          <w:tcPr>
            <w:gridSpan w:val="5"/>
            <w:tcBorders/>
            <w:tcW w:w="5000" w:type="pct"/>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Bảy tỷ, chín trăm chín mươi hai triệu </w:t>
            </w:r>
            <w:r>
              <w:rPr>
                <w:b/>
                <w:bCs/>
                <w:i/>
                <w:iCs/>
                <w:color w:val="000000"/>
              </w:rPr>
              <w:t xml:space="preserve">đồng</w:t>
            </w:r>
            <w:r>
              <w:rPr>
                <w:b/>
                <w:bCs/>
                <w:i/>
                <w:iCs/>
                <w:color w:val="000000"/>
              </w:rPr>
              <w:t xml:space="preserve">./.)</w:t>
            </w:r>
            <w:r>
              <w:rPr>
                <w:b/>
                <w:bCs/>
                <w:i/>
                <w:iCs/>
                <w:color w:val="000000"/>
              </w:rPr>
            </w:r>
            <w:r>
              <w:rPr>
                <w:b/>
                <w:bCs/>
                <w:i/>
                <w:iCs/>
                <w:color w:val="000000"/>
              </w:rPr>
            </w:r>
          </w:p>
        </w:tc>
      </w:tr>
    </w:tbl>
    <w:p>
      <w:pPr>
        <w:pStyle w:val="1043"/>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43"/>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43"/>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43"/>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43"/>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43"/>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43"/>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43"/>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43"/>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43"/>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43"/>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43"/>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4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43"/>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43"/>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43"/>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43"/>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43"/>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43"/>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đất  đã cung cấp cho chúng tôi.</w:t>
      </w:r>
      <w:r>
        <w:rPr>
          <w:shd w:val="clear" w:color="auto" w:fill="ffffff"/>
          <w:lang w:val="pt-BR"/>
        </w:rPr>
      </w:r>
      <w:r>
        <w:rPr>
          <w:shd w:val="clear" w:color="auto" w:fill="ffffff"/>
          <w:lang w:val="pt-BR"/>
        </w:rPr>
      </w:r>
    </w:p>
    <w:p>
      <w:pPr>
        <w:numPr>
          <w:ilvl w:val="0"/>
          <w:numId w:val="47"/>
        </w:numPr>
        <w:pBdr>
          <w:top w:val="none" w:color="000000" w:sz="4" w:space="0"/>
          <w:left w:val="none" w:color="000000" w:sz="4" w:space="0"/>
          <w:bottom w:val="none" w:color="000000" w:sz="4" w:space="0"/>
          <w:right w:val="none" w:color="000000" w:sz="4" w:space="0"/>
        </w:pBdr>
        <w:spacing w:after="120" w:before="120" w:line="276" w:lineRule="auto"/>
        <w:ind/>
        <w:jc w:val="both"/>
        <w:rPr/>
      </w:pPr>
      <w:r>
        <w:rPr>
          <w:highlight w:val="none"/>
        </w:rPr>
      </w:r>
      <w:r>
        <w:rPr>
          <w:highlight w:val="none"/>
        </w:rPr>
        <w:t xml:space="preserve">Diện tích thửa đất được ghi nhận theo </w:t>
      </w:r>
      <w:r>
        <w:rPr>
          <w:color w:val="000000"/>
          <w:highlight w:val="none"/>
          <w:vertAlign w:val="baseline"/>
        </w:rPr>
        <w:t xml:space="preserve">GCN </w:t>
      </w:r>
      <w:r>
        <w:rPr>
          <w:color w:val="000000"/>
          <w:highlight w:val="none"/>
          <w:vertAlign w:val="baseline"/>
        </w:rPr>
        <w:t xml:space="preserve">QSD</w:t>
      </w:r>
      <w:r>
        <w:rPr>
          <w:color w:val="000000"/>
          <w:highlight w:val="none"/>
          <w:vertAlign w:val="baseline"/>
        </w:rPr>
        <w:t xml:space="preserve">Đ </w:t>
      </w:r>
      <w:r>
        <w:rPr>
          <w:color w:val="000000"/>
          <w:highlight w:val="none"/>
          <w:vertAlign w:val="baseline"/>
        </w:rPr>
        <w:t xml:space="preserve">số: </w:t>
      </w:r>
      <w:r>
        <w:rPr>
          <w:color w:val="000000"/>
          <w:highlight w:val="none"/>
          <w:vertAlign w:val="baseline"/>
        </w:rPr>
        <w:t xml:space="preserve">BS 055205</w:t>
      </w:r>
      <w:r>
        <w:rPr>
          <w:highlight w:val="none"/>
        </w:rPr>
        <w:t xml:space="preserve"> thấp hơn diện tích đo đạc </w:t>
      </w:r>
      <w:r>
        <w:rPr>
          <w:highlight w:val="none"/>
        </w:rPr>
        <w:t xml:space="preserve">theo bản </w:t>
      </w:r>
      <w:r>
        <w:rPr>
          <w:highlight w:val="none"/>
        </w:rPr>
        <w:t xml:space="preserve">trích </w:t>
      </w:r>
      <w:r>
        <w:rPr>
          <w:highlight w:val="none"/>
        </w:rPr>
        <w:t xml:space="preserve">đo </w:t>
      </w:r>
      <w:r>
        <w:rPr>
          <w:highlight w:val="none"/>
        </w:rPr>
        <w:t xml:space="preserve">địa </w:t>
      </w:r>
      <w:r>
        <w:rPr>
          <w:highlight w:val="none"/>
        </w:rPr>
        <w:t xml:space="preserve">chính </w:t>
      </w:r>
      <w:r>
        <w:rPr>
          <w:highlight w:val="none"/>
        </w:rPr>
        <w:t xml:space="preserve">thửa </w:t>
      </w:r>
      <w:r>
        <w:rPr>
          <w:highlight w:val="none"/>
        </w:rPr>
        <w:t xml:space="preserve">đất </w:t>
      </w:r>
      <w:r>
        <w:rPr>
          <w:highlight w:val="none"/>
        </w:rPr>
        <w:t xml:space="preserve">theo </w:t>
      </w:r>
      <w:r>
        <w:rPr>
          <w:highlight w:val="none"/>
        </w:rPr>
        <w:t xml:space="preserve">HSKT </w:t>
      </w:r>
      <w:r>
        <w:rPr>
          <w:highlight w:val="none"/>
        </w:rPr>
        <w:t xml:space="preserve">số: </w:t>
      </w:r>
      <w:r>
        <w:rPr>
          <w:highlight w:val="none"/>
        </w:rPr>
        <w:t xml:space="preserve">TH/</w:t>
      </w:r>
      <w:r>
        <w:rPr>
          <w:highlight w:val="none"/>
        </w:rPr>
        <w:t xml:space="preserve">319/ </w:t>
      </w:r>
      <w:r>
        <w:rPr>
          <w:highlight w:val="none"/>
        </w:rPr>
        <w:t xml:space="preserve">2026 </w:t>
      </w:r>
      <w:r>
        <w:rPr>
          <w:highlight w:val="none"/>
        </w:rPr>
        <w:t xml:space="preserve">do </w:t>
      </w:r>
      <w:r>
        <w:rPr>
          <w:highlight w:val="none"/>
        </w:rPr>
        <w:t xml:space="preserve">Công </w:t>
      </w:r>
      <w:r>
        <w:rPr>
          <w:highlight w:val="none"/>
        </w:rPr>
        <w:t xml:space="preserve">ty </w:t>
      </w:r>
      <w:r>
        <w:rPr>
          <w:highlight w:val="none"/>
        </w:rPr>
        <w:t xml:space="preserve">CP </w:t>
      </w:r>
      <w:r>
        <w:rPr>
          <w:highlight w:val="none"/>
        </w:rPr>
        <w:t xml:space="preserve">Đo </w:t>
      </w:r>
      <w:r>
        <w:rPr>
          <w:highlight w:val="none"/>
        </w:rPr>
        <w:t xml:space="preserve">Đạc </w:t>
      </w:r>
      <w:r>
        <w:rPr>
          <w:highlight w:val="none"/>
        </w:rPr>
        <w:t xml:space="preserve">Bản </w:t>
      </w:r>
      <w:r>
        <w:rPr>
          <w:highlight w:val="none"/>
        </w:rPr>
        <w:t xml:space="preserve">đồ </w:t>
      </w:r>
      <w:r>
        <w:rPr>
          <w:highlight w:val="none"/>
        </w:rPr>
        <w:t xml:space="preserve">và </w:t>
      </w:r>
      <w:r>
        <w:rPr>
          <w:highlight w:val="none"/>
        </w:rPr>
        <w:t xml:space="preserve">Xây </w:t>
      </w:r>
      <w:r>
        <w:rPr>
          <w:highlight w:val="none"/>
        </w:rPr>
        <w:t xml:space="preserve">Dựng </w:t>
      </w:r>
      <w:r>
        <w:rPr>
          <w:highlight w:val="none"/>
        </w:rPr>
        <w:t xml:space="preserve">Thương </w:t>
      </w:r>
      <w:r>
        <w:rPr>
          <w:highlight w:val="none"/>
        </w:rPr>
        <w:t xml:space="preserve">Mại </w:t>
      </w:r>
      <w:r>
        <w:rPr>
          <w:highlight w:val="none"/>
        </w:rPr>
        <w:t xml:space="preserve">Hà </w:t>
      </w:r>
      <w:r>
        <w:rPr>
          <w:highlight w:val="none"/>
        </w:rPr>
        <w:t xml:space="preserve">An</w:t>
      </w:r>
      <w:r>
        <w:rPr>
          <w:highlight w:val="none"/>
        </w:rPr>
        <w:t xml:space="preserve">. Được sự đồng ý của khách hàng, Tổ thẩm định xác định giá trị tài sản theo diện tích và các thông số kích thước  được ghi nhận tại hồ sơ pháp lý là </w:t>
      </w:r>
      <w:r>
        <w:rPr>
          <w:color w:val="000000"/>
          <w:highlight w:val="none"/>
          <w:vertAlign w:val="baseline"/>
        </w:rPr>
        <w:t xml:space="preserve">GCN </w:t>
      </w:r>
      <w:r>
        <w:rPr>
          <w:color w:val="000000"/>
          <w:highlight w:val="none"/>
          <w:vertAlign w:val="baseline"/>
        </w:rPr>
        <w:t xml:space="preserve">QSD</w:t>
      </w:r>
      <w:r>
        <w:rPr>
          <w:color w:val="000000"/>
          <w:highlight w:val="none"/>
          <w:vertAlign w:val="baseline"/>
        </w:rPr>
        <w:t xml:space="preserve">Đ </w:t>
      </w:r>
      <w:r>
        <w:rPr>
          <w:color w:val="000000"/>
          <w:highlight w:val="none"/>
          <w:vertAlign w:val="baseline"/>
        </w:rPr>
        <w:t xml:space="preserve">số: </w:t>
      </w:r>
      <w:r>
        <w:rPr>
          <w:color w:val="000000"/>
          <w:highlight w:val="none"/>
          <w:vertAlign w:val="baseline"/>
        </w:rPr>
        <w:t xml:space="preserve">BS 055205</w:t>
      </w:r>
      <w:r>
        <w:rPr>
          <w:highlight w:val="none"/>
        </w:rPr>
        <w:t xml:space="preserve">.</w:t>
      </w:r>
      <w:r>
        <w:rPr>
          <w:highlight w:val="none"/>
        </w:rPr>
        <w:t xml:space="preserve"> </w:t>
      </w:r>
      <w:r>
        <w:rPr>
          <w:highlight w:val="none"/>
        </w:rPr>
        <w:t xml:space="preserve">Kính đề nghị các đơn vị sử dụng Chứng thư lưu ý.</w:t>
      </w:r>
      <w:r/>
    </w:p>
    <w:p>
      <w:pPr>
        <w:pStyle w:val="1043"/>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numPr>
          <w:ilvl w:val="0"/>
          <w:numId w:val="40"/>
        </w:numPr>
        <w:pBdr>
          <w:top w:val="none" w:color="000000" w:sz="4" w:space="0"/>
          <w:left w:val="none" w:color="000000" w:sz="4" w:space="0"/>
          <w:bottom w:val="none" w:color="000000" w:sz="4" w:space="0"/>
          <w:right w:val="none" w:color="000000" w:sz="4" w:space="0"/>
        </w:pBdr>
        <w:spacing w:after="120" w:before="120" w:line="276" w:lineRule="auto"/>
        <w:ind/>
        <w:jc w:val="both"/>
        <w:rPr>
          <w:rFonts w:ascii="Times New Roman" w:hAnsi="Times New Roman" w:eastAsia="Times New Roman" w:cs="Times New Roman"/>
          <w:sz w:val="24"/>
        </w:rPr>
      </w:pPr>
      <w:r>
        <w:rPr>
          <w:spacing w:val="-2"/>
          <w:highlight w:val="none"/>
          <w:lang w:val="pt-BR" w:bidi="pt-BR"/>
        </w:rPr>
      </w:r>
      <w:r>
        <w:rPr>
          <w:color w:val="000000"/>
        </w:rPr>
        <w:t xml:space="preserve">Tại </w:t>
      </w:r>
      <w:r>
        <w:rPr>
          <w:color w:val="000000"/>
        </w:rPr>
        <w:t xml:space="preserve">thời </w:t>
      </w:r>
      <w:r>
        <w:rPr>
          <w:color w:val="000000"/>
        </w:rPr>
        <w:t xml:space="preserve">điểm </w:t>
      </w:r>
      <w:r>
        <w:rPr>
          <w:color w:val="000000"/>
        </w:rPr>
        <w:t xml:space="preserve">khảo </w:t>
      </w:r>
      <w:r>
        <w:rPr>
          <w:color w:val="000000"/>
        </w:rPr>
        <w:t xml:space="preserve">sát, </w:t>
      </w:r>
      <w:r>
        <w:rPr>
          <w:color w:val="000000"/>
        </w:rPr>
        <w:t xml:space="preserve">Tổ </w:t>
      </w:r>
      <w:r>
        <w:rPr>
          <w:color w:val="000000"/>
        </w:rPr>
        <w:t xml:space="preserve">thẩm </w:t>
      </w:r>
      <w:r>
        <w:rPr>
          <w:color w:val="000000"/>
        </w:rPr>
        <w:t xml:space="preserve">định </w:t>
      </w:r>
      <w:r>
        <w:rPr>
          <w:color w:val="000000"/>
        </w:rPr>
        <w:t xml:space="preserve">xác </w:t>
      </w:r>
      <w:r>
        <w:rPr>
          <w:color w:val="000000"/>
        </w:rPr>
        <w:t xml:space="preserve">định </w:t>
      </w:r>
      <w:r>
        <w:rPr>
          <w:color w:val="000000"/>
        </w:rPr>
        <w:t xml:space="preserve">trên </w:t>
      </w:r>
      <w:r>
        <w:rPr>
          <w:color w:val="000000"/>
        </w:rPr>
        <w:t xml:space="preserve">đất </w:t>
      </w:r>
      <w:r>
        <w:rPr>
          <w:color w:val="000000"/>
        </w:rPr>
        <w:t xml:space="preserve">có </w:t>
      </w:r>
      <w:r>
        <w:rPr>
          <w:color w:val="000000"/>
        </w:rPr>
        <w:t xml:space="preserve">CTXD </w:t>
      </w:r>
      <w:r>
        <w:rPr>
          <w:color w:val="000000"/>
        </w:rPr>
        <w:t xml:space="preserve">là </w:t>
      </w:r>
      <w:r>
        <w:rPr>
          <w:color w:val="000000"/>
        </w:rPr>
        <w:t xml:space="preserve">nhà </w:t>
      </w:r>
      <w:r>
        <w:rPr>
          <w:color w:val="000000"/>
        </w:rPr>
        <w:t xml:space="preserve">05 </w:t>
      </w:r>
      <w:r>
        <w:rPr>
          <w:color w:val="000000"/>
        </w:rPr>
        <w:t xml:space="preserve">tầng, </w:t>
      </w:r>
      <w:r>
        <w:rPr>
          <w:color w:val="000000"/>
        </w:rPr>
        <w:t xml:space="preserve">diện </w:t>
      </w:r>
      <w:r>
        <w:rPr>
          <w:color w:val="000000"/>
        </w:rPr>
        <w:t xml:space="preserve">tích </w:t>
      </w:r>
      <w:r>
        <w:rPr>
          <w:color w:val="000000"/>
        </w:rPr>
        <w:t xml:space="preserve">xây </w:t>
      </w:r>
      <w:r>
        <w:rPr>
          <w:color w:val="000000"/>
        </w:rPr>
        <w:t xml:space="preserve">dựng ~ </w:t>
      </w:r>
      <w:r>
        <w:rPr>
          <w:color w:val="000000"/>
        </w:rPr>
        <w:t xml:space="preserve">120</w:t>
      </w:r>
      <w:r>
        <w:rPr>
          <w:color w:val="000000"/>
        </w:rPr>
        <w:t xml:space="preserve">m</w:t>
      </w:r>
      <w:r>
        <w:rPr>
          <w:color w:val="000000"/>
          <w:vertAlign w:val="superscript"/>
        </w:rPr>
        <w:t xml:space="preserve">2</w:t>
      </w:r>
      <w:r>
        <w:rPr>
          <w:color w:val="000000"/>
          <w:vertAlign w:val="baseline"/>
        </w:rPr>
        <w:t xml:space="preserve">, </w:t>
      </w:r>
      <w:r>
        <w:rPr>
          <w:color w:val="000000"/>
          <w:vertAlign w:val="baseline"/>
        </w:rPr>
        <w:t xml:space="preserve">tổng </w:t>
      </w:r>
      <w:r>
        <w:rPr>
          <w:color w:val="000000"/>
          <w:vertAlign w:val="baseline"/>
        </w:rPr>
        <w:t xml:space="preserve">diện </w:t>
      </w:r>
      <w:r>
        <w:rPr>
          <w:color w:val="000000"/>
          <w:vertAlign w:val="baseline"/>
        </w:rPr>
        <w:t xml:space="preserve">tích </w:t>
      </w:r>
      <w:r>
        <w:rPr>
          <w:color w:val="000000"/>
          <w:vertAlign w:val="baseline"/>
        </w:rPr>
        <w:t xml:space="preserve">xây </w:t>
      </w:r>
      <w:r>
        <w:rPr>
          <w:color w:val="000000"/>
          <w:vertAlign w:val="baseline"/>
        </w:rPr>
        <w:t xml:space="preserve">dựng </w:t>
      </w:r>
      <w:r>
        <w:rPr>
          <w:color w:val="000000"/>
        </w:rPr>
        <w:t xml:space="preserve">~ </w:t>
      </w:r>
      <w:r>
        <w:rPr>
          <w:color w:val="000000"/>
        </w:rPr>
        <w:t xml:space="preserve">480m</w:t>
      </w:r>
      <w:r>
        <w:rPr>
          <w:color w:val="000000"/>
          <w:vertAlign w:val="superscript"/>
        </w:rPr>
        <w:t xml:space="preserve">2</w:t>
      </w:r>
      <w:r>
        <w:rPr>
          <w:color w:val="000000"/>
          <w:vertAlign w:val="baseline"/>
        </w:rPr>
        <w:t xml:space="preserve">. </w:t>
      </w:r>
      <w:r>
        <w:rPr>
          <w:color w:val="000000"/>
          <w:vertAlign w:val="baseline"/>
        </w:rPr>
        <w:t xml:space="preserve">CTXD </w:t>
      </w:r>
      <w:r>
        <w:rPr>
          <w:color w:val="000000"/>
          <w:vertAlign w:val="baseline"/>
        </w:rPr>
        <w:t xml:space="preserve">đang </w:t>
      </w:r>
      <w:r>
        <w:rPr>
          <w:color w:val="000000"/>
          <w:vertAlign w:val="baseline"/>
        </w:rPr>
        <w:t xml:space="preserve">hoàn </w:t>
      </w:r>
      <w:r>
        <w:rPr>
          <w:color w:val="000000"/>
          <w:vertAlign w:val="baseline"/>
        </w:rPr>
        <w:t xml:space="preserve">thiện</w:t>
      </w:r>
      <w:r>
        <w:rPr>
          <w:spacing w:val="-2"/>
          <w:highlight w:val="none"/>
          <w:lang w:val="pt-BR" w:bidi="pt-BR"/>
        </w:rPr>
        <w:t xml:space="preserve">. </w:t>
      </w:r>
      <w:r>
        <w:rPr>
          <w:color w:val="000000"/>
          <w:highlight w:val="none"/>
          <w:vertAlign w:val="baseline"/>
        </w:rPr>
        <w:t xml:space="preserve">CTXD </w:t>
      </w:r>
      <w:r>
        <w:rPr>
          <w:color w:val="000000"/>
          <w:highlight w:val="none"/>
          <w:vertAlign w:val="baseline"/>
        </w:rPr>
        <w:t xml:space="preserve">chưa </w:t>
      </w:r>
      <w:r>
        <w:rPr>
          <w:color w:val="000000"/>
          <w:highlight w:val="none"/>
          <w:vertAlign w:val="baseline"/>
        </w:rPr>
        <w:t xml:space="preserve">được </w:t>
      </w:r>
      <w:r>
        <w:rPr>
          <w:color w:val="000000"/>
          <w:highlight w:val="none"/>
          <w:vertAlign w:val="baseline"/>
        </w:rPr>
        <w:t xml:space="preserve">ghi </w:t>
      </w:r>
      <w:r>
        <w:rPr>
          <w:color w:val="000000"/>
          <w:highlight w:val="none"/>
          <w:vertAlign w:val="baseline"/>
        </w:rPr>
        <w:t xml:space="preserve">nhận </w:t>
      </w:r>
      <w:r>
        <w:rPr>
          <w:color w:val="000000"/>
          <w:highlight w:val="none"/>
          <w:vertAlign w:val="baseline"/>
        </w:rPr>
        <w:t xml:space="preserve">trên </w:t>
      </w:r>
      <w:r>
        <w:rPr>
          <w:color w:val="000000"/>
          <w:highlight w:val="none"/>
          <w:vertAlign w:val="baseline"/>
        </w:rPr>
        <w:t xml:space="preserve">GCN </w:t>
      </w:r>
      <w:r>
        <w:rPr>
          <w:color w:val="000000"/>
          <w:highlight w:val="none"/>
          <w:vertAlign w:val="baseline"/>
        </w:rPr>
        <w:t xml:space="preserve">QSD</w:t>
      </w:r>
      <w:r>
        <w:rPr>
          <w:color w:val="000000"/>
          <w:highlight w:val="none"/>
          <w:vertAlign w:val="baseline"/>
        </w:rPr>
        <w:t xml:space="preserve">Đ </w:t>
      </w:r>
      <w:r>
        <w:rPr>
          <w:color w:val="000000"/>
          <w:highlight w:val="none"/>
          <w:vertAlign w:val="baseline"/>
        </w:rPr>
        <w:t xml:space="preserve">số: </w:t>
      </w:r>
      <w:r>
        <w:rPr>
          <w:color w:val="000000"/>
          <w:highlight w:val="none"/>
          <w:vertAlign w:val="baseline"/>
        </w:rPr>
        <w:t xml:space="preserve">BS 055205</w:t>
      </w:r>
      <w:r>
        <w:rPr>
          <w:spacing w:val="-2"/>
          <w:highlight w:val="none"/>
          <w:lang w:val="pt-BR" w:bidi="pt-BR"/>
        </w:rPr>
        <w:t xml:space="preserve">.</w:t>
      </w:r>
      <w:r>
        <w:rPr>
          <w:rFonts w:ascii="Times New Roman" w:hAnsi="Times New Roman" w:eastAsia="Times New Roman" w:cs="Times New Roman"/>
          <w:color w:val="000000"/>
          <w:spacing w:val="3"/>
          <w:sz w:val="23"/>
          <w:highlight w:val="white"/>
        </w:rPr>
        <w:t xml:space="preserve">Do vậy, theo đề nghị của Ngân hàng/Khách hàng, Tổ thẩm định không xác định giá trị công trình hiện có trên đất, nhưng vẫn coi đó là phần không thể tách rời của tải sản thẩm định. Đề nghị đơn vị sử dụng kết quả lưu ý.</w:t>
      </w:r>
      <w:r>
        <w:rPr>
          <w:rFonts w:ascii="Times New Roman" w:hAnsi="Times New Roman" w:eastAsia="Times New Roman" w:cs="Times New Roman"/>
          <w:sz w:val="24"/>
        </w:rPr>
      </w:r>
      <w:r>
        <w:rPr>
          <w:rFonts w:ascii="Times New Roman" w:hAnsi="Times New Roman" w:eastAsia="Times New Roman" w:cs="Times New Roman"/>
          <w:sz w:val="24"/>
        </w:rPr>
      </w:r>
    </w:p>
    <w:p>
      <w:pPr>
        <w:pStyle w:val="1043"/>
        <w:numPr>
          <w:ilvl w:val="0"/>
          <w:numId w:val="5"/>
        </w:numPr>
        <w:pBdr/>
        <w:spacing w:after="120" w:before="120" w:line="288" w:lineRule="auto"/>
        <w:ind/>
        <w:jc w:val="both"/>
        <w:rPr>
          <w:rFonts w:ascii="Times New Roman" w:hAnsi="Times New Roman" w:cs="Times New Roman"/>
          <w:color w:val="000000" w:themeColor="text1"/>
          <w:sz w:val="24"/>
          <w:szCs w:val="24"/>
        </w:rPr>
      </w:pPr>
      <w:r>
        <w:rPr>
          <w:rFonts w:ascii="Times New Roman" w:hAnsi="Times New Roman" w:eastAsia="Times New Roman" w:cs="Times New Roman"/>
          <w:color w:val="000000" w:themeColor="text1"/>
          <w:sz w:val="24"/>
          <w:szCs w:val="24"/>
          <w:highlight w:val="none"/>
          <w:lang w:val="vi-VN" w:bidi="vi-VN"/>
        </w:rPr>
      </w:r>
      <w:r>
        <w:rPr>
          <w:rFonts w:ascii="Times New Roman" w:hAnsi="Times New Roman" w:eastAsia="Times New Roman" w:cs="Times New Roman"/>
          <w:color w:val="000000" w:themeColor="text1"/>
          <w:spacing w:val="3"/>
          <w:sz w:val="24"/>
          <w:szCs w:val="24"/>
          <w:highlight w:val="white"/>
        </w:rPr>
        <w:t xml:space="preserve">Tổ thẩm định sử dụng Phương pháp so sánh để xác định giá trị tài sản thẩm định giá trong đó việc thu thập thông tin vị trí  định vị các TSSS trong mối tương quan với TSTĐ được xác định thông qua định vị do môi giới, chủ nhà cung cấp hoặc qua việc</w:t>
      </w:r>
      <w:r>
        <w:rPr>
          <w:rFonts w:ascii="Times New Roman" w:hAnsi="Times New Roman" w:eastAsia="Times New Roman" w:cs="Times New Roman"/>
          <w:color w:val="000000" w:themeColor="text1"/>
          <w:spacing w:val="3"/>
          <w:sz w:val="24"/>
          <w:szCs w:val="24"/>
          <w:highlight w:val="white"/>
        </w:rPr>
        <w:t xml:space="preserve"> mô tả, nên nguồn định vị các tsss chỉ mang tính chính xác tương đối . Khách hàng và các bên thứ ba khi sử dụng kết quả thẩm định giá cần lưu ý khi sử dụng Chứng thư thẩm định giá.</w:t>
      </w: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1043"/>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43"/>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43"/>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43"/>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43"/>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43"/>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275/2026/1460/VFI-CT.T02.A</w:t>
      </w:r>
      <w:r>
        <w:rPr>
          <w:color w:val="ff0000"/>
          <w:lang w:val="vi-VN"/>
        </w:rPr>
        <w:t xml:space="preserve"> </w:t>
      </w:r>
      <w:r>
        <w:rPr>
          <w:color w:val="000000" w:themeColor="text1"/>
        </w:rPr>
        <w:t xml:space="preserve">ngày 17 tháng 9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p>
      <w:pPr>
        <w:pStyle w:val="1043"/>
        <w:pBdr/>
        <w:tabs>
          <w:tab w:val="left" w:leader="none" w:pos="993"/>
        </w:tabs>
        <w:spacing w:after="120" w:before="120" w:line="288" w:lineRule="auto"/>
        <w:ind w:left="0"/>
        <w:jc w:val="both"/>
        <w:rPr>
          <w:lang w:val="pt-BR"/>
        </w:rPr>
      </w:pPr>
      <w:r>
        <w:rPr>
          <w:lang w:val="pt-BR"/>
        </w:rPr>
      </w:r>
      <w:r>
        <w:rPr>
          <w:lang w:val="pt-BR"/>
        </w:rPr>
      </w:r>
      <w:r>
        <w:rPr>
          <w:lang w:val="pt-BR"/>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Nga</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275/2026/1460/VFI-BC.T02.A</w:t>
      </w:r>
      <w:r>
        <w:rPr>
          <w:i/>
          <w:lang w:val="pt-BR"/>
        </w:rPr>
        <w:t xml:space="preserve"> </w:t>
      </w:r>
      <w:r>
        <w:rPr>
          <w:i/>
          <w:lang w:val="pt-BR"/>
        </w:rPr>
        <w:t xml:space="preserve">ngày </w:t>
      </w:r>
      <w:r>
        <w:rPr>
          <w:i/>
          <w:lang w:val="pt-BR"/>
        </w:rPr>
        <w:t xml:space="preserve">17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1665471" cy="2872517"/>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680309" name=""/>
                              <pic:cNvPicPr>
                                <a:picLocks noChangeAspect="1"/>
                              </pic:cNvPicPr>
                              <pic:nvPr/>
                            </pic:nvPicPr>
                            <pic:blipFill rotWithShape="1">
                              <a:blip r:embed="rId19"/>
                              <a:stretch/>
                            </pic:blipFill>
                            <pic:spPr bwMode="auto">
                              <a:xfrm flipH="0" flipV="0">
                                <a:off x="0" y="0"/>
                                <a:ext cx="1665470" cy="287251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31.14pt;height:226.18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31690" cy="219647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89987" name=""/>
                              <pic:cNvPicPr>
                                <a:picLocks noChangeAspect="1"/>
                              </pic:cNvPicPr>
                              <pic:nvPr/>
                            </pic:nvPicPr>
                            <pic:blipFill rotWithShape="1">
                              <a:blip r:embed="rId20"/>
                              <a:stretch/>
                            </pic:blipFill>
                            <pic:spPr bwMode="auto">
                              <a:xfrm flipH="0" flipV="0">
                                <a:off x="0" y="0"/>
                                <a:ext cx="2931690" cy="219647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0.84pt;height:172.95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28722" cy="2121542"/>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008918" name=""/>
                              <pic:cNvPicPr>
                                <a:picLocks noChangeAspect="1"/>
                              </pic:cNvPicPr>
                              <pic:nvPr/>
                            </pic:nvPicPr>
                            <pic:blipFill rotWithShape="1">
                              <a:blip r:embed="rId21"/>
                              <a:stretch/>
                            </pic:blipFill>
                            <pic:spPr bwMode="auto">
                              <a:xfrm flipH="0" flipV="0">
                                <a:off x="0" y="0"/>
                                <a:ext cx="2828722" cy="21215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2.73pt;height:167.05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38705" cy="2051882"/>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8492212" name=""/>
                              <pic:cNvPicPr>
                                <a:picLocks noChangeAspect="1"/>
                              </pic:cNvPicPr>
                              <pic:nvPr/>
                            </pic:nvPicPr>
                            <pic:blipFill rotWithShape="1">
                              <a:blip r:embed="rId22"/>
                              <a:stretch/>
                            </pic:blipFill>
                            <pic:spPr bwMode="auto">
                              <a:xfrm flipH="0" flipV="0">
                                <a:off x="0" y="0"/>
                                <a:ext cx="2738704" cy="205188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5.65pt;height:161.57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59867" cy="221758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31613" name=""/>
                              <pic:cNvPicPr>
                                <a:picLocks noChangeAspect="1"/>
                              </pic:cNvPicPr>
                              <pic:nvPr/>
                            </pic:nvPicPr>
                            <pic:blipFill rotWithShape="1">
                              <a:blip r:embed="rId23"/>
                              <a:stretch/>
                            </pic:blipFill>
                            <pic:spPr bwMode="auto">
                              <a:xfrm flipH="0" flipV="0">
                                <a:off x="0" y="0"/>
                                <a:ext cx="2959867" cy="221758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3.06pt;height:174.61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60943" cy="216458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4466722" name=""/>
                              <pic:cNvPicPr>
                                <a:picLocks noChangeAspect="1"/>
                              </pic:cNvPicPr>
                              <pic:nvPr/>
                            </pic:nvPicPr>
                            <pic:blipFill rotWithShape="1">
                              <a:blip r:embed="rId24"/>
                              <a:stretch/>
                            </pic:blipFill>
                            <pic:spPr bwMode="auto">
                              <a:xfrm flipH="0" flipV="0">
                                <a:off x="0" y="0"/>
                                <a:ext cx="2760942" cy="21645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7.40pt;height:170.44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jc w:val="center"/>
        <w:rPr/>
      </w:pPr>
      <w: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p>
    <w:p>
      <w:pPr>
        <w:pBdr/>
        <w:spacing/>
        <w:ind/>
        <w:jc w:val="center"/>
        <w:rPr>
          <w:i/>
          <w:lang w:val="pt-BR"/>
        </w:rPr>
      </w:pPr>
      <w:r>
        <w:rPr>
          <w:i/>
          <w:lang w:val="pt-BR"/>
        </w:rPr>
        <w:t xml:space="preserve">(Kèm theo Báo cáo thẩm định số </w:t>
      </w:r>
      <w:r>
        <w:rPr>
          <w:i/>
        </w:rPr>
        <w:t xml:space="preserve">275/2026/1460/VFI-BC.T02.A</w:t>
      </w:r>
      <w:r>
        <w:rPr>
          <w:i/>
          <w:lang w:val="pt-BR"/>
        </w:rPr>
        <w:t xml:space="preserve"> </w:t>
      </w:r>
      <w:r>
        <w:rPr>
          <w:i/>
          <w:lang w:val="pt-BR"/>
        </w:rPr>
        <w:t xml:space="preserve">ngày </w:t>
      </w:r>
      <w:r>
        <w:rPr>
          <w:i/>
          <w:lang w:val="pt-BR"/>
        </w:rPr>
        <w:t xml:space="preserve">17 tháng 9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0368596836</w:t>
            </w:r>
            <w:r>
              <w:rPr>
                <w:sz w:val="22"/>
                <w:szCs w:val="22"/>
              </w:rPr>
              <w:t xml:space="preserve"> </w:t>
            </w:r>
            <w:r>
              <w:rPr>
                <w:sz w:val="22"/>
                <w:szCs w:val="22"/>
              </w:rPr>
              <w:br/>
              <w:t xml:space="preserve">(Nguyễn Phượng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4.541.400.000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3.860.190.000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03/2026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(78,3m²)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X</w:t>
            </w:r>
            <w:r>
              <w:rPr>
                <w:color w:val="000000" w:themeColor="text1"/>
                <w:sz w:val="22"/>
                <w:szCs w:val="22"/>
              </w:rPr>
              <w:t xml:space="preserve">ã T</w:t>
            </w:r>
            <w:r>
              <w:rPr>
                <w:color w:val="000000" w:themeColor="text1"/>
                <w:sz w:val="22"/>
                <w:szCs w:val="22"/>
              </w:rPr>
              <w:t xml:space="preserve">am </w:t>
            </w:r>
            <w:r>
              <w:rPr>
                <w:color w:val="000000" w:themeColor="text1"/>
                <w:sz w:val="22"/>
                <w:szCs w:val="22"/>
              </w:rPr>
              <w:t xml:space="preserve">Hưng</w:t>
            </w:r>
            <w:r>
              <w:rPr>
                <w:color w:val="000000" w:themeColor="text1"/>
                <w:sz w:val="22"/>
                <w:szCs w:val="22"/>
              </w:rPr>
              <w:t xml:space="preserve">, Thành phố Hà Nộ</w:t>
            </w:r>
            <w:r>
              <w:rPr>
                <w:color w:val="000000" w:themeColor="text1"/>
                <w:sz w:val="22"/>
                <w:szCs w:val="22"/>
              </w:rPr>
              <w:t xml:space="preserve">i</w:t>
            </w:r>
            <w:r>
              <w:rPr>
                <w:color w:val="000000" w:themeColor="text1"/>
                <w:sz w:val="22"/>
                <w:szCs w:val="22"/>
              </w:rPr>
              <w:t xml:space="preserve">, khoảng cách ra đường chính 500m cách DT427B khoảng 500m</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20.86734335, 105.81639425</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78,3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gắn </w:t>
            </w:r>
            <w:r>
              <w:rPr>
                <w:color w:val="000000"/>
                <w:sz w:val="22"/>
                <w:szCs w:val="22"/>
              </w:rPr>
              <w:t xml:space="preserve">liền </w:t>
            </w:r>
            <w:r>
              <w:rPr>
                <w:color w:val="000000"/>
                <w:sz w:val="22"/>
                <w:szCs w:val="22"/>
              </w:rPr>
              <w:t xml:space="preserve">với </w:t>
            </w:r>
            <w:r>
              <w:rPr>
                <w:color w:val="000000"/>
                <w:sz w:val="22"/>
                <w:szCs w:val="22"/>
              </w:rPr>
              <w:t xml:space="preserve">đất </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w:t>
            </w:r>
            <w:r>
              <w:rPr>
                <w:color w:val="000000" w:themeColor="text1"/>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949820" cy="3021565"/>
                      <wp:effectExtent l="0" t="0" r="0" b="0"/>
                      <wp:docPr id="13" name=""/>
                      <wp:cNvGraphicFramePr/>
                      <a:graphic xmlns:a="http://schemas.openxmlformats.org/drawingml/2006/main">
                        <a:graphicData uri="http://schemas.openxmlformats.org/drawingml/2006/picture">
                          <pic:pic xmlns:pic="http://schemas.openxmlformats.org/drawingml/2006/picture">
                            <pic:nvPicPr>
                              <pic:cNvPr id="381581259" name="" descr=""/>
                              <pic:cNvPicPr/>
                              <pic:nvPr/>
                            </pic:nvPicPr>
                            <pic:blipFill rotWithShape="1">
                              <a:blip r:embed="rId25"/>
                              <a:stretch/>
                            </pic:blipFill>
                            <pic:spPr bwMode="auto">
                              <a:xfrm rot="0" flipH="0" flipV="0">
                                <a:off x="0" y="0"/>
                                <a:ext cx="1949819" cy="302156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53.53pt;height:237.92pt;mso-wrap-distance-left:0.00pt;mso-wrap-distance-top:0.00pt;mso-wrap-distance-right:0.00pt;mso-wrap-distance-bottom:0.00pt;rotation:0;z-index:1;" stroked="false">
                      <v:imagedata r:id="rId2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1631912" cy="3021565"/>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flipH="0" flipV="0">
                                <a:off x="0" y="0"/>
                                <a:ext cx="1631911" cy="302156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128.50pt;height:237.92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476841" cy="3175000"/>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tretch/>
                            </pic:blipFill>
                            <pic:spPr bwMode="auto">
                              <a:xfrm flipH="0" flipV="0">
                                <a:off x="0" y="0"/>
                                <a:ext cx="2476841"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95.03pt;height:250.00pt;mso-wrap-distance-left:0.00pt;mso-wrap-distance-top:0.00pt;mso-wrap-distance-right:0.00pt;mso-wrap-distance-bottom:0.00pt;z-index:1;" stroked="false">
                      <v:imagedata r:id="rId27"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237383"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1205171811" name="" descr=""/>
                              <pic:cNvPicPr/>
                              <pic:nvPr/>
                            </pic:nvPicPr>
                            <pic:blipFill rotWithShape="1">
                              <a:blip r:embed="rId28"/>
                              <a:stretch/>
                            </pic:blipFill>
                            <pic:spPr bwMode="auto">
                              <a:xfrm rot="0" flipH="0" flipV="0">
                                <a:off x="0" y="0"/>
                                <a:ext cx="2237382" cy="317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176.17pt;height:250.00pt;mso-wrap-distance-left:0.00pt;mso-wrap-distance-top:0.00pt;mso-wrap-distance-right:0.00pt;mso-wrap-distance-bottom:0.00pt;rotation:0;z-index:1;" stroked="false">
                      <v:imagedata r:id="rId28" o:title=""/>
                      <o:lock v:ext="edit" rotation="t"/>
                    </v:shape>
                  </w:pict>
                </mc:Fallback>
              </mc:AlternateContent>
            </w:r>
            <w:r>
              <w:rPr>
                <w:color w:val="000000"/>
                <w:sz w:val="22"/>
                <w:szCs w:val="22"/>
              </w:rPr>
            </w:r>
            <w:r>
              <w:rPr>
                <w:color w:val="000000"/>
                <w:sz w:val="22"/>
                <w:szCs w:val="22"/>
              </w:rPr>
            </w:r>
          </w:p>
          <w:p>
            <w:pPr>
              <w:pBdr/>
              <w:spacing/>
              <w:ind/>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w:t>
            </w:r>
            <w:r>
              <w:t xml:space="preserve">Thị </w:t>
            </w:r>
            <w:r>
              <w:t xml:space="preserve">Nga</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https://www.facebook.com/groups/1532133027033983/permalink/4382295135351077/?rdid=O1UC2P6rzo1W9WAV#</w:t>
            </w:r>
            <w:r>
              <w:rPr>
                <w:color w:val="000000" w:themeColor="text1"/>
                <w:sz w:val="22"/>
                <w:szCs w:val="22"/>
              </w:rPr>
              <w:br/>
              <w:t xml:space="preserve">0854 889 333</w:t>
            </w:r>
            <w:r>
              <w:rPr>
                <w:sz w:val="22"/>
                <w:szCs w:val="22"/>
              </w:rPr>
              <w:t xml:space="preserve"> </w:t>
            </w:r>
            <w:r>
              <w:rPr>
                <w:sz w:val="22"/>
                <w:szCs w:val="22"/>
              </w:rPr>
              <w:br/>
              <w:t xml:space="preserve">(Bùi Duy Hồng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4.000.000.000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w:t>
            </w:r>
            <w:r>
              <w:rPr>
                <w:color w:val="000000" w:themeColor="text1"/>
                <w:sz w:val="22"/>
                <w:szCs w:val="22"/>
              </w:rPr>
              <w:t xml:space="preserve">9</w:t>
            </w:r>
            <w:r>
              <w:rPr>
                <w:color w:val="000000" w:themeColor="text1"/>
                <w:sz w:val="22"/>
                <w:szCs w:val="22"/>
              </w:rPr>
              <w:t xml:space="preserve">/2026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(80,5m²)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Xã Tam Hưng, Thành phố Hà Nộ</w:t>
            </w:r>
            <w:r>
              <w:rPr>
                <w:color w:val="000000" w:themeColor="text1"/>
                <w:sz w:val="22"/>
                <w:szCs w:val="22"/>
              </w:rPr>
              <w:t xml:space="preserve">i </w:t>
            </w:r>
            <w:r>
              <w:rPr>
                <w:color w:val="000000" w:themeColor="text1"/>
                <w:sz w:val="22"/>
                <w:szCs w:val="22"/>
              </w:rPr>
              <w:t xml:space="preserve">Thành phố Hà Nội, khoảng cách ra đường chính </w:t>
            </w:r>
            <w:r>
              <w:rPr>
                <w:color w:val="000000" w:themeColor="text1"/>
                <w:sz w:val="22"/>
                <w:szCs w:val="22"/>
              </w:rPr>
              <w:t xml:space="preserve">khoảng </w:t>
            </w:r>
            <w:r>
              <w:rPr>
                <w:color w:val="000000" w:themeColor="text1"/>
                <w:sz w:val="22"/>
                <w:szCs w:val="22"/>
              </w:rPr>
              <w:t xml:space="preserve">80</w:t>
            </w:r>
            <w:r>
              <w:rPr>
                <w:color w:val="000000" w:themeColor="text1"/>
                <w:sz w:val="22"/>
                <w:szCs w:val="22"/>
              </w:rPr>
              <w:t xml:space="preserve">m,</w:t>
            </w:r>
            <w:r>
              <w:rPr>
                <w:color w:val="000000" w:themeColor="text1"/>
                <w:sz w:val="22"/>
                <w:szCs w:val="22"/>
              </w:rPr>
            </w:r>
            <w:r>
              <w:rPr>
                <w:color w:val="000000" w:themeColor="text1"/>
                <w:sz w:val="22"/>
                <w:szCs w:val="22"/>
              </w:rPr>
            </w:r>
          </w:p>
          <w:p>
            <w:pPr>
              <w:pBdr/>
              <w:spacing/>
              <w:ind/>
              <w:jc w:val="center"/>
              <w:rPr>
                <w:color w:val="000000" w:themeColor="text1"/>
                <w:sz w:val="22"/>
                <w:szCs w:val="22"/>
              </w:rPr>
            </w:pPr>
            <w:r>
              <w:rPr>
                <w:color w:val="000000" w:themeColor="text1"/>
                <w:sz w:val="22"/>
                <w:szCs w:val="22"/>
              </w:rPr>
              <w:t xml:space="preserve"> </w:t>
            </w: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r>
            <w:r>
              <w:rPr>
                <w:color w:val="000000" w:themeColor="text1"/>
                <w:sz w:val="22"/>
                <w:szCs w:val="22"/>
              </w:rPr>
              <w:t xml:space="preserve">20.86926034, 105.81823199</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80.5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4.21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chữ nhật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Lợi thế kinh doanh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lợi thế thương mại 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Các </w:t>
            </w:r>
            <w:r>
              <w:rPr>
                <w:color w:val="000000"/>
                <w:sz w:val="22"/>
                <w:szCs w:val="22"/>
              </w:rPr>
              <w:t xml:space="preserve">bất lợi thương mại </w:t>
            </w:r>
            <w:r>
              <w:rPr>
                <w:color w:val="000000"/>
                <w:sz w:val="22"/>
                <w:szCs w:val="22"/>
              </w:rPr>
              <w:t xml:space="preserve">của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cơ sở hạ tầng kỹ thuật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Điều kiện môi trường an ninh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111715" cy="2774410"/>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2111715" cy="27744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166.28pt;height:218.46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78108" cy="2822035"/>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2578107" cy="28220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03.00pt;height:222.21pt;mso-wrap-distance-left:0.00pt;mso-wrap-distance-top:0.00pt;mso-wrap-distance-right:0.00pt;mso-wrap-distance-bottom:0.00pt;z-index:1;" stroked="false">
                      <v:imagedata r:id="rId30"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left"/>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892765" cy="3021601"/>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2892764" cy="30216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27.78pt;height:237.92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81250" cy="3021601"/>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2381249" cy="30216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87.50pt;height:237.92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w:t>
            </w:r>
            <w:r>
              <w:t xml:space="preserve">Nga</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jc w:val="center"/>
        <w:rPr>
          <w:iCs/>
          <w:lang w:val="pt-BR"/>
        </w:rPr>
      </w:pPr>
      <w:r>
        <w:rPr>
          <w:iCs/>
          <w:lang w:val="pt-BR"/>
        </w:rPr>
        <w:br w:type="page" w:clear="all"/>
      </w:r>
      <w:r>
        <w:rPr>
          <w:b/>
          <w:bCs/>
          <w:iCs/>
          <w:lang w:val="pt-BR"/>
        </w:rPr>
        <w:t xml:space="preserve">TSSS 3</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r>
            <w:r>
              <w:rPr>
                <w:sz w:val="22"/>
                <w:szCs w:val="22"/>
              </w:rPr>
              <w:t xml:space="preserve">SĐT: </w:t>
            </w:r>
            <w:r>
              <w:rPr>
                <w:color w:val="000000" w:themeColor="text1"/>
                <w:sz w:val="22"/>
                <w:szCs w:val="22"/>
              </w:rPr>
              <w:t xml:space="preserve">0912898831</w:t>
            </w:r>
            <w:r>
              <w:rPr>
                <w:sz w:val="22"/>
                <w:szCs w:val="22"/>
              </w:rPr>
              <w:t xml:space="preserve"> </w:t>
            </w:r>
            <w:r>
              <w:rPr>
                <w:sz w:val="22"/>
                <w:szCs w:val="22"/>
              </w:rPr>
              <w:br/>
              <w:t xml:space="preserve">(Hùng Bảng</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3.300.000.000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2.640.000.000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w:t>
            </w:r>
            <w:r>
              <w:rPr>
                <w:color w:val="000000" w:themeColor="text1"/>
                <w:sz w:val="22"/>
                <w:szCs w:val="22"/>
              </w:rPr>
              <w:t xml:space="preserve">giao </w:t>
            </w:r>
            <w:r>
              <w:rPr>
                <w:color w:val="000000" w:themeColor="text1"/>
                <w:sz w:val="22"/>
                <w:szCs w:val="22"/>
              </w:rPr>
              <w:t xml:space="preserve">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09/2026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(51m²)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color w:val="000000" w:themeColor="text1"/>
                <w:sz w:val="22"/>
                <w:szCs w:val="22"/>
              </w:rPr>
            </w:pPr>
            <w:r>
              <w:rPr>
                <w:color w:val="000000" w:themeColor="text1"/>
                <w:sz w:val="22"/>
                <w:szCs w:val="22"/>
              </w:rPr>
              <w:t xml:space="preserve">Tài sản tại: </w:t>
            </w:r>
            <w:r>
              <w:rPr>
                <w:color w:val="000000" w:themeColor="text1"/>
                <w:sz w:val="22"/>
                <w:szCs w:val="22"/>
              </w:rPr>
              <w:t xml:space="preserve">Xã T</w:t>
            </w:r>
            <w:r>
              <w:rPr>
                <w:color w:val="000000" w:themeColor="text1"/>
                <w:sz w:val="22"/>
                <w:szCs w:val="22"/>
              </w:rPr>
              <w:t xml:space="preserve">am </w:t>
            </w:r>
            <w:r>
              <w:rPr>
                <w:color w:val="000000" w:themeColor="text1"/>
                <w:sz w:val="22"/>
                <w:szCs w:val="22"/>
              </w:rPr>
              <w:t xml:space="preserve">Hưng</w:t>
            </w:r>
            <w:r>
              <w:rPr>
                <w:color w:val="000000" w:themeColor="text1"/>
                <w:sz w:val="22"/>
                <w:szCs w:val="22"/>
              </w:rPr>
              <w:t xml:space="preserve">, Thành phố Hà Nộ</w:t>
            </w:r>
            <w:r>
              <w:rPr>
                <w:color w:val="000000" w:themeColor="text1"/>
                <w:sz w:val="22"/>
                <w:szCs w:val="22"/>
              </w:rPr>
              <w:t xml:space="preserve">i, </w:t>
            </w:r>
            <w:r>
              <w:rPr>
                <w:color w:val="000000" w:themeColor="text1"/>
                <w:sz w:val="22"/>
                <w:szCs w:val="22"/>
              </w:rPr>
              <w:t xml:space="preserve"> </w:t>
            </w:r>
            <w:r>
              <w:rPr>
                <w:color w:val="000000" w:themeColor="text1"/>
                <w:sz w:val="22"/>
                <w:szCs w:val="22"/>
              </w:rPr>
              <w:t xml:space="preserve">tiếp </w:t>
            </w:r>
            <w:r>
              <w:rPr>
                <w:color w:val="000000" w:themeColor="text1"/>
                <w:sz w:val="22"/>
                <w:szCs w:val="22"/>
              </w:rPr>
              <w:t xml:space="preserve">giáp </w:t>
            </w:r>
            <w:r>
              <w:rPr>
                <w:color w:val="000000" w:themeColor="text1"/>
                <w:sz w:val="22"/>
                <w:szCs w:val="22"/>
              </w:rPr>
              <w:t xml:space="preserve"> đường Gia Vĩnh</w:t>
            </w:r>
            <w:r>
              <w:rPr>
                <w:color w:val="000000" w:themeColor="text1"/>
                <w:sz w:val="22"/>
                <w:szCs w:val="22"/>
              </w:rPr>
            </w:r>
            <w:r>
              <w:rPr>
                <w:color w:val="000000" w:themeColor="text1"/>
                <w:sz w:val="22"/>
                <w:szCs w:val="22"/>
              </w:rPr>
            </w:r>
          </w:p>
          <w:p>
            <w:pPr>
              <w:pBdr/>
              <w:spacing/>
              <w:ind/>
              <w:jc w:val="center"/>
              <w:rPr>
                <w:color w:val="000000"/>
                <w:sz w:val="22"/>
                <w:szCs w:val="22"/>
              </w:rPr>
            </w:pPr>
            <w:r>
              <w:rPr>
                <w:color w:val="000000" w:themeColor="text1"/>
                <w:sz w:val="22"/>
                <w:szCs w:val="22"/>
              </w:rPr>
              <w:t xml:space="preserve">Định </w:t>
            </w:r>
            <w:r>
              <w:rPr>
                <w:color w:val="000000" w:themeColor="text1"/>
                <w:sz w:val="22"/>
                <w:szCs w:val="22"/>
              </w:rPr>
              <w:t xml:space="preserve">vị:</w:t>
            </w:r>
            <w:r>
              <w:rPr>
                <w:color w:val="000000" w:themeColor="text1"/>
                <w:sz w:val="22"/>
                <w:szCs w:val="22"/>
              </w:rPr>
              <w:t xml:space="preserve"> 20.87044444, 105.80727777</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bê tông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3,25</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Tài </w:t>
            </w:r>
            <w:r>
              <w:rPr>
                <w:color w:val="000000"/>
                <w:sz w:val="22"/>
                <w:szCs w:val="22"/>
              </w:rPr>
              <w:t xml:space="preserve">sản </w:t>
            </w:r>
            <w:r>
              <w:rPr>
                <w:color w:val="000000"/>
                <w:sz w:val="22"/>
                <w:szCs w:val="22"/>
              </w:rPr>
              <w:t xml:space="preserve">gắn </w:t>
            </w:r>
            <w:r>
              <w:rPr>
                <w:color w:val="000000"/>
                <w:sz w:val="22"/>
                <w:szCs w:val="22"/>
              </w:rPr>
              <w:t xml:space="preserve">liền </w:t>
            </w:r>
            <w:r>
              <w:rPr>
                <w:color w:val="000000"/>
                <w:sz w:val="22"/>
                <w:szCs w:val="22"/>
              </w:rPr>
              <w:t xml:space="preserve">với </w:t>
            </w:r>
            <w:r>
              <w:rPr>
                <w:color w:val="000000"/>
                <w:sz w:val="22"/>
                <w:szCs w:val="22"/>
              </w:rPr>
              <w:t xml:space="preserve">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w:t>
            </w:r>
            <w:r>
              <w:rPr>
                <w:color w:val="000000" w:themeColor="text1"/>
                <w:sz w:val="22"/>
                <w:szCs w:val="22"/>
              </w:rPr>
              <w:t xml:space="preserve">trống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521290" cy="2698292"/>
                      <wp:effectExtent l="0" t="0" r="0" b="0"/>
                      <wp:docPr id="21"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3"/>
                              <a:stretch/>
                            </pic:blipFill>
                            <pic:spPr bwMode="auto">
                              <a:xfrm flipH="0" flipV="0">
                                <a:off x="0" y="0"/>
                                <a:ext cx="2521289" cy="269829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98.53pt;height:212.46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247930" cy="2698210"/>
                      <wp:effectExtent l="0" t="0" r="0" b="0"/>
                      <wp:docPr id="22"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4"/>
                              <a:stretch/>
                            </pic:blipFill>
                            <pic:spPr bwMode="auto">
                              <a:xfrm flipH="0" flipV="0">
                                <a:off x="0" y="0"/>
                                <a:ext cx="2247929" cy="26982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77.00pt;height:212.46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2988015" cy="2774410"/>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2988014" cy="27744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35.28pt;height:218.46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01883" cy="2774410"/>
                      <wp:effectExtent l="0" t="0" r="0" b="0"/>
                      <wp:docPr id="24" name=""/>
                      <wp:cNvGraphicFramePr/>
                      <a:graphic xmlns:a="http://schemas.openxmlformats.org/drawingml/2006/main">
                        <a:graphicData uri="http://schemas.openxmlformats.org/drawingml/2006/picture">
                          <pic:pic xmlns:pic="http://schemas.openxmlformats.org/drawingml/2006/picture">
                            <pic:nvPicPr>
                              <pic:cNvPr id="1066079248" name="" descr=""/>
                              <pic:cNvPicPr/>
                              <pic:nvPr/>
                            </pic:nvPicPr>
                            <pic:blipFill rotWithShape="1">
                              <a:blip r:embed="rId36"/>
                              <a:stretch/>
                            </pic:blipFill>
                            <pic:spPr bwMode="auto">
                              <a:xfrm flipH="0" flipV="0">
                                <a:off x="0" y="0"/>
                                <a:ext cx="2301883" cy="27744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81.25pt;height:218.46pt;mso-wrap-distance-left:0.00pt;mso-wrap-distance-top:0.00pt;mso-wrap-distance-right:0.00pt;mso-wrap-distance-bottom:0.00pt;z-index:1;" stroked="false">
                      <v:imagedata r:id="rId36" o:title=""/>
                      <o:lock v:ext="edit" rotation="t"/>
                    </v:shape>
                  </w:pict>
                </mc:Fallback>
              </mc:AlternateContent>
            </w:r>
            <w:r>
              <w:rPr>
                <w:color w:val="000000"/>
                <w:sz w:val="22"/>
                <w:szCs w:val="22"/>
              </w:rPr>
            </w:r>
            <w:r>
              <w:rPr>
                <w:color w:val="000000"/>
                <w:sz w:val="22"/>
                <w:szCs w:val="22"/>
              </w:rPr>
            </w:r>
          </w:p>
          <w:p>
            <w:pPr>
              <w:pBdr/>
              <w:spacing w:line="276" w:lineRule="auto"/>
              <w:ind/>
              <w:rPr>
                <w:b/>
                <w:bCs/>
                <w:sz w:val="22"/>
                <w:szCs w:val="22"/>
              </w:rPr>
            </w:pPr>
            <w:r>
              <w:rPr>
                <w:color w:val="000000"/>
                <w:sz w:val="22"/>
                <w:szCs w:val="22"/>
              </w:rPr>
            </w:r>
            <w:r>
              <w:rPr>
                <w:color w:val="000000"/>
                <w:sz w:val="22"/>
                <w:szCs w:val="22"/>
              </w:rPr>
              <w:t xml:space="preserve"> </w:t>
            </w:r>
            <w:r>
              <w:rPr>
                <w:color w:val="000000"/>
                <w:sz w:val="22"/>
                <w:szCs w:val="22"/>
              </w:rPr>
              <w:t xml:space="preserve"> </w:t>
            </w:r>
            <w:r>
              <w:rPr>
                <w:b/>
                <w:bCs/>
                <w:sz w:val="22"/>
                <w:szCs w:val="22"/>
              </w:rPr>
            </w:r>
            <w:r>
              <w:rPr>
                <w:b/>
                <w:bCs/>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Nga</w:t>
            </w:r>
            <w:r>
              <w:rPr>
                <w:b/>
                <w:bCs/>
              </w:rPr>
            </w: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iCs/>
          <w:highlight w:val="none"/>
          <w:lang w:val="pt-BR"/>
        </w:rPr>
      </w:pPr>
      <w:r>
        <w:rPr>
          <w:b/>
          <w:bCs/>
          <w:iCs/>
          <w:lang w:val="pt-BR"/>
        </w:rPr>
        <w:t xml:space="preserve">HỒ </w:t>
      </w:r>
      <w:r>
        <w:rPr>
          <w:b/>
          <w:bCs/>
          <w:iCs/>
          <w:lang w:val="pt-BR"/>
        </w:rPr>
        <w:t xml:space="preserve">SƠ </w:t>
      </w:r>
      <w:r>
        <w:rPr>
          <w:b/>
          <w:bCs/>
          <w:iCs/>
          <w:lang w:val="pt-BR"/>
        </w:rPr>
        <w:t xml:space="preserve">PHÁP </w:t>
      </w:r>
      <w:r>
        <w:rPr>
          <w:b/>
          <w:bCs/>
          <w:iCs/>
          <w:lang w:val="pt-BR"/>
        </w:rPr>
        <w:t xml:space="preserve">LÝ</w:t>
      </w:r>
      <w:r>
        <w:rPr>
          <w:b/>
          <w:bCs/>
          <w:iCs/>
          <w:highlight w:val="none"/>
          <w:lang w:val="pt-BR"/>
        </w:rPr>
      </w:r>
      <w:r>
        <w:rPr>
          <w:b/>
          <w:bCs/>
          <w:iCs/>
          <w:highlight w:val="none"/>
          <w:lang w:val="pt-BR"/>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8567278"/>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4684834" name=""/>
                        <pic:cNvPicPr>
                          <a:picLocks noChangeAspect="1"/>
                        </pic:cNvPicPr>
                        <pic:nvPr/>
                      </pic:nvPicPr>
                      <pic:blipFill rotWithShape="1">
                        <a:blip r:embed="rId37"/>
                        <a:stretch/>
                      </pic:blipFill>
                      <pic:spPr bwMode="auto">
                        <a:xfrm flipH="0" flipV="0">
                          <a:off x="0" y="0"/>
                          <a:ext cx="6048374" cy="856727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76.25pt;height:674.59pt;mso-wrap-distance-left:0.00pt;mso-wrap-distance-top:0.00pt;mso-wrap-distance-right:0.00pt;mso-wrap-distance-bottom:0.00pt;z-index:1;" stroked="false">
                <v:imagedata r:id="rId37"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highlight w:val="none"/>
          <w:lang w:val="pt-BR"/>
        </w:rPr>
      </w:pPr>
      <w:r>
        <w:rPr>
          <w:b/>
          <w:bCs/>
          <w:iCs/>
          <w:highlight w:val="none"/>
          <w:lang w:val="pt-BR"/>
        </w:rPr>
      </w:r>
      <w:r>
        <mc:AlternateContent>
          <mc:Choice Requires="wpg">
            <w:drawing>
              <wp:inline xmlns:wp="http://schemas.openxmlformats.org/drawingml/2006/wordprocessingDrawing" distT="0" distB="0" distL="0" distR="0">
                <wp:extent cx="6048375" cy="8533860"/>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608776" name=""/>
                        <pic:cNvPicPr>
                          <a:picLocks noChangeAspect="1"/>
                        </pic:cNvPicPr>
                        <pic:nvPr/>
                      </pic:nvPicPr>
                      <pic:blipFill rotWithShape="1">
                        <a:blip r:embed="rId38"/>
                        <a:stretch/>
                      </pic:blipFill>
                      <pic:spPr bwMode="auto">
                        <a:xfrm flipH="0" flipV="0">
                          <a:off x="0" y="0"/>
                          <a:ext cx="6048374" cy="853385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6.25pt;height:671.96pt;mso-wrap-distance-left:0.00pt;mso-wrap-distance-top:0.00pt;mso-wrap-distance-right:0.00pt;mso-wrap-distance-bottom:0.00pt;z-index:1;" stroked="false">
                <v:imagedata r:id="rId38" o:title=""/>
                <o:lock v:ext="edit" rotation="t"/>
              </v:shape>
            </w:pict>
          </mc:Fallback>
        </mc:AlternateContent>
      </w:r>
      <w:r>
        <w:rPr>
          <w:b/>
          <w:bCs/>
          <w:highlight w:val="none"/>
          <w:lang w:val="pt-BR"/>
        </w:rPr>
      </w:r>
      <w:r>
        <w:rPr>
          <w:b/>
          <w:bCs/>
          <w:highlight w:val="none"/>
          <w:lang w:val="pt-BR"/>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pPr>
      <w:r>
        <w:rPr>
          <w:b/>
          <w:bCs/>
          <w:iCs/>
          <w:highlight w:val="none"/>
          <w:lang w:val="pt-BR"/>
        </w:rPr>
      </w:r>
      <w:r>
        <mc:AlternateContent>
          <mc:Choice Requires="wpg">
            <w:drawing>
              <wp:inline xmlns:wp="http://schemas.openxmlformats.org/drawingml/2006/wordprocessingDrawing" distT="0" distB="0" distL="0" distR="0">
                <wp:extent cx="6048375" cy="8591010"/>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400563" name=""/>
                        <pic:cNvPicPr>
                          <a:picLocks noChangeAspect="1"/>
                        </pic:cNvPicPr>
                        <pic:nvPr/>
                      </pic:nvPicPr>
                      <pic:blipFill rotWithShape="1">
                        <a:blip r:embed="rId39"/>
                        <a:stretch/>
                      </pic:blipFill>
                      <pic:spPr bwMode="auto">
                        <a:xfrm flipH="0" flipV="0">
                          <a:off x="0" y="0"/>
                          <a:ext cx="6048374" cy="85910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76.25pt;height:676.46pt;mso-wrap-distance-left:0.00pt;mso-wrap-distance-top:0.00pt;mso-wrap-distance-right:0.00pt;mso-wrap-distance-bottom:0.00pt;z-index:1;" stroked="false">
                <v:imagedata r:id="rId39" o:title=""/>
                <o:lock v:ext="edit" rotation="t"/>
              </v:shape>
            </w:pict>
          </mc:Fallback>
        </mc:AlternateContent>
      </w:r>
      <w:r>
        <w:rPr>
          <w:b/>
          <w:bCs/>
          <w:highlight w:val="none"/>
          <w:lang w:val="pt-BR"/>
        </w:rPr>
      </w:r>
    </w:p>
    <w:p>
      <w:pPr>
        <w:pBdr/>
        <w:spacing w:after="200" w:line="276" w:lineRule="auto"/>
        <w:ind/>
        <w:jc w:val="center"/>
        <w:rPr>
          <w:b/>
          <w:bCs/>
          <w:highlight w:val="none"/>
          <w:lang w:val="pt-BR"/>
        </w:rPr>
      </w:pPr>
      <w:r/>
      <w:r>
        <w:rPr>
          <w:b/>
          <w:bCs/>
          <w:iCs/>
          <w:highlight w:val="none"/>
          <w:lang w:val="pt-BR"/>
        </w:rPr>
        <w:t xml:space="preserve">BIÊN </w:t>
      </w:r>
      <w:r>
        <w:rPr>
          <w:b/>
          <w:bCs/>
          <w:iCs/>
          <w:highlight w:val="none"/>
          <w:lang w:val="pt-BR"/>
        </w:rPr>
        <w:t xml:space="preserve">BẢN </w:t>
      </w:r>
      <w:r>
        <w:rPr>
          <w:b/>
          <w:bCs/>
          <w:iCs/>
          <w:highlight w:val="none"/>
          <w:lang w:val="pt-BR"/>
        </w:rPr>
        <w:t xml:space="preserve">KHẢO </w:t>
      </w:r>
      <w:r>
        <w:rPr>
          <w:b/>
          <w:bCs/>
          <w:iCs/>
          <w:highlight w:val="none"/>
          <w:lang w:val="pt-BR"/>
        </w:rPr>
        <w:t xml:space="preserve">SÁT</w:t>
      </w:r>
      <w:r>
        <w:rPr>
          <w:b/>
          <w:bCs/>
          <w:highlight w:val="none"/>
          <w:lang w:val="pt-BR"/>
        </w:rPr>
      </w:r>
      <w:r/>
    </w:p>
    <w:p>
      <w:pPr>
        <w:pBdr/>
        <w:spacing w:after="200" w:line="276" w:lineRule="auto"/>
        <w:ind/>
        <w:jc w:val="center"/>
        <w:rPr>
          <w:b/>
          <w:bCs/>
        </w:rPr>
      </w:pPr>
      <w:r>
        <w:rPr>
          <w:b/>
          <w:bCs/>
          <w:iCs/>
          <w:highlight w:val="none"/>
          <w:lang w:val="pt-BR"/>
        </w:rPr>
      </w:r>
      <w:r>
        <mc:AlternateContent>
          <mc:Choice Requires="wpg">
            <w:drawing>
              <wp:inline xmlns:wp="http://schemas.openxmlformats.org/drawingml/2006/wordprocessingDrawing" distT="0" distB="0" distL="0" distR="0">
                <wp:extent cx="6048375" cy="8064500"/>
                <wp:effectExtent l="0" t="0" r="0" b="0"/>
                <wp:docPr id="2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517137" name=""/>
                        <pic:cNvPicPr>
                          <a:picLocks noChangeAspect="1"/>
                        </pic:cNvPicPr>
                        <pic:nvPr/>
                      </pic:nvPicPr>
                      <pic:blipFill rotWithShape="1">
                        <a:blip r:embed="rId40"/>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476.25pt;height:635.00pt;mso-wrap-distance-left:0.00pt;mso-wrap-distance-top:0.00pt;mso-wrap-distance-right:0.00pt;mso-wrap-distance-bottom:0.00pt;z-index:1;" stroked="false">
                <v:imagedata r:id="rId40" o:title=""/>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9"/>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39"/>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9"/>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9"/>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37"/>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6402872D"/>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8">
    <w:nsid w:val="6402872D"/>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39">
    <w:nsid w:val="1CC066D2"/>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7D90D10E"/>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6402872D"/>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2">
    <w:nsid w:val="7D90D10E"/>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3">
    <w:nsid w:val="7D90D10E"/>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4">
    <w:nsid w:val="7D90D10E"/>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5">
    <w:nsid w:val="6402872D"/>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 w:numId="43">
    <w:abstractNumId w:val="41"/>
  </w:num>
  <w:num w:numId="44">
    <w:abstractNumId w:val="42"/>
  </w:num>
  <w:num w:numId="45">
    <w:abstractNumId w:val="43"/>
  </w:num>
  <w:num w:numId="46">
    <w:abstractNumId w:val="44"/>
  </w:num>
  <w:num w:numId="47">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5">
    <w:name w:val="Table Grid Light"/>
    <w:basedOn w:val="102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1"/>
    <w:basedOn w:val="102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Plain Table 2"/>
    <w:basedOn w:val="102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Plain Table 3"/>
    <w:basedOn w:val="102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Plain Table 4"/>
    <w:basedOn w:val="102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Plain Table 5"/>
    <w:basedOn w:val="102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w:basedOn w:val="102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1"/>
    <w:basedOn w:val="102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2"/>
    <w:basedOn w:val="102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1 Light - Accent 3"/>
    <w:basedOn w:val="102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1 Light - Accent 4"/>
    <w:basedOn w:val="102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1 Light - Accent 5"/>
    <w:basedOn w:val="102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1 Light - Accent 6"/>
    <w:basedOn w:val="102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w:basedOn w:val="102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1"/>
    <w:basedOn w:val="102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2"/>
    <w:basedOn w:val="102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2 - Accent 3"/>
    <w:basedOn w:val="102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2 - Accent 4"/>
    <w:basedOn w:val="102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2 - Accent 5"/>
    <w:basedOn w:val="102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2 - Accent 6"/>
    <w:basedOn w:val="102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w:basedOn w:val="102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1"/>
    <w:basedOn w:val="102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2"/>
    <w:basedOn w:val="102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3 - Accent 3"/>
    <w:basedOn w:val="102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3 - Accent 4"/>
    <w:basedOn w:val="102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3 - Accent 5"/>
    <w:basedOn w:val="102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3 - Accent 6"/>
    <w:basedOn w:val="102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w:basedOn w:val="102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1"/>
    <w:basedOn w:val="102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2"/>
    <w:basedOn w:val="102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4 - Accent 3"/>
    <w:basedOn w:val="102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4 - Accent 4"/>
    <w:basedOn w:val="102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4 - Accent 5"/>
    <w:basedOn w:val="102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4 - Accent 6"/>
    <w:basedOn w:val="102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Accent 1"/>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 Accent 2"/>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5 Dark - Accent 3"/>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5 Dark- Accent 4"/>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5 Dark - Accent 5"/>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5 Dark - Accent 6"/>
    <w:basedOn w:val="102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6 Colorful"/>
    <w:basedOn w:val="102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7">
    <w:name w:val="Grid Table 6 Colorful - Accent 1"/>
    <w:basedOn w:val="102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8">
    <w:name w:val="Grid Table 6 Colorful - Accent 2"/>
    <w:basedOn w:val="102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9">
    <w:name w:val="Grid Table 6 Colorful - Accent 3"/>
    <w:basedOn w:val="102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900">
    <w:name w:val="Grid Table 6 Colorful - Accent 4"/>
    <w:basedOn w:val="102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901">
    <w:name w:val="Grid Table 6 Colorful - Accent 5"/>
    <w:basedOn w:val="102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2">
    <w:name w:val="Grid Table 6 Colorful - Accent 6"/>
    <w:basedOn w:val="102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903">
    <w:name w:val="Grid Table 7 Colorful"/>
    <w:basedOn w:val="102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1"/>
    <w:basedOn w:val="102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2"/>
    <w:basedOn w:val="102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Grid Table 7 Colorful - Accent 3"/>
    <w:basedOn w:val="102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Grid Table 7 Colorful - Accent 4"/>
    <w:basedOn w:val="102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Grid Table 7 Colorful - Accent 5"/>
    <w:basedOn w:val="102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Grid Table 7 Colorful - Accent 6"/>
    <w:basedOn w:val="102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1"/>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2"/>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1 Light - Accent 3"/>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1 Light - Accent 4"/>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1 Light - Accent 5"/>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1 Light - Accent 6"/>
    <w:basedOn w:val="102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w:basedOn w:val="102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1"/>
    <w:basedOn w:val="102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2"/>
    <w:basedOn w:val="102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2 - Accent 3"/>
    <w:basedOn w:val="102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2 - Accent 4"/>
    <w:basedOn w:val="102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2 - Accent 5"/>
    <w:basedOn w:val="102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2 - Accent 6"/>
    <w:basedOn w:val="102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w:basedOn w:val="102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1"/>
    <w:basedOn w:val="102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2"/>
    <w:basedOn w:val="102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3 - Accent 3"/>
    <w:basedOn w:val="102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3 - Accent 4"/>
    <w:basedOn w:val="102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3 - Accent 5"/>
    <w:basedOn w:val="102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3 - Accent 6"/>
    <w:basedOn w:val="102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w:basedOn w:val="102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1"/>
    <w:basedOn w:val="102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2"/>
    <w:basedOn w:val="102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4 - Accent 3"/>
    <w:basedOn w:val="102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4 - Accent 4"/>
    <w:basedOn w:val="102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4 - Accent 5"/>
    <w:basedOn w:val="102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4 - Accent 6"/>
    <w:basedOn w:val="102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5 Dark"/>
    <w:basedOn w:val="102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1"/>
    <w:basedOn w:val="102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2"/>
    <w:basedOn w:val="102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5 Dark - Accent 3"/>
    <w:basedOn w:val="102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2">
    <w:name w:val="List Table 5 Dark - Accent 4"/>
    <w:basedOn w:val="102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3">
    <w:name w:val="List Table 5 Dark - Accent 5"/>
    <w:basedOn w:val="102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4">
    <w:name w:val="List Table 5 Dark - Accent 6"/>
    <w:basedOn w:val="102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5">
    <w:name w:val="List Table 6 Colorful"/>
    <w:basedOn w:val="102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1"/>
    <w:basedOn w:val="102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2"/>
    <w:basedOn w:val="102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6 Colorful - Accent 3"/>
    <w:basedOn w:val="102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st Table 6 Colorful - Accent 4"/>
    <w:basedOn w:val="102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st Table 6 Colorful - Accent 5"/>
    <w:basedOn w:val="102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st Table 6 Colorful - Accent 6"/>
    <w:basedOn w:val="102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st Table 7 Colorful"/>
    <w:basedOn w:val="102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53">
    <w:name w:val="List Table 7 Colorful - Accent 1"/>
    <w:basedOn w:val="102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4">
    <w:name w:val="List Table 7 Colorful - Accent 2"/>
    <w:basedOn w:val="102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5">
    <w:name w:val="List Table 7 Colorful - Accent 3"/>
    <w:basedOn w:val="102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6">
    <w:name w:val="List Table 7 Colorful - Accent 4"/>
    <w:basedOn w:val="102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7">
    <w:name w:val="List Table 7 Colorful - Accent 5"/>
    <w:basedOn w:val="102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8">
    <w:name w:val="List Table 7 Colorful - Accent 6"/>
    <w:basedOn w:val="102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9">
    <w:name w:val="Lined - Accent"/>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1"/>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2"/>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Lined - Accent 3"/>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Lined - Accent 4"/>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Lined - Accent 5"/>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Lined - Accent 6"/>
    <w:basedOn w:val="102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w:basedOn w:val="102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1"/>
    <w:basedOn w:val="102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2"/>
    <w:basedOn w:val="102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amp; Lined - Accent 3"/>
    <w:basedOn w:val="102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amp; Lined - Accent 4"/>
    <w:basedOn w:val="102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amp; Lined - Accent 5"/>
    <w:basedOn w:val="102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amp; Lined - Accent 6"/>
    <w:basedOn w:val="102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w:basedOn w:val="102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1"/>
    <w:basedOn w:val="102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2"/>
    <w:basedOn w:val="102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6">
    <w:name w:val="Bordered - Accent 3"/>
    <w:basedOn w:val="102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7">
    <w:name w:val="Bordered - Accent 4"/>
    <w:basedOn w:val="102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8">
    <w:name w:val="Bordered - Accent 5"/>
    <w:basedOn w:val="102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9">
    <w:name w:val="Bordered - Accent 6"/>
    <w:basedOn w:val="102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80">
    <w:name w:val="Heading 5"/>
    <w:basedOn w:val="1021"/>
    <w:next w:val="1021"/>
    <w:link w:val="98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81">
    <w:name w:val="Heading 6"/>
    <w:basedOn w:val="1021"/>
    <w:next w:val="1021"/>
    <w:link w:val="98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82">
    <w:name w:val="Heading 7"/>
    <w:basedOn w:val="1021"/>
    <w:next w:val="1021"/>
    <w:link w:val="98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83">
    <w:name w:val="Heading 8"/>
    <w:basedOn w:val="1021"/>
    <w:next w:val="1021"/>
    <w:link w:val="98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4">
    <w:name w:val="Heading 9"/>
    <w:basedOn w:val="1021"/>
    <w:next w:val="1021"/>
    <w:link w:val="98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5">
    <w:name w:val="Heading 5 Char"/>
    <w:basedOn w:val="1026"/>
    <w:link w:val="980"/>
    <w:uiPriority w:val="9"/>
    <w:pPr>
      <w:pBdr/>
      <w:spacing/>
      <w:ind/>
    </w:pPr>
    <w:rPr>
      <w:rFonts w:ascii="Arial" w:hAnsi="Arial" w:eastAsia="Arial" w:cs="Arial"/>
      <w:color w:val="0f4761" w:themeColor="accent1" w:themeShade="BF"/>
    </w:rPr>
  </w:style>
  <w:style w:type="character" w:styleId="986">
    <w:name w:val="Heading 6 Char"/>
    <w:basedOn w:val="1026"/>
    <w:link w:val="981"/>
    <w:uiPriority w:val="9"/>
    <w:pPr>
      <w:pBdr/>
      <w:spacing/>
      <w:ind/>
    </w:pPr>
    <w:rPr>
      <w:rFonts w:ascii="Arial" w:hAnsi="Arial" w:eastAsia="Arial" w:cs="Arial"/>
      <w:i/>
      <w:iCs/>
      <w:color w:val="595959" w:themeColor="text1" w:themeTint="A6"/>
    </w:rPr>
  </w:style>
  <w:style w:type="character" w:styleId="987">
    <w:name w:val="Heading 7 Char"/>
    <w:basedOn w:val="1026"/>
    <w:link w:val="982"/>
    <w:uiPriority w:val="9"/>
    <w:pPr>
      <w:pBdr/>
      <w:spacing/>
      <w:ind/>
    </w:pPr>
    <w:rPr>
      <w:rFonts w:ascii="Arial" w:hAnsi="Arial" w:eastAsia="Arial" w:cs="Arial"/>
      <w:color w:val="595959" w:themeColor="text1" w:themeTint="A6"/>
    </w:rPr>
  </w:style>
  <w:style w:type="character" w:styleId="988">
    <w:name w:val="Heading 8 Char"/>
    <w:basedOn w:val="1026"/>
    <w:link w:val="983"/>
    <w:uiPriority w:val="9"/>
    <w:pPr>
      <w:pBdr/>
      <w:spacing/>
      <w:ind/>
    </w:pPr>
    <w:rPr>
      <w:rFonts w:ascii="Arial" w:hAnsi="Arial" w:eastAsia="Arial" w:cs="Arial"/>
      <w:i/>
      <w:iCs/>
      <w:color w:val="272727" w:themeColor="text1" w:themeTint="D8"/>
    </w:rPr>
  </w:style>
  <w:style w:type="character" w:styleId="989">
    <w:name w:val="Heading 9 Char"/>
    <w:basedOn w:val="1026"/>
    <w:link w:val="984"/>
    <w:uiPriority w:val="9"/>
    <w:pPr>
      <w:pBdr/>
      <w:spacing/>
      <w:ind/>
    </w:pPr>
    <w:rPr>
      <w:rFonts w:ascii="Arial" w:hAnsi="Arial" w:eastAsia="Arial" w:cs="Arial"/>
      <w:i/>
      <w:iCs/>
      <w:color w:val="272727" w:themeColor="text1" w:themeTint="D8"/>
    </w:rPr>
  </w:style>
  <w:style w:type="paragraph" w:styleId="990">
    <w:name w:val="Subtitle"/>
    <w:basedOn w:val="1021"/>
    <w:next w:val="1021"/>
    <w:link w:val="991"/>
    <w:uiPriority w:val="11"/>
    <w:qFormat/>
    <w:pPr>
      <w:numPr>
        <w:ilvl w:val="1"/>
      </w:numPr>
      <w:pBdr/>
      <w:spacing/>
      <w:ind/>
    </w:pPr>
    <w:rPr>
      <w:color w:val="595959" w:themeColor="text1" w:themeTint="A6"/>
      <w:spacing w:val="15"/>
      <w:sz w:val="28"/>
      <w:szCs w:val="28"/>
    </w:rPr>
  </w:style>
  <w:style w:type="character" w:styleId="991">
    <w:name w:val="Subtitle Char"/>
    <w:basedOn w:val="1026"/>
    <w:link w:val="990"/>
    <w:uiPriority w:val="11"/>
    <w:pPr>
      <w:pBdr/>
      <w:spacing/>
      <w:ind/>
    </w:pPr>
    <w:rPr>
      <w:color w:val="595959" w:themeColor="text1" w:themeTint="A6"/>
      <w:spacing w:val="15"/>
      <w:sz w:val="28"/>
      <w:szCs w:val="28"/>
    </w:rPr>
  </w:style>
  <w:style w:type="paragraph" w:styleId="992">
    <w:name w:val="Quote"/>
    <w:basedOn w:val="1021"/>
    <w:next w:val="1021"/>
    <w:link w:val="993"/>
    <w:uiPriority w:val="29"/>
    <w:qFormat/>
    <w:pPr>
      <w:pBdr/>
      <w:spacing w:before="160"/>
      <w:ind/>
      <w:jc w:val="center"/>
    </w:pPr>
    <w:rPr>
      <w:i/>
      <w:iCs/>
      <w:color w:val="404040" w:themeColor="text1" w:themeTint="BF"/>
    </w:rPr>
  </w:style>
  <w:style w:type="character" w:styleId="993">
    <w:name w:val="Quote Char"/>
    <w:basedOn w:val="1026"/>
    <w:link w:val="992"/>
    <w:uiPriority w:val="29"/>
    <w:pPr>
      <w:pBdr/>
      <w:spacing/>
      <w:ind/>
    </w:pPr>
    <w:rPr>
      <w:i/>
      <w:iCs/>
      <w:color w:val="404040" w:themeColor="text1" w:themeTint="BF"/>
    </w:rPr>
  </w:style>
  <w:style w:type="character" w:styleId="994">
    <w:name w:val="Intense Emphasis"/>
    <w:basedOn w:val="1026"/>
    <w:uiPriority w:val="21"/>
    <w:qFormat/>
    <w:pPr>
      <w:pBdr/>
      <w:spacing/>
      <w:ind/>
    </w:pPr>
    <w:rPr>
      <w:i/>
      <w:iCs/>
      <w:color w:val="0f4761" w:themeColor="accent1" w:themeShade="BF"/>
    </w:rPr>
  </w:style>
  <w:style w:type="paragraph" w:styleId="995">
    <w:name w:val="Intense Quote"/>
    <w:basedOn w:val="1021"/>
    <w:next w:val="1021"/>
    <w:link w:val="99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6">
    <w:name w:val="Intense Quote Char"/>
    <w:basedOn w:val="1026"/>
    <w:link w:val="995"/>
    <w:uiPriority w:val="30"/>
    <w:pPr>
      <w:pBdr/>
      <w:spacing/>
      <w:ind/>
    </w:pPr>
    <w:rPr>
      <w:i/>
      <w:iCs/>
      <w:color w:val="0f4761" w:themeColor="accent1" w:themeShade="BF"/>
    </w:rPr>
  </w:style>
  <w:style w:type="character" w:styleId="997">
    <w:name w:val="Intense Reference"/>
    <w:basedOn w:val="1026"/>
    <w:uiPriority w:val="32"/>
    <w:qFormat/>
    <w:pPr>
      <w:pBdr/>
      <w:spacing/>
      <w:ind/>
    </w:pPr>
    <w:rPr>
      <w:b/>
      <w:bCs/>
      <w:smallCaps/>
      <w:color w:val="0f4761" w:themeColor="accent1" w:themeShade="BF"/>
      <w:spacing w:val="5"/>
    </w:rPr>
  </w:style>
  <w:style w:type="paragraph" w:styleId="998">
    <w:name w:val="No Spacing"/>
    <w:basedOn w:val="1021"/>
    <w:uiPriority w:val="1"/>
    <w:qFormat/>
    <w:pPr>
      <w:pBdr/>
      <w:spacing w:after="0" w:line="240" w:lineRule="auto"/>
      <w:ind/>
    </w:pPr>
  </w:style>
  <w:style w:type="character" w:styleId="999">
    <w:name w:val="Subtle Emphasis"/>
    <w:basedOn w:val="1026"/>
    <w:uiPriority w:val="19"/>
    <w:qFormat/>
    <w:pPr>
      <w:pBdr/>
      <w:spacing/>
      <w:ind/>
    </w:pPr>
    <w:rPr>
      <w:i/>
      <w:iCs/>
      <w:color w:val="404040" w:themeColor="text1" w:themeTint="BF"/>
    </w:rPr>
  </w:style>
  <w:style w:type="character" w:styleId="1000">
    <w:name w:val="Subtle Reference"/>
    <w:basedOn w:val="1026"/>
    <w:uiPriority w:val="31"/>
    <w:qFormat/>
    <w:pPr>
      <w:pBdr/>
      <w:spacing/>
      <w:ind/>
    </w:pPr>
    <w:rPr>
      <w:smallCaps/>
      <w:color w:val="5a5a5a" w:themeColor="text1" w:themeTint="A5"/>
    </w:rPr>
  </w:style>
  <w:style w:type="character" w:styleId="1001">
    <w:name w:val="Book Title"/>
    <w:basedOn w:val="1026"/>
    <w:uiPriority w:val="33"/>
    <w:qFormat/>
    <w:pPr>
      <w:pBdr/>
      <w:spacing/>
      <w:ind/>
    </w:pPr>
    <w:rPr>
      <w:b/>
      <w:bCs/>
      <w:i/>
      <w:iCs/>
      <w:spacing w:val="5"/>
    </w:rPr>
  </w:style>
  <w:style w:type="paragraph" w:styleId="1002">
    <w:name w:val="Caption"/>
    <w:basedOn w:val="1021"/>
    <w:next w:val="1021"/>
    <w:uiPriority w:val="35"/>
    <w:unhideWhenUsed/>
    <w:qFormat/>
    <w:pPr>
      <w:pBdr/>
      <w:spacing w:after="200" w:line="240" w:lineRule="auto"/>
      <w:ind/>
    </w:pPr>
    <w:rPr>
      <w:i/>
      <w:iCs/>
      <w:color w:val="0e2841" w:themeColor="text2"/>
      <w:sz w:val="18"/>
      <w:szCs w:val="18"/>
    </w:rPr>
  </w:style>
  <w:style w:type="paragraph" w:styleId="1003">
    <w:name w:val="footnote text"/>
    <w:basedOn w:val="1021"/>
    <w:link w:val="1004"/>
    <w:uiPriority w:val="99"/>
    <w:semiHidden/>
    <w:unhideWhenUsed/>
    <w:pPr>
      <w:pBdr/>
      <w:spacing w:after="0" w:line="240" w:lineRule="auto"/>
      <w:ind/>
    </w:pPr>
    <w:rPr>
      <w:sz w:val="20"/>
      <w:szCs w:val="20"/>
    </w:rPr>
  </w:style>
  <w:style w:type="character" w:styleId="1004">
    <w:name w:val="Footnote Text Char"/>
    <w:basedOn w:val="1026"/>
    <w:link w:val="1003"/>
    <w:uiPriority w:val="99"/>
    <w:semiHidden/>
    <w:pPr>
      <w:pBdr/>
      <w:spacing/>
      <w:ind/>
    </w:pPr>
    <w:rPr>
      <w:sz w:val="20"/>
      <w:szCs w:val="20"/>
    </w:rPr>
  </w:style>
  <w:style w:type="character" w:styleId="1005">
    <w:name w:val="footnote reference"/>
    <w:basedOn w:val="1026"/>
    <w:uiPriority w:val="99"/>
    <w:semiHidden/>
    <w:unhideWhenUsed/>
    <w:pPr>
      <w:pBdr/>
      <w:spacing/>
      <w:ind/>
    </w:pPr>
    <w:rPr>
      <w:vertAlign w:val="superscript"/>
    </w:rPr>
  </w:style>
  <w:style w:type="paragraph" w:styleId="1006">
    <w:name w:val="endnote text"/>
    <w:basedOn w:val="1021"/>
    <w:link w:val="1007"/>
    <w:uiPriority w:val="99"/>
    <w:semiHidden/>
    <w:unhideWhenUsed/>
    <w:pPr>
      <w:pBdr/>
      <w:spacing w:after="0" w:line="240" w:lineRule="auto"/>
      <w:ind/>
    </w:pPr>
    <w:rPr>
      <w:sz w:val="20"/>
      <w:szCs w:val="20"/>
    </w:rPr>
  </w:style>
  <w:style w:type="character" w:styleId="1007">
    <w:name w:val="Endnote Text Char"/>
    <w:basedOn w:val="1026"/>
    <w:link w:val="1006"/>
    <w:uiPriority w:val="99"/>
    <w:semiHidden/>
    <w:pPr>
      <w:pBdr/>
      <w:spacing/>
      <w:ind/>
    </w:pPr>
    <w:rPr>
      <w:sz w:val="20"/>
      <w:szCs w:val="20"/>
    </w:rPr>
  </w:style>
  <w:style w:type="character" w:styleId="1008">
    <w:name w:val="endnote reference"/>
    <w:basedOn w:val="1026"/>
    <w:uiPriority w:val="99"/>
    <w:semiHidden/>
    <w:unhideWhenUsed/>
    <w:pPr>
      <w:pBdr/>
      <w:spacing/>
      <w:ind/>
    </w:pPr>
    <w:rPr>
      <w:vertAlign w:val="superscript"/>
    </w:rPr>
  </w:style>
  <w:style w:type="paragraph" w:styleId="1009">
    <w:name w:val="toc 1"/>
    <w:basedOn w:val="1021"/>
    <w:next w:val="1021"/>
    <w:uiPriority w:val="39"/>
    <w:unhideWhenUsed/>
    <w:pPr>
      <w:pBdr/>
      <w:spacing w:after="100"/>
      <w:ind/>
    </w:pPr>
  </w:style>
  <w:style w:type="paragraph" w:styleId="1010">
    <w:name w:val="toc 2"/>
    <w:basedOn w:val="1021"/>
    <w:next w:val="1021"/>
    <w:uiPriority w:val="39"/>
    <w:unhideWhenUsed/>
    <w:pPr>
      <w:pBdr/>
      <w:spacing w:after="100"/>
      <w:ind w:left="220"/>
    </w:pPr>
  </w:style>
  <w:style w:type="paragraph" w:styleId="1011">
    <w:name w:val="toc 3"/>
    <w:basedOn w:val="1021"/>
    <w:next w:val="1021"/>
    <w:uiPriority w:val="39"/>
    <w:unhideWhenUsed/>
    <w:pPr>
      <w:pBdr/>
      <w:spacing w:after="100"/>
      <w:ind w:left="440"/>
    </w:pPr>
  </w:style>
  <w:style w:type="paragraph" w:styleId="1012">
    <w:name w:val="toc 4"/>
    <w:basedOn w:val="1021"/>
    <w:next w:val="1021"/>
    <w:uiPriority w:val="39"/>
    <w:unhideWhenUsed/>
    <w:pPr>
      <w:pBdr/>
      <w:spacing w:after="100"/>
      <w:ind w:left="660"/>
    </w:pPr>
  </w:style>
  <w:style w:type="paragraph" w:styleId="1013">
    <w:name w:val="toc 5"/>
    <w:basedOn w:val="1021"/>
    <w:next w:val="1021"/>
    <w:uiPriority w:val="39"/>
    <w:unhideWhenUsed/>
    <w:pPr>
      <w:pBdr/>
      <w:spacing w:after="100"/>
      <w:ind w:left="880"/>
    </w:pPr>
  </w:style>
  <w:style w:type="paragraph" w:styleId="1014">
    <w:name w:val="toc 6"/>
    <w:basedOn w:val="1021"/>
    <w:next w:val="1021"/>
    <w:uiPriority w:val="39"/>
    <w:unhideWhenUsed/>
    <w:pPr>
      <w:pBdr/>
      <w:spacing w:after="100"/>
      <w:ind w:left="1100"/>
    </w:pPr>
  </w:style>
  <w:style w:type="paragraph" w:styleId="1015">
    <w:name w:val="toc 7"/>
    <w:basedOn w:val="1021"/>
    <w:next w:val="1021"/>
    <w:uiPriority w:val="39"/>
    <w:unhideWhenUsed/>
    <w:pPr>
      <w:pBdr/>
      <w:spacing w:after="100"/>
      <w:ind w:left="1320"/>
    </w:pPr>
  </w:style>
  <w:style w:type="paragraph" w:styleId="1016">
    <w:name w:val="toc 8"/>
    <w:basedOn w:val="1021"/>
    <w:next w:val="1021"/>
    <w:uiPriority w:val="39"/>
    <w:unhideWhenUsed/>
    <w:pPr>
      <w:pBdr/>
      <w:spacing w:after="100"/>
      <w:ind w:left="1540"/>
    </w:pPr>
  </w:style>
  <w:style w:type="paragraph" w:styleId="1017">
    <w:name w:val="toc 9"/>
    <w:basedOn w:val="1021"/>
    <w:next w:val="1021"/>
    <w:uiPriority w:val="39"/>
    <w:unhideWhenUsed/>
    <w:pPr>
      <w:pBdr/>
      <w:spacing w:after="100"/>
      <w:ind w:left="1760"/>
    </w:pPr>
  </w:style>
  <w:style w:type="character" w:styleId="1018">
    <w:name w:val="Placeholder Text"/>
    <w:basedOn w:val="1026"/>
    <w:uiPriority w:val="99"/>
    <w:semiHidden/>
    <w:pPr>
      <w:pBdr/>
      <w:spacing/>
      <w:ind/>
    </w:pPr>
    <w:rPr>
      <w:color w:val="666666"/>
    </w:rPr>
  </w:style>
  <w:style w:type="paragraph" w:styleId="1019">
    <w:name w:val="TOC Heading"/>
    <w:uiPriority w:val="39"/>
    <w:unhideWhenUsed/>
    <w:pPr>
      <w:pBdr/>
      <w:spacing/>
      <w:ind/>
    </w:pPr>
  </w:style>
  <w:style w:type="paragraph" w:styleId="1020">
    <w:name w:val="table of figures"/>
    <w:basedOn w:val="1021"/>
    <w:next w:val="1021"/>
    <w:uiPriority w:val="99"/>
    <w:unhideWhenUsed/>
    <w:pPr>
      <w:pBdr/>
      <w:spacing w:after="0" w:afterAutospacing="0"/>
      <w:ind/>
    </w:pPr>
  </w:style>
  <w:style w:type="paragraph" w:styleId="1021" w:default="1">
    <w:name w:val="Normal"/>
    <w:qFormat/>
    <w:pPr>
      <w:pBdr/>
      <w:spacing w:after="0" w:line="240" w:lineRule="auto"/>
      <w:ind/>
    </w:pPr>
    <w:rPr>
      <w:rFonts w:ascii="Times New Roman" w:hAnsi="Times New Roman" w:eastAsia="Times New Roman" w:cs="Times New Roman"/>
      <w:sz w:val="24"/>
      <w:szCs w:val="24"/>
    </w:rPr>
  </w:style>
  <w:style w:type="paragraph" w:styleId="1022">
    <w:name w:val="Heading 1"/>
    <w:basedOn w:val="1021"/>
    <w:next w:val="1021"/>
    <w:link w:val="1029"/>
    <w:qFormat/>
    <w:pPr>
      <w:keepNext w:val="true"/>
      <w:pBdr/>
      <w:spacing w:after="120" w:before="120"/>
      <w:ind/>
      <w:jc w:val="center"/>
      <w:outlineLvl w:val="0"/>
    </w:pPr>
    <w:rPr>
      <w:b/>
      <w:bCs/>
      <w:sz w:val="27"/>
      <w:szCs w:val="27"/>
    </w:rPr>
  </w:style>
  <w:style w:type="paragraph" w:styleId="1023">
    <w:name w:val="Heading 2"/>
    <w:basedOn w:val="1021"/>
    <w:next w:val="1021"/>
    <w:link w:val="1030"/>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4">
    <w:name w:val="Heading 3"/>
    <w:basedOn w:val="1021"/>
    <w:next w:val="1021"/>
    <w:link w:val="1031"/>
    <w:qFormat/>
    <w:pPr>
      <w:keepNext w:val="true"/>
      <w:pBdr/>
      <w:spacing w:before="60"/>
      <w:ind/>
      <w:outlineLvl w:val="2"/>
    </w:pPr>
    <w:rPr>
      <w:sz w:val="28"/>
      <w:szCs w:val="28"/>
    </w:rPr>
  </w:style>
  <w:style w:type="paragraph" w:styleId="1025">
    <w:name w:val="Heading 4"/>
    <w:basedOn w:val="1021"/>
    <w:next w:val="1021"/>
    <w:link w:val="1032"/>
    <w:qFormat/>
    <w:pPr>
      <w:keepNext w:val="true"/>
      <w:pBdr/>
      <w:spacing/>
      <w:ind/>
      <w:jc w:val="center"/>
      <w:outlineLvl w:val="3"/>
    </w:pPr>
    <w:rPr>
      <w:b/>
      <w:bCs/>
    </w:rPr>
  </w:style>
  <w:style w:type="character" w:styleId="1026" w:default="1">
    <w:name w:val="Default Paragraph Font"/>
    <w:uiPriority w:val="1"/>
    <w:semiHidden/>
    <w:unhideWhenUsed/>
    <w:pPr>
      <w:pBdr/>
      <w:spacing/>
      <w:ind/>
    </w:pPr>
  </w:style>
  <w:style w:type="table" w:styleId="102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8" w:default="1">
    <w:name w:val="No List"/>
    <w:uiPriority w:val="99"/>
    <w:semiHidden/>
    <w:unhideWhenUsed/>
    <w:pPr>
      <w:pBdr/>
      <w:spacing/>
      <w:ind/>
    </w:pPr>
  </w:style>
  <w:style w:type="character" w:styleId="1029" w:customStyle="1">
    <w:name w:val="Heading 1 Char"/>
    <w:basedOn w:val="1026"/>
    <w:link w:val="1022"/>
    <w:pPr>
      <w:pBdr/>
      <w:spacing/>
      <w:ind/>
    </w:pPr>
    <w:rPr>
      <w:rFonts w:ascii="Times New Roman" w:hAnsi="Times New Roman" w:eastAsia="Times New Roman" w:cs="Times New Roman"/>
      <w:b/>
      <w:bCs/>
      <w:sz w:val="27"/>
      <w:szCs w:val="27"/>
    </w:rPr>
  </w:style>
  <w:style w:type="character" w:styleId="1030" w:customStyle="1">
    <w:name w:val="Heading 2 Char"/>
    <w:basedOn w:val="1026"/>
    <w:link w:val="1023"/>
    <w:uiPriority w:val="9"/>
    <w:pPr>
      <w:pBdr/>
      <w:spacing/>
      <w:ind/>
    </w:pPr>
    <w:rPr>
      <w:rFonts w:asciiTheme="majorHAnsi" w:hAnsiTheme="majorHAnsi" w:eastAsiaTheme="majorEastAsia" w:cstheme="majorBidi"/>
      <w:color w:val="365f91" w:themeColor="accent1" w:themeShade="BF"/>
      <w:sz w:val="26"/>
      <w:szCs w:val="26"/>
    </w:rPr>
  </w:style>
  <w:style w:type="character" w:styleId="1031" w:customStyle="1">
    <w:name w:val="Heading 3 Char"/>
    <w:basedOn w:val="1026"/>
    <w:link w:val="1024"/>
    <w:pPr>
      <w:pBdr/>
      <w:spacing/>
      <w:ind/>
    </w:pPr>
    <w:rPr>
      <w:rFonts w:ascii="Times New Roman" w:hAnsi="Times New Roman" w:eastAsia="Times New Roman" w:cs="Times New Roman"/>
      <w:sz w:val="28"/>
      <w:szCs w:val="28"/>
    </w:rPr>
  </w:style>
  <w:style w:type="character" w:styleId="1032" w:customStyle="1">
    <w:name w:val="Heading 4 Char"/>
    <w:basedOn w:val="1026"/>
    <w:link w:val="1025"/>
    <w:pPr>
      <w:pBdr/>
      <w:spacing/>
      <w:ind/>
    </w:pPr>
    <w:rPr>
      <w:rFonts w:ascii="Times New Roman" w:hAnsi="Times New Roman" w:eastAsia="Times New Roman" w:cs="Times New Roman"/>
      <w:b/>
      <w:bCs/>
      <w:sz w:val="24"/>
      <w:szCs w:val="24"/>
    </w:rPr>
  </w:style>
  <w:style w:type="character" w:styleId="1033">
    <w:name w:val="Hyperlink"/>
    <w:uiPriority w:val="99"/>
    <w:pPr>
      <w:pBdr/>
      <w:spacing/>
      <w:ind/>
    </w:pPr>
    <w:rPr>
      <w:color w:val="000000"/>
      <w:u w:val="single"/>
    </w:rPr>
  </w:style>
  <w:style w:type="character" w:styleId="1034">
    <w:name w:val="Strong"/>
    <w:uiPriority w:val="22"/>
    <w:qFormat/>
    <w:pPr>
      <w:pBdr/>
      <w:spacing/>
      <w:ind/>
    </w:pPr>
    <w:rPr>
      <w:b/>
      <w:bCs/>
    </w:rPr>
  </w:style>
  <w:style w:type="paragraph" w:styleId="1035">
    <w:name w:val="Balloon Text"/>
    <w:basedOn w:val="1021"/>
    <w:link w:val="1036"/>
    <w:uiPriority w:val="99"/>
    <w:semiHidden/>
    <w:unhideWhenUsed/>
    <w:pPr>
      <w:pBdr/>
      <w:spacing/>
      <w:ind/>
    </w:pPr>
    <w:rPr>
      <w:rFonts w:ascii="Tahoma" w:hAnsi="Tahoma" w:cs="Tahoma"/>
      <w:sz w:val="16"/>
      <w:szCs w:val="16"/>
    </w:rPr>
  </w:style>
  <w:style w:type="character" w:styleId="1036" w:customStyle="1">
    <w:name w:val="Balloon Text Char"/>
    <w:basedOn w:val="1026"/>
    <w:link w:val="1035"/>
    <w:uiPriority w:val="99"/>
    <w:semiHidden/>
    <w:pPr>
      <w:pBdr/>
      <w:spacing/>
      <w:ind/>
    </w:pPr>
    <w:rPr>
      <w:rFonts w:ascii="Tahoma" w:hAnsi="Tahoma" w:eastAsia="Times New Roman" w:cs="Tahoma"/>
      <w:sz w:val="16"/>
      <w:szCs w:val="16"/>
    </w:rPr>
  </w:style>
  <w:style w:type="paragraph" w:styleId="1037">
    <w:name w:val="Header"/>
    <w:basedOn w:val="1021"/>
    <w:link w:val="1038"/>
    <w:unhideWhenUsed/>
    <w:pPr>
      <w:pBdr/>
      <w:tabs>
        <w:tab w:val="center" w:leader="none" w:pos="4680"/>
        <w:tab w:val="right" w:leader="none" w:pos="9360"/>
      </w:tabs>
      <w:spacing/>
      <w:ind/>
    </w:pPr>
  </w:style>
  <w:style w:type="character" w:styleId="1038" w:customStyle="1">
    <w:name w:val="Header Char"/>
    <w:basedOn w:val="1026"/>
    <w:link w:val="1037"/>
    <w:pPr>
      <w:pBdr/>
      <w:spacing/>
      <w:ind/>
    </w:pPr>
    <w:rPr>
      <w:rFonts w:ascii="Times New Roman" w:hAnsi="Times New Roman" w:eastAsia="Times New Roman" w:cs="Times New Roman"/>
      <w:sz w:val="24"/>
      <w:szCs w:val="24"/>
    </w:rPr>
  </w:style>
  <w:style w:type="paragraph" w:styleId="1039">
    <w:name w:val="Footer"/>
    <w:basedOn w:val="1021"/>
    <w:link w:val="1040"/>
    <w:uiPriority w:val="99"/>
    <w:unhideWhenUsed/>
    <w:pPr>
      <w:pBdr/>
      <w:tabs>
        <w:tab w:val="center" w:leader="none" w:pos="4680"/>
        <w:tab w:val="right" w:leader="none" w:pos="9360"/>
      </w:tabs>
      <w:spacing/>
      <w:ind/>
    </w:pPr>
  </w:style>
  <w:style w:type="character" w:styleId="1040" w:customStyle="1">
    <w:name w:val="Footer Char"/>
    <w:basedOn w:val="1026"/>
    <w:link w:val="1039"/>
    <w:uiPriority w:val="99"/>
    <w:pPr>
      <w:pBdr/>
      <w:spacing/>
      <w:ind/>
    </w:pPr>
    <w:rPr>
      <w:rFonts w:ascii="Times New Roman" w:hAnsi="Times New Roman" w:eastAsia="Times New Roman" w:cs="Times New Roman"/>
      <w:sz w:val="24"/>
      <w:szCs w:val="24"/>
    </w:rPr>
  </w:style>
  <w:style w:type="character" w:styleId="1041" w:customStyle="1">
    <w:name w:val="normal-h1"/>
    <w:pPr>
      <w:pBdr/>
      <w:spacing/>
      <w:ind/>
    </w:pPr>
    <w:rPr>
      <w:rFonts w:hint="default" w:ascii=".VnTime" w:hAnsi=".VnTime"/>
      <w:color w:val="0000ff"/>
      <w:sz w:val="24"/>
      <w:szCs w:val="24"/>
    </w:rPr>
  </w:style>
  <w:style w:type="paragraph" w:styleId="1042" w:customStyle="1">
    <w:name w:val="normal-p"/>
    <w:basedOn w:val="1021"/>
    <w:pPr>
      <w:pBdr/>
      <w:spacing/>
      <w:ind/>
      <w:jc w:val="both"/>
    </w:pPr>
    <w:rPr>
      <w:sz w:val="20"/>
      <w:szCs w:val="20"/>
    </w:rPr>
  </w:style>
  <w:style w:type="paragraph" w:styleId="1043">
    <w:name w:val="List Paragraph"/>
    <w:basedOn w:val="1021"/>
    <w:link w:val="1130"/>
    <w:uiPriority w:val="34"/>
    <w:qFormat/>
    <w:pPr>
      <w:pBdr/>
      <w:spacing/>
      <w:ind w:left="720"/>
    </w:pPr>
  </w:style>
  <w:style w:type="paragraph" w:styleId="1044">
    <w:name w:val="Normal (Web)"/>
    <w:basedOn w:val="1021"/>
    <w:uiPriority w:val="99"/>
    <w:pPr>
      <w:pBdr/>
      <w:spacing w:after="100" w:afterAutospacing="1" w:before="100" w:beforeAutospacing="1"/>
      <w:ind/>
    </w:pPr>
  </w:style>
  <w:style w:type="paragraph" w:styleId="1045">
    <w:name w:val="Body Text"/>
    <w:basedOn w:val="1021"/>
    <w:link w:val="1046"/>
    <w:pPr>
      <w:pBdr/>
      <w:spacing w:after="120"/>
      <w:ind/>
      <w:jc w:val="both"/>
    </w:pPr>
  </w:style>
  <w:style w:type="character" w:styleId="1046" w:customStyle="1">
    <w:name w:val="Body Text Char"/>
    <w:basedOn w:val="1026"/>
    <w:link w:val="1045"/>
    <w:pPr>
      <w:pBdr/>
      <w:spacing/>
      <w:ind/>
    </w:pPr>
    <w:rPr>
      <w:rFonts w:ascii="Times New Roman" w:hAnsi="Times New Roman" w:eastAsia="Times New Roman" w:cs="Times New Roman"/>
      <w:sz w:val="24"/>
      <w:szCs w:val="24"/>
    </w:rPr>
  </w:style>
  <w:style w:type="table" w:styleId="1047">
    <w:name w:val="Table Grid"/>
    <w:basedOn w:val="1027"/>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8"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9">
    <w:name w:val="annotation reference"/>
    <w:basedOn w:val="1026"/>
    <w:uiPriority w:val="99"/>
    <w:semiHidden/>
    <w:unhideWhenUsed/>
    <w:pPr>
      <w:pBdr/>
      <w:spacing/>
      <w:ind/>
    </w:pPr>
    <w:rPr>
      <w:sz w:val="16"/>
      <w:szCs w:val="16"/>
    </w:rPr>
  </w:style>
  <w:style w:type="paragraph" w:styleId="1050">
    <w:name w:val="annotation text"/>
    <w:basedOn w:val="1021"/>
    <w:link w:val="1051"/>
    <w:uiPriority w:val="99"/>
    <w:unhideWhenUsed/>
    <w:pPr>
      <w:pBdr/>
      <w:spacing/>
      <w:ind/>
    </w:pPr>
    <w:rPr>
      <w:sz w:val="20"/>
      <w:szCs w:val="20"/>
    </w:rPr>
  </w:style>
  <w:style w:type="character" w:styleId="1051" w:customStyle="1">
    <w:name w:val="Comment Text Char"/>
    <w:basedOn w:val="1026"/>
    <w:link w:val="1050"/>
    <w:uiPriority w:val="99"/>
    <w:pPr>
      <w:pBdr/>
      <w:spacing/>
      <w:ind/>
    </w:pPr>
    <w:rPr>
      <w:rFonts w:ascii="Times New Roman" w:hAnsi="Times New Roman" w:eastAsia="Times New Roman" w:cs="Times New Roman"/>
      <w:sz w:val="20"/>
      <w:szCs w:val="20"/>
    </w:rPr>
  </w:style>
  <w:style w:type="paragraph" w:styleId="1052">
    <w:name w:val="annotation subject"/>
    <w:basedOn w:val="1050"/>
    <w:next w:val="1050"/>
    <w:link w:val="1053"/>
    <w:uiPriority w:val="99"/>
    <w:semiHidden/>
    <w:unhideWhenUsed/>
    <w:pPr>
      <w:pBdr/>
      <w:spacing/>
      <w:ind/>
    </w:pPr>
    <w:rPr>
      <w:b/>
      <w:bCs/>
    </w:rPr>
  </w:style>
  <w:style w:type="character" w:styleId="1053" w:customStyle="1">
    <w:name w:val="Comment Subject Char"/>
    <w:basedOn w:val="1051"/>
    <w:link w:val="1052"/>
    <w:uiPriority w:val="99"/>
    <w:semiHidden/>
    <w:pPr>
      <w:pBdr/>
      <w:spacing/>
      <w:ind/>
    </w:pPr>
    <w:rPr>
      <w:rFonts w:ascii="Times New Roman" w:hAnsi="Times New Roman" w:eastAsia="Times New Roman" w:cs="Times New Roman"/>
      <w:b/>
      <w:bCs/>
      <w:sz w:val="20"/>
      <w:szCs w:val="20"/>
    </w:rPr>
  </w:style>
  <w:style w:type="paragraph" w:styleId="1054" w:customStyle="1">
    <w:name w:val="font5"/>
    <w:basedOn w:val="1021"/>
    <w:pPr>
      <w:pBdr/>
      <w:spacing w:after="100" w:afterAutospacing="1" w:before="100" w:beforeAutospacing="1"/>
      <w:ind/>
    </w:pPr>
    <w:rPr>
      <w:rFonts w:ascii="Tahoma" w:hAnsi="Tahoma" w:cs="Tahoma"/>
      <w:color w:val="000000"/>
      <w:sz w:val="18"/>
      <w:szCs w:val="18"/>
    </w:rPr>
  </w:style>
  <w:style w:type="paragraph" w:styleId="1055" w:customStyle="1">
    <w:name w:val="font6"/>
    <w:basedOn w:val="1021"/>
    <w:pPr>
      <w:pBdr/>
      <w:spacing w:after="100" w:afterAutospacing="1" w:before="100" w:beforeAutospacing="1"/>
      <w:ind/>
    </w:pPr>
    <w:rPr>
      <w:rFonts w:ascii="Tahoma" w:hAnsi="Tahoma" w:cs="Tahoma"/>
      <w:b/>
      <w:bCs/>
      <w:color w:val="000000"/>
      <w:sz w:val="18"/>
      <w:szCs w:val="18"/>
    </w:rPr>
  </w:style>
  <w:style w:type="paragraph" w:styleId="1056" w:customStyle="1">
    <w:name w:val="xl233"/>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7" w:customStyle="1">
    <w:name w:val="xl234"/>
    <w:basedOn w:val="1021"/>
    <w:pPr>
      <w:pBdr/>
      <w:spacing w:after="100" w:afterAutospacing="1" w:before="100" w:beforeAutospacing="1"/>
      <w:ind/>
      <w:jc w:val="center"/>
    </w:pPr>
  </w:style>
  <w:style w:type="paragraph" w:styleId="1058" w:customStyle="1">
    <w:name w:val="xl235"/>
    <w:basedOn w:val="1021"/>
    <w:pPr>
      <w:pBdr/>
      <w:spacing w:after="100" w:afterAutospacing="1" w:before="100" w:beforeAutospacing="1"/>
      <w:ind/>
      <w:jc w:val="center"/>
    </w:pPr>
    <w:rPr>
      <w:b/>
      <w:bCs/>
    </w:rPr>
  </w:style>
  <w:style w:type="paragraph" w:styleId="1059" w:customStyle="1">
    <w:name w:val="xl236"/>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0" w:customStyle="1">
    <w:name w:val="xl237"/>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1" w:customStyle="1">
    <w:name w:val="xl238"/>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2" w:customStyle="1">
    <w:name w:val="xl23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63" w:customStyle="1">
    <w:name w:val="xl240"/>
    <w:basedOn w:val="1021"/>
    <w:pPr>
      <w:pBdr/>
      <w:spacing w:after="100" w:afterAutospacing="1" w:before="100" w:beforeAutospacing="1"/>
      <w:ind/>
    </w:pPr>
  </w:style>
  <w:style w:type="paragraph" w:styleId="1064" w:customStyle="1">
    <w:name w:val="xl241"/>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5" w:customStyle="1">
    <w:name w:val="xl242"/>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6" w:customStyle="1">
    <w:name w:val="xl243"/>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44"/>
    <w:basedOn w:val="1021"/>
    <w:pPr>
      <w:pBdr/>
      <w:spacing w:after="100" w:afterAutospacing="1" w:before="100" w:beforeAutospacing="1"/>
      <w:ind/>
    </w:pPr>
    <w:rPr>
      <w:b/>
      <w:bCs/>
    </w:rPr>
  </w:style>
  <w:style w:type="paragraph" w:styleId="1068" w:customStyle="1">
    <w:name w:val="xl245"/>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9" w:customStyle="1">
    <w:name w:val="xl246"/>
    <w:basedOn w:val="102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0" w:customStyle="1">
    <w:name w:val="xl247"/>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1" w:customStyle="1">
    <w:name w:val="xl248"/>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4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3" w:customStyle="1">
    <w:name w:val="xl250"/>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4" w:customStyle="1">
    <w:name w:val="xl251"/>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5" w:customStyle="1">
    <w:name w:val="xl252"/>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6" w:customStyle="1">
    <w:name w:val="xl253"/>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54"/>
    <w:basedOn w:val="1021"/>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8" w:customStyle="1">
    <w:name w:val="xl255"/>
    <w:basedOn w:val="102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9" w:customStyle="1">
    <w:name w:val="xl256"/>
    <w:basedOn w:val="102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80" w:customStyle="1">
    <w:name w:val="xl257"/>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1" w:customStyle="1">
    <w:name w:val="xl258"/>
    <w:basedOn w:val="1021"/>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2" w:customStyle="1">
    <w:name w:val="xl25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3" w:customStyle="1">
    <w:name w:val="xl260"/>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4" w:customStyle="1">
    <w:name w:val="xl261"/>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5" w:customStyle="1">
    <w:name w:val="xl262"/>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6" w:customStyle="1">
    <w:name w:val="xl263"/>
    <w:basedOn w:val="1021"/>
    <w:pPr>
      <w:pBdr/>
      <w:shd w:val="clear" w:color="000000" w:fill="ffffff"/>
      <w:spacing w:after="100" w:afterAutospacing="1" w:before="100" w:beforeAutospacing="1"/>
      <w:ind/>
    </w:pPr>
  </w:style>
  <w:style w:type="paragraph" w:styleId="1087" w:customStyle="1">
    <w:name w:val="xl264"/>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65"/>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9" w:customStyle="1">
    <w:name w:val="xl266"/>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90" w:customStyle="1">
    <w:name w:val="xl267"/>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1" w:customStyle="1">
    <w:name w:val="xl268"/>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2" w:customStyle="1">
    <w:name w:val="xl269"/>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93" w:customStyle="1">
    <w:name w:val="xl270"/>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71"/>
    <w:basedOn w:val="1021"/>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5" w:customStyle="1">
    <w:name w:val="xl272"/>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73"/>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7" w:customStyle="1">
    <w:name w:val="xl274"/>
    <w:basedOn w:val="1021"/>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75"/>
    <w:basedOn w:val="1021"/>
    <w:pPr>
      <w:pBdr/>
      <w:spacing w:after="100" w:afterAutospacing="1" w:before="100" w:beforeAutospacing="1"/>
      <w:ind/>
    </w:pPr>
  </w:style>
  <w:style w:type="paragraph" w:styleId="1099" w:customStyle="1">
    <w:name w:val="xl276"/>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0" w:customStyle="1">
    <w:name w:val="xl277"/>
    <w:basedOn w:val="102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101" w:customStyle="1">
    <w:name w:val="xl278"/>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79"/>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3" w:customStyle="1">
    <w:name w:val="xl280"/>
    <w:basedOn w:val="102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4" w:customStyle="1">
    <w:name w:val="xl281"/>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5" w:customStyle="1">
    <w:name w:val="xl282"/>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6" w:customStyle="1">
    <w:name w:val="xl283"/>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84"/>
    <w:basedOn w:val="1021"/>
    <w:pPr>
      <w:pBdr>
        <w:left w:val="single" w:color="000000" w:sz="4" w:space="0"/>
        <w:bottom w:val="single" w:color="000000" w:sz="4" w:space="0"/>
        <w:right w:val="single" w:color="000000" w:sz="4" w:space="0"/>
      </w:pBdr>
      <w:spacing w:after="100" w:afterAutospacing="1" w:before="100" w:beforeAutospacing="1"/>
      <w:ind/>
    </w:pPr>
  </w:style>
  <w:style w:type="paragraph" w:styleId="1108" w:customStyle="1">
    <w:name w:val="xl285"/>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9" w:customStyle="1">
    <w:name w:val="xl286"/>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customStyle="1">
    <w:name w:val="xl287"/>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11" w:customStyle="1">
    <w:name w:val="xl288"/>
    <w:basedOn w:val="1021"/>
    <w:pPr>
      <w:pBdr>
        <w:top w:val="single" w:color="000000" w:sz="4" w:space="0"/>
        <w:left w:val="single" w:color="000000" w:sz="4" w:space="0"/>
        <w:right w:val="single" w:color="000000" w:sz="4" w:space="0"/>
      </w:pBdr>
      <w:spacing w:after="100" w:afterAutospacing="1" w:before="100" w:beforeAutospacing="1"/>
      <w:ind/>
    </w:pPr>
  </w:style>
  <w:style w:type="paragraph" w:styleId="1112" w:customStyle="1">
    <w:name w:val="xl289"/>
    <w:basedOn w:val="1021"/>
    <w:pPr>
      <w:pBdr>
        <w:left w:val="single" w:color="000000" w:sz="4" w:space="0"/>
        <w:right w:val="single" w:color="000000" w:sz="4" w:space="0"/>
      </w:pBdr>
      <w:spacing w:after="100" w:afterAutospacing="1" w:before="100" w:beforeAutospacing="1"/>
      <w:ind/>
    </w:pPr>
    <w:rPr>
      <w:b/>
      <w:bCs/>
    </w:rPr>
  </w:style>
  <w:style w:type="paragraph" w:styleId="1113" w:customStyle="1">
    <w:name w:val="xl290"/>
    <w:basedOn w:val="102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4" w:customStyle="1">
    <w:name w:val="xl291"/>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5" w:customStyle="1">
    <w:name w:val="xl292"/>
    <w:basedOn w:val="1021"/>
    <w:pPr>
      <w:pBdr>
        <w:top w:val="single" w:color="000000" w:sz="4" w:space="0"/>
        <w:left w:val="single" w:color="000000" w:sz="4" w:space="0"/>
        <w:right w:val="single" w:color="000000" w:sz="4" w:space="0"/>
      </w:pBdr>
      <w:spacing w:after="100" w:afterAutospacing="1" w:before="100" w:beforeAutospacing="1"/>
      <w:ind/>
    </w:pPr>
  </w:style>
  <w:style w:type="paragraph" w:styleId="1116" w:customStyle="1">
    <w:name w:val="xl293"/>
    <w:basedOn w:val="1021"/>
    <w:pPr>
      <w:pBdr>
        <w:left w:val="single" w:color="000000" w:sz="4" w:space="0"/>
        <w:bottom w:val="single" w:color="000000" w:sz="4" w:space="0"/>
        <w:right w:val="single" w:color="000000" w:sz="4" w:space="0"/>
      </w:pBdr>
      <w:spacing w:after="100" w:afterAutospacing="1" w:before="100" w:beforeAutospacing="1"/>
      <w:ind/>
    </w:pPr>
  </w:style>
  <w:style w:type="paragraph" w:styleId="1117" w:customStyle="1">
    <w:name w:val="xl294"/>
    <w:basedOn w:val="102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8">
    <w:name w:val="Title"/>
    <w:basedOn w:val="1021"/>
    <w:link w:val="1119"/>
    <w:qFormat/>
    <w:pPr>
      <w:pBdr/>
      <w:spacing/>
      <w:ind/>
      <w:jc w:val="center"/>
    </w:pPr>
    <w:rPr>
      <w:b/>
      <w:bCs/>
      <w:sz w:val="32"/>
      <w:szCs w:val="26"/>
    </w:rPr>
  </w:style>
  <w:style w:type="character" w:styleId="1119" w:customStyle="1">
    <w:name w:val="Title Char"/>
    <w:basedOn w:val="1026"/>
    <w:link w:val="1118"/>
    <w:pPr>
      <w:pBdr/>
      <w:spacing/>
      <w:ind/>
    </w:pPr>
    <w:rPr>
      <w:rFonts w:ascii="Times New Roman" w:hAnsi="Times New Roman" w:eastAsia="Times New Roman" w:cs="Times New Roman"/>
      <w:b/>
      <w:bCs/>
      <w:sz w:val="32"/>
      <w:szCs w:val="26"/>
    </w:rPr>
  </w:style>
  <w:style w:type="character" w:styleId="1120" w:customStyle="1">
    <w:name w:val="Unresolved Mention1"/>
    <w:basedOn w:val="1026"/>
    <w:uiPriority w:val="99"/>
    <w:semiHidden/>
    <w:unhideWhenUsed/>
    <w:pPr>
      <w:pBdr/>
      <w:spacing/>
      <w:ind/>
    </w:pPr>
    <w:rPr>
      <w:color w:val="605e5c"/>
      <w:shd w:val="clear" w:color="auto" w:fill="e1dfdd"/>
    </w:rPr>
  </w:style>
  <w:style w:type="character" w:styleId="1121" w:customStyle="1">
    <w:name w:val="Body text (3)_"/>
    <w:link w:val="1122"/>
    <w:pPr>
      <w:pBdr/>
      <w:spacing/>
      <w:ind/>
    </w:pPr>
    <w:rPr>
      <w:rFonts w:ascii="Times New Roman" w:hAnsi="Times New Roman" w:cs="Times New Roman"/>
      <w:i/>
      <w:iCs/>
      <w:spacing w:val="4"/>
      <w:shd w:val="clear" w:color="auto" w:fill="ffffff"/>
    </w:rPr>
  </w:style>
  <w:style w:type="paragraph" w:styleId="1122" w:customStyle="1">
    <w:name w:val="Body text (3)1"/>
    <w:basedOn w:val="1021"/>
    <w:link w:val="1121"/>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23" w:customStyle="1">
    <w:name w:val="t-j"/>
    <w:basedOn w:val="1021"/>
    <w:pPr>
      <w:pBdr/>
      <w:spacing w:after="100" w:afterAutospacing="1" w:before="100" w:beforeAutospacing="1"/>
      <w:ind/>
    </w:pPr>
  </w:style>
  <w:style w:type="character" w:styleId="1124" w:customStyle="1">
    <w:name w:val="Unresolved Mention2"/>
    <w:basedOn w:val="1026"/>
    <w:uiPriority w:val="99"/>
    <w:semiHidden/>
    <w:unhideWhenUsed/>
    <w:pPr>
      <w:pBdr/>
      <w:spacing/>
      <w:ind/>
    </w:pPr>
    <w:rPr>
      <w:color w:val="605e5c"/>
      <w:shd w:val="clear" w:color="auto" w:fill="e1dfdd"/>
    </w:rPr>
  </w:style>
  <w:style w:type="character" w:styleId="1125">
    <w:name w:val="FollowedHyperlink"/>
    <w:basedOn w:val="1026"/>
    <w:uiPriority w:val="99"/>
    <w:semiHidden/>
    <w:unhideWhenUsed/>
    <w:pPr>
      <w:pBdr/>
      <w:spacing/>
      <w:ind/>
    </w:pPr>
    <w:rPr>
      <w:color w:val="800080" w:themeColor="followedHyperlink"/>
      <w:u w:val="single"/>
    </w:rPr>
  </w:style>
  <w:style w:type="character" w:styleId="1126" w:customStyle="1">
    <w:name w:val="text"/>
    <w:basedOn w:val="1026"/>
    <w:pPr>
      <w:pBdr/>
      <w:spacing/>
      <w:ind/>
    </w:pPr>
  </w:style>
  <w:style w:type="character" w:styleId="1127" w:customStyle="1">
    <w:name w:val="card-send-time__sendtime"/>
    <w:basedOn w:val="1026"/>
    <w:pPr>
      <w:pBdr/>
      <w:spacing/>
      <w:ind/>
    </w:pPr>
  </w:style>
  <w:style w:type="character" w:styleId="1128" w:customStyle="1">
    <w:name w:val="Đề cập Chưa giải quyết1"/>
    <w:basedOn w:val="1026"/>
    <w:uiPriority w:val="99"/>
    <w:semiHidden/>
    <w:unhideWhenUsed/>
    <w:pPr>
      <w:pBdr/>
      <w:spacing/>
      <w:ind/>
    </w:pPr>
    <w:rPr>
      <w:color w:val="605e5c"/>
      <w:shd w:val="clear" w:color="auto" w:fill="e1dfdd"/>
    </w:rPr>
  </w:style>
  <w:style w:type="paragraph" w:styleId="1129" w:customStyle="1">
    <w:name w:val="nqtitle"/>
    <w:basedOn w:val="1021"/>
    <w:pPr>
      <w:pBdr/>
      <w:spacing w:after="100" w:afterAutospacing="1" w:before="100" w:beforeAutospacing="1"/>
      <w:ind/>
    </w:pPr>
    <w:rPr>
      <w:lang w:val="vi-VN" w:eastAsia="vi-VN"/>
    </w:rPr>
  </w:style>
  <w:style w:type="character" w:styleId="1130" w:customStyle="1">
    <w:name w:val="List Paragraph Char"/>
    <w:link w:val="1043"/>
    <w:uiPriority w:val="34"/>
    <w:qFormat/>
    <w:pPr>
      <w:pBdr/>
      <w:spacing/>
      <w:ind/>
    </w:pPr>
    <w:rPr>
      <w:rFonts w:ascii="Times New Roman" w:hAnsi="Times New Roman" w:eastAsia="Times New Roman" w:cs="Times New Roman"/>
      <w:sz w:val="24"/>
      <w:szCs w:val="24"/>
    </w:rPr>
  </w:style>
  <w:style w:type="character" w:styleId="1131" w:customStyle="1">
    <w:name w:val="Đề cập Chưa giải quyết2"/>
    <w:basedOn w:val="1026"/>
    <w:uiPriority w:val="99"/>
    <w:semiHidden/>
    <w:unhideWhenUsed/>
    <w:pPr>
      <w:pBdr/>
      <w:spacing/>
      <w:ind/>
    </w:pPr>
    <w:rPr>
      <w:color w:val="605e5c"/>
      <w:shd w:val="clear" w:color="auto" w:fill="e1dfdd"/>
    </w:rPr>
  </w:style>
  <w:style w:type="character" w:styleId="1132" w:customStyle="1">
    <w:name w:val="Unresolved Mention3"/>
    <w:basedOn w:val="1026"/>
    <w:uiPriority w:val="99"/>
    <w:semiHidden/>
    <w:unhideWhenUsed/>
    <w:pPr>
      <w:pBdr/>
      <w:spacing/>
      <w:ind/>
    </w:pPr>
    <w:rPr>
      <w:color w:val="605e5c"/>
      <w:shd w:val="clear" w:color="auto" w:fill="e1dfdd"/>
    </w:rPr>
  </w:style>
  <w:style w:type="character" w:styleId="1133" w:customStyle="1">
    <w:name w:val="copy"/>
    <w:basedOn w:val="1026"/>
    <w:pPr>
      <w:pBdr/>
      <w:spacing/>
      <w:ind/>
    </w:pPr>
  </w:style>
  <w:style w:type="paragraph" w:styleId="1134" w:customStyle="1">
    <w:name w:val="align-justify"/>
    <w:basedOn w:val="1021"/>
    <w:pPr>
      <w:pBdr/>
      <w:spacing w:after="100" w:afterAutospacing="1" w:before="100" w:beforeAutospacing="1"/>
      <w:ind/>
    </w:pPr>
  </w:style>
  <w:style w:type="character" w:styleId="1135" w:customStyle="1">
    <w:name w:val="btn"/>
    <w:basedOn w:val="1026"/>
    <w:pPr>
      <w:pBdr/>
      <w:spacing/>
      <w:ind/>
    </w:pPr>
  </w:style>
  <w:style w:type="character" w:styleId="1136" w:customStyle="1">
    <w:name w:val="hide_mobile"/>
    <w:basedOn w:val="1026"/>
    <w:pPr>
      <w:pBdr/>
      <w:spacing/>
      <w:ind/>
    </w:pPr>
  </w:style>
  <w:style w:type="character" w:styleId="1137">
    <w:name w:val="Emphasis"/>
    <w:basedOn w:val="1026"/>
    <w:uiPriority w:val="20"/>
    <w:qFormat/>
    <w:pPr>
      <w:pBdr/>
      <w:spacing/>
      <w:ind/>
    </w:pPr>
    <w:rPr>
      <w:i/>
      <w:iCs/>
    </w:rPr>
  </w:style>
  <w:style w:type="character" w:styleId="1138" w:customStyle="1">
    <w:name w:val="t1"/>
    <w:basedOn w:val="1026"/>
    <w:pPr>
      <w:pBdr/>
      <w:spacing/>
      <w:ind/>
    </w:pPr>
  </w:style>
  <w:style w:type="character" w:styleId="1139" w:customStyle="1">
    <w:name w:val="Unresolved Mention4"/>
    <w:basedOn w:val="1026"/>
    <w:uiPriority w:val="99"/>
    <w:semiHidden/>
    <w:unhideWhenUsed/>
    <w:pPr>
      <w:pBdr/>
      <w:spacing/>
      <w:ind/>
    </w:pPr>
    <w:rPr>
      <w:color w:val="605e5c"/>
      <w:shd w:val="clear" w:color="auto" w:fill="e1dfdd"/>
    </w:rPr>
  </w:style>
  <w:style w:type="character" w:styleId="1140">
    <w:name w:val="Unresolved Mention"/>
    <w:basedOn w:val="1026"/>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jpg"/><Relationship Id="rId38" Type="http://schemas.openxmlformats.org/officeDocument/2006/relationships/image" Target="media/image24.jpg"/><Relationship Id="rId39" Type="http://schemas.openxmlformats.org/officeDocument/2006/relationships/image" Target="media/image25.png"/><Relationship Id="rId40" Type="http://schemas.openxmlformats.org/officeDocument/2006/relationships/image" Target="media/image26.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Nga</cp:lastModifiedBy>
  <cp:revision>288</cp:revision>
  <dcterms:created xsi:type="dcterms:W3CDTF">2025-09-15T09:58:00Z</dcterms:created>
  <dcterms:modified xsi:type="dcterms:W3CDTF">2026-09-21T03:48:21Z</dcterms:modified>
</cp:coreProperties>
</file>