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06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06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275/2026/1432/VFI-CT.57.A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PHẠM THỊ OANH</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và tài sản gắn liền với đất tại Thửa đất số: C4, tờ bản đồ số 5/7, địa chỉ: Số 56 ngõ 10 Nguyễn Thị Định, phường Trung Hoà, quận Cầu Giấy, thành phố Hà Nội </w:t>
                            </w:r>
                            <w:r>
                              <w:rPr>
                                <w:rFonts w:ascii="Times New Roman" w:hAnsi="Times New Roman" w:eastAsia="Times New Roman" w:cs="Times New Roman"/>
                                <w:i/>
                                <w:color w:val="000000"/>
                                <w:sz w:val="24"/>
                              </w:rPr>
                              <w:t xml:space="preserve">Nội (Nay là Phường Yên Hòa, Thành phố Hà Nội)</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theo Giấy chứng nhận quyền sử dụng đất quyền sở hữu nhà ở và tài sản khác </w:t>
                            </w:r>
                            <w:r>
                              <w:rPr>
                                <w:rFonts w:ascii="Times New Roman" w:hAnsi="Times New Roman" w:eastAsia="Times New Roman" w:cs="Times New Roman"/>
                                <w:color w:val="000000"/>
                                <w:sz w:val="24"/>
                              </w:rPr>
                              <w:t xml:space="preserve">gắn liền với đất số: BU 429329, số vào sổ cấp GCN: CH 3578/QĐ-UBND/2014/6230 do Uỷ ban nhân dân quận Cầu Giấy cấp ngày 26/6/2014; Chủ sử dụng đất là Bà Phạm Kim Oanh </w:t>
                            </w:r>
                            <w:r>
                              <w:rPr>
                                <w:rFonts w:ascii="Times New Roman" w:hAnsi="Times New Roman" w:eastAsia="Times New Roman" w:cs="Times New Roman"/>
                                <w:i/>
                                <w:color w:val="000000"/>
                                <w:sz w:val="24"/>
                              </w:rPr>
                              <w:t xml:space="preserve">(cập nhật ngày 14/7/2016).</w:t>
                            </w:r>
                            <w:r>
                              <w:rPr>
                                <w:rFonts w:ascii="Times New Roman" w:hAnsi="Times New Roman" w:eastAsia="Times New Roman" w:cs="Times New Roman"/>
                                <w:sz w:val="24"/>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275/2026/1432/VFI-CT.57.A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PHẠM THỊ OANH</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và tài sản gắn liền với đất tại Thửa đất số: C4, tờ bản đồ số 5/7, địa chỉ: Số 56 ngõ 10 Nguyễn Thị Định, phường Trung Hoà, quận Cầu Giấy, thành phố Hà Nội </w:t>
                      </w:r>
                      <w:r>
                        <w:rPr>
                          <w:rFonts w:ascii="Times New Roman" w:hAnsi="Times New Roman" w:eastAsia="Times New Roman" w:cs="Times New Roman"/>
                          <w:i/>
                          <w:color w:val="000000"/>
                          <w:sz w:val="24"/>
                        </w:rPr>
                        <w:t xml:space="preserve">Nội (Nay là Phường Yên Hòa, Thành phố Hà Nội)</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theo Giấy chứng nhận quyền sử dụng đất quyền sở hữu nhà ở và tài sản khác </w:t>
                      </w:r>
                      <w:r>
                        <w:rPr>
                          <w:rFonts w:ascii="Times New Roman" w:hAnsi="Times New Roman" w:eastAsia="Times New Roman" w:cs="Times New Roman"/>
                          <w:color w:val="000000"/>
                          <w:sz w:val="24"/>
                        </w:rPr>
                        <w:t xml:space="preserve">gắn liền với đất số: BU 429329, số vào sổ cấp GCN: CH 3578/QĐ-UBND/2014/6230 do Uỷ ban nhân dân quận Cầu Giấy cấp ngày 26/6/2014; Chủ sử dụng đất là Bà Phạm Kim Oanh </w:t>
                      </w:r>
                      <w:r>
                        <w:rPr>
                          <w:rFonts w:ascii="Times New Roman" w:hAnsi="Times New Roman" w:eastAsia="Times New Roman" w:cs="Times New Roman"/>
                          <w:i/>
                          <w:color w:val="000000"/>
                          <w:sz w:val="24"/>
                        </w:rPr>
                        <w:t xml:space="preserve">(cập nhật ngày 14/7/2016).</w:t>
                      </w:r>
                      <w:r>
                        <w:rPr>
                          <w:rFonts w:ascii="Times New Roman" w:hAnsi="Times New Roman" w:eastAsia="Times New Roman" w:cs="Times New Roman"/>
                          <w:sz w:val="24"/>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w:t>
            </w:r>
            <w:r>
              <w:rPr>
                <w:b/>
                <w:bCs/>
              </w:rPr>
            </w:r>
            <w:r>
              <w:rPr>
                <w:b/>
                <w:bCs/>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25-34</w:t>
            </w:r>
            <w:r>
              <w:rPr>
                <w:b/>
                <w:bCs/>
              </w:rPr>
            </w:r>
            <w:r>
              <w:rPr>
                <w:b/>
                <w:bCs/>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275/2026/1432/VFI-CT.57.A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PHẠM THỊ OANH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275/2026/1432/VFI-HĐTĐ.57.A</w:t>
      </w:r>
      <w:r>
        <w:rPr>
          <w:spacing w:val="-4"/>
          <w:lang w:val="vi-VN"/>
        </w:rPr>
        <w:t xml:space="preserve"> ký ngày </w:t>
      </w:r>
      <w:r>
        <w:rPr>
          <w:color w:val="000000" w:themeColor="text1"/>
          <w:spacing w:val="-4"/>
        </w:rPr>
        <w:t xml:space="preserve">10 tháng 9 năm 2026</w:t>
      </w:r>
      <w:r>
        <w:rPr>
          <w:spacing w:val="-4"/>
          <w:lang w:val="vi-VN"/>
        </w:rPr>
        <w:t xml:space="preserve"> </w:t>
      </w:r>
      <w:r>
        <w:rPr>
          <w:spacing w:val="-4"/>
          <w:lang w:val="vi-VN"/>
        </w:rPr>
        <w:t xml:space="preserve">giữa </w:t>
      </w:r>
      <w:r>
        <w:rPr>
          <w:color w:val="000000" w:themeColor="text1"/>
          <w:spacing w:val="-4"/>
        </w:rPr>
        <w:t xml:space="preserve">Phạm Thị Oanh</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275/2026/1432/VFI-BC.57.A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PHẠM THỊ OANH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Số 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010188002270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56, Ngõ 10 Nguyễn Thị Định (Tổ 14), Trung Hòa, Cầu Giấy,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và tài sản gắn liền với đất tại Thửa đất số: C4, tờ bản đồ số 5/7, địa chỉ: Số 56 ngõ 10 Nguyễn Thị Định, phường Trung Hoà, quận Cầu Giấy, thành phố Hà Nội </w:t>
      </w:r>
      <w:r>
        <w:rPr>
          <w:rFonts w:ascii="Times New Roman" w:hAnsi="Times New Roman" w:eastAsia="Times New Roman" w:cs="Times New Roman"/>
          <w:i/>
          <w:color w:val="000000"/>
          <w:sz w:val="24"/>
        </w:rPr>
        <w:t xml:space="preserve">Nội (Nay là Phường Yên Hòa, Thành phố Hà Nội)</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theo Giấy chứng nhận quyền sử dụng đất quyền sở hữu nhà ở và tài sản khác </w:t>
      </w:r>
      <w:r>
        <w:rPr>
          <w:rFonts w:ascii="Times New Roman" w:hAnsi="Times New Roman" w:eastAsia="Times New Roman" w:cs="Times New Roman"/>
          <w:color w:val="000000"/>
          <w:sz w:val="24"/>
        </w:rPr>
        <w:t xml:space="preserve">gắn liền với đất số: BU 429329, số vào sổ cấp GCN: CH 3578/QĐ-UBND/2014/6230 do Uỷ ban nhân dân quận Cầu Giấy cấp ngày 26/6/2014; Chủ sử dụng đất là Bà Phạm Kim Oanh </w:t>
      </w:r>
      <w:r>
        <w:rPr>
          <w:rFonts w:ascii="Times New Roman" w:hAnsi="Times New Roman" w:eastAsia="Times New Roman" w:cs="Times New Roman"/>
          <w:i/>
          <w:color w:val="000000"/>
          <w:sz w:val="24"/>
        </w:rPr>
        <w:t xml:space="preserve">(cập nhật ngày 14/7/2016).</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50"/>
        <w:gridCol w:w="1829"/>
        <w:gridCol w:w="1559"/>
        <w:gridCol w:w="1622"/>
        <w:gridCol w:w="1692"/>
        <w:gridCol w:w="2073"/>
      </w:tblGrid>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82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55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622"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692" w:type="dxa"/>
            <w:vAlign w:val="center"/>
            <w:textDirection w:val="lrTb"/>
            <w:noWrap w:val="false"/>
          </w:tcPr>
          <w:p>
            <w:pPr>
              <w:pBdr/>
              <w:spacing/>
              <w:ind/>
              <w:jc w:val="center"/>
              <w:rPr>
                <w:b/>
                <w:bCs/>
                <w:highlight w:val="none"/>
              </w:rPr>
            </w:pPr>
            <w:r>
              <w:rPr>
                <w:b/>
                <w:bCs/>
              </w:rPr>
              <w:t xml:space="preserve">Tỷ lệ CLCL</w:t>
            </w:r>
            <w:r>
              <w:rPr>
                <w:b/>
                <w:bCs/>
                <w:highlight w:val="none"/>
              </w:rPr>
            </w:r>
            <w:r>
              <w:rPr>
                <w:b/>
                <w:bCs/>
                <w:highlight w:val="none"/>
              </w:rPr>
            </w:r>
          </w:p>
          <w:p>
            <w:pPr>
              <w:pBdr/>
              <w:tabs>
                <w:tab w:val="center" w:leader="none" w:pos="771"/>
              </w:tabs>
              <w:spacing/>
              <w:ind/>
              <w:jc w:val="center"/>
              <w:rPr>
                <w:b/>
                <w:bCs/>
              </w:rPr>
            </w:pPr>
            <w:r>
              <w:rPr>
                <w:b/>
                <w:bCs/>
                <w:highlight w:val="none"/>
              </w:rPr>
              <w:t xml:space="preserve">   (%)</w:t>
            </w:r>
            <w:r>
              <w:rPr>
                <w:b/>
                <w:bCs/>
                <w:highlight w:val="none"/>
              </w:rPr>
              <w:tab/>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02"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và tài sản gắn liền với đất tại Thửa đất số: C4, tờ bản đồ số 5/7, địa chỉ: Số 56 ngõ 10 Nguyễn Thị Định, phường Trung Hoà, quận Cầu Giấy, thành phố Hà Nội </w:t>
            </w:r>
            <w:r>
              <w:rPr>
                <w:rFonts w:ascii="Times New Roman" w:hAnsi="Times New Roman" w:eastAsia="Times New Roman" w:cs="Times New Roman"/>
                <w:b/>
                <w:bCs/>
                <w:i/>
                <w:color w:val="000000"/>
                <w:sz w:val="24"/>
              </w:rPr>
              <w:t xml:space="preserve">Nội (Nay là Phường Yên Hòa, Thành phố Hà Nội)</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color w:val="000000"/>
                <w:sz w:val="24"/>
              </w:rPr>
              <w:t xml:space="preserve"> theo Giấy chứng nhận quyền sử dụng đất quyền sở hữu nhà ở và tài sản khác </w:t>
            </w:r>
            <w:r>
              <w:rPr>
                <w:rFonts w:ascii="Times New Roman" w:hAnsi="Times New Roman" w:eastAsia="Times New Roman" w:cs="Times New Roman"/>
                <w:b/>
                <w:bCs/>
                <w:color w:val="000000"/>
                <w:sz w:val="24"/>
              </w:rPr>
              <w:t xml:space="preserve">gắn liền với đất số: BU 429329, số vào sổ cấp GCN: CH 3578/QĐ-UBND/2014/6230 do Uỷ ban nhân dân quận Cầu Giấy cấp ngày 26/6/2014; Chủ sử dụng đất là Bà Phạm Kim Oanh </w:t>
            </w:r>
            <w:r>
              <w:rPr>
                <w:rFonts w:ascii="Times New Roman" w:hAnsi="Times New Roman" w:eastAsia="Times New Roman" w:cs="Times New Roman"/>
                <w:b/>
                <w:bCs/>
                <w:i/>
                <w:color w:val="000000"/>
                <w:sz w:val="24"/>
              </w:rPr>
              <w:t xml:space="preserve">(cập nhật ngày 14/7/2016).</w:t>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829" w:type="dxa"/>
            <w:vAlign w:val="center"/>
            <w:textDirection w:val="lrTb"/>
            <w:noWrap w:val="false"/>
          </w:tcPr>
          <w:p>
            <w:pPr>
              <w:pBdr/>
              <w:spacing w:after="40" w:before="40" w:line="288" w:lineRule="auto"/>
              <w:ind/>
              <w:rPr/>
            </w:pPr>
            <w:r>
              <w:rPr>
                <w:b/>
                <w:bCs/>
              </w:rPr>
              <w:t xml:space="preserve">Đất ở tại đô thị</w:t>
            </w:r>
            <w:r/>
          </w:p>
        </w:tc>
        <w:tc>
          <w:tcPr>
            <w:tcBorders/>
            <w:tcW w:w="1559" w:type="dxa"/>
            <w:vAlign w:val="center"/>
            <w:textDirection w:val="lrTb"/>
            <w:noWrap/>
          </w:tcPr>
          <w:p>
            <w:pPr>
              <w:pBdr/>
              <w:spacing w:after="40" w:before="40" w:line="288" w:lineRule="auto"/>
              <w:ind/>
              <w:jc w:val="center"/>
              <w:rPr>
                <w:color w:val="000000"/>
              </w:rPr>
            </w:pPr>
            <w:r>
              <w:rPr>
                <w:color w:val="000000" w:themeColor="text1"/>
              </w:rPr>
              <w:t xml:space="preserve">50</w:t>
            </w:r>
            <w:r>
              <w:rPr>
                <w:color w:val="000000"/>
              </w:rPr>
            </w:r>
            <w:r>
              <w:rPr>
                <w:color w:val="000000"/>
              </w:rPr>
            </w:r>
          </w:p>
        </w:tc>
        <w:tc>
          <w:tcPr>
            <w:shd w:val="clear" w:color="000000" w:fill="ffffff"/>
            <w:tcBorders/>
            <w:tcW w:w="1622" w:type="dxa"/>
            <w:vAlign w:val="center"/>
            <w:textDirection w:val="lrTb"/>
            <w:noWrap w:val="false"/>
          </w:tcPr>
          <w:p>
            <w:pPr>
              <w:pBdr/>
              <w:spacing w:after="40" w:before="40" w:line="288" w:lineRule="auto"/>
              <w:ind/>
              <w:jc w:val="center"/>
              <w:rPr/>
            </w:pPr>
            <w:r>
              <w:rPr>
                <w:color w:val="000000" w:themeColor="text1"/>
              </w:rPr>
              <w:t xml:space="preserve">338.000.000</w:t>
            </w:r>
            <w:r/>
          </w:p>
        </w:tc>
        <w:tc>
          <w:tcPr>
            <w:shd w:val="clear" w:color="000000" w:fill="ffffff"/>
            <w:tcBorders/>
            <w:tcW w:w="1692"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16.900.000.000</w:t>
            </w: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829" w:type="dxa"/>
            <w:vAlign w:val="center"/>
            <w:textDirection w:val="lrTb"/>
            <w:noWrap w:val="false"/>
          </w:tcPr>
          <w:p>
            <w:pPr>
              <w:pBdr/>
              <w:spacing w:after="40" w:before="40" w:line="288" w:lineRule="auto"/>
              <w:ind/>
              <w:rPr>
                <w:b/>
                <w:bCs/>
              </w:rPr>
            </w:pPr>
            <w:r>
              <w:rPr>
                <w:b/>
                <w:bCs/>
              </w:rPr>
            </w:r>
            <w:r>
              <w:rPr>
                <w:rFonts w:ascii="Times New Roman" w:hAnsi="Times New Roman" w:eastAsia="Times New Roman" w:cs="Times New Roman"/>
                <w:b/>
                <w:bCs/>
                <w:color w:val="000000"/>
                <w:sz w:val="24"/>
              </w:rPr>
              <w:t xml:space="preserve">Nhà 4,5 tầng</w:t>
            </w:r>
            <w:r>
              <w:rPr>
                <w:b/>
                <w:bCs/>
              </w:rPr>
            </w:r>
            <w:r>
              <w:rPr>
                <w:b/>
                <w:bCs/>
              </w:rPr>
            </w:r>
          </w:p>
        </w:tc>
        <w:tc>
          <w:tcPr>
            <w:tcBorders/>
            <w:tcW w:w="1559" w:type="dxa"/>
            <w:vAlign w:val="center"/>
            <w:textDirection w:val="lrTb"/>
            <w:noWrap/>
          </w:tcPr>
          <w:p>
            <w:pPr>
              <w:pBdr/>
              <w:spacing w:after="40" w:before="40" w:line="288" w:lineRule="auto"/>
              <w:ind/>
              <w:jc w:val="center"/>
              <w:rPr>
                <w:color w:val="000000"/>
              </w:rPr>
            </w:pPr>
            <w:r>
              <w:rPr>
                <w:color w:val="000000" w:themeColor="text1"/>
              </w:rPr>
              <w:t xml:space="preserve">218</w:t>
            </w:r>
            <w:r>
              <w:rPr>
                <w:color w:val="000000"/>
              </w:rPr>
            </w:r>
            <w:r>
              <w:rPr>
                <w:color w:val="000000"/>
              </w:rPr>
            </w:r>
          </w:p>
        </w:tc>
        <w:tc>
          <w:tcPr>
            <w:shd w:val="clear" w:color="000000" w:fill="ffffff"/>
            <w:tcBorders/>
            <w:tcW w:w="1622" w:type="dxa"/>
            <w:vAlign w:val="center"/>
            <w:textDirection w:val="lrTb"/>
            <w:noWrap w:val="false"/>
          </w:tcPr>
          <w:p>
            <w:pPr>
              <w:pBdr/>
              <w:spacing w:after="40" w:before="40" w:line="288" w:lineRule="auto"/>
              <w:ind/>
              <w:jc w:val="center"/>
              <w:rPr/>
            </w:pPr>
            <w:r>
              <w:rPr>
                <w:color w:val="000000" w:themeColor="text1"/>
              </w:rPr>
              <w:t xml:space="preserve">7.061.652</w:t>
            </w:r>
            <w:r/>
          </w:p>
        </w:tc>
        <w:tc>
          <w:tcPr>
            <w:shd w:val="clear" w:color="000000" w:fill="ffffff"/>
            <w:tcBorders/>
            <w:tcW w:w="1692" w:type="dxa"/>
            <w:vAlign w:val="center"/>
            <w:textDirection w:val="lrTb"/>
            <w:noWrap w:val="false"/>
          </w:tcPr>
          <w:p>
            <w:pPr>
              <w:pBdr/>
              <w:tabs>
                <w:tab w:val="center" w:leader="none" w:pos="738"/>
              </w:tabs>
              <w:spacing/>
              <w:ind/>
              <w:jc w:val="center"/>
              <w:rPr>
                <w:color w:val="000000" w:themeColor="text1"/>
              </w:rPr>
            </w:pPr>
            <w:r>
              <w:rPr>
                <w:color w:val="000000" w:themeColor="text1"/>
              </w:rPr>
              <w:t xml:space="preserve">   72%</w:t>
            </w:r>
            <w:r>
              <w:rPr>
                <w:color w:val="000000" w:themeColor="text1"/>
              </w:rPr>
              <w:tab/>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1.108.396.898</w:t>
            </w:r>
            <w:r/>
          </w:p>
        </w:tc>
      </w:tr>
      <w:tr>
        <w:trPr>
          <w:trHeight w:val="20"/>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t xml:space="preserve">18.008.396.898</w:t>
            </w:r>
            <w:r>
              <w:rPr>
                <w:b/>
                <w:bCs/>
                <w:color w:val="000000"/>
              </w:rPr>
            </w:r>
            <w:r>
              <w:rPr>
                <w:b/>
                <w:bCs/>
                <w:color w:val="000000"/>
              </w:rPr>
            </w:r>
          </w:p>
        </w:tc>
      </w:tr>
      <w:tr>
        <w:trPr>
          <w:trHeight w:val="20"/>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rPr>
                <w:b/>
                <w:bCs/>
                <w:color w:val="000000"/>
              </w:rPr>
              <w:t xml:space="preserve">18.008.400.000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tám tỷ tám triệu bốn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275/2026/1432/VFI-BC.57.A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275/2026/1432/VFI-CT.57.A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PHẠM THỊ OANH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Số 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010188002270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56, Ngõ 10 Nguyễn Thị Định (Tổ 14), Trung Hòa, Cầu Giấy,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88" w:lineRule="auto"/>
              <w:ind/>
              <w:jc w:val="both"/>
              <w:rPr>
                <w:b w:val="0"/>
                <w:bCs w:val="0"/>
              </w:rPr>
            </w:pPr>
            <w:r>
              <w:rPr>
                <w:b w:val="0"/>
                <w:bCs w:val="0"/>
                <w:color w:val="000000"/>
              </w:rPr>
            </w:r>
            <w:r>
              <w:rPr>
                <w:rFonts w:ascii="Times New Roman" w:hAnsi="Times New Roman" w:eastAsia="Times New Roman" w:cs="Times New Roman"/>
                <w:b w:val="0"/>
                <w:bCs w:val="0"/>
                <w:color w:val="000000"/>
                <w:sz w:val="24"/>
              </w:rPr>
              <w:t xml:space="preserve">Giá trị quyền sử dụng đất và tài sản gắn liền với đất tại Thửa đất số: C4, tờ bản đồ số 5/7, địa chỉ: Số 56 ngõ 10 Nguyễn Thị Định, phường Trung Hoà, quận Cầu Giấy, thành phố Hà Nội </w:t>
            </w:r>
            <w:r>
              <w:rPr>
                <w:rFonts w:ascii="Times New Roman" w:hAnsi="Times New Roman" w:eastAsia="Times New Roman" w:cs="Times New Roman"/>
                <w:b w:val="0"/>
                <w:bCs w:val="0"/>
                <w:i/>
                <w:color w:val="000000"/>
                <w:sz w:val="24"/>
              </w:rPr>
              <w:t xml:space="preserve">Nội (Nay là Phường Yên Hòa,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 theo Giấy chứng nhận quyền sử dụng đất quyền sở hữu nhà ở và tài sản khác </w:t>
            </w:r>
            <w:r>
              <w:rPr>
                <w:rFonts w:ascii="Times New Roman" w:hAnsi="Times New Roman" w:eastAsia="Times New Roman" w:cs="Times New Roman"/>
                <w:b w:val="0"/>
                <w:bCs w:val="0"/>
                <w:color w:val="000000"/>
                <w:sz w:val="24"/>
              </w:rPr>
              <w:t xml:space="preserve">gắn liền với đất số: BU 429329, số vào sổ cấp GCN: CH 3578/QĐ-UBND/2014/6230 do Uỷ ban nhân dân quận Cầu Giấy cấp ngày 26/6/2014; Chủ sử dụng đất là Bà Phạm Kim Oanh </w:t>
            </w:r>
            <w:r>
              <w:rPr>
                <w:rFonts w:ascii="Times New Roman" w:hAnsi="Times New Roman" w:eastAsia="Times New Roman" w:cs="Times New Roman"/>
                <w:b w:val="0"/>
                <w:bCs w:val="0"/>
                <w:i/>
                <w:color w:val="000000"/>
                <w:sz w:val="24"/>
              </w:rPr>
              <w:t xml:space="preserve">(cập nhật ngày 14/7/2016).</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val="0"/>
                <w:i w:val="0"/>
                <w:color w:val="ee0000"/>
              </w:rPr>
            </w:pPr>
            <w:r>
              <w:rPr>
                <w:i w:val="0"/>
                <w:iCs w:val="0"/>
                <w:color w:val="000000" w:themeColor="text1"/>
                <w:lang w:val="pt-BR"/>
              </w:rPr>
            </w:r>
            <w:r>
              <w:rPr>
                <w:rFonts w:ascii="Times New Roman" w:hAnsi="Times New Roman" w:eastAsia="Times New Roman" w:cs="Times New Roman"/>
                <w:b w:val="0"/>
                <w:bCs w:val="0"/>
                <w:i w:val="0"/>
                <w:iCs w:val="0"/>
                <w:color w:val="000000"/>
                <w:sz w:val="24"/>
              </w:rPr>
              <w:t xml:space="preserve">Nay là Phường Yên Hòa, Thành phố Hà Nội</w:t>
            </w:r>
            <w:r>
              <w:rPr>
                <w:bCs w:val="0"/>
                <w:i w:val="0"/>
                <w:color w:val="ee0000"/>
              </w:rPr>
            </w:r>
            <w:r>
              <w:rPr>
                <w:bCs w:val="0"/>
                <w:i w:val="0"/>
                <w:color w:val="ee0000"/>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(21.011277777778, 105.80386111111)</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425/QĐ-BXD-2026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BU 429329, số vào sổ cấp GCN: CH 3578/QĐ-UBND/2014/6230 do Uỷ ban nhân dân quận Cầu Giấy cấp ngày 26/6/2014; Chủ sử dụng đất là Bà Phạm Kim Oanh (</w:t>
      </w:r>
      <w:r>
        <w:rPr>
          <w:rFonts w:ascii="Times New Roman" w:hAnsi="Times New Roman" w:eastAsia="Times New Roman" w:cs="Times New Roman"/>
          <w:i/>
          <w:color w:val="000000"/>
          <w:sz w:val="24"/>
        </w:rPr>
        <w:t xml:space="preserve">cập nhật ngày 14/7/2016</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7"/>
        <w:numPr>
          <w:ilvl w:val="0"/>
          <w:numId w:val="41"/>
        </w:numPr>
        <w:pBdr>
          <w:top w:val="none" w:color="000000" w:sz="4" w:space="0"/>
          <w:left w:val="none" w:color="000000" w:sz="4" w:space="0"/>
          <w:bottom w:val="none" w:color="000000" w:sz="4" w:space="0"/>
          <w:right w:val="none" w:color="000000" w:sz="4" w:space="0"/>
        </w:pBdr>
        <w:shd w:val="clear" w:color="ffffff" w:fill="ffffff"/>
        <w:spacing/>
        <w:ind w:right="0" w:hanging="360" w:left="425"/>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Hợp đồng số </w:t>
      </w:r>
      <w:r>
        <w:rPr>
          <w:rFonts w:ascii="Times New Roman" w:hAnsi="Times New Roman" w:eastAsia="Times New Roman" w:cs="Times New Roman"/>
          <w:color w:val="000000" w:themeColor="text1"/>
          <w:spacing w:val="3"/>
          <w:sz w:val="23"/>
          <w:highlight w:val="white"/>
        </w:rPr>
        <w:t xml:space="preserve">275/2026/1432/VFI-HĐTĐ.57.A</w:t>
      </w:r>
      <w:r>
        <w:rPr>
          <w:rFonts w:ascii="Times New Roman" w:hAnsi="Times New Roman" w:eastAsia="Times New Roman" w:cs="Times New Roman"/>
          <w:color w:val="000000" w:themeColor="text1"/>
          <w:spacing w:val="3"/>
          <w:sz w:val="23"/>
          <w:highlight w:val="none"/>
        </w:rPr>
        <w:t xml:space="preserve"> </w:t>
      </w:r>
      <w:r>
        <w:rPr>
          <w:rFonts w:ascii="Times New Roman" w:hAnsi="Times New Roman" w:eastAsia="Times New Roman" w:cs="Times New Roman"/>
          <w:color w:val="000000" w:themeColor="text1"/>
          <w:lang w:val="pt-BR"/>
        </w:rPr>
        <w:t xml:space="preserve"> ngày 10/09/2026 giữa </w:t>
      </w:r>
      <w:r>
        <w:rPr>
          <w:rFonts w:ascii="Times New Roman" w:hAnsi="Times New Roman" w:eastAsia="Times New Roman" w:cs="Times New Roman"/>
          <w:color w:val="000000" w:themeColor="text1"/>
          <w:sz w:val="24"/>
        </w:rPr>
        <w:t xml:space="preserve">Bà Phạm Kim Oanh</w:t>
      </w:r>
      <w:r>
        <w:rPr>
          <w:rFonts w:ascii="Times New Roman" w:hAnsi="Times New Roman" w:eastAsia="Times New Roman" w:cs="Times New Roman"/>
          <w:color w:val="000000" w:themeColor="text1"/>
          <w:lang w:val="pt-BR"/>
        </w:rPr>
        <w:t xml:space="preserve"> với Công ty Cổ phần Thẩm định và Đầu tư Tài chính Hoa Sen.</w:t>
      </w:r>
      <w:r>
        <w:rPr>
          <w:rFonts w:ascii="Times New Roman" w:hAnsi="Times New Roman" w:cs="Times New Roman"/>
          <w:color w:val="000000" w:themeColor="text1"/>
        </w:rPr>
      </w:r>
      <w:r>
        <w:rPr>
          <w:rFonts w:ascii="Times New Roman" w:hAnsi="Times New Roman" w:cs="Times New Roman"/>
          <w:color w:val="000000" w:themeColor="text1"/>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shd w:val="clear" w:color="auto" w:fill="ffffff"/>
        </w:rPr>
        <w:t xml:space="preserve">Tổng quan về thị trường bất động sản Cầu Giấy, Hà Nội</w:t>
        <w:br/>
        <w:t xml:space="preserve">Tron</w:t>
      </w:r>
      <w:r>
        <w:rPr>
          <w:shd w:val="clear" w:color="auto" w:fill="ffffff"/>
        </w:rPr>
        <w:t xml:space="preserve">g những năm gần đây, khu vực phía Tây Hà Nội luôn ghi nhận sự tăng trưởng vượt bậc theo kế hoạch phát triển của thành phố. Bất động sản tại quận Cầu Giấy cũng không nằm ngoài xu hướng này, đang tạo ra sức hấp dẫn mạnh mẽ nhờ vào hạ tầng vượt trội và nhu cầ</w:t>
      </w:r>
      <w:r>
        <w:rPr>
          <w:shd w:val="clear" w:color="auto" w:fill="ffffff"/>
        </w:rPr>
        <w:t xml:space="preserve">u nhà ở gia tăng.</w:t>
        <w:br/>
        <w:t xml:space="preserve">Hiện nay, phân khúc căn hộ chung cư, đặc biệt là những sản phẩm tầm trung và cao cấp, đang thu hút sự chú ý lớn từ thị trường. Căn hộ tầm trung có giá từ 2-3 tỷ đồng với nhiều loại hình sản phẩm đa dạng. Các căn hộ cao cấp thường tập trun</w:t>
      </w:r>
      <w:r>
        <w:rPr>
          <w:shd w:val="clear" w:color="auto" w:fill="ffffff"/>
        </w:rPr>
        <w:t xml:space="preserve">g tại các vị trí đắc địa, với giá cả tương đối cao. Một ví dụ điển hình là căn hộ 3 phòng ngủ, diện tích 95 m2 thuộc dự án Tràng An Complex (Nghĩa Đô, Cầu Giấy).</w:t>
        <w:br/>
        <w:t xml:space="preserve">Gần đây, nguồn cung căn hộ chung cư từ các dự án mới tại quận Cầu Giấy đã có dấu hiệu chậm lại</w:t>
      </w:r>
      <w:r>
        <w:rPr>
          <w:shd w:val="clear" w:color="auto" w:fill="ffffff"/>
        </w:rPr>
        <w:t xml:space="preserve"> và bước vào giai đoạn khan hiếm do quỹ đất hạn chế. Thêm vào đó, sự ảnh hưởng từ thị trường nói chung do dịch Covid-19 cùng với các chính sách hạn chế xây dựng nhà ở cao tầng trong khu vực nội đô cũng góp phần làm gia tăng tình trạng thiếu hụt này.</w:t>
        <w:br/>
        <w:t xml:space="preserve">Khu vự</w:t>
      </w:r>
      <w:r>
        <w:rPr>
          <w:shd w:val="clear" w:color="auto" w:fill="ffffff"/>
        </w:rPr>
        <w:t xml:space="preserve">c quận Cầu Giấy được xem là một trong những địa điểm có nhu cầu tìm kiếm nhà mặt phố cao nhất tại Hà Nội. Giá nhà phố tại Cầu Giấy hiện khá cao so với các quận khác trong khu vực phía Tây như Nam Từ Liêm, Thanh Xuân và Hà Đông. Những tuyến đường chính như </w:t>
      </w:r>
      <w:r>
        <w:rPr>
          <w:shd w:val="clear" w:color="auto" w:fill="ffffff"/>
        </w:rPr>
        <w:t xml:space="preserve">Cầu Giấy, Trần Duy Hưng và Nguyễn Khánh Toàn có giá trị giao dịch bất động sản đáng kể, thu hút sự quan tâm lớn từ các nhà đầu tư.</w:t>
        <w:br/>
        <w:t xml:space="preserve">Cầu Giấy cũng là quận có nguồn cung văn phòng lớn nhất ở Hà Nội, với sự đa dạng về giá cả, vị trí và diện tích. Tại đây, ngườ</w:t>
      </w:r>
      <w:r>
        <w:rPr>
          <w:shd w:val="clear" w:color="auto" w:fill="ffffff"/>
        </w:rPr>
        <w:t xml:space="preserve">i thuê có thể dễ dàng tìm được văn phòng phù hợp với nhu cầu của mình.</w:t>
        <w:br/>
        <w:t xml:space="preserve">Đối với phân khúc nhà riêng, khu vực này cũng mang đến nhiều sự lựa chọn với nhiều khung giá khác nhau từ khoảng 1 tỷ đến 10 tỷ đồng. Điều này giúp khách hàng có nhiều lựa chọn hơn khi </w:t>
      </w:r>
      <w:r>
        <w:rPr>
          <w:shd w:val="clear" w:color="auto" w:fill="ffffff"/>
        </w:rPr>
        <w:t xml:space="preserve">tìm kiếm loại hình nhà ở phù hợp với nhu cầu và khả năng tài chính của mình.</w:t>
        <w:br/>
        <w:t xml:space="preserve">Những tiềm năng nổi bật của bất động sản Cầu Giấy</w:t>
        <w:br/>
        <w:t xml:space="preserve">Bất động sản Cầu Giấy đang trở thành tâm điểm chú ý với nhiều tiềm năng nổi bật, từ hạ tầng giao thông đồng bộ đến sự phát triển </w:t>
      </w:r>
      <w:r>
        <w:rPr>
          <w:shd w:val="clear" w:color="auto" w:fill="ffffff"/>
        </w:rPr>
        <w:t xml:space="preserve">mạnh mẽ của các tiện ích xung quanh. Khu vực này không chỉ thu hút nhà đầu tư mà còn mang đến nhiều lựa chọn hấp dẫn cho người mua, khẳng định vị thế trong thị trường bất động sản Thủ đô.</w:t>
        <w:br/>
        <w:t xml:space="preserve">Bất động sản Cầu Giấy với vị trí kết nối thuận lợi</w:t>
        <w:br/>
        <w:t xml:space="preserve">Quận Cầu Giấy tọa</w:t>
      </w:r>
      <w:r>
        <w:rPr>
          <w:shd w:val="clear" w:color="auto" w:fill="ffffff"/>
        </w:rPr>
        <w:t xml:space="preserve"> lạc ở phía Tây của Hà Nội, giáp ranh với nhiều quận trung tâm khác như Ba Đình, Tây Hồ, Đống Đa, Thanh Xuân, Bắc Từ Liêm và Nam Từ Liêm. Từ Cầu Giấy đến trung tâm Thành phố Hà Nội chỉ khoảng 6 km.</w:t>
        <w:br/>
        <w:t xml:space="preserve">Quận Cầu Giấy cũng nằm trên trục đường 32, kết nối Hà Nội </w:t>
      </w:r>
      <w:r>
        <w:rPr>
          <w:shd w:val="clear" w:color="auto" w:fill="ffffff"/>
        </w:rPr>
        <w:t xml:space="preserve">với các tỉnh phía Bắc; trục đường Láng - Hòa Lạc kết nối Hà Nội với khu công nghệ cao Hòa Lạc; và trục đường Nam Thăng Long nối Hà Nội với sân bay Nội Bài. Vị trí này mang lại nhiều điều kiện thuận lợi cho sự phát triển kinh tế cũng như giao lưu văn hóa, d</w:t>
      </w:r>
      <w:r>
        <w:rPr>
          <w:shd w:val="clear" w:color="auto" w:fill="ffffff"/>
        </w:rPr>
        <w:t xml:space="preserve">u lịch với các khu vực ven đô.</w:t>
        <w:br/>
        <w:t xml:space="preserve">Bất động sản Cầu Giấy với quy hoạch hạ tầng giao thông là động lực quan trọng</w:t>
        <w:br/>
        <w:t xml:space="preserve">Quận Cầu Giấy được biết đến là một trong những khu vực phát triển nhanh nhất, nhờ hệ thống hạ tầng đồng bộ và hiện đại. Khu vực này có ưu thế lớn v</w:t>
      </w:r>
      <w:r>
        <w:rPr>
          <w:shd w:val="clear" w:color="auto" w:fill="ffffff"/>
        </w:rPr>
        <w:t xml:space="preserve">ề giao thông với ba tuyến đường chính, gồm: trục Cầu Giấy - Xuân Thủy - Hồ Tùng Mậu kết nối Quốc lộ 32; trục Trần Duy Hưng kết nối trung tâm thành phố với Đại lộ Thăng Long; cùng với trục Trần Thái Tông, Nguyễn Phong Sắc, Hoàng Quốc Việt và Nguyễn Văn Huyê</w:t>
      </w:r>
      <w:r>
        <w:rPr>
          <w:shd w:val="clear" w:color="auto" w:fill="ffffff"/>
        </w:rPr>
        <w:t xml:space="preserve">n, đây đều những tuyến đường rộng lớn và hiện đại.</w:t>
        <w:br/>
        <w:t xml:space="preserve">Nhờ vào hệ thống hạ tầng hoàn thiện, cư dân sinh sống tại quận Cầu Giấy có thể dễ dàng di chuyển đến các khu vực khác như Mễ Trì, Mỗ Lao, Dương Nội, Xuân La, Kim Chung, Giáp Bát,.... Đồng thời, cư dân cũng</w:t>
      </w:r>
      <w:r>
        <w:rPr>
          <w:shd w:val="clear" w:color="auto" w:fill="ffffff"/>
        </w:rPr>
        <w:t xml:space="preserve"> có thể kết nối thuận tiện với các vùng lân cận của Hà Nội như Bắc Ninh, Hải Dương, Hòa Bình thông qua các tuyến đường lớn như Quốc lộ 1A, Quốc lộ 32, Quốc lộ 5, AH13, CT8, AH14,...</w:t>
        <w:br/>
        <w:t xml:space="preserve">Hạ tầng phát triển đồng bộ cùng dân cư đông đúc là những yếu tố quan trọng</w:t>
      </w:r>
      <w:r>
        <w:rPr>
          <w:shd w:val="clear" w:color="auto" w:fill="ffffff"/>
        </w:rPr>
        <w:t xml:space="preserve"> giúp bất động sản Cầu Giấy duy trì sự ổn định và có xu hướng tăng trưởng bền vững trong nhiều năm qua.</w:t>
        <w:br/>
        <w:t xml:space="preserve">Bất động sản Cầu Giấy với nhiều tiện ích xung quanh phục vụ cư dân</w:t>
        <w:br/>
        <w:t xml:space="preserve">Cầu Giấy cũng là nơi tập trung nhiều trường Đại học, Cao đẳng, cùng các cơ quan Bộ, b</w:t>
      </w:r>
      <w:r>
        <w:rPr>
          <w:shd w:val="clear" w:color="auto" w:fill="ffffff"/>
        </w:rPr>
        <w:t xml:space="preserve">an ngành và doanh nghiệp nước ngoài, vì vậy, trình độ dân trí tại khu vực này luôn được đánh giá cao. Một số cơ sở giáo dục nổi tiếng tại quận Cầu Giấy như Trường Đại học Ngoại ngữ, Trường Đại học Kinh tế, Trường Đại học Y Dược,  Trường THPT Chuyên Hà Nội </w:t>
      </w:r>
      <w:r>
        <w:rPr>
          <w:shd w:val="clear" w:color="auto" w:fill="ffffff"/>
        </w:rPr>
        <w:t xml:space="preserve">- Amsterdam, Trường THPT Lương Thế Vinh.</w:t>
        <w:br/>
        <w:t xml:space="preserve">vực này còn có nhiều bệnh viện lớn như Bệnh viện E, Viện Huyết học - Truyền máu Trung ương, và Bệnh viện 198, phục vụ tốt nhu cầu chăm sóc sức khỏe của người dân.</w:t>
        <w:br/>
        <w:t xml:space="preserve">Quận Cầu Giấy có lợi thế về không gian xanh với các </w:t>
      </w:r>
      <w:r>
        <w:rPr>
          <w:shd w:val="clear" w:color="auto" w:fill="ffffff"/>
        </w:rPr>
        <w:t xml:space="preserve">công viên lớn như công viên Cầu Giấy và công viên Nghĩa Đô, mang đến không gian thoáng đãng, trong lành. Các khu dân cư và trường Đại học trên địa bàn cũng có mật độ cây xanh cao.</w:t>
        <w:br/>
        <w:t xml:space="preserve">Bất động sản Cầu Giấy đáp ứng nhu cầu đa dạng của người mua</w:t>
        <w:br/>
        <w:t xml:space="preserve">Bất động sản Cầu</w:t>
      </w:r>
      <w:r>
        <w:rPr>
          <w:shd w:val="clear" w:color="auto" w:fill="ffffff"/>
        </w:rPr>
        <w:t xml:space="preserve"> Giấy hiện đang đáp ứng nhu cầu đa dạng của người mua, từ những căn hộ chung cư tiện nghi đến nhà phố sầm uất. Những dự án bất động sản tại Cầu Giấy cung cấp nhiều loại hình và mức giá khác nhau, phù hợp với nhu cầu và ngân sách của mỗi khách hàng.</w:t>
        <w:br/>
        <w:t xml:space="preserve">Người m</w:t>
      </w:r>
      <w:r>
        <w:rPr>
          <w:shd w:val="clear" w:color="auto" w:fill="ffffff"/>
        </w:rPr>
        <w:t xml:space="preserve">ua có thể lựa chọn từ căn hộ cao cấp với nhiều tiện ích hiện đại cho đến các sản phẩm nhà riêng, phù hợp với nhu cầu sinh sống của gia đình. Hơn nữa, với sự phát triển mạnh mẽ của các dịch vụ và tiện ích xung quanh, Cầu Giấy không chỉ là nơi an cư lý tưởng</w:t>
      </w:r>
      <w:r>
        <w:rPr>
          <w:shd w:val="clear" w:color="auto" w:fill="ffffff"/>
        </w:rPr>
        <w:t xml:space="preserve"> mà còn là một môi trường sống tiện nghi và năng động.</w:t>
        <w:br/>
        <w:t xml:space="preserve">Như vậy, quận Cầu Giấy đang ngày càng củng cố vị thế của mình trên thị trường bất động sản Hà Nội. Với hàng loạt lợi thế về vị trí và hạ tầng, bất động sản Cầu Giấy không chỉ thu hút người mua mà còn l</w:t>
      </w:r>
      <w:r>
        <w:rPr>
          <w:shd w:val="clear" w:color="auto" w:fill="ffffff"/>
        </w:rPr>
        <w:t xml:space="preserve">à kênh đầu tư đầy hứa hẹn. Việc tận dụng cơ hội đầu tư tại quận Cầu Giấy sẽ mang lại nhiều lợi ích cho cả người mua để ở lẫn các nhà đầu tư.</w:t>
        <w:br/>
        <w:t xml:space="preserve">(Nguồn tham khảo: https://onehousing.vn/blog/suc-hut-ve-tiem-nang-bat-dong-san-khu-vuc-cau-giay-co-gi-noi-bat-n17t)</w:t>
      </w:r>
      <w:r>
        <w:rPr>
          <w:i/>
          <w:iCs/>
          <w:lang w:val="pt-BR"/>
        </w:rPr>
      </w:r>
      <w:r>
        <w:rPr>
          <w:i/>
          <w:iCs/>
          <w:lang w:val="pt-BR"/>
        </w:rPr>
      </w:r>
    </w:p>
    <w:p>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1559"/>
        <w:gridCol w:w="2268"/>
        <w:gridCol w:w="2457"/>
        <w:gridCol w:w="2505"/>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và tài sản gắn liền với đất tại Thửa đất số: C4, tờ bản đồ số 5/7, địa chỉ: Số 56 ngõ 10 Nguyễn Thị Định, phường Trung Hoà, quận Cầu Giấy, thành phố Hà Nội </w:t>
            </w:r>
            <w:r>
              <w:rPr>
                <w:rFonts w:ascii="Times New Roman" w:hAnsi="Times New Roman" w:eastAsia="Times New Roman" w:cs="Times New Roman"/>
                <w:b/>
                <w:bCs/>
                <w:i/>
                <w:color w:val="000000"/>
                <w:sz w:val="24"/>
              </w:rPr>
              <w:t xml:space="preserve">Nội (Nay là Phường Yên Hòa, Thành phố Hà Nội)</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color w:val="000000"/>
                <w:sz w:val="24"/>
              </w:rPr>
              <w:t xml:space="preserve"> theo Giấy chứng nhận quyền sử dụng đất quyền sở hữu nhà ở và tài sản khác </w:t>
            </w:r>
            <w:r>
              <w:rPr>
                <w:rFonts w:ascii="Times New Roman" w:hAnsi="Times New Roman" w:eastAsia="Times New Roman" w:cs="Times New Roman"/>
                <w:b/>
                <w:bCs/>
                <w:color w:val="000000"/>
                <w:sz w:val="24"/>
              </w:rPr>
              <w:t xml:space="preserve">gắn liền với đất số: BU 429329, số vào sổ cấp GCN: CH 3578/QĐ-UBND/2014/6230 do Uỷ ban nhân dân quận Cầu Giấy cấp ngày 26/6/2014; Chủ sử dụng đất là Bà Phạm Kim Oanh </w:t>
            </w:r>
            <w:r>
              <w:rPr>
                <w:rFonts w:ascii="Times New Roman" w:hAnsi="Times New Roman" w:eastAsia="Times New Roman" w:cs="Times New Roman"/>
                <w:b/>
                <w:bCs/>
                <w:i/>
                <w:color w:val="000000"/>
                <w:sz w:val="24"/>
              </w:rPr>
              <w:t xml:space="preserve">(cập nhật ngày 14/7/2016).</w:t>
            </w:r>
            <w:r>
              <w:rPr>
                <w:b/>
                <w:bCs/>
              </w:rPr>
            </w:r>
            <w:r>
              <w:rPr>
                <w:b/>
                <w:bCs/>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C4</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72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b w:val="0"/>
                <w:bCs w:val="0"/>
                <w:i/>
              </w:rPr>
            </w:pPr>
            <w:r>
              <w:rPr>
                <w:rFonts w:ascii="Times New Roman" w:hAnsi="Times New Roman" w:eastAsia="Times New Roman" w:cs="Times New Roman"/>
                <w:color w:val="000000"/>
                <w:sz w:val="24"/>
              </w:rPr>
              <w:t xml:space="preserve">Số 56 ngõ 10 Nguyễn Thị Định, phường Trung Hoà, quận Cầu Giấy, thành phố Hà Nội</w:t>
            </w:r>
            <w:r>
              <w:rPr>
                <w:rFonts w:ascii="Times New Roman" w:hAnsi="Times New Roman" w:eastAsia="Times New Roman" w:cs="Times New Roman"/>
                <w:b w:val="0"/>
                <w:bCs w:val="0"/>
                <w:i/>
                <w:iCs/>
                <w:color w:val="000000"/>
                <w:sz w:val="24"/>
              </w:rPr>
              <w:t xml:space="preserve">. </w:t>
            </w:r>
            <w:r>
              <w:rPr>
                <w:rFonts w:ascii="Times New Roman" w:hAnsi="Times New Roman" w:eastAsia="Times New Roman" w:cs="Times New Roman"/>
                <w:b w:val="0"/>
                <w:bCs w:val="0"/>
                <w:i/>
                <w:iCs/>
                <w:color w:val="000000"/>
                <w:sz w:val="24"/>
              </w:rPr>
              <w:t xml:space="preserve">(Nay là Phường Yên Hòa, Thành phố Hà Nội)</w:t>
            </w:r>
            <w:r>
              <w:rPr>
                <w:b w:val="0"/>
                <w:bCs w:val="0"/>
                <w:i/>
              </w:rPr>
            </w:r>
            <w:r>
              <w:rPr>
                <w:b w:val="0"/>
                <w:bCs w:val="0"/>
                <w:i/>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50,0</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72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none"/>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482270" cy="238018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94086" name=""/>
                              <pic:cNvPicPr>
                                <a:picLocks noChangeAspect="1"/>
                              </pic:cNvPicPr>
                              <pic:nvPr/>
                            </pic:nvPicPr>
                            <pic:blipFill rotWithShape="1">
                              <a:blip r:embed="rId17"/>
                              <a:stretch/>
                            </pic:blipFill>
                            <pic:spPr bwMode="auto">
                              <a:xfrm flipH="0" flipV="0">
                                <a:off x="0" y="0"/>
                                <a:ext cx="4482270" cy="23801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93pt;height:187.42pt;mso-wrap-distance-left:0.00pt;mso-wrap-distance-top:0.00pt;mso-wrap-distance-right:0.00pt;mso-wrap-distance-bottom:0.00pt;z-index:1;" stroked="false">
                      <v:imagedata r:id="rId17" o:title=""/>
                      <o:lock v:ext="edit" rotation="t"/>
                    </v:shape>
                  </w:pict>
                </mc:Fallback>
              </mc:AlternateContent>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rPr>
            </w:pPr>
            <w:r>
              <w:rPr>
                <w:highlight w:val="none"/>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highlight w:val="none"/>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Ngõ 10 Nguyễn Thị Định</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5m+vỉa hè</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5m+vỉa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72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color w:val="000000"/>
                <w:sz w:val="24"/>
              </w:rPr>
              <w:t xml:space="preserve">Tài sản nằm tại số 56 ngõ 10 Nguyễn Thị Định, phường Trung Hoà, quận Cầu Giấy,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i/>
                <w:color w:val="000000"/>
                <w:sz w:val="24"/>
              </w:rPr>
              <w:t xml:space="preserve"> (Nay là Phường Yên Hòa,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 </w:t>
            </w:r>
            <w:r>
              <w:rPr>
                <w:b w:val="0"/>
                <w:bCs w:val="0"/>
              </w:rPr>
            </w:r>
            <w:r>
              <w:rPr>
                <w:b w:val="0"/>
                <w:bCs w:val="0"/>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72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Hướng Đông Bắc: Tiếp giáp ngõ 10 Nguyễn Thị Định;</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Các hướng khác: Tiếp giáp các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(21.011266, 105.803874)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spacing w:after="0" w:before="0" w:line="240" w:lineRule="auto"/>
              <w:ind/>
              <w:rPr/>
            </w:pPr>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5407545" cy="270377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96110" name=""/>
                              <pic:cNvPicPr>
                                <a:picLocks noChangeAspect="1"/>
                              </pic:cNvPicPr>
                              <pic:nvPr/>
                            </pic:nvPicPr>
                            <pic:blipFill rotWithShape="1">
                              <a:blip r:embed="rId18"/>
                              <a:stretch/>
                            </pic:blipFill>
                            <pic:spPr bwMode="auto">
                              <a:xfrm flipH="0" flipV="0">
                                <a:off x="0" y="0"/>
                                <a:ext cx="5407544" cy="27037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5.79pt;height:212.90pt;mso-wrap-distance-left:0.00pt;mso-wrap-distance-top:0.00pt;mso-wrap-distance-right:0.00pt;mso-wrap-distance-bottom:0.00pt;z-index:1;" stroked="false">
                      <v:imagedata r:id="rId18"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50,0</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4,1</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Vuông vức</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72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72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ở/kinh doanh</w:t>
            </w:r>
            <w:r/>
          </w:p>
        </w:tc>
        <w:tc>
          <w:tcPr>
            <w:tcBorders>
              <w:bottom w:val="single" w:color="000000" w:sz="8" w:space="0"/>
              <w:right w:val="single" w:color="000000" w:sz="8" w:space="0"/>
            </w:tcBorders>
            <w:tcMar>
              <w:left w:w="108" w:type="dxa"/>
              <w:top w:w="0" w:type="dxa"/>
              <w:right w:w="108" w:type="dxa"/>
              <w:bottom w:w="0" w:type="dxa"/>
            </w:tcMar>
            <w:tcW w:w="2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 Nhà 4,5 tầng.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dưới sự hướng dẫn của Khách hàng, CTXD gắn liền với đất là Nhà 4,5 tầng, diện tích xây dựng 50m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218m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công trình ngoại quan khá, kết cấu chính đảm bảo công năng chịu lực, kết cấu phụ trợ ở mức độ tốt. Công trình đã được chứng nhận trên GCN.</w:t>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Trung Hòa, Quận Cầu Giấy,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https://batdongsan.com.vn/ban-nha-rieng-duong-nguyen-thi-dinh-phuong-trung-hoa-4/phan-lo-pho-cau-giay-51-2m2-5-tang-via-he-rong-kinh-doanh-vi-tri-dep-chi-20-5-ty-pr44478501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https://alonhadat.com.vn/phan-lo-do-quang-sieu-hiem-60m-6-tang-mt-5m2-gia-3x-xx-oto-chay-vong-vong-18480968.html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0835967888</w:t>
            </w:r>
            <w:r>
              <w:rPr>
                <w:sz w:val="22"/>
                <w:szCs w:val="22"/>
              </w:rPr>
              <w:t xml:space="preserve"> </w:t>
            </w:r>
            <w:r>
              <w:rPr>
                <w:sz w:val="22"/>
                <w:szCs w:val="22"/>
              </w:rPr>
              <w:br/>
              <w:t xml:space="preserve">(</w:t>
            </w:r>
            <w:r>
              <w:rPr>
                <w:sz w:val="22"/>
                <w:szCs w:val="22"/>
              </w:rPr>
              <w:t xml:space="preserve">Sale Hoàng Quý</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0898161186</w:t>
            </w:r>
            <w:r>
              <w:rPr>
                <w:sz w:val="22"/>
                <w:szCs w:val="22"/>
              </w:rPr>
              <w:br/>
            </w:r>
            <w:r>
              <w:rPr>
                <w:sz w:val="22"/>
                <w:szCs w:val="22"/>
              </w:rPr>
              <w:t xml:space="preserve">(</w:t>
            </w:r>
            <w:r>
              <w:rPr>
                <w:sz w:val="22"/>
                <w:szCs w:val="22"/>
              </w:rPr>
              <w:t xml:space="preserve">Sale Lê 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00359.766.826</w:t>
            </w:r>
            <w:r>
              <w:rPr>
                <w:sz w:val="22"/>
                <w:szCs w:val="22"/>
              </w:rPr>
              <w:br/>
            </w:r>
            <w:r>
              <w:rPr>
                <w:sz w:val="22"/>
                <w:szCs w:val="22"/>
              </w:rPr>
              <w:t xml:space="preserve">(</w:t>
            </w:r>
            <w:r>
              <w:rPr>
                <w:sz w:val="22"/>
                <w:szCs w:val="22"/>
              </w:rPr>
              <w:t xml:space="preserve">Nguyễn Đình Anh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rFonts w:ascii="Times New Roman" w:hAnsi="Times New Roman" w:eastAsia="Times New Roman" w:cs="Times New Roman"/>
                <w:color w:val="000000"/>
                <w:sz w:val="22"/>
              </w:rPr>
              <w:t xml:space="preserve">số 56 ngõ 10 Nguyễn Thị Định, phường Trung Hoà, quận Cầu Giấy, thành phố Hà Nội</w:t>
            </w:r>
            <w:r>
              <w:rPr>
                <w:color w:val="000000" w:themeColor="text1"/>
                <w:sz w:val="22"/>
                <w:szCs w:val="22"/>
              </w:rPr>
              <w:t xml:space="preserve"> </w:t>
            </w:r>
            <w:r>
              <w:rPr>
                <w:rFonts w:ascii="Times New Roman" w:hAnsi="Times New Roman" w:eastAsia="Times New Roman" w:cs="Times New Roman"/>
                <w:b w:val="0"/>
                <w:bCs w:val="0"/>
                <w:i/>
                <w:color w:val="000000"/>
                <w:sz w:val="24"/>
              </w:rPr>
              <w:t xml:space="preserve">(Nay là Phường Yên Hòa,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phố Hà Nội</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w:t>
            </w:r>
            <w:r>
              <w:rPr>
                <w:color w:val="000000" w:themeColor="text1"/>
                <w:sz w:val="22"/>
                <w:szCs w:val="22"/>
              </w:rPr>
              <w:t xml:space="preserve">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w:t>
            </w:r>
            <w:r>
              <w:rPr>
                <w:color w:val="000000" w:themeColor="text1"/>
                <w:sz w:val="22"/>
                <w:szCs w:val="22"/>
              </w:rPr>
              <w:t xml:space="preserve">phố Hà Nội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ff0000"/>
                <w:sz w:val="22"/>
                <w:szCs w:val="22"/>
              </w:rPr>
            </w:r>
            <w:r>
              <w:rPr>
                <w:color w:val="000000" w:themeColor="text1"/>
                <w:sz w:val="22"/>
                <w:szCs w:val="22"/>
              </w:rPr>
              <w:t xml:space="preserve">Vị trí tương quan giữa TSTĐ và các TSSS</w:t>
            </w:r>
            <w:r>
              <w:rPr>
                <w:color w:val="000000" w:themeColor="text1"/>
                <w:sz w:val="22"/>
                <w:szCs w:val="22"/>
              </w:rPr>
            </w:r>
            <w:r>
              <w:rPr>
                <w:color w:val="000000" w:themeColor="text1"/>
                <w:sz w:val="22"/>
                <w:szCs w:val="22"/>
              </w:rPr>
            </w:r>
            <w:r>
              <w:rPr>
                <w:color w:val="000000" w:themeColor="text1"/>
                <w:sz w:val="22"/>
                <w:szCs w:val="22"/>
              </w:rPr>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highlight w:val="none"/>
              </w:rPr>
            </w:pPr>
            <w:r>
              <w:rPr>
                <w:color w:val="000000" w:themeColor="text1"/>
                <w:sz w:val="22"/>
                <w:szCs w:val="22"/>
              </w:rPr>
            </w:r>
            <w:r>
              <mc:AlternateContent>
                <mc:Choice Requires="wpg">
                  <w:drawing>
                    <wp:inline xmlns:wp="http://schemas.openxmlformats.org/drawingml/2006/wordprocessingDrawing" distT="0" distB="0" distL="0" distR="0">
                      <wp:extent cx="4124665" cy="206233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9258" name=""/>
                              <pic:cNvPicPr>
                                <a:picLocks noChangeAspect="1"/>
                              </pic:cNvPicPr>
                              <pic:nvPr/>
                            </pic:nvPicPr>
                            <pic:blipFill rotWithShape="1">
                              <a:blip r:embed="rId18"/>
                              <a:stretch/>
                            </pic:blipFill>
                            <pic:spPr bwMode="auto">
                              <a:xfrm rot="0" flipH="0" flipV="0">
                                <a:off x="0" y="0"/>
                                <a:ext cx="4124664" cy="20623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24.78pt;height:162.39pt;mso-wrap-distance-left:0.00pt;mso-wrap-distance-top:0.00pt;mso-wrap-distance-right:0.00pt;mso-wrap-distance-bottom:0.00pt;rotation:0;z-index:1;" stroked="false">
                      <v:imagedata r:id="rId18" o:title=""/>
                      <o:lock v:ext="edit" rotation="t"/>
                    </v:shape>
                  </w:pict>
                </mc:Fallback>
              </mc:AlternateContent>
            </w:r>
            <w:r>
              <w:rPr>
                <w:color w:val="000000" w:themeColor="text1"/>
                <w:sz w:val="22"/>
                <w:szCs w:val="22"/>
              </w:rPr>
            </w:r>
          </w:p>
          <w:p>
            <w:pPr>
              <w:pBdr/>
              <w:spacing/>
              <w:ind/>
              <w:jc w:val="center"/>
              <w:rPr>
                <w:color w:val="000000" w:themeColor="text1"/>
                <w:sz w:val="22"/>
                <w:szCs w:val="22"/>
              </w:rPr>
            </w:pPr>
            <w:r>
              <w:rPr>
                <w:highlight w:val="none"/>
              </w:rPr>
            </w:r>
            <w:r>
              <w:rPr>
                <w:highlight w:val="none"/>
              </w:rPr>
            </w:r>
            <w:r>
              <w:rPr>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7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6 tầng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sàn (</w:t>
            </w:r>
            <w:r>
              <w:rPr>
                <w:color w:val="000000"/>
                <w:sz w:val="22"/>
                <w:szCs w:val="22"/>
              </w:rPr>
              <w:t xml:space="preserve">m²</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241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420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360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18.245.000.000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22.072.000.000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24.400.000.000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t xml:space="preserve">1.108.396.898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1.748.524.215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2.837.864.400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2.032.033.698</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r>
            <w:r>
              <w:rPr>
                <w:rFonts w:ascii="Times New Roman" w:hAnsi="Times New Roman" w:eastAsia="Times New Roman" w:cs="Times New Roman"/>
                <w:color w:val="000000"/>
                <w:sz w:val="22"/>
              </w:rPr>
              <w:t xml:space="preserve">theo Quyết định số </w:t>
            </w:r>
            <w:r>
              <w:rPr>
                <w:rFonts w:ascii="Times New Roman" w:hAnsi="Times New Roman" w:eastAsia="Times New Roman" w:cs="Times New Roman"/>
                <w:color w:val="000000"/>
                <w:spacing w:val="-4"/>
                <w:sz w:val="24"/>
              </w:rPr>
              <w:t xml:space="preserve">425/QĐ-BXD ngày 30/3/2026</w:t>
            </w:r>
            <w:r>
              <w:rPr>
                <w:rFonts w:ascii="Times New Roman" w:hAnsi="Times New Roman" w:eastAsia="Times New Roman" w:cs="Times New Roman"/>
                <w:color w:val="000000"/>
                <w:sz w:val="22"/>
              </w:rPr>
              <w:t xml:space="preserve">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7.061.652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8.535.632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7.949.200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6.640.633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16.496.475.785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19.234.135.600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22.367.966.302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320.568.927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349.499.473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16.496.475.785</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19.234.135.600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22.367.966.302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320.568.927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349.499.473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320.568.927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349.499.473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320.568.927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349.499.473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320.568.927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349.499.473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rFonts w:ascii="Times New Roman" w:hAnsi="Times New Roman" w:eastAsia="Times New Roman" w:cs="Times New Roman"/>
                <w:color w:val="000000"/>
                <w:sz w:val="22"/>
              </w:rPr>
              <w:t xml:space="preserve">số 56 ngõ 10 Nguyễn Thị Định, phường Trung Hoà, quận Cầu Giấy, thành phố Hà Nội</w:t>
            </w:r>
            <w:r>
              <w:rPr>
                <w:color w:val="000000" w:themeColor="text1"/>
                <w:sz w:val="22"/>
                <w:szCs w:val="22"/>
              </w:rPr>
              <w:t xml:space="preserve"> </w:t>
            </w:r>
            <w:r>
              <w:rPr>
                <w:rFonts w:ascii="Times New Roman" w:hAnsi="Times New Roman" w:eastAsia="Times New Roman" w:cs="Times New Roman"/>
                <w:b w:val="0"/>
                <w:bCs w:val="0"/>
                <w:i/>
                <w:color w:val="000000"/>
                <w:sz w:val="24"/>
              </w:rPr>
              <w:t xml:space="preserve">(Nay là Phường Yên Hòa,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phố Hà Nội</w:t>
            </w:r>
            <w:r>
              <w:rPr>
                <w:color w:val="000000" w:themeColor="text1"/>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w:t>
            </w:r>
            <w:r>
              <w:rPr>
                <w:color w:val="000000" w:themeColor="text1"/>
                <w:sz w:val="22"/>
                <w:szCs w:val="22"/>
              </w:rPr>
              <w:t xml:space="preserve">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w:t>
            </w:r>
            <w:r>
              <w:rPr>
                <w:color w:val="000000" w:themeColor="text1"/>
                <w:sz w:val="22"/>
                <w:szCs w:val="22"/>
              </w:rPr>
              <w:t xml:space="preserve">phố Hà Nội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320.568.927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349.499.473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320.568.927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349.499.473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320.568.927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349.499.473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6.494.045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11.056.859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331.196.305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379.618.832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-13.979.979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331.196.305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346.576.353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331.196.305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346.576.353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342.250.535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331.196.305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346.576.353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342.250.535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327.062.972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346.576.353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338.629.953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6.494.045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25.036.838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6.494.045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2.923.120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-3,42</w:t>
      </w:r>
      <w:r>
        <w:t xml:space="preserve">% đến </w:t>
      </w:r>
      <w:r>
        <w:t xml:space="preserve">2,35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342.250.535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114.106.328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327.062.972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109.010.089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346.576.353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115.513.898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338.630.315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338.000.000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338.000.000</w:t>
      </w:r>
      <w:r>
        <w:rPr>
          <w:b/>
          <w:bCs/>
          <w:color w:val="000000" w:themeColor="text1"/>
        </w:rPr>
        <w:t xml:space="preserve"> </w:t>
      </w:r>
      <w:r>
        <w:rPr>
          <w:b/>
          <w:bCs/>
        </w:rPr>
        <w:t xml:space="preserve">đồng/m².</w:t>
      </w:r>
      <w:r>
        <w:rPr>
          <w:b/>
          <w:bCs/>
        </w:rPr>
      </w:r>
      <w:r>
        <w:rPr>
          <w:b/>
          <w:bCs/>
        </w:rPr>
      </w:r>
    </w:p>
    <w:p>
      <w:pPr>
        <w:pStyle w:val="1037"/>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4,5 tầng, cân nhắc và xem xét với mức độ hoàn thiện của công trình xây dựng hiện có, tổ thẩm định nhận thấy đơn giá vận dụng theo Quyết định 425/QĐ-BXD năm 2026 công bố suất vốn đầu tư</w:t>
      </w:r>
      <w:r>
        <w:rPr>
          <w:rFonts w:ascii="Times New Roman" w:hAnsi="Times New Roman" w:eastAsia="Times New Roman" w:cs="Times New Roman"/>
          <w:color w:val="000000"/>
          <w:sz w:val="24"/>
        </w:rPr>
        <w:t xml:space="preserve"> xây dựng và giá xây dựng tổng hợp bộ phận kết cấu công trình 2025 là khá phù hợp với thị trường, theo đó:</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w:t>
      </w:r>
      <w:r>
        <w:rPr>
          <w:rFonts w:ascii="Times New Roman" w:hAnsi="Times New Roman" w:eastAsia="Times New Roman" w:cs="Times New Roman"/>
          <w:i/>
          <w:color w:val="000000"/>
          <w:spacing w:val="3"/>
          <w:sz w:val="24"/>
          <w:highlight w:val="white"/>
        </w:rPr>
        <w:t xml:space="preserve">Chi phí xây dựng Nhà từ 4 đến 5 tầng, kết cấu khung chịu lực BTCT; tường bao xây gạch; sàn, mái BTCT đổ tại chỗ, không có tầng hầm - Diện tích xây dựng từ 50 - dưới 70m² có đơn giá đã bao gồm VAT là</w:t>
      </w:r>
      <w:r>
        <w:rPr>
          <w:rFonts w:ascii="Times New Roman" w:hAnsi="Times New Roman" w:eastAsia="Times New Roman" w:cs="Times New Roman"/>
          <w:i/>
          <w:color w:val="000000"/>
          <w:sz w:val="24"/>
        </w:rPr>
        <w:t xml:space="preserve"> 7.449.000 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chi phí xây dựng: Thành phố Hà Nội thuộc vùng 7 có hệ số điều chỉnh là 0,948.”</w:t>
        <w:tab/>
      </w:r>
      <w:r/>
    </w:p>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i/>
          <w:color w:val="000000"/>
          <w:sz w:val="24"/>
        </w:rPr>
        <w:t xml:space="preserve">Tổ thẩm định xác định đơn giá xây mới của công trình xây dựng đã bao gồm VAT hoàn thiện cơ bản là: (</w:t>
      </w:r>
      <w:r>
        <w:rPr>
          <w:rFonts w:ascii="Times New Roman" w:hAnsi="Times New Roman" w:eastAsia="Times New Roman" w:cs="Times New Roman"/>
          <w:i/>
          <w:color w:val="000000"/>
          <w:spacing w:val="3"/>
          <w:sz w:val="24"/>
          <w:highlight w:val="white"/>
        </w:rPr>
        <w:t xml:space="preserve">Chi phí xây dựng</w:t>
      </w:r>
      <w:r>
        <w:rPr>
          <w:rFonts w:ascii="Times New Roman" w:hAnsi="Times New Roman" w:eastAsia="Times New Roman" w:cs="Times New Roman"/>
          <w:i/>
          <w:color w:val="000000"/>
          <w:sz w:val="24"/>
        </w:rPr>
        <w:t xml:space="preserve">) x (Hệ số vùng) = 7.449.000 x 0,948 = </w:t>
      </w:r>
      <w:r>
        <w:rPr>
          <w:rFonts w:ascii="Times New Roman" w:hAnsi="Times New Roman" w:eastAsia="Times New Roman" w:cs="Times New Roman"/>
          <w:color w:val="000000"/>
          <w:sz w:val="22"/>
        </w:rPr>
        <w:t xml:space="preserve">7.243.855 </w:t>
      </w:r>
      <w:r>
        <w:rPr>
          <w:rFonts w:ascii="Times New Roman" w:hAnsi="Times New Roman" w:eastAsia="Times New Roman" w:cs="Times New Roman"/>
          <w:i/>
          <w:color w:val="000000"/>
          <w:sz w:val="24"/>
        </w:rPr>
        <w:t xml:space="preserve">đồng/m² sàn. </w:t>
      </w:r>
      <w:r/>
    </w:p>
    <w:p>
      <w:pPr>
        <w:numPr>
          <w:ilvl w:val="0"/>
          <w:numId w:val="43"/>
        </w:numPr>
        <w:pBdr>
          <w:top w:val="none" w:color="000000" w:sz="4" w:space="0"/>
          <w:left w:val="none" w:color="000000" w:sz="4" w:space="0"/>
          <w:bottom w:val="none" w:color="000000" w:sz="4" w:space="0"/>
          <w:right w:val="none" w:color="000000" w:sz="4" w:space="0"/>
        </w:pBdr>
        <w:spacing w:after="120" w:before="120" w:line="340" w:lineRule="atLeast"/>
        <w:ind/>
        <w:jc w:val="both"/>
        <w:rPr/>
      </w:pPr>
      <w:r>
        <w:rPr>
          <w:rFonts w:ascii="Times New Roman" w:hAnsi="Times New Roman" w:eastAsia="Times New Roman" w:cs="Times New Roman"/>
          <w:b/>
          <w:color w:val="000000"/>
          <w:sz w:val="24"/>
        </w:rPr>
        <w:t xml:space="preserve">Xác định chất lượng còn lại của công trình xây dựng trên đất:</w:t>
      </w:r>
      <w:r/>
    </w:p>
    <w:p>
      <w:pPr>
        <w:pBdr>
          <w:top w:val="none" w:color="000000" w:sz="4" w:space="0"/>
          <w:left w:val="none" w:color="000000" w:sz="4" w:space="0"/>
          <w:bottom w:val="none" w:color="000000" w:sz="4" w:space="0"/>
          <w:right w:val="none" w:color="000000" w:sz="4" w:space="0"/>
        </w:pBdr>
        <w:spacing w:after="120" w:before="120" w:line="264" w:lineRule="auto"/>
        <w:ind w:right="0" w:firstLine="502" w:left="0"/>
        <w:jc w:val="both"/>
        <w:rPr/>
      </w:pPr>
      <w:r>
        <w:rPr>
          <w:rFonts w:ascii="Times New Roman" w:hAnsi="Times New Roman" w:eastAsia="Times New Roman" w:cs="Times New Roman"/>
          <w:color w:val="000000"/>
          <w:sz w:val="24"/>
        </w:rPr>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k</w:t>
      </w:r>
      <w:r>
        <w:rPr>
          <w:rFonts w:ascii="Times New Roman" w:hAnsi="Times New Roman" w:eastAsia="Times New Roman" w:cs="Times New Roman"/>
          <w:color w:val="000000"/>
          <w:sz w:val="24"/>
        </w:rPr>
        <w:t xml:space="preserve">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before="120" w:line="264" w:lineRule="auto"/>
        <w:ind w:right="0" w:firstLine="502" w:left="0"/>
        <w:jc w:val="both"/>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line="264" w:lineRule="auto"/>
        <w:ind w:right="0" w:firstLine="502" w:left="0"/>
        <w:rPr/>
      </w:pPr>
      <w:r>
        <w:rPr>
          <w:rFonts w:ascii="Times New Roman" w:hAnsi="Times New Roman" w:eastAsia="Times New Roman" w:cs="Times New Roman"/>
          <w:color w:val="000000"/>
          <w:sz w:val="24"/>
        </w:rPr>
        <w:t xml:space="preserve">Công thức tính như sau:</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41"/>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47"/>
        <w:gridCol w:w="527"/>
        <w:gridCol w:w="659"/>
        <w:gridCol w:w="2696"/>
        <w:gridCol w:w="599"/>
        <w:gridCol w:w="2316"/>
      </w:tblGrid>
      <w:tr>
        <w:trPr>
          <w:trHeight w:val="20"/>
        </w:trPr>
        <w:tc>
          <w:tcPr>
            <w:tcBorders/>
            <w:tcMar>
              <w:left w:w="108" w:type="dxa"/>
              <w:top w:w="0" w:type="dxa"/>
              <w:right w:w="108" w:type="dxa"/>
              <w:bottom w:w="0" w:type="dxa"/>
            </w:tcMar>
            <w:tcW w:w="194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tcBorders>
            <w:tcMar>
              <w:left w:w="108" w:type="dxa"/>
              <w:top w:w="0" w:type="dxa"/>
              <w:right w:w="108" w:type="dxa"/>
              <w:bottom w:w="0" w:type="dxa"/>
            </w:tcMar>
            <w:tcW w:w="26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5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3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rHeight w:val="2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2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n: số các kết cấu chính.</w:t>
      </w:r>
      <w:r/>
    </w:p>
    <w:p>
      <w:pPr>
        <w:numPr>
          <w:ilvl w:val="0"/>
          <w:numId w:val="43"/>
        </w:numPr>
        <w:pBdr>
          <w:top w:val="none" w:color="000000" w:sz="4" w:space="0"/>
          <w:left w:val="none" w:color="000000" w:sz="4" w:space="0"/>
          <w:bottom w:val="none" w:color="000000" w:sz="4" w:space="0"/>
          <w:right w:val="none" w:color="000000" w:sz="4" w:space="0"/>
        </w:pBdr>
        <w:spacing w:line="360" w:lineRule="auto"/>
        <w:ind/>
        <w:jc w:val="both"/>
        <w:rPr/>
      </w:pPr>
      <w:r>
        <w:rPr>
          <w:rFonts w:ascii="Times New Roman" w:hAnsi="Times New Roman" w:eastAsia="Times New Roman" w:cs="Times New Roman"/>
          <w:color w:val="000000"/>
          <w:sz w:val="24"/>
        </w:rPr>
        <w:t xml:space="preserve">Tổ thẩm định xác định chất lượng còn lại của công trình theo phương pháp tổng cộng:</w:t>
      </w:r>
      <w:r>
        <w:rPr>
          <w:rFonts w:ascii="Times New Roman" w:hAnsi="Times New Roman" w:eastAsia="Times New Roman" w:cs="Times New Roman"/>
          <w:sz w:val="24"/>
        </w:rPr>
      </w: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19"/>
        <w:gridCol w:w="1865"/>
        <w:gridCol w:w="1865"/>
        <w:gridCol w:w="2080"/>
        <w:gridCol w:w="2080"/>
        <w:gridCol w:w="2081"/>
      </w:tblGrid>
      <w:tr>
        <w:trPr>
          <w:trHeight w:val="93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a</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val="false"/>
          </w:tcPr>
          <w:p>
            <w:pPr>
              <w:pBdr/>
              <w:spacing w:after="0" w:before="0" w:line="240" w:lineRule="auto"/>
              <w:ind/>
              <w:rPr/>
            </w:pPr>
            <w:r>
              <w:rPr>
                <w:rFonts w:ascii="Times New Roman" w:hAnsi="Times New Roman" w:eastAsia="Times New Roman" w:cs="Times New Roman"/>
                <w:i/>
                <w:color w:val="000000"/>
                <w:sz w:val="24"/>
              </w:rPr>
              <w:t xml:space="preserve">b</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Móng</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8%</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72%</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Khung, cột</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72%</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Tường</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12%</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72%</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Nền, sàn</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72%</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18%</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Kết cấu đỡ mái</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12%</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72%</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Mái</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72%</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Tổng cộng (g)</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63%</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Tỷ lệ chất lượng còn lại:</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72%</w:t>
            </w:r>
            <w:r/>
          </w:p>
        </w:tc>
      </w:tr>
    </w:tbl>
    <w:p>
      <w:pPr>
        <w:pBdr>
          <w:top w:val="none" w:color="000000" w:sz="4" w:space="0"/>
          <w:left w:val="none" w:color="000000" w:sz="4" w:space="0"/>
          <w:bottom w:val="none" w:color="000000" w:sz="4" w:space="0"/>
          <w:right w:val="none" w:color="000000" w:sz="4" w:space="0"/>
        </w:pBdr>
        <w:spacing w:line="360" w:lineRule="auto"/>
        <w:ind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Tổ thẩm định xác định Tỷ lệ chất lượng còn lại của công trình xây dựng là: 72%, tương đương tỷ lệ hao mòn là 28%</w:t>
      </w:r>
      <w:r/>
    </w:p>
    <w:p>
      <w:pPr>
        <w:numPr>
          <w:ilvl w:val="0"/>
          <w:numId w:val="44"/>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41"/>
        <w:tblInd w:w="1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720"/>
        <w:gridCol w:w="379"/>
        <w:gridCol w:w="3857"/>
        <w:gridCol w:w="344"/>
        <w:gridCol w:w="2431"/>
      </w:tblGrid>
      <w:tr>
        <w:trPr>
          <w:trHeight w:val="794"/>
        </w:trPr>
        <w:tc>
          <w:tcPr>
            <w:tcBorders/>
            <w:tcMar>
              <w:left w:w="108" w:type="dxa"/>
              <w:top w:w="0" w:type="dxa"/>
              <w:right w:w="108" w:type="dxa"/>
              <w:bottom w:w="0" w:type="dxa"/>
            </w:tcMar>
            <w:tcW w:w="17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8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4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p>
    <w:tbl>
      <w:tblPr>
        <w:tblInd w:w="-114" w:type="dxa"/>
        <w:tblW w:w="100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92"/>
        <w:gridCol w:w="1101"/>
        <w:gridCol w:w="1560"/>
        <w:gridCol w:w="1701"/>
        <w:gridCol w:w="1139"/>
        <w:gridCol w:w="1559"/>
        <w:gridCol w:w="1968"/>
      </w:tblGrid>
      <w:tr>
        <w:trPr>
          <w:trHeight w:val="936"/>
        </w:trPr>
        <w:tc>
          <w:tcPr>
            <w:shd w:val="clear" w:color="000000" w:fill="ffffff"/>
            <w:tcBorders/>
            <w:tcW w:w="992"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101"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992"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101"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992" w:type="dxa"/>
            <w:vAlign w:val="center"/>
            <w:textDirection w:val="lrTb"/>
            <w:noWrap w:val="false"/>
          </w:tcPr>
          <w:p>
            <w:pPr>
              <w:pBdr/>
              <w:spacing w:after="60" w:before="60"/>
              <w:ind/>
              <w:jc w:val="center"/>
              <w:rPr>
                <w:sz w:val="22"/>
                <w:szCs w:val="22"/>
              </w:rPr>
            </w:pPr>
            <w:r>
              <w:rPr>
                <w:sz w:val="22"/>
                <w:szCs w:val="22"/>
              </w:rPr>
              <w:t xml:space="preserve">Nhà 4,5 tầng</w:t>
            </w:r>
            <w:r>
              <w:rPr>
                <w:sz w:val="22"/>
                <w:szCs w:val="22"/>
              </w:rPr>
            </w:r>
            <w:r>
              <w:rPr>
                <w:sz w:val="22"/>
                <w:szCs w:val="22"/>
              </w:rPr>
            </w:r>
          </w:p>
        </w:tc>
        <w:tc>
          <w:tcPr>
            <w:tcBorders/>
            <w:tcW w:w="1101" w:type="dxa"/>
            <w:vAlign w:val="center"/>
            <w:textDirection w:val="lrTb"/>
            <w:noWrap/>
          </w:tcPr>
          <w:p>
            <w:pPr>
              <w:pBdr/>
              <w:spacing w:after="60" w:before="60"/>
              <w:ind/>
              <w:jc w:val="center"/>
              <w:rPr>
                <w:sz w:val="22"/>
                <w:szCs w:val="22"/>
              </w:rPr>
            </w:pPr>
            <w:r>
              <w:rPr>
                <w:sz w:val="22"/>
                <w:szCs w:val="22"/>
              </w:rPr>
              <w:t xml:space="preserve">218</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7.061.652</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1.539.440.136</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28%</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431.043.238</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1.108.396.898</w:t>
            </w:r>
            <w:r>
              <w:rPr>
                <w:sz w:val="22"/>
                <w:szCs w:val="22"/>
              </w:rPr>
            </w:r>
            <w:r>
              <w:rPr>
                <w:sz w:val="22"/>
                <w:szCs w:val="22"/>
              </w:rPr>
            </w:r>
          </w:p>
        </w:tc>
      </w:tr>
    </w:tbl>
    <w:p>
      <w:pPr>
        <w:pStyle w:val="1037"/>
        <w:pBdr/>
        <w:spacing w:after="120" w:before="120" w:line="276" w:lineRule="auto"/>
        <w:ind w:left="357"/>
        <w:jc w:val="both"/>
        <w:rPr>
          <w:b/>
          <w:lang w:val="pt-BR"/>
        </w:rPr>
      </w:pPr>
      <w:r>
        <w:rPr>
          <w:b/>
          <w:lang w:val="pt-BR"/>
        </w:rPr>
      </w:r>
      <w:r>
        <w:rPr>
          <w:b/>
          <w:lang w:val="pt-BR"/>
        </w:rPr>
      </w:r>
      <w:r>
        <w:rPr>
          <w:b/>
          <w:lang w:val="pt-BR"/>
        </w:rP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0"/>
        <w:gridCol w:w="1829"/>
        <w:gridCol w:w="1559"/>
        <w:gridCol w:w="1622"/>
        <w:gridCol w:w="1692"/>
        <w:gridCol w:w="2073"/>
      </w:tblGrid>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82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55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622"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692" w:type="dxa"/>
            <w:vAlign w:val="center"/>
            <w:textDirection w:val="lrTb"/>
            <w:noWrap w:val="false"/>
          </w:tcPr>
          <w:p>
            <w:pPr>
              <w:pBdr/>
              <w:spacing/>
              <w:ind/>
              <w:jc w:val="center"/>
              <w:rPr>
                <w:b/>
                <w:bCs/>
                <w:highlight w:val="none"/>
              </w:rPr>
            </w:pPr>
            <w:r>
              <w:rPr>
                <w:b/>
                <w:bCs/>
              </w:rPr>
              <w:t xml:space="preserve">Tỷ lệ CLCL</w:t>
            </w:r>
            <w:r>
              <w:rPr>
                <w:b/>
                <w:bCs/>
                <w:highlight w:val="none"/>
              </w:rPr>
            </w:r>
            <w:r>
              <w:rPr>
                <w:b/>
                <w:bCs/>
                <w:highlight w:val="none"/>
              </w:rPr>
            </w:r>
          </w:p>
          <w:p>
            <w:pPr>
              <w:pBdr/>
              <w:tabs>
                <w:tab w:val="center" w:leader="none" w:pos="771"/>
              </w:tabs>
              <w:spacing/>
              <w:ind/>
              <w:jc w:val="center"/>
              <w:rPr>
                <w:b/>
                <w:bCs/>
              </w:rPr>
            </w:pPr>
            <w:r>
              <w:rPr>
                <w:b/>
                <w:bCs/>
                <w:highlight w:val="none"/>
              </w:rPr>
              <w:t xml:space="preserve">   (%)</w:t>
            </w:r>
            <w:r>
              <w:rPr>
                <w:b/>
                <w:bCs/>
                <w:highlight w:val="none"/>
              </w:rPr>
              <w:tab/>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02"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và tài sản gắn liền với đất tại Thửa đất số: C4, tờ bản đồ số 5/7, địa chỉ: Số 56 ngõ 10 Nguyễn Thị Định, phường Trung Hoà, quận Cầu Giấy, thành phố Hà Nội </w:t>
            </w:r>
            <w:r>
              <w:rPr>
                <w:rFonts w:ascii="Times New Roman" w:hAnsi="Times New Roman" w:eastAsia="Times New Roman" w:cs="Times New Roman"/>
                <w:b/>
                <w:bCs/>
                <w:i/>
                <w:color w:val="000000"/>
                <w:sz w:val="24"/>
              </w:rPr>
              <w:t xml:space="preserve">Nội (Nay là Phường Yên Hòa, Thành phố Hà Nội)</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color w:val="000000"/>
                <w:sz w:val="24"/>
              </w:rPr>
              <w:t xml:space="preserve"> theo Giấy chứng nhận quyền sử dụng đất quyền sở hữu nhà ở và tài sản khác </w:t>
            </w:r>
            <w:r>
              <w:rPr>
                <w:rFonts w:ascii="Times New Roman" w:hAnsi="Times New Roman" w:eastAsia="Times New Roman" w:cs="Times New Roman"/>
                <w:b/>
                <w:bCs/>
                <w:color w:val="000000"/>
                <w:sz w:val="24"/>
              </w:rPr>
              <w:t xml:space="preserve">gắn liền với đất số: BU 429329, số vào sổ cấp GCN: CH 3578/QĐ-UBND/2014/6230 do Uỷ ban nhân dân quận Cầu Giấy cấp ngày 26/6/2014; Chủ sử dụng đất là Bà Phạm Kim Oanh </w:t>
            </w:r>
            <w:r>
              <w:rPr>
                <w:rFonts w:ascii="Times New Roman" w:hAnsi="Times New Roman" w:eastAsia="Times New Roman" w:cs="Times New Roman"/>
                <w:b/>
                <w:bCs/>
                <w:i/>
                <w:color w:val="000000"/>
                <w:sz w:val="24"/>
              </w:rPr>
              <w:t xml:space="preserve">(cập nhật ngày 14/7/2016).</w:t>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829" w:type="dxa"/>
            <w:vAlign w:val="center"/>
            <w:textDirection w:val="lrTb"/>
            <w:noWrap w:val="false"/>
          </w:tcPr>
          <w:p>
            <w:pPr>
              <w:pBdr/>
              <w:spacing w:after="40" w:before="40" w:line="288" w:lineRule="auto"/>
              <w:ind/>
              <w:rPr/>
            </w:pPr>
            <w:r>
              <w:rPr>
                <w:b/>
                <w:bCs/>
              </w:rPr>
              <w:t xml:space="preserve">Đất ở tại đô thị</w:t>
            </w:r>
            <w:r/>
          </w:p>
        </w:tc>
        <w:tc>
          <w:tcPr>
            <w:tcBorders/>
            <w:tcW w:w="1559" w:type="dxa"/>
            <w:vAlign w:val="center"/>
            <w:textDirection w:val="lrTb"/>
            <w:noWrap/>
          </w:tcPr>
          <w:p>
            <w:pPr>
              <w:pBdr/>
              <w:spacing w:after="40" w:before="40" w:line="288" w:lineRule="auto"/>
              <w:ind/>
              <w:jc w:val="center"/>
              <w:rPr>
                <w:color w:val="000000"/>
              </w:rPr>
            </w:pPr>
            <w:r>
              <w:rPr>
                <w:color w:val="000000" w:themeColor="text1"/>
              </w:rPr>
              <w:t xml:space="preserve">50</w:t>
            </w:r>
            <w:r>
              <w:rPr>
                <w:color w:val="000000"/>
              </w:rPr>
            </w:r>
            <w:r>
              <w:rPr>
                <w:color w:val="000000"/>
              </w:rPr>
            </w:r>
          </w:p>
        </w:tc>
        <w:tc>
          <w:tcPr>
            <w:shd w:val="clear" w:color="000000" w:fill="ffffff"/>
            <w:tcBorders/>
            <w:tcW w:w="1622" w:type="dxa"/>
            <w:vAlign w:val="center"/>
            <w:textDirection w:val="lrTb"/>
            <w:noWrap w:val="false"/>
          </w:tcPr>
          <w:p>
            <w:pPr>
              <w:pBdr/>
              <w:spacing w:after="40" w:before="40" w:line="288" w:lineRule="auto"/>
              <w:ind/>
              <w:jc w:val="center"/>
              <w:rPr/>
            </w:pPr>
            <w:r>
              <w:rPr>
                <w:color w:val="000000" w:themeColor="text1"/>
              </w:rPr>
              <w:t xml:space="preserve">338.000.000</w:t>
            </w:r>
            <w:r/>
          </w:p>
        </w:tc>
        <w:tc>
          <w:tcPr>
            <w:shd w:val="clear" w:color="000000" w:fill="ffffff"/>
            <w:tcBorders/>
            <w:tcW w:w="1692"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16.900.000.000</w:t>
            </w: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829" w:type="dxa"/>
            <w:vAlign w:val="center"/>
            <w:textDirection w:val="lrTb"/>
            <w:noWrap w:val="false"/>
          </w:tcPr>
          <w:p>
            <w:pPr>
              <w:pBdr/>
              <w:spacing w:after="40" w:before="40" w:line="288" w:lineRule="auto"/>
              <w:ind/>
              <w:rPr>
                <w:b/>
                <w:bCs/>
              </w:rPr>
            </w:pPr>
            <w:r>
              <w:rPr>
                <w:b/>
                <w:bCs/>
              </w:rPr>
            </w:r>
            <w:r>
              <w:rPr>
                <w:rFonts w:ascii="Times New Roman" w:hAnsi="Times New Roman" w:eastAsia="Times New Roman" w:cs="Times New Roman"/>
                <w:b/>
                <w:bCs/>
                <w:color w:val="000000"/>
                <w:sz w:val="24"/>
              </w:rPr>
              <w:t xml:space="preserve">Nhà 4,5 tầng</w:t>
            </w:r>
            <w:r>
              <w:rPr>
                <w:b/>
                <w:bCs/>
              </w:rPr>
            </w:r>
            <w:r>
              <w:rPr>
                <w:b/>
                <w:bCs/>
              </w:rPr>
            </w:r>
          </w:p>
        </w:tc>
        <w:tc>
          <w:tcPr>
            <w:tcBorders/>
            <w:tcW w:w="1559" w:type="dxa"/>
            <w:vAlign w:val="center"/>
            <w:textDirection w:val="lrTb"/>
            <w:noWrap/>
          </w:tcPr>
          <w:p>
            <w:pPr>
              <w:pBdr/>
              <w:spacing w:after="40" w:before="40" w:line="288" w:lineRule="auto"/>
              <w:ind/>
              <w:jc w:val="center"/>
              <w:rPr>
                <w:color w:val="000000"/>
              </w:rPr>
            </w:pPr>
            <w:r>
              <w:rPr>
                <w:color w:val="000000" w:themeColor="text1"/>
              </w:rPr>
              <w:t xml:space="preserve">218</w:t>
            </w:r>
            <w:r>
              <w:rPr>
                <w:color w:val="000000"/>
              </w:rPr>
            </w:r>
            <w:r>
              <w:rPr>
                <w:color w:val="000000"/>
              </w:rPr>
            </w:r>
          </w:p>
        </w:tc>
        <w:tc>
          <w:tcPr>
            <w:shd w:val="clear" w:color="000000" w:fill="ffffff"/>
            <w:tcBorders/>
            <w:tcW w:w="1622" w:type="dxa"/>
            <w:vAlign w:val="center"/>
            <w:textDirection w:val="lrTb"/>
            <w:noWrap w:val="false"/>
          </w:tcPr>
          <w:p>
            <w:pPr>
              <w:pBdr/>
              <w:spacing w:after="40" w:before="40" w:line="288" w:lineRule="auto"/>
              <w:ind/>
              <w:jc w:val="center"/>
              <w:rPr/>
            </w:pPr>
            <w:r>
              <w:rPr>
                <w:color w:val="000000" w:themeColor="text1"/>
              </w:rPr>
              <w:t xml:space="preserve">7.061.652</w:t>
            </w:r>
            <w:r/>
          </w:p>
        </w:tc>
        <w:tc>
          <w:tcPr>
            <w:shd w:val="clear" w:color="000000" w:fill="ffffff"/>
            <w:tcBorders/>
            <w:tcW w:w="1692" w:type="dxa"/>
            <w:vAlign w:val="center"/>
            <w:textDirection w:val="lrTb"/>
            <w:noWrap w:val="false"/>
          </w:tcPr>
          <w:p>
            <w:pPr>
              <w:pBdr/>
              <w:tabs>
                <w:tab w:val="center" w:leader="none" w:pos="738"/>
              </w:tabs>
              <w:spacing/>
              <w:ind/>
              <w:jc w:val="center"/>
              <w:rPr>
                <w:color w:val="000000" w:themeColor="text1"/>
              </w:rPr>
            </w:pPr>
            <w:r>
              <w:rPr>
                <w:color w:val="000000" w:themeColor="text1"/>
              </w:rPr>
              <w:t xml:space="preserve">   72%</w:t>
            </w:r>
            <w:r>
              <w:rPr>
                <w:color w:val="000000" w:themeColor="text1"/>
              </w:rPr>
              <w:tab/>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1.108.396.898</w:t>
            </w:r>
            <w:r/>
          </w:p>
        </w:tc>
      </w:tr>
      <w:tr>
        <w:trPr>
          <w:trHeight w:val="20"/>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t xml:space="preserve">18.008.396.898</w:t>
            </w:r>
            <w:r>
              <w:rPr>
                <w:b/>
                <w:bCs/>
                <w:color w:val="000000"/>
              </w:rPr>
            </w:r>
            <w:r>
              <w:rPr>
                <w:b/>
                <w:bCs/>
                <w:color w:val="000000"/>
              </w:rPr>
            </w:r>
          </w:p>
        </w:tc>
      </w:tr>
      <w:tr>
        <w:trPr>
          <w:trHeight w:val="20"/>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rPr>
                <w:b/>
                <w:bCs/>
                <w:color w:val="000000"/>
              </w:rPr>
              <w:t xml:space="preserve">18.008.400.000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tám tỷ tám triệu bốn trăm nghìn đồng</w:t>
            </w:r>
            <w:r>
              <w:rPr>
                <w:b/>
                <w:bCs/>
                <w:i/>
                <w:iCs/>
                <w:color w:val="000000"/>
              </w:rPr>
              <w:t xml:space="preserve">./.)</w:t>
            </w:r>
            <w:r>
              <w:rPr>
                <w:b/>
                <w:bCs/>
                <w:i/>
                <w:iCs/>
                <w:color w:val="000000"/>
              </w:rPr>
            </w:r>
            <w:r>
              <w:rPr>
                <w:b/>
                <w:bCs/>
                <w:i/>
                <w:iCs/>
                <w:color w:val="000000"/>
              </w:rPr>
            </w:r>
          </w:p>
        </w:tc>
      </w:tr>
    </w:tbl>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highlight w:val="none"/>
          <w:lang w:val="pt-BR" w:bidi="pt-BR"/>
        </w:rPr>
      </w:r>
      <w:r>
        <w:rPr>
          <w:highlight w:val="none"/>
          <w:lang w:val="pt-BR" w:bidi="pt-BR"/>
        </w:rPr>
        <w:t xml:space="preserve">T</w:t>
      </w:r>
      <w:r>
        <w:rPr>
          <w:highlight w:val="none"/>
          <w:lang w:val="pt-BR" w:bidi="pt-BR"/>
        </w:rPr>
        <w:t xml:space="preserve">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highlight w:val="none"/>
          <w:lang w:val="pt-BR" w:bidi="pt-BR"/>
        </w:rPr>
        <w:t xml:space="preserve">mô tả, nên nguồn định vị các tsss chỉ mang tính chính xác tương đối . Khách hàng và các bên thứ ba khi sử dụng kết quả thẩm định giá cần lưu ý khi sử dụng Chứng thư thẩm định giá.</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275/2026/1432/VFI-CT.57.A</w:t>
      </w:r>
      <w:r>
        <w:rPr>
          <w:color w:val="ff0000"/>
          <w:lang w:val="vi-VN"/>
        </w:rPr>
        <w:t xml:space="preserve"> </w:t>
      </w:r>
      <w:r>
        <w:rPr>
          <w:color w:val="000000" w:themeColor="text1"/>
        </w:rPr>
        <w:t xml:space="preserve">ngày 14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Minh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275/2026/1432/VFI-BC.57.A</w:t>
      </w:r>
      <w:r>
        <w:rPr>
          <w:i/>
        </w:rPr>
        <w:t xml:space="preserve"> ngày</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408596" cy="305195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86842" name=""/>
                              <pic:cNvPicPr>
                                <a:picLocks noChangeAspect="1"/>
                              </pic:cNvPicPr>
                              <pic:nvPr/>
                            </pic:nvPicPr>
                            <pic:blipFill rotWithShape="1">
                              <a:blip r:embed="rId19"/>
                              <a:stretch/>
                            </pic:blipFill>
                            <pic:spPr bwMode="auto">
                              <a:xfrm flipH="0" flipV="0">
                                <a:off x="0" y="0"/>
                                <a:ext cx="1408596" cy="30519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0.91pt;height:240.31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51160" cy="206121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126793" name=""/>
                              <pic:cNvPicPr>
                                <a:picLocks noChangeAspect="1"/>
                              </pic:cNvPicPr>
                              <pic:nvPr/>
                            </pic:nvPicPr>
                            <pic:blipFill rotWithShape="1">
                              <a:blip r:embed="rId23"/>
                              <a:stretch/>
                            </pic:blipFill>
                            <pic:spPr bwMode="auto">
                              <a:xfrm flipH="0" flipV="0">
                                <a:off x="0" y="0"/>
                                <a:ext cx="2751159" cy="20612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63pt;height:162.3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94692" cy="201890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95913" name=""/>
                              <pic:cNvPicPr>
                                <a:picLocks noChangeAspect="1"/>
                              </pic:cNvPicPr>
                              <pic:nvPr/>
                            </pic:nvPicPr>
                            <pic:blipFill rotWithShape="1">
                              <a:blip r:embed="rId24"/>
                              <a:stretch/>
                            </pic:blipFill>
                            <pic:spPr bwMode="auto">
                              <a:xfrm flipH="0" flipV="0">
                                <a:off x="0" y="0"/>
                                <a:ext cx="2694692" cy="20189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2.18pt;height:158.97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275/2026/1432/VFI-BC.57.A</w:t>
      </w:r>
      <w:r>
        <w:rPr>
          <w:i/>
        </w:rPr>
        <w:t xml:space="preserve"> ngày</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https://batdongsan.com.vn/ban-nha-rieng-duong-nguyen-thi-dinh-phuong-trung-hoa-4/phan-lo-pho-cau-giay-51-2m2-5-tang-via-he-rong-kinh-doanh-vi-tri-dep-chi-20-5-ty-pr44478501</w:t>
            </w:r>
            <w:r>
              <w:rPr>
                <w:color w:val="000000" w:themeColor="text1"/>
                <w:sz w:val="22"/>
                <w:szCs w:val="22"/>
              </w:rPr>
              <w:br/>
              <w:t xml:space="preserve">0835967888</w:t>
            </w:r>
            <w:r>
              <w:rPr>
                <w:sz w:val="22"/>
                <w:szCs w:val="22"/>
              </w:rPr>
              <w:t xml:space="preserve"> </w:t>
            </w:r>
            <w:r>
              <w:rPr>
                <w:sz w:val="22"/>
                <w:szCs w:val="22"/>
              </w:rPr>
              <w:br/>
              <w:t xml:space="preserve">(Sale Hoàng Quý</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18.245.000.000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(48.2m²)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phố Hà Nội</w:t>
            </w:r>
            <w:r>
              <w:rPr>
                <w:color w:val="000000" w:themeColor="text1"/>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750015" cy="246008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3750014" cy="24600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95.28pt;height:193.71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702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5.51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Minh Phúc</w:t>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0898161186</w:t>
            </w:r>
            <w:r>
              <w:rPr>
                <w:sz w:val="22"/>
                <w:szCs w:val="22"/>
              </w:rPr>
              <w:t xml:space="preserve"> </w:t>
            </w:r>
            <w:r>
              <w:rPr>
                <w:sz w:val="22"/>
                <w:szCs w:val="22"/>
              </w:rPr>
              <w:br/>
              <w:t xml:space="preserve">(Sale Lê 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22.072.000.000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phố Hà Nội</w:t>
            </w:r>
            <w:r>
              <w:rPr>
                <w:color w:val="000000" w:themeColor="text1"/>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7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702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5.51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604"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7860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29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17504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61750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86.2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Minh Phúc</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https://alonhadat.com.vn/phan-lo-do-quang-sieu-hiem-60m-6-tang-mt-5m2-gia-3x-xx-oto-chay-vong-vong-18480968.html</w:t>
            </w:r>
            <w:r>
              <w:rPr>
                <w:color w:val="000000" w:themeColor="text1"/>
                <w:sz w:val="22"/>
                <w:szCs w:val="22"/>
              </w:rPr>
              <w:br/>
            </w:r>
            <w:r>
              <w:rPr>
                <w:sz w:val="22"/>
                <w:szCs w:val="22"/>
              </w:rPr>
              <w:t xml:space="preserve">SĐT: </w:t>
            </w:r>
            <w:r>
              <w:rPr>
                <w:color w:val="000000" w:themeColor="text1"/>
                <w:sz w:val="22"/>
                <w:szCs w:val="22"/>
              </w:rPr>
              <w:t xml:space="preserve">00359.766.826</w:t>
            </w:r>
            <w:r>
              <w:rPr>
                <w:sz w:val="22"/>
                <w:szCs w:val="22"/>
              </w:rPr>
              <w:t xml:space="preserve"> </w:t>
            </w:r>
            <w:r>
              <w:rPr>
                <w:sz w:val="22"/>
                <w:szCs w:val="22"/>
              </w:rPr>
              <w:br/>
              <w:t xml:space="preserve">(Nguyễn Đình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Yên Hòa, Thành phố Hà Nội</w:t>
            </w:r>
            <w:r>
              <w:rPr>
                <w:color w:val="000000" w:themeColor="text1"/>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6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98473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9847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1.24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881"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31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8438"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684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63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Minh Phúc</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iCs/>
          <w:highlight w:val="none"/>
          <w:lang w:val="pt-BR"/>
        </w:rPr>
      </w:pPr>
      <w:r>
        <w:rPr>
          <w:iCs/>
          <w:lang w:val="pt-BR"/>
        </w:rPr>
        <w:t xml:space="preserve">                                                                HỒ SƠ PHÁP LÝ</w:t>
      </w:r>
      <w:r>
        <w:rPr>
          <w:iCs/>
          <w:highlight w:val="none"/>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226642"/>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801750" name=""/>
                        <pic:cNvPicPr>
                          <a:picLocks noChangeAspect="1"/>
                        </pic:cNvPicPr>
                        <pic:nvPr/>
                      </pic:nvPicPr>
                      <pic:blipFill rotWithShape="1">
                        <a:blip r:embed="rId35"/>
                        <a:stretch/>
                      </pic:blipFill>
                      <pic:spPr bwMode="auto">
                        <a:xfrm>
                          <a:off x="0" y="0"/>
                          <a:ext cx="6048374" cy="42266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332.81pt;mso-wrap-distance-left:0.00pt;mso-wrap-distance-top:0.00pt;mso-wrap-distance-right:0.00pt;mso-wrap-distance-bottom:0.00pt;z-index:1;" stroked="false">
                <v:imagedata r:id="rId35"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236624"/>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58699" name=""/>
                        <pic:cNvPicPr>
                          <a:picLocks noChangeAspect="1"/>
                        </pic:cNvPicPr>
                        <pic:nvPr/>
                      </pic:nvPicPr>
                      <pic:blipFill rotWithShape="1">
                        <a:blip r:embed="rId36"/>
                        <a:stretch/>
                      </pic:blipFill>
                      <pic:spPr bwMode="auto">
                        <a:xfrm>
                          <a:off x="0" y="0"/>
                          <a:ext cx="6048374" cy="4236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333.59pt;mso-wrap-distance-left:0.00pt;mso-wrap-distance-top:0.00pt;mso-wrap-distance-right:0.00pt;mso-wrap-distance-bottom:0.00pt;z-index:1;" stroked="false">
                <v:imagedata r:id="rId36" o:title=""/>
                <o:lock v:ext="edit" rotation="t"/>
              </v:shape>
            </w:pict>
          </mc:Fallback>
        </mc:AlternateContent>
      </w:r>
      <w:r>
        <mc:AlternateContent>
          <mc:Choice Requires="wpg">
            <w:drawing>
              <wp:inline xmlns:wp="http://schemas.openxmlformats.org/drawingml/2006/wordprocessingDrawing" distT="0" distB="0" distL="0" distR="0">
                <wp:extent cx="5629275" cy="757237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07824" name=""/>
                        <pic:cNvPicPr>
                          <a:picLocks noChangeAspect="1"/>
                        </pic:cNvPicPr>
                        <pic:nvPr/>
                      </pic:nvPicPr>
                      <pic:blipFill rotWithShape="1">
                        <a:blip r:embed="rId37"/>
                        <a:stretch/>
                      </pic:blipFill>
                      <pic:spPr bwMode="auto">
                        <a:xfrm>
                          <a:off x="0" y="0"/>
                          <a:ext cx="5629275" cy="75723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43.25pt;height:596.25pt;mso-wrap-distance-left:0.00pt;mso-wrap-distance-top:0.00pt;mso-wrap-distance-right:0.00pt;mso-wrap-distance-bottom:0.00pt;z-index:1;" stroked="false">
                <v:imagedata r:id="rId37"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highlight w:val="none"/>
          <w:lang w:val="pt-BR" w:bidi="pt-BR"/>
        </w:rPr>
      </w:pPr>
      <w:r>
        <w:rPr>
          <w:iCs/>
          <w:highlight w:val="none"/>
          <w:lang w:val="pt-BR" w:bidi="pt-BR"/>
        </w:rPr>
        <w:t xml:space="preserve">                                                         BIÊN BẢN KHẢO SÁT</w: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49168"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35.00pt;mso-wrap-distance-left:0.00pt;mso-wrap-distance-top:0.00pt;mso-wrap-distance-right:0.00pt;mso-wrap-distance-bottom:0.00pt;z-index:1;" stroked="false">
                <v:imagedata r:id="rId38"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B2AFF3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20A388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03FFF9B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220A388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77F4DFEC"/>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05FE8F5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Minh Phúc</cp:lastModifiedBy>
  <cp:revision>512</cp:revision>
  <dcterms:created xsi:type="dcterms:W3CDTF">2025-09-15T02:01:00Z</dcterms:created>
  <dcterms:modified xsi:type="dcterms:W3CDTF">2026-09-16T01:22:08Z</dcterms:modified>
</cp:coreProperties>
</file>