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bCs/>
          <w:sz w:val="28"/>
          <w:szCs w:val="28"/>
        </w:rPr>
      </w:pPr>
      <w:r>
        <w:rPr>
          <w:b/>
          <w:sz w:val="28"/>
        </w:rPr>
      </w:r>
      <w:r>
        <w:rPr>
          <w:b/>
          <w:sz w:val="28"/>
        </w:rPr>
      </w:r>
      <w:r>
        <w:rPr>
          <w:b/>
          <w:bCs/>
          <w:sz w:val="28"/>
          <w:szCs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30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302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275/2026/1482/VFI-CT.T06.A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Hồ Khắc Thụ</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245, tờ bản đồ số: 33, có địa chỉ: Thôn Lộc, xã Xuân Đỉnh, huyện Từ Liêm, thành phố Hà Nội. (nay là phường Xuân Đỉnh</w:t>
                            </w:r>
                            <w:r>
                              <w:rPr>
                                <w:color w:val="000000"/>
                              </w:rPr>
                              <w:t xml:space="preserve">, thành phố Hà Nội) theo Giấy chứng nhận quyền sử dụng đất, quyền sở hữu nhà ở và tài sản khác gắn liền với đất số: BM 231521, Số vào sổ cấp GCN: CH02176 do UBND huyện Từ Liêm cấp ngày 25/03/2013; chủ sử dụng đất là Ông Hồ Khắc Thụ và Bà Hoàng Thị Kim Dung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5.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275/2026/1482/VFI-CT.T06.A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Hồ Khắc Thụ</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245, tờ bản đồ số: 33, có địa chỉ: Thôn Lộc, xã Xuân Đỉnh, huyện Từ Liêm, thành phố Hà Nội. (nay là phường Xuân Đỉnh</w:t>
                      </w:r>
                      <w:r>
                        <w:rPr>
                          <w:color w:val="000000"/>
                        </w:rPr>
                        <w:t xml:space="preserve">, thành phố Hà Nội) theo Giấy chứng nhận quyền sử dụng đất, quyền sở hữu nhà ở và tài sản khác gắn liền với đất số: BM 231521, Số vào sổ cấp GCN: CH02176 do UBND huyện Từ Liêm cấp ngày 25/03/2013; chủ sử dụng đất là Ông Hồ Khắc Thụ và Bà Hoàng Thị Kim Dung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w:t>
            </w:r>
            <w:r>
              <w:rPr>
                <w:b/>
                <w:color w:val="000000" w:themeColor="text1"/>
                <w:highlight w:val="white"/>
              </w:rPr>
              <w:t xml:space="preserve">21</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w:t>
            </w:r>
            <w:r>
              <w:rPr>
                <w:b/>
                <w:bCs/>
                <w:highlight w:val="white"/>
              </w:rPr>
              <w:t xml:space="preserve">26</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27</w:t>
            </w:r>
            <w:r>
              <w:rPr>
                <w:b/>
                <w:bCs/>
                <w:highlight w:val="white"/>
              </w:rPr>
              <w:t xml:space="preserve">-</w:t>
            </w:r>
            <w:r>
              <w:rPr>
                <w:b/>
                <w:bCs/>
                <w:highlight w:val="white"/>
              </w:rPr>
              <w:t xml:space="preserve">33</w:t>
            </w:r>
            <w:r>
              <w:rPr>
                <w:b/>
                <w:bCs/>
                <w:highlight w:val="white"/>
              </w:rPr>
            </w:r>
            <w:r>
              <w:rPr>
                <w:b/>
                <w:bCs/>
                <w:highlight w:val="white"/>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275/2026/1482/VFI-CT.T06.A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21 tháng 9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Hồ Khắc Thụ</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275/2026/1482/VFI-HĐTĐ.T06.A</w:t>
      </w:r>
      <w:r>
        <w:rPr>
          <w:spacing w:val="-4"/>
          <w:lang w:val="vi-VN"/>
        </w:rPr>
        <w:t xml:space="preserve"> ký ngày </w:t>
      </w:r>
      <w:r>
        <w:rPr>
          <w:color w:val="000000" w:themeColor="text1"/>
          <w:spacing w:val="-4"/>
        </w:rPr>
        <w:t xml:space="preserve">14 tháng 9 năm 2026</w:t>
      </w:r>
      <w:r>
        <w:rPr>
          <w:spacing w:val="-4"/>
          <w:lang w:val="vi-VN"/>
        </w:rPr>
        <w:t xml:space="preserve"> </w:t>
      </w:r>
      <w:r>
        <w:rPr>
          <w:spacing w:val="-4"/>
          <w:lang w:val="vi-VN"/>
        </w:rPr>
        <w:t xml:space="preserve">giữa </w:t>
      </w:r>
      <w:r>
        <w:rPr>
          <w:color w:val="000000" w:themeColor="text1"/>
          <w:spacing w:val="-4"/>
        </w:rPr>
        <w:t xml:space="preserve">Ông Hồ Khắc Thụ</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275/2026/1482/VFI-BC.T06.A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21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w:t>
            </w:r>
            <w:r>
              <w:rPr>
                <w:b/>
                <w:bCs/>
              </w:rPr>
              <w:t xml:space="preserve">Hồ Khắc Thụ</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CMND</w:t>
            </w:r>
            <w:r>
              <w:rPr>
                <w:bCs/>
                <w:color w:val="000000" w:themeColor="text1"/>
                <w:lang w:val="pt-BR"/>
              </w:rPr>
              <w:t xml:space="preserve">:</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145120182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Cs/>
                <w:i/>
                <w:color w:val="ff0000"/>
              </w:rPr>
            </w:pPr>
            <w:r>
              <w:rPr>
                <w:color w:val="000000" w:themeColor="text1"/>
                <w:lang w:val="vi-VN"/>
              </w:rPr>
            </w:r>
            <w:r>
              <w:rPr>
                <w:color w:val="000000" w:themeColor="text1"/>
                <w:lang w:val="vi-VN"/>
              </w:rPr>
              <w:t xml:space="preserve">Thôn Lộc, xã Xuân Đỉnh, huyện Từ Liêm, thành phố Hà Nội</w:t>
            </w:r>
            <w:r>
              <w:rPr>
                <w:i/>
                <w:iCs/>
                <w:color w:val="000000" w:themeColor="text1"/>
                <w:lang w:val="vi-VN"/>
              </w:rPr>
              <w:t xml:space="preserve"> (nay là phường Xuân Đỉnh, thành phố Hà Nội)</w:t>
            </w:r>
            <w:r>
              <w:rPr>
                <w:bCs/>
                <w:i/>
                <w:color w:val="ff0000"/>
              </w:rPr>
            </w:r>
            <w:r>
              <w:rPr>
                <w:bCs/>
                <w:i/>
                <w:color w:val="ff0000"/>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245, tờ bản đồ số: 33, có địa chỉ: Thôn Lộc, xã Xuân Đỉnh, huyện Từ Liêm, thành phố Hà Nội. (nay là phường Xuân Đỉnh</w:t>
      </w:r>
      <w:r>
        <w:rPr>
          <w:color w:val="000000" w:themeColor="text1"/>
        </w:rPr>
        <w:t xml:space="preserve">, thành phố Hà Nội) theo Giấy chứng nhận quyền sử dụng đất, quyền sở hữu nhà ở và tài sản khác gắn liền với đất số: BM 231521, Số vào sổ cấp GCN: CH02176 do UBND huyện Từ Liêm cấp ngày 25/03/2013; chủ sử dụng đất là Ông Hồ Khắc Thụ và Bà Hoàng Thị Kim Dung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245, tờ bản đồ số: 33, có địa chỉ: Thôn Lộc, xã Xuân Đỉnh, huyện Từ Liêm, thành phố Hà Nội. (nay là phường Xuân Đỉnh</w:t>
            </w:r>
            <w:r>
              <w:rPr>
                <w:b/>
                <w:bCs/>
                <w:color w:val="000000"/>
              </w:rPr>
              <w:t xml:space="preserve">, thành phố Hà Nội) theo Giấy chứng nhận quyền sử dụng đất, quyền sở hữu nhà ở và tài sản khác gắn liền với đất số: BM 231521, Số vào sổ cấp GCN: CH02176 do UBND huyện Từ Liêm cấp ngày 25/03/2013; chủ sử dụng đất là Ông Hồ Khắc Thụ và Bà Hoàng Thị Kim Dung</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45,9</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182.000.000</w:t>
            </w: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color w:val="000000" w:themeColor="text1"/>
              </w:rPr>
              <w:t xml:space="preserve">8.353.800.000</w:t>
            </w:r>
            <w:r>
              <w:rPr>
                <w:b/>
                <w:bCs/>
              </w:rPr>
            </w:r>
            <w:r>
              <w:rPr>
                <w:b/>
                <w:bCs/>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8.353.800.000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ba trăm năm mươi ba triệu tám trăm nghìn </w:t>
            </w:r>
            <w:r>
              <w:rPr>
                <w:b/>
                <w:bCs/>
                <w:i/>
                <w:iCs/>
                <w:color w:val="000000"/>
              </w:rPr>
              <w:t xml:space="preserve">đồng </w:t>
            </w:r>
            <w:r>
              <w:rPr>
                <w:b/>
                <w:bCs/>
                <w:i/>
                <w:iCs/>
                <w:color w:val="000000"/>
              </w:rPr>
              <w:t xml:space="preserve">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b/>
          <w:bCs/>
          <w:lang w:val="vi-VN"/>
        </w:rPr>
      </w:pPr>
      <w:r>
        <w:rPr>
          <w:b/>
          <w:bCs/>
          <w:lang w:val="vi-VN"/>
        </w:rPr>
        <w:t xml:space="preserve">11. Những điều khoản loại trừ và hạn chế của kết quả thẩm định giá:</w:t>
      </w:r>
      <w:r>
        <w:rPr>
          <w:b/>
          <w:bCs/>
          <w:lang w:val="vi-VN"/>
        </w:rPr>
      </w:r>
    </w:p>
    <w:p>
      <w:pPr>
        <w:pBdr/>
        <w:spacing w:after="120" w:before="120" w:line="312" w:lineRule="auto"/>
        <w:ind/>
        <w:rPr>
          <w:rFonts w:eastAsia="Calibri"/>
          <w:b/>
          <w:bCs/>
          <w:spacing w:val="-4"/>
          <w:lang w:val="pt-BR"/>
        </w:rPr>
      </w:pPr>
      <w:r>
        <w:rPr>
          <w:b/>
          <w:bCs/>
          <w:lang w:val="vi-VN"/>
        </w:rPr>
      </w:r>
      <w:r>
        <w:rPr>
          <w:lang w:val="pt-BR"/>
        </w:rPr>
        <w:t xml:space="preserve">- </w:t>
      </w:r>
      <w:r>
        <w:rPr>
          <w:lang w:val="pt-BR"/>
        </w:rPr>
        <w:t xml:space="preserve">Chi tiết như Báo cáo kèm theo.</w:t>
      </w:r>
      <w:r>
        <w:rPr>
          <w:rFonts w:eastAsia="Calibri"/>
          <w:b/>
          <w:spacing w:val="-4"/>
          <w:lang w:val="pt-BR"/>
        </w:rPr>
      </w:r>
      <w:r>
        <w:rPr>
          <w:rFonts w:eastAsia="Calibri"/>
          <w:b/>
          <w:bCs/>
          <w:spacing w:val="-4"/>
          <w:lang w:val="pt-BR"/>
        </w:rPr>
      </w:r>
    </w:p>
    <w:p>
      <w:pPr>
        <w:pBdr/>
        <w:spacing w:after="120" w:before="120" w:line="312" w:lineRule="auto"/>
        <w:ind/>
        <w:rPr/>
      </w:pPr>
      <w:r>
        <w:rPr>
          <w:rFonts w:eastAsia="Calibri"/>
          <w:b/>
          <w:spacing w:val="-4"/>
          <w:lang w:val="pt-BR"/>
        </w:rPr>
        <w:t xml:space="preserve">12</w:t>
      </w:r>
      <w:r>
        <w:rPr>
          <w:rFonts w:eastAsia="Calibri"/>
          <w:b/>
          <w:spacing w:val="-4"/>
          <w:lang w:val="vi-VN"/>
        </w:rPr>
        <w:t xml:space="preserve">. Các tài liệu kèm theo:</w:t>
      </w: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Bdr/>
              <w:shd w:val="nil" w:color="auto"/>
              <w:spacing/>
              <w:ind/>
              <w:rPr>
                <w14:ligatures w14:val="none"/>
              </w:rPr>
            </w:pPr>
            <w:r>
              <w:rPr>
                <w:lang w:val="pt-BR"/>
              </w:rPr>
              <w:t xml:space="preserve">Số: </w:t>
            </w:r>
            <w:r>
              <w:rPr>
                <w:highlight w:val="white"/>
              </w:rPr>
              <w:t xml:space="preserve">275/2026/1482/VFI-BC.T06.A</w:t>
            </w:r>
            <w:r>
              <w:rPr>
                <w14:ligatures w14:val="none"/>
              </w:rPr>
            </w:r>
          </w:p>
        </w:tc>
        <w:tc>
          <w:tcPr>
            <w:shd w:val="clear" w:color="auto" w:fill="auto"/>
            <w:tcBorders/>
            <w:tcMar>
              <w:left w:w="108" w:type="dxa"/>
              <w:top w:w="0" w:type="dxa"/>
              <w:right w:w="108" w:type="dxa"/>
              <w:bottom w:w="0" w:type="dxa"/>
            </w:tcMar>
            <w:tcW w:w="5412"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21 tháng 9 năm 2026</w:t>
            </w:r>
            <w:r>
              <w:rPr>
                <w:color w:val="000000" w:themeColor="text1"/>
                <w:sz w:val="24"/>
                <w:szCs w:val="24"/>
                <w:lang w:val="vi-VN"/>
              </w:rPr>
            </w:r>
            <w:r>
              <w:rPr>
                <w:color w:val="000000" w:themeColor="text1"/>
                <w:sz w:val="24"/>
                <w:szCs w:val="24"/>
                <w:lang w:val="vi-VN"/>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275/2026/1482/VFI-CT.T06.A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21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 </w:t>
            </w:r>
            <w:r>
              <w:rPr>
                <w:b/>
                <w:bCs/>
              </w:rPr>
              <w:t xml:space="preserve">Hồ Khắc Thụ</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CMND</w:t>
            </w:r>
            <w:r>
              <w:rPr>
                <w:bCs/>
                <w:color w:val="000000" w:themeColor="text1"/>
                <w:lang w:val="pt-BR"/>
              </w:rPr>
              <w:t xml:space="preserve">:</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145120182</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bCs/>
                <w:i/>
                <w:color w:val="ff0000"/>
              </w:rPr>
            </w:pPr>
            <w:r>
              <w:rPr>
                <w:color w:val="000000" w:themeColor="text1"/>
                <w:lang w:val="vi-VN"/>
              </w:rPr>
            </w:r>
            <w:r>
              <w:rPr>
                <w:color w:val="000000" w:themeColor="text1"/>
                <w:lang w:val="vi-VN"/>
              </w:rPr>
              <w:t xml:space="preserve">Thôn Lộc, xã Xuân Đỉnh, huyện Từ Liêm, thành phố Hà Nội</w:t>
            </w:r>
            <w:r>
              <w:rPr>
                <w:i/>
                <w:iCs/>
                <w:color w:val="000000" w:themeColor="text1"/>
                <w:lang w:val="vi-VN"/>
              </w:rPr>
              <w:t xml:space="preserve"> (nay là phường Xuân Đỉnh, thành phố Hà Nội)</w:t>
            </w:r>
            <w:r>
              <w:rPr>
                <w:bCs/>
                <w:i/>
                <w:color w:val="ff0000"/>
              </w:rPr>
            </w:r>
            <w:r>
              <w:rPr>
                <w:bCs/>
                <w:i/>
                <w:color w:val="ff000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245, tờ bản đồ số: 33, có địa chỉ: Thôn Lộc, xã Xuân Đỉnh, huyện Từ Liêm, thành phố Hà Nội. (nay là phường Xuân Đỉnh</w:t>
            </w:r>
            <w:r>
              <w:rPr>
                <w:bCs/>
                <w:color w:val="000000" w:themeColor="text1"/>
                <w:lang w:val="pt-BR"/>
              </w:rPr>
              <w:t xml:space="preserve">, thành phố Hà Nội) theo Giấy chứng nhận quyền sử dụng đất, quyền sở hữu nhà ở và tài sản khác gắn liền với đất số: BM 231521, Số vào sổ cấp GCN: CH02176 do UBND huyện Từ Liêm cấp ngày 25/03/2013; chủ sử dụng đất là Ông Hồ Khắc Thụ và Bà Hoàng Thị Kim Dung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bCs/>
                <w:i/>
                <w:color w:val="ff0000"/>
              </w:rPr>
            </w:pPr>
            <w:r>
              <w:rPr>
                <w:color w:val="000000" w:themeColor="text1"/>
                <w:lang w:val="vi-VN"/>
              </w:rPr>
            </w:r>
            <w:r>
              <w:rPr>
                <w:color w:val="000000" w:themeColor="text1"/>
                <w:lang w:val="vi-VN"/>
              </w:rPr>
              <w:t xml:space="preserve">Thôn Lộc, xã Xuân Đỉnh, huyện Từ Liêm, thành phố Hà Nội</w:t>
            </w:r>
            <w:r>
              <w:rPr>
                <w:i/>
                <w:iCs/>
                <w:color w:val="000000" w:themeColor="text1"/>
                <w:lang w:val="vi-VN"/>
              </w:rPr>
              <w:t xml:space="preserve"> (nay là phường Xuân Đỉnh, thành phố Hà Nội)</w:t>
            </w:r>
            <w:r>
              <w:rPr>
                <w:bCs/>
                <w:i/>
                <w:color w:val="ff0000"/>
              </w:rPr>
            </w:r>
            <w:r>
              <w:rPr>
                <w:bCs/>
                <w:i/>
                <w:color w:val="ff0000"/>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21.069138888889, 105.78869444444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15/</w:t>
            </w:r>
            <w:r>
              <w:rPr>
                <w:lang w:val="pt-BR"/>
              </w:rPr>
              <w:t xml:space="preserve">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BM 231521, Số vào sổ cấp GCN: CH02176 do UBND huyện Từ Liêm cấp ngày 25/03/2013; chủ sử dụng đất là Ông Hồ Khắc Thụ và Bà Hoàng Thị Kim Dung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275/2026/1482/VFI-HĐTĐ.T06.A ngày </w:t>
      </w:r>
      <w:r>
        <w:rPr>
          <w:color w:val="000000" w:themeColor="text1"/>
          <w:lang w:val="pt-BR"/>
        </w:rPr>
        <w:t xml:space="preserve">14</w:t>
      </w:r>
      <w:r>
        <w:rPr>
          <w:color w:val="000000" w:themeColor="text1"/>
          <w:lang w:val="pt-BR"/>
        </w:rPr>
        <w:t xml:space="preserve">/09/2026 giữa Ông Hồ Khắc Thụ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shd w:val="nil" w:color="auto"/>
        <w:spacing/>
        <w:ind w:firstLine="720"/>
        <w:jc w:val="both"/>
        <w:rPr>
          <w14:ligatures w14:val="none"/>
        </w:rPr>
      </w:pPr>
      <w:r>
        <w:t xml:space="preserve">Năm 2026, </w:t>
      </w:r>
      <w:r>
        <w:t xml:space="preserve">phường Xuân Đỉnh</w:t>
      </w:r>
      <w:r>
        <w:t xml:space="preserve"> là khu vực đô thị có vị trí đáng chú ý ở phía Tây Bắc Hà Nội, gắn với các khu vực </w:t>
      </w:r>
      <w:r>
        <w:t xml:space="preserve">Ngoại Giao Đoàn, Tây Hồ Tây, Xuân Đỉnh và một phần địa bàn Cổ Nhuế – Xuân Tảo – Xuân La sau sắp xếp đơn vị hành chính</w:t>
      </w:r>
      <w:r>
        <w:t xml:space="preserve">. Phường có diện tích khoảng 5,46 km², dân số năm 2025 khoảng 48.658 người, tạo nên mật độ dân cư tương đối cao và nhu cầu nhà ở, dịch vụ đô thị lớn.</w:t>
      </w:r>
      <w:r>
        <w:rPr>
          <w14:ligatures w14:val="none"/>
        </w:rPr>
      </w:r>
      <w:r>
        <w:rPr>
          <w14:ligatures w14:val="none"/>
        </w:rPr>
      </w:r>
    </w:p>
    <w:p>
      <w:pPr>
        <w:pBdr/>
        <w:shd w:val="nil" w:color="auto"/>
        <w:spacing/>
        <w:ind w:firstLine="720"/>
        <w:jc w:val="both"/>
        <w:rPr>
          <w14:ligatures w14:val="none"/>
        </w:rPr>
      </w:pPr>
      <w:r>
        <w:t xml:space="preserve">Thị trường bất động sản Xuân Đỉnh năm 2026 có cơ cấu tương đối đa dạng, gồm </w:t>
      </w:r>
      <w:r>
        <w:t xml:space="preserve">đất ở trong khu dân cư hiện hữu, nhà ở riêng lẻ, nhà trong ngõ, chung cư và bất động sản thuộc các khu đô thị mới</w:t>
      </w:r>
      <w:r>
        <w:t xml:space="preserve">, trong đó khu vực Ngoại Giao Đoàn và Tây Hồ Tây có mức độ đô thị hóa cao. Hạ tầng đô thị, hệ thống đường giao thông và các khu đô thị mới góp phần nâng cao khả năng kết nối của khu vực với trung tâm Hà Nội cũng như các khu vực phía Tây và phía Bắc thành p</w:t>
      </w:r>
      <w:r>
        <w:t xml:space="preserve">hố.</w:t>
      </w:r>
      <w:r>
        <w:rPr>
          <w14:ligatures w14:val="none"/>
        </w:rPr>
      </w:r>
      <w:r>
        <w:rPr>
          <w14:ligatures w14:val="none"/>
        </w:rPr>
      </w:r>
    </w:p>
    <w:p>
      <w:pPr>
        <w:pBdr/>
        <w:shd w:val="nil" w:color="auto"/>
        <w:spacing/>
        <w:ind w:firstLine="720"/>
        <w:jc w:val="both"/>
        <w:rPr>
          <w14:ligatures w14:val="none"/>
        </w:rPr>
      </w:pPr>
      <w:r>
        <w:t xml:space="preserve">Đáng chú ý, </w:t>
      </w:r>
      <w:r>
        <w:t xml:space="preserve">bảng giá đất Hà Nội áp dụng từ ngày 01/01/2026</w:t>
      </w:r>
      <w:r>
        <w:t xml:space="preserve"> xếp Xuân Đỉnh vào </w:t>
      </w:r>
      <w:r>
        <w:t xml:space="preserve">Khu vực 3</w:t>
      </w:r>
      <w:r>
        <w:t xml:space="preserve">. Bảng giá đất ở có sự phân hóa khá lớn theo từng tuyến đường và vị trí, phản ánh sự khác biệt về khả năng tiếp cận giao thông, mặt tiền và điều kiện kinh doanh. Chẳng hạn, tại tuyến Khu đô thị Đoàn Ngoại Giao, giá đất ở theo bảng giá đất 2026 dao động từ </w:t>
      </w:r>
      <w:r>
        <w:t xml:space="preserve">khoảng </w:t>
      </w:r>
      <w:r>
        <w:t xml:space="preserve">79,894 triệu đồng/m² đến 114,223 triệu đồng/m² tại VT1</w:t>
      </w:r>
      <w:r>
        <w:t xml:space="preserve">, tùy đoạn đường; VT2 thấp hơn tương ứng. Đây là </w:t>
      </w:r>
      <w:r>
        <w:t xml:space="preserve">bảng giá đất Nhà nước</w:t>
      </w:r>
      <w:r>
        <w:t xml:space="preserve">, không phải mức giá giao dịch thị trường.</w:t>
      </w:r>
      <w:r>
        <w:rPr>
          <w14:ligatures w14:val="none"/>
        </w:rPr>
      </w:r>
      <w:r>
        <w:rPr>
          <w14:ligatures w14:val="none"/>
        </w:rPr>
      </w:r>
    </w:p>
    <w:p>
      <w:pPr>
        <w:pBdr/>
        <w:shd w:val="nil" w:color="auto"/>
        <w:spacing/>
        <w:ind w:firstLine="720"/>
        <w:jc w:val="both"/>
        <w:rPr>
          <w14:ligatures w14:val="none"/>
        </w:rPr>
      </w:pPr>
      <w:r>
        <w:t xml:space="preserve">Về phân khúc, </w:t>
      </w:r>
      <w:r>
        <w:t xml:space="preserve">đất ở và nhà ở riêng lẻ</w:t>
      </w:r>
      <w:r>
        <w:t xml:space="preserve"> tại các tuyến đường Xuân Đỉnh, Đỗ Nhuận, Nguyễn Hoàng Tôn và các tuyến đường nội khu có tính thanh khoản gắn khá chặt với chiều rộng đường, mặt tiền, khoảng cách tới đường lớn và khả năng kinh doanh. Các lô đất nằm trên đường rộng, ô tô tránh nhau hoặc có</w:t>
      </w:r>
      <w:r>
        <w:t xml:space="preserve"> khả năng kinh doanh thường có mức giá cao hơn đáng kể so với tài sản nằm sâu trong ngõ nhỏ. Đối với nhà trong ngõ, yếu tố ngõ thông hay ngõ cụt, chiều rộng ngõ, khả năng ô tô tiếp cận và khoảng cách từ tài sản ra trục đường chính có ảnh hưởng rõ đến giá.</w:t>
      </w:r>
      <w:r>
        <w:rPr>
          <w14:ligatures w14:val="none"/>
        </w:rPr>
      </w:r>
      <w:r>
        <w:rPr>
          <w14:ligatures w14:val="none"/>
        </w:rPr>
      </w:r>
    </w:p>
    <w:p>
      <w:pPr>
        <w:pBdr/>
        <w:shd w:val="nil" w:color="auto"/>
        <w:spacing/>
        <w:ind/>
        <w:jc w:val="both"/>
        <w:rPr>
          <w14:ligatures w14:val="none"/>
        </w:rPr>
      </w:pPr>
      <w:r>
        <w:t xml:space="preserve">Phân khúc chung cư</w:t>
      </w:r>
      <w:r>
        <w:t xml:space="preserve"> tiếp tục là bộ phận quan trọng của thị trường do Xuân Đỉnh nằm gần các khu đô thị lớn như Ngoại Giao Đoàn và Tây Hồ Tây. Khu vực này tập trung nhiều dự án nhà ở, văn phòng và các tiện ích phục vụ nhóm cư dân có thu nhập trung bình khá đến cao. Ngoài nhu c</w:t>
      </w:r>
      <w:r>
        <w:t xml:space="preserve">ầu mua để ở, thị trường cho thuê cũng được hỗ trợ bởi lượng chuyên gia, người lao động và cư dân làm việc tại các khu vực Tây Hồ Tây, Cầu Giấy và Bắc Từ Liêm.</w:t>
      </w:r>
      <w:r>
        <w:rPr>
          <w14:ligatures w14:val="none"/>
        </w:rPr>
      </w:r>
      <w:r>
        <w:rPr>
          <w14:ligatures w14:val="none"/>
        </w:rPr>
      </w:r>
    </w:p>
    <w:p>
      <w:pPr>
        <w:pBdr/>
        <w:shd w:val="nil" w:color="auto"/>
        <w:spacing/>
        <w:ind w:firstLine="720"/>
        <w:jc w:val="both"/>
        <w:rPr>
          <w14:ligatures w14:val="none"/>
        </w:rPr>
      </w:pPr>
      <w:r>
        <w:t xml:space="preserve">Về </w:t>
      </w:r>
      <w:r>
        <w:t xml:space="preserve">hạ tầng và quy hoạch</w:t>
      </w:r>
      <w:r>
        <w:t xml:space="preserve">, năm 2026 phường tiếp tục triển khai các nội dung liên quan đến đầu tư công, chỉnh trang đô thị và chuẩn bị danh mục đầu tư trung hạn 2026–2030. HĐND phường Xuân Đỉnh trong tháng 7/2026 đã thông qua một số nội dung về điều chỉnh kế hoạch vốn và bổ sung dự</w:t>
      </w:r>
      <w:r>
        <w:t xml:space="preserve"> án đầu tư công. </w:t>
      </w:r>
      <w:hyperlink r:id="rId17" w:tooltip="https://app.thanhuyhanoi.vn/tin-tuc/phuong-xuan-dinh/hdnd-phuong-xuan-dinh-quyet-nghi-nhieu-noi-dung-trong-tam-tao-luc-day-cho-dau-tu-cong-va-chinh-trang-do-thi-50049821.html?utm_source=chatgpt.com" w:history="1">
        <w:r>
          <w:t xml:space="preserve">Thanh Huy Hanoi</w:t>
        </w:r>
      </w:hyperlink>
      <w:r>
        <w:t xml:space="preserve"> Đồng thời, Quy hoạch tổng thể Thủ đô Hà Nội tầm nhìn 100 năm được UBND thành phố phê duyệt trong năm 2026 tiếp tục đặt cơ sở cho định hướng phát triển không gian đô thị dài hạn của Hà Nội. </w:t>
      </w:r>
      <w:r>
        <w:rPr>
          <w14:ligatures w14:val="none"/>
        </w:rPr>
      </w:r>
      <w:r>
        <w:rPr>
          <w14:ligatures w14:val="none"/>
        </w:rPr>
      </w:r>
    </w:p>
    <w:p>
      <w:pPr>
        <w:pBdr/>
        <w:shd w:val="nil" w:color="auto"/>
        <w:spacing/>
        <w:ind w:firstLine="720"/>
        <w:jc w:val="both"/>
        <w:rPr>
          <w14:ligatures w14:val="none"/>
        </w:rPr>
      </w:pPr>
      <w:r>
        <w:t xml:space="preserve">Nhìn chung, </w:t>
      </w:r>
      <w:r>
        <w:t xml:space="preserve">thị trường BĐS Xuân Đỉnh năm 2026 mang tính đô thị rõ nét, giá trị bất động sản phân hóa mạnh theo vị trí và chất lượng hạ tầng</w:t>
      </w:r>
      <w:r>
        <w:t xml:space="preserve">. Những tài sản có vị trí gần các trục giao thông chính, khu đô thị Ngoại Giao Đoàn – Tây Hồ Tây, đường rộng, pháp lý đầy đủ và khả năng khai thác kinh doanh hoặc cho thuê thường có lợi thế hơn. Đối với công tác thẩm định giá, khi lựa chọn tài sản so sánh </w:t>
      </w:r>
      <w:r>
        <w:t xml:space="preserve">tại Xuân Đỉnh cần đặc biệt chú ý đến </w:t>
      </w:r>
      <w:r>
        <w:t xml:space="preserve">vị trí, loại đường/ngõ, chiều rộng đường, khoảng cách tới đường lớn, diện tích – mặt tiền, mục đích sử dụng đất, tình trạng pháp lý và thời điểm giao dịch</w:t>
      </w:r>
      <w:r>
        <w:t xml:space="preserve">, bởi chỉ cần khác biệt về vị trí đường/ngõ có thể tạo ra chênh lệch đ</w:t>
      </w:r>
      <w:r>
        <w:t xml:space="preserve">áng kể về giá. </w:t>
      </w:r>
      <w:r>
        <w:rPr>
          <w14:ligatures w14:val="none"/>
        </w:rPr>
      </w:r>
      <w:r>
        <w:rPr>
          <w14:ligatures w14:val="none"/>
        </w:rPr>
      </w:r>
    </w:p>
    <w:p>
      <w:pPr>
        <w:pBdr/>
        <w:tabs>
          <w:tab w:val="left" w:leader="none" w:pos="426"/>
        </w:tabs>
        <w:spacing w:after="120" w:before="120" w:line="276" w:lineRule="auto"/>
        <w:ind/>
        <w:rPr>
          <w:i/>
          <w:iCs/>
        </w:rPr>
      </w:pPr>
      <w:r>
        <w:rPr>
          <w:i/>
          <w:iCs/>
          <w:shd w:val="clear" w:color="auto" w:fill="ffffff"/>
        </w:rPr>
        <w:t xml:space="preserve">(Nguồn: </w:t>
      </w:r>
      <w:r>
        <w:rPr>
          <w:i/>
          <w:iCs/>
          <w:shd w:val="clear" w:color="auto" w:fill="ffffff"/>
        </w:rPr>
        <w:t xml:space="preserve">https://tinhthanhvn.com/bando/ha-noi/xuan-dinh)</w:t>
      </w:r>
      <w:r>
        <w:rPr>
          <w:i/>
          <w:iCs/>
        </w:rPr>
      </w:r>
      <w:r>
        <w:rPr>
          <w:i/>
          <w:iCs/>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245, tờ bản đồ số: 33, có địa chỉ: Thôn Lộc, xã Xuân Đỉnh, huyện Từ Liêm, thành phố Hà Nội. (nay là phường Xuân Đỉnh</w:t>
            </w:r>
            <w:r>
              <w:rPr>
                <w:b/>
                <w:bCs/>
                <w:color w:val="000000"/>
              </w:rPr>
              <w:t xml:space="preserve">, thành phố Hà Nội) theo Giấy chứng nhận quyền sử dụng đất, quyền sở hữu nhà ở và tài sản khác gắn liền với đất số: BM 231521, Số vào sổ cấp GCN: CH02176 do UBND huyện Từ Liêm cấp ngày 25/03/2013; chủ sử dụng đất là Ông Hồ Khắc Thụ và Bà Hoàng Thị Kim Dung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245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33</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thôn Lộc xã Xuân Đỉnh huyện Từ Liêm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45,9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45,9 </w:t>
            </w:r>
            <w:r>
              <w:rPr>
                <w:color w:val="000000"/>
              </w:rPr>
              <w:t xml:space="preserve">m²</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t xml:space="preserve">Nhà nước công nhận quyền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color w:val="000000" w:themeColor="text1"/>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r>
            <w:r>
              <mc:AlternateContent>
                <mc:Choice Requires="wpg">
                  <w:drawing>
                    <wp:inline xmlns:wp="http://schemas.openxmlformats.org/drawingml/2006/wordprocessingDrawing" distT="0" distB="0" distL="0" distR="0">
                      <wp:extent cx="6048375" cy="222196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155872" name=""/>
                              <pic:cNvPicPr>
                                <a:picLocks noChangeAspect="1"/>
                              </pic:cNvPicPr>
                              <pic:nvPr/>
                            </pic:nvPicPr>
                            <pic:blipFill rotWithShape="1">
                              <a:blip r:embed="rId18"/>
                              <a:stretch/>
                            </pic:blipFill>
                            <pic:spPr bwMode="auto">
                              <a:xfrm flipH="0" flipV="0">
                                <a:off x="0" y="0"/>
                                <a:ext cx="6048374" cy="22219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174.96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ngõ </w:t>
            </w:r>
            <w:r>
              <w:rPr>
                <w:color w:val="000000"/>
              </w:rPr>
              <w:t xml:space="preserve">xóm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2,3</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themeColor="text1"/>
              </w:rPr>
              <w:t xml:space="preserve">C</w:t>
            </w:r>
            <w:r>
              <w:rPr>
                <w:color w:val="000000" w:themeColor="text1"/>
              </w:rPr>
              <w:t xml:space="preserve">ách ra đường chính Đường Phạm Văn Đồng khoảng 400m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bookmarkStart w:id="3" w:name="OLE_LINK1"/>
            <w:r>
              <w:rPr>
                <w:color w:val="000000" w:themeColor="text1"/>
              </w:rPr>
            </w:r>
            <w:bookmarkEnd w:id="3"/>
            <w:r>
              <w:rPr>
                <w:color w:val="000000" w:themeColor="text1"/>
              </w:rPr>
              <w:t xml:space="preserve">Hướng </w:t>
            </w:r>
            <w:r>
              <w:rPr>
                <w:color w:val="000000" w:themeColor="text1"/>
              </w:rPr>
              <w:t xml:space="preserve">Đông </w:t>
            </w:r>
            <w:r>
              <w:rPr>
                <w:color w:val="000000" w:themeColor="text1"/>
              </w:rPr>
              <w:t xml:space="preserve">tiếp </w:t>
            </w:r>
            <w:r>
              <w:rPr>
                <w:color w:val="000000" w:themeColor="text1"/>
              </w:rPr>
              <w:t xml:space="preserve">giáp </w:t>
            </w:r>
            <w:r>
              <w:rPr>
                <w:color w:val="000000" w:themeColor="text1"/>
              </w:rPr>
              <w:t xml:space="preserve">đường</w:t>
            </w:r>
            <w:r>
              <w:rPr>
                <w:color w:val="000000" w:themeColor="text1"/>
              </w:rPr>
              <w:t xml:space="preserve"> </w:t>
            </w:r>
            <w:r>
              <w:rPr>
                <w:color w:val="000000" w:themeColor="text1"/>
              </w:rPr>
              <w:t xml:space="preserve">giao </w:t>
            </w:r>
            <w:r>
              <w:rPr>
                <w:color w:val="000000" w:themeColor="text1"/>
              </w:rPr>
              <w:t xml:space="preserve">thông </w:t>
            </w:r>
            <w:r>
              <w:rPr>
                <w:color w:val="000000" w:themeColor="text1"/>
              </w:rPr>
              <w:t xml:space="preserve">2,</w:t>
            </w:r>
            <w:r>
              <w:rPr>
                <w:color w:val="000000" w:themeColor="text1"/>
              </w:rPr>
              <w:t xml:space="preserve">3m</w:t>
            </w:r>
            <w:r>
              <w:rPr>
                <w:color w:val="000000" w:themeColor="text1"/>
              </w:rPr>
            </w:r>
            <w:r>
              <w:rPr>
                <w:color w:val="000000" w:themeColor="text1"/>
                <w:highlight w:val="none"/>
              </w:rPr>
            </w:r>
          </w:p>
          <w:p>
            <w:pPr>
              <w:pBdr/>
              <w:spacing/>
              <w:ind/>
              <w:rPr>
                <w:color w:val="000000" w:themeColor="text1"/>
              </w:rPr>
            </w:pPr>
            <w:r>
              <w:rPr>
                <w:color w:val="000000" w:themeColor="text1"/>
                <w:highlight w:val="none"/>
              </w:rPr>
              <w:t xml:space="preserve">Các </w:t>
            </w:r>
            <w:r>
              <w:rPr>
                <w:color w:val="000000" w:themeColor="text1"/>
                <w:highlight w:val="none"/>
              </w:rPr>
              <w:t xml:space="preserve">hướng </w:t>
            </w:r>
            <w:r>
              <w:rPr>
                <w:color w:val="000000" w:themeColor="text1"/>
                <w:highlight w:val="none"/>
              </w:rPr>
              <w:t xml:space="preserve">còn </w:t>
            </w:r>
            <w:r>
              <w:rPr>
                <w:color w:val="000000" w:themeColor="text1"/>
                <w:highlight w:val="none"/>
              </w:rPr>
              <w:t xml:space="preserve">lại </w:t>
            </w:r>
            <w:r>
              <w:rPr>
                <w:color w:val="000000" w:themeColor="text1"/>
                <w:highlight w:val="none"/>
              </w:rPr>
              <w:t xml:space="preserve">tiếp </w:t>
            </w:r>
            <w:r>
              <w:rPr>
                <w:color w:val="000000" w:themeColor="text1"/>
                <w:highlight w:val="none"/>
              </w:rPr>
              <w:t xml:space="preserve">giáp</w:t>
            </w:r>
            <w:r>
              <w:rPr>
                <w:color w:val="000000" w:themeColor="text1"/>
                <w:highlight w:val="none"/>
              </w:rPr>
              <w:t xml:space="preserve"> </w:t>
            </w:r>
            <w:r>
              <w:rPr>
                <w:color w:val="000000" w:themeColor="text1"/>
                <w:highlight w:val="none"/>
              </w:rPr>
              <w:t xml:space="preserve">thửa </w:t>
            </w:r>
            <w:r>
              <w:rPr>
                <w:color w:val="000000" w:themeColor="text1"/>
                <w:highlight w:val="none"/>
              </w:rPr>
              <w:t xml:space="preserve">đất </w:t>
            </w:r>
            <w:r>
              <w:rPr>
                <w:color w:val="000000" w:themeColor="text1"/>
                <w:highlight w:val="none"/>
              </w:rPr>
              <w:t xml:space="preserve">khác.</w:t>
            </w:r>
            <w:r>
              <w:rPr>
                <w:color w:val="000000" w:themeColor="text1"/>
                <w:highlight w:val="none"/>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21.069138888889</w:t>
            </w:r>
            <w:r>
              <w:rPr>
                <w:color w:val="000000"/>
              </w:rPr>
              <w:t xml:space="preserve">, </w:t>
            </w:r>
            <w:r>
              <w:rPr>
                <w:color w:val="000000"/>
              </w:rPr>
              <w:t xml:space="preserve">105.78869444444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6048375" cy="260875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35238" name=""/>
                              <pic:cNvPicPr>
                                <a:picLocks noChangeAspect="1"/>
                              </pic:cNvPicPr>
                              <pic:nvPr/>
                            </pic:nvPicPr>
                            <pic:blipFill rotWithShape="1">
                              <a:blip r:embed="rId19"/>
                              <a:stretch/>
                            </pic:blipFill>
                            <pic:spPr bwMode="auto">
                              <a:xfrm flipH="0" flipV="0">
                                <a:off x="0" y="0"/>
                                <a:ext cx="6048374" cy="26087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205.41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3,13</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14,65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xây, Hạ tầng cấp điện: Điện lưới, Hạ tầng thông tin liên lạc: Điện thoại, Mạng internet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w:t>
            </w:r>
            <w:r>
              <w:rPr>
                <w:color w:val="000000"/>
              </w:rPr>
              <w:t xml:space="preserve">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w:t>
            </w:r>
            <w:r>
              <w:rPr>
                <w:color w:val="000000"/>
              </w:rPr>
              <w:t xml:space="preserve">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b w:val="0"/>
                <w:bCs w:val="0"/>
                <w:color w:val="000000"/>
              </w:rPr>
            </w:pPr>
            <w:r>
              <w:rPr>
                <w:color w:val="000000"/>
              </w:rPr>
            </w:r>
            <w:r>
              <w:rPr>
                <w:color w:val="000000"/>
              </w:rPr>
              <w:t xml:space="preserve">Tại thời điểm khảo sát, dưới sự hướng dẫn của chủ tài sản, trên đất có CTXD Nhà </w:t>
            </w:r>
            <w:r>
              <w:rPr>
                <w:color w:val="000000"/>
              </w:rPr>
              <w:t xml:space="preserve">4</w:t>
            </w:r>
            <w:r>
              <w:rPr>
                <w:color w:val="000000"/>
              </w:rPr>
              <w:t xml:space="preserve"> tầng, diện tích xây dựng khoảng </w:t>
            </w:r>
            <w:r>
              <w:rPr>
                <w:color w:val="000000"/>
              </w:rPr>
              <w:t xml:space="preserve">45,</w:t>
            </w:r>
            <w:r>
              <w:rPr>
                <w:color w:val="000000"/>
              </w:rPr>
              <w:t xml:space="preserve">9</w:t>
            </w:r>
            <w:r>
              <w:rPr>
                <w:color w:val="000000"/>
              </w:rPr>
              <w:t xml:space="preserve">m2, diện tích sàn xây dựng khoảng </w:t>
            </w:r>
            <w:r>
              <w:rPr>
                <w:color w:val="000000"/>
              </w:rPr>
              <w:t xml:space="preserve">183,</w:t>
            </w:r>
            <w:r>
              <w:rPr>
                <w:color w:val="000000"/>
              </w:rPr>
              <w:t xml:space="preserve">6</w:t>
            </w:r>
            <w:r>
              <w:rPr>
                <w:color w:val="000000"/>
              </w:rPr>
              <w:t xml:space="preserve">m2, Xây dựng năm 20</w:t>
            </w:r>
            <w:r>
              <w:rPr>
                <w:color w:val="000000"/>
              </w:rPr>
              <w:t xml:space="preserve">10, </w:t>
            </w:r>
            <w:r>
              <w:rPr>
                <w:color w:val="000000"/>
              </w:rPr>
              <w:t xml:space="preserve">sửa </w:t>
            </w:r>
            <w:r>
              <w:rPr>
                <w:color w:val="000000"/>
              </w:rPr>
              <w:t xml:space="preserve">lại </w:t>
            </w:r>
            <w:r>
              <w:rPr>
                <w:color w:val="000000"/>
              </w:rPr>
              <w:t xml:space="preserve">năm </w:t>
            </w:r>
            <w:r>
              <w:rPr>
                <w:color w:val="000000"/>
              </w:rPr>
              <w:t xml:space="preserve">2025</w:t>
            </w:r>
            <w:r>
              <w:rPr>
                <w:color w:val="000000"/>
              </w:rPr>
              <w:t xml:space="preserve">. Công trình chưa được công nhận trên GCN QSDĐ số: </w:t>
            </w:r>
            <w:r>
              <w:rPr>
                <w:b w:val="0"/>
                <w:bCs w:val="0"/>
                <w:color w:val="000000"/>
              </w:rPr>
              <w:t xml:space="preserve">BM 231521</w:t>
            </w:r>
            <w:r>
              <w:rPr>
                <w:b w:val="0"/>
                <w:bCs w:val="0"/>
                <w:color w:val="000000"/>
              </w:rPr>
            </w:r>
            <w:r>
              <w:rPr>
                <w:b w:val="0"/>
                <w:bCs w:val="0"/>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rFonts w:ascii="Times New Roman" w:hAnsi="Times New Roman" w:eastAsia="Times New Roman" w:cs="Times New Roman"/>
          <w:color w:val="000000"/>
          <w:sz w:val="24"/>
          <w:szCs w:val="24"/>
        </w:rPr>
      </w:pPr>
      <w:r>
        <w:rPr>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4 tầng, diện tích xây dựng khoảng 45,9m2, diện tích sàn xây dựng khoảng 183,6m2, Xây dựng năm 2010, sửa lại năm 2025. Đồng thời, Tổ thẩm định không nhận được bất kỳ hồ sơ pháp </w:t>
      </w:r>
      <w:r>
        <w:rPr>
          <w:rFonts w:ascii="Times New Roman" w:hAnsi="Times New Roman" w:eastAsia="Times New Roman" w:cs="Times New Roman"/>
          <w:color w:val="000000"/>
          <w:sz w:val="24"/>
        </w:rPr>
        <w:t xml:space="preserve">lý nào liên quan đến CTXD nêu trên.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w:t>
      </w:r>
      <w:r>
        <w:rPr>
          <w:rFonts w:ascii="Times New Roman" w:hAnsi="Times New Roman" w:eastAsia="Times New Roman" w:cs="Times New Roman"/>
          <w:color w:val="000000"/>
          <w:sz w:val="24"/>
        </w:rPr>
        <w:t xml:space="preserve">kết quả lưu ý.</w:t>
      </w:r>
      <w:r>
        <w:rPr>
          <w:spacing w:val="-2"/>
          <w:lang w:val="pt-BR"/>
        </w:rPr>
      </w:r>
      <w:r>
        <w:rPr>
          <w:rFonts w:ascii="Times New Roman" w:hAnsi="Times New Roman" w:eastAsia="Times New Roman" w:cs="Times New Roman"/>
          <w:color w:val="000000"/>
          <w:sz w:val="24"/>
          <w:szCs w:val="24"/>
        </w:rPr>
      </w:r>
    </w:p>
    <w:p>
      <w:pPr>
        <w:pStyle w:val="1029"/>
        <w:numPr>
          <w:ilvl w:val="0"/>
          <w:numId w:val="3"/>
        </w:numPr>
        <w:pBdr/>
        <w:tabs>
          <w:tab w:val="left" w:leader="none" w:pos="993"/>
        </w:tabs>
        <w:spacing w:after="120" w:before="120" w:line="264" w:lineRule="auto"/>
        <w:ind/>
        <w:jc w:val="both"/>
        <w:rPr>
          <w:spacing w:val="-2"/>
          <w:lang w:val="pt-BR"/>
        </w:rPr>
      </w:pPr>
      <w:r>
        <w:rPr>
          <w:rFonts w:ascii="Times New Roman" w:hAnsi="Times New Roman" w:eastAsia="Times New Roman" w:cs="Times New Roman"/>
          <w:color w:val="000000"/>
          <w:sz w:val="24"/>
        </w:rPr>
      </w:r>
      <w:r>
        <w:rPr>
          <w:rFonts w:ascii="Times New Roman" w:hAnsi="Times New Roman" w:eastAsia="Times New Roman" w:cs="Times New Roman"/>
          <w:color w:val="ee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ee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ee0000"/>
          <w:sz w:val="24"/>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834"/>
        <w:gridCol w:w="1650"/>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34"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 </w:t>
            </w:r>
            <w:r>
              <w:rPr>
                <w:color w:val="000000" w:themeColor="text1"/>
                <w:sz w:val="22"/>
                <w:szCs w:val="22"/>
              </w:rPr>
              <w:t xml:space="preserve">P</w:t>
            </w:r>
            <w:r>
              <w:rPr>
                <w:color w:val="000000" w:themeColor="text1"/>
                <w:sz w:val="22"/>
                <w:szCs w:val="22"/>
              </w:rPr>
              <w:t xml:space="preserve">hường Xuân Đỉnh,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P</w:t>
            </w:r>
            <w:r>
              <w:rPr>
                <w:color w:val="000000" w:themeColor="text1"/>
                <w:sz w:val="22"/>
                <w:szCs w:val="22"/>
              </w:rPr>
              <w:t xml:space="preserve">hường Xuân Đỉnh,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P</w:t>
            </w:r>
            <w:r>
              <w:rPr>
                <w:color w:val="000000" w:themeColor="text1"/>
                <w:sz w:val="22"/>
                <w:szCs w:val="22"/>
              </w:rPr>
              <w:t xml:space="preserve">hường Xuân Đỉnh,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P</w:t>
            </w:r>
            <w:r>
              <w:rPr>
                <w:color w:val="000000" w:themeColor="text1"/>
                <w:sz w:val="22"/>
                <w:szCs w:val="22"/>
              </w:rPr>
              <w:t xml:space="preserve">hường Xuân Đỉnh, thành phố Hà Nội</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sz w:val="22"/>
                <w:szCs w:val="22"/>
              </w:rPr>
            </w:pPr>
            <w:r>
              <w:rPr>
                <w:color w:val="000000" w:themeColor="text1"/>
                <w:sz w:val="22"/>
                <w:szCs w:val="22"/>
              </w:rPr>
              <w:t xml:space="preserve">https://guland.vn/post/ban-gapxuan-dinhoto-do-cuafull-noi-thatdt59m2-x-5tangmt41mgia142-ty-bac-tu-liem-1364243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https://batdongsan.com.vn/ban-nha-rieng-duong-xuan-dinh-phuong-xuan-dinh/ban-at-tang-vi-tri-ep-cach-uong-mo-rong-chuc-met-pr46148537</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sz w:val="22"/>
                <w:szCs w:val="22"/>
              </w:rPr>
            </w:pPr>
            <w:r>
              <w:rPr>
                <w:color w:val="000000" w:themeColor="text1"/>
                <w:sz w:val="22"/>
                <w:szCs w:val="22"/>
              </w:rPr>
              <w:t xml:space="preserve">0948031338</w:t>
            </w:r>
            <w:r>
              <w:rPr>
                <w:sz w:val="22"/>
                <w:szCs w:val="22"/>
              </w:rPr>
              <w:t xml:space="preserve"> </w:t>
            </w:r>
            <w:r>
              <w:rPr>
                <w:sz w:val="22"/>
                <w:szCs w:val="22"/>
              </w:rPr>
              <w:br/>
              <w:t xml:space="preserve">(</w:t>
            </w:r>
            <w:r>
              <w:rPr>
                <w:sz w:val="22"/>
                <w:szCs w:val="22"/>
              </w:rPr>
              <w:t xml:space="preserve">Thu Trang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sz w:val="22"/>
                <w:szCs w:val="22"/>
              </w:rPr>
            </w:pPr>
            <w:r>
              <w:rPr>
                <w:color w:val="000000" w:themeColor="text1"/>
                <w:sz w:val="22"/>
                <w:szCs w:val="22"/>
              </w:rPr>
              <w:t xml:space="preserve">0333.498.806</w:t>
            </w:r>
            <w:r>
              <w:rPr>
                <w:sz w:val="22"/>
                <w:szCs w:val="22"/>
              </w:rPr>
              <w:br/>
            </w:r>
            <w:r>
              <w:rPr>
                <w:sz w:val="22"/>
                <w:szCs w:val="22"/>
              </w:rPr>
              <w:t xml:space="preserve">(</w:t>
            </w:r>
            <w:r>
              <w:rPr>
                <w:sz w:val="22"/>
                <w:szCs w:val="22"/>
              </w:rPr>
              <w:t xml:space="preserve">Tùng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0933462885</w:t>
            </w:r>
            <w:r>
              <w:rPr>
                <w:sz w:val="22"/>
                <w:szCs w:val="22"/>
              </w:rPr>
              <w:br/>
            </w:r>
            <w:r>
              <w:rPr>
                <w:sz w:val="22"/>
                <w:szCs w:val="22"/>
              </w:rPr>
              <w:t xml:space="preserve">(</w:t>
            </w:r>
            <w:r>
              <w:rPr>
                <w:sz w:val="22"/>
                <w:szCs w:val="22"/>
              </w:rPr>
              <w:t xml:space="preserve">Dũng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P</w:t>
            </w:r>
            <w:r>
              <w:rPr>
                <w:color w:val="000000" w:themeColor="text1"/>
                <w:sz w:val="22"/>
                <w:szCs w:val="22"/>
              </w:rPr>
              <w:t xml:space="preserve">hường Xuân Đỉnh, thành phố Hà Nội, khoảng cách ra đường chính Phạm Văn Đồng khoảng 400m,  21.069138888889, 105.78869444444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P</w:t>
            </w:r>
            <w:r>
              <w:rPr>
                <w:color w:val="000000" w:themeColor="text1"/>
                <w:sz w:val="22"/>
                <w:szCs w:val="22"/>
              </w:rPr>
              <w:t xml:space="preserve">hường Xuân Đỉnh, thành phố Hà Nội</w:t>
            </w:r>
            <w:r>
              <w:rPr>
                <w:color w:val="000000" w:themeColor="text1"/>
                <w:sz w:val="22"/>
                <w:szCs w:val="22"/>
              </w:rPr>
              <w:t xml:space="preserve">, khoảng cách ra đường chính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khoảng </w:t>
            </w:r>
            <w:r>
              <w:rPr>
                <w:color w:val="000000" w:themeColor="text1"/>
                <w:sz w:val="22"/>
                <w:szCs w:val="22"/>
              </w:rPr>
              <w:t xml:space="preserve">100m</w:t>
            </w:r>
            <w:r>
              <w:rPr>
                <w:color w:val="000000" w:themeColor="text1"/>
                <w:sz w:val="22"/>
                <w:szCs w:val="22"/>
              </w:rPr>
              <w:t xml:space="preserve">  21.07177002281599, 105.8008377420637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P</w:t>
            </w:r>
            <w:r>
              <w:rPr>
                <w:color w:val="000000" w:themeColor="text1"/>
                <w:sz w:val="22"/>
                <w:szCs w:val="22"/>
              </w:rPr>
              <w:t xml:space="preserve">hường Xuân Đỉnh, thành phố Hà Nội</w:t>
            </w:r>
            <w:r>
              <w:rPr>
                <w:color w:val="000000" w:themeColor="text1"/>
                <w:sz w:val="22"/>
                <w:szCs w:val="22"/>
              </w:rPr>
              <w:t xml:space="preserve">, khoảng cách ra đường chính </w:t>
            </w:r>
            <w:r>
              <w:rPr>
                <w:color w:val="000000" w:themeColor="text1"/>
                <w:sz w:val="22"/>
                <w:szCs w:val="22"/>
              </w:rPr>
              <w:t xml:space="preserve">Phạm Văn Đồng khoảng </w:t>
            </w:r>
            <w:r>
              <w:rPr>
                <w:color w:val="000000" w:themeColor="text1"/>
                <w:sz w:val="22"/>
                <w:szCs w:val="22"/>
              </w:rPr>
              <w:t xml:space="preserve">2</w:t>
            </w:r>
            <w:r>
              <w:rPr>
                <w:color w:val="000000" w:themeColor="text1"/>
                <w:sz w:val="22"/>
                <w:szCs w:val="22"/>
              </w:rPr>
              <w:t xml:space="preserve">00m,</w:t>
            </w:r>
            <w:r>
              <w:rPr>
                <w:color w:val="000000" w:themeColor="text1"/>
                <w:sz w:val="22"/>
                <w:szCs w:val="22"/>
              </w:rPr>
              <w:t xml:space="preserve">21.069833333333, 105.78725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P</w:t>
            </w:r>
            <w:r>
              <w:rPr>
                <w:color w:val="000000" w:themeColor="text1"/>
                <w:sz w:val="22"/>
                <w:szCs w:val="22"/>
              </w:rPr>
              <w:t xml:space="preserve">hường Xuân Đỉnh, thành phố Hà Nội</w:t>
            </w:r>
            <w:r>
              <w:rPr>
                <w:color w:val="000000" w:themeColor="text1"/>
                <w:sz w:val="22"/>
                <w:szCs w:val="22"/>
              </w:rPr>
              <w:t xml:space="preserve">, khoảng cách ra đường chính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khoảng </w:t>
            </w:r>
            <w:r>
              <w:rPr>
                <w:color w:val="000000" w:themeColor="text1"/>
                <w:sz w:val="22"/>
                <w:szCs w:val="22"/>
              </w:rPr>
              <w:t xml:space="preserve">300m</w:t>
            </w:r>
            <w:r>
              <w:rPr>
                <w:color w:val="000000" w:themeColor="text1"/>
                <w:sz w:val="22"/>
                <w:szCs w:val="22"/>
              </w:rPr>
              <w:t xml:space="preserve">, 21.068583333333333, 105.79091666666666</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Vị </w:t>
            </w:r>
            <w:r>
              <w:rPr>
                <w:color w:val="000000" w:themeColor="text1"/>
                <w:sz w:val="22"/>
                <w:szCs w:val="22"/>
              </w:rPr>
              <w:t xml:space="preserve">trí </w:t>
            </w:r>
            <w:r>
              <w:rPr>
                <w:color w:val="000000" w:themeColor="text1"/>
                <w:sz w:val="22"/>
                <w:szCs w:val="22"/>
              </w:rPr>
              <w:t xml:space="preserve">tương </w:t>
            </w:r>
            <w:r>
              <w:rPr>
                <w:color w:val="000000" w:themeColor="text1"/>
                <w:sz w:val="22"/>
                <w:szCs w:val="22"/>
              </w:rPr>
              <w:t xml:space="preserve">quan </w:t>
            </w:r>
            <w:r>
              <w:rPr>
                <w:color w:val="000000" w:themeColor="text1"/>
                <w:sz w:val="22"/>
                <w:szCs w:val="22"/>
              </w:rPr>
              <w:t xml:space="preserve">giữa </w:t>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thẩm </w:t>
            </w:r>
            <w:r>
              <w:rPr>
                <w:color w:val="000000" w:themeColor="text1"/>
                <w:sz w:val="22"/>
                <w:szCs w:val="22"/>
              </w:rPr>
              <w:t xml:space="preserve">định </w:t>
            </w:r>
            <w:r>
              <w:rPr>
                <w:color w:val="000000" w:themeColor="text1"/>
                <w:sz w:val="22"/>
                <w:szCs w:val="22"/>
              </w:rPr>
              <w:t xml:space="preserve">với </w:t>
            </w:r>
            <w:r>
              <w:rPr>
                <w:color w:val="000000" w:themeColor="text1"/>
                <w:sz w:val="22"/>
                <w:szCs w:val="22"/>
              </w:rPr>
              <w:t xml:space="preserve">các </w:t>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so </w:t>
            </w:r>
            <w:r>
              <w:rPr>
                <w:color w:val="000000" w:themeColor="text1"/>
                <w:sz w:val="22"/>
                <w:szCs w:val="22"/>
              </w:rPr>
              <w:t xml:space="preserve">sánh</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rPr>
              <mc:AlternateContent>
                <mc:Choice Requires="wpg">
                  <w:drawing>
                    <wp:inline xmlns:wp="http://schemas.openxmlformats.org/drawingml/2006/wordprocessingDrawing" distT="0" distB="0" distL="0" distR="0">
                      <wp:extent cx="4515857" cy="1956195"/>
                      <wp:effectExtent l="0" t="0" r="0" b="0"/>
                      <wp:docPr id="7" name=""/>
                      <wp:cNvGraphicFramePr/>
                      <a:graphic xmlns:a="http://schemas.openxmlformats.org/drawingml/2006/main">
                        <a:graphicData uri="http://schemas.openxmlformats.org/drawingml/2006/picture">
                          <pic:pic xmlns:pic="http://schemas.openxmlformats.org/drawingml/2006/picture">
                            <pic:nvPicPr>
                              <pic:cNvPr id="129898266" name="" descr=""/>
                              <pic:cNvPicPr/>
                              <pic:nvPr/>
                            </pic:nvPicPr>
                            <pic:blipFill rotWithShape="1">
                              <a:blip r:embed="rId20"/>
                              <a:stretch/>
                            </pic:blipFill>
                            <pic:spPr bwMode="auto">
                              <a:xfrm flipH="0" flipV="0">
                                <a:off x="0" y="0"/>
                                <a:ext cx="4515856" cy="195619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55.58pt;height:154.03pt;mso-wrap-distance-left:0.00pt;mso-wrap-distance-top:0.00pt;mso-wrap-distance-right:0.00pt;mso-wrap-distance-bottom:0.00pt;z-index:1;" stroked="false">
                      <v:imagedata r:id="rId20" o:title=""/>
                      <o:lock v:ext="edit" rotation="t"/>
                    </v:shape>
                  </w:pict>
                </mc:Fallback>
              </mc:AlternateConten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59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69,2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4,34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CTXD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34" w:type="dxa"/>
            <w:vAlign w:val="center"/>
            <w:vMerge w:val="restart"/>
            <w:textDirection w:val="lrTb"/>
            <w:noWrap w:val="false"/>
          </w:tcPr>
          <w:p>
            <w:pPr>
              <w:pBdr/>
              <w:spacing/>
              <w:ind/>
              <w:jc w:val="center"/>
              <w:rPr>
                <w:bCs w:val="0"/>
                <w:i w:val="0"/>
                <w:color w:val="000000" w:themeColor="text1"/>
                <w:sz w:val="22"/>
                <w:szCs w:val="22"/>
              </w:rPr>
            </w:pPr>
            <w:r>
              <w:rPr>
                <w:i w:val="0"/>
                <w:iCs w:val="0"/>
                <w:color w:val="000000" w:themeColor="text1"/>
                <w:sz w:val="22"/>
                <w:szCs w:val="22"/>
              </w:rPr>
              <w:t xml:space="preserve">Nhà </w:t>
            </w:r>
            <w:r>
              <w:rPr>
                <w:i w:val="0"/>
                <w:iCs w:val="0"/>
                <w:color w:val="000000" w:themeColor="text1"/>
                <w:sz w:val="22"/>
                <w:szCs w:val="22"/>
              </w:rPr>
              <w:t xml:space="preserve">3 </w:t>
            </w:r>
            <w:r>
              <w:rPr>
                <w:i w:val="0"/>
                <w:iCs w:val="0"/>
                <w:color w:val="000000" w:themeColor="text1"/>
                <w:sz w:val="22"/>
                <w:szCs w:val="22"/>
              </w:rPr>
              <w:t xml:space="preserve">tầng </w:t>
            </w:r>
            <w:r>
              <w:rPr>
                <w:i w:val="0"/>
                <w:iCs w:val="0"/>
                <w:color w:val="000000" w:themeColor="text1"/>
                <w:sz w:val="22"/>
                <w:szCs w:val="22"/>
              </w:rPr>
              <w:t xml:space="preserve">(</w:t>
            </w:r>
            <w:r>
              <w:rPr>
                <w:i w:val="0"/>
                <w:iCs w:val="0"/>
                <w:color w:val="000000" w:themeColor="text1"/>
                <w:sz w:val="22"/>
                <w:szCs w:val="22"/>
              </w:rPr>
              <w:t xml:space="preserve">diện </w:t>
            </w:r>
            <w:r>
              <w:rPr>
                <w:i w:val="0"/>
                <w:iCs w:val="0"/>
                <w:color w:val="000000" w:themeColor="text1"/>
                <w:sz w:val="22"/>
                <w:szCs w:val="22"/>
              </w:rPr>
              <w:t xml:space="preserve">tích </w:t>
            </w:r>
            <w:r>
              <w:rPr>
                <w:i w:val="0"/>
                <w:iCs w:val="0"/>
                <w:color w:val="000000" w:themeColor="text1"/>
                <w:sz w:val="22"/>
                <w:szCs w:val="22"/>
              </w:rPr>
              <w:t xml:space="preserve">sàn </w:t>
            </w:r>
            <w:r>
              <w:rPr>
                <w:i w:val="0"/>
                <w:iCs w:val="0"/>
                <w:color w:val="000000" w:themeColor="text1"/>
                <w:sz w:val="22"/>
                <w:szCs w:val="22"/>
              </w:rPr>
              <w:t xml:space="preserve">xây </w:t>
            </w:r>
            <w:r>
              <w:rPr>
                <w:i w:val="0"/>
                <w:iCs w:val="0"/>
                <w:color w:val="000000" w:themeColor="text1"/>
                <w:sz w:val="22"/>
                <w:szCs w:val="22"/>
              </w:rPr>
              <w:t xml:space="preserve">dựng </w:t>
            </w:r>
            <w:r>
              <w:rPr>
                <w:i w:val="0"/>
                <w:iCs w:val="0"/>
                <w:color w:val="000000" w:themeColor="text1"/>
                <w:sz w:val="22"/>
                <w:szCs w:val="22"/>
              </w:rPr>
              <w:t xml:space="preserve">khoảng </w:t>
            </w:r>
            <w:r>
              <w:rPr>
                <w:i w:val="0"/>
                <w:iCs w:val="0"/>
                <w:highlight w:val="none"/>
              </w:rPr>
              <w:t xml:space="preserve">162</w:t>
            </w:r>
            <w:r>
              <w:rPr>
                <w:i w:val="0"/>
                <w:iCs w:val="0"/>
                <w:highlight w:val="none"/>
              </w:rPr>
              <w:t xml:space="preserve">m²</w:t>
            </w:r>
            <w:r>
              <w:rPr>
                <w:i w:val="0"/>
                <w:iCs w:val="0"/>
                <w:highlight w:val="none"/>
              </w:rPr>
              <w:t xml:space="preserve">)</w:t>
            </w:r>
            <w:r>
              <w:rPr>
                <w:bCs/>
                <w:i w:val="0"/>
                <w:iCs w:val="0"/>
                <w:color w:val="000000" w:themeColor="text1"/>
                <w:sz w:val="22"/>
                <w:szCs w:val="22"/>
              </w:rPr>
            </w:r>
            <w:r>
              <w:rPr>
                <w:bCs w:val="0"/>
                <w:i w:val="0"/>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650" w:type="dxa"/>
            <w:vAlign w:val="center"/>
            <w:vMerge w:val="restart"/>
            <w:textDirection w:val="lrTb"/>
            <w:noWrap w:val="false"/>
          </w:tcPr>
          <w:p>
            <w:pPr>
              <w:pBdr/>
              <w:spacing/>
              <w:ind/>
              <w:jc w:val="center"/>
              <w:rPr>
                <w:bCs w:val="0"/>
                <w:i w:val="0"/>
                <w:color w:val="000000" w:themeColor="text1"/>
                <w:sz w:val="22"/>
                <w:szCs w:val="22"/>
              </w:rPr>
            </w:pPr>
            <w:r>
              <w:rPr>
                <w:i w:val="0"/>
                <w:iCs w:val="0"/>
                <w:color w:val="000000" w:themeColor="text1"/>
                <w:sz w:val="22"/>
                <w:szCs w:val="22"/>
              </w:rPr>
              <w:t xml:space="preserve">Nhà </w:t>
            </w:r>
            <w:r>
              <w:rPr>
                <w:i w:val="0"/>
                <w:iCs w:val="0"/>
                <w:color w:val="000000" w:themeColor="text1"/>
                <w:sz w:val="22"/>
                <w:szCs w:val="22"/>
              </w:rPr>
              <w:t xml:space="preserve">5</w:t>
            </w:r>
            <w:r>
              <w:rPr>
                <w:i w:val="0"/>
                <w:iCs w:val="0"/>
                <w:color w:val="000000" w:themeColor="text1"/>
                <w:sz w:val="22"/>
                <w:szCs w:val="22"/>
              </w:rPr>
              <w:t xml:space="preserve"> </w:t>
            </w:r>
            <w:r>
              <w:rPr>
                <w:i w:val="0"/>
                <w:iCs w:val="0"/>
                <w:color w:val="000000" w:themeColor="text1"/>
                <w:sz w:val="22"/>
                <w:szCs w:val="22"/>
              </w:rPr>
              <w:t xml:space="preserve">tầng</w:t>
            </w:r>
            <w:r>
              <w:rPr>
                <w:i w:val="0"/>
                <w:iCs w:val="0"/>
                <w:color w:val="000000" w:themeColor="text1"/>
                <w:sz w:val="22"/>
                <w:szCs w:val="22"/>
              </w:rPr>
              <w:t xml:space="preserve"> (</w:t>
            </w:r>
            <w:r>
              <w:rPr>
                <w:i w:val="0"/>
                <w:iCs w:val="0"/>
                <w:color w:val="000000" w:themeColor="text1"/>
                <w:sz w:val="22"/>
                <w:szCs w:val="22"/>
              </w:rPr>
              <w:t xml:space="preserve">diện </w:t>
            </w:r>
            <w:r>
              <w:rPr>
                <w:i w:val="0"/>
                <w:iCs w:val="0"/>
                <w:color w:val="000000" w:themeColor="text1"/>
                <w:sz w:val="22"/>
                <w:szCs w:val="22"/>
              </w:rPr>
              <w:t xml:space="preserve">tích </w:t>
            </w:r>
            <w:r>
              <w:rPr>
                <w:i w:val="0"/>
                <w:iCs w:val="0"/>
                <w:color w:val="000000" w:themeColor="text1"/>
                <w:sz w:val="22"/>
                <w:szCs w:val="22"/>
              </w:rPr>
              <w:t xml:space="preserve">sàn </w:t>
            </w:r>
            <w:r>
              <w:rPr>
                <w:i w:val="0"/>
                <w:iCs w:val="0"/>
                <w:color w:val="000000" w:themeColor="text1"/>
                <w:sz w:val="22"/>
                <w:szCs w:val="22"/>
              </w:rPr>
              <w:t xml:space="preserve">xây </w:t>
            </w:r>
            <w:r>
              <w:rPr>
                <w:i w:val="0"/>
                <w:iCs w:val="0"/>
                <w:color w:val="000000" w:themeColor="text1"/>
                <w:sz w:val="22"/>
                <w:szCs w:val="22"/>
              </w:rPr>
              <w:t xml:space="preserve">dựng </w:t>
            </w:r>
            <w:r>
              <w:rPr>
                <w:i w:val="0"/>
                <w:iCs w:val="0"/>
                <w:color w:val="000000" w:themeColor="text1"/>
                <w:sz w:val="22"/>
                <w:szCs w:val="22"/>
              </w:rPr>
              <w:t xml:space="preserve">khoảng </w:t>
            </w:r>
            <w:r>
              <w:rPr>
                <w:i w:val="0"/>
                <w:iCs w:val="0"/>
                <w:highlight w:val="none"/>
              </w:rPr>
              <w:t xml:space="preserve">295</w:t>
            </w:r>
            <w:r>
              <w:rPr>
                <w:i w:val="0"/>
                <w:iCs w:val="0"/>
                <w:highlight w:val="none"/>
              </w:rPr>
              <w:t xml:space="preserve">m²</w:t>
            </w:r>
            <w:r>
              <w:rPr>
                <w:i w:val="0"/>
                <w:iCs w:val="0"/>
                <w:highlight w:val="none"/>
              </w:rPr>
              <w:t xml:space="preserve">)</w:t>
            </w:r>
            <w:r>
              <w:rPr>
                <w:bCs/>
                <w:i w:val="0"/>
                <w:iCs w:val="0"/>
                <w:color w:val="000000" w:themeColor="text1"/>
                <w:sz w:val="22"/>
                <w:szCs w:val="22"/>
              </w:rPr>
            </w:r>
            <w:r>
              <w:rPr>
                <w:bCs w:val="0"/>
                <w:i w:val="0"/>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val="0"/>
                <w:i w:val="0"/>
                <w:color w:val="000000" w:themeColor="text1"/>
                <w:sz w:val="22"/>
                <w:szCs w:val="22"/>
              </w:rPr>
            </w:pPr>
            <w:r>
              <w:rPr>
                <w:i w:val="0"/>
                <w:iCs w:val="0"/>
                <w:color w:val="000000" w:themeColor="text1"/>
                <w:sz w:val="22"/>
                <w:szCs w:val="22"/>
              </w:rPr>
              <w:t xml:space="preserve">Đất </w:t>
            </w:r>
            <w:r>
              <w:rPr>
                <w:i w:val="0"/>
                <w:iCs w:val="0"/>
                <w:color w:val="000000" w:themeColor="text1"/>
                <w:sz w:val="22"/>
                <w:szCs w:val="22"/>
              </w:rPr>
              <w:t xml:space="preserve">trống</w:t>
            </w:r>
            <w:r>
              <w:rPr>
                <w:i w:val="0"/>
                <w:iCs w:val="0"/>
                <w:color w:val="000000" w:themeColor="text1"/>
                <w:sz w:val="22"/>
                <w:szCs w:val="22"/>
              </w:rPr>
            </w:r>
            <w:r>
              <w:rPr>
                <w:bCs w:val="0"/>
                <w:i w:val="0"/>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14.500.000.000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14.200.000.000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15.916.000.000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11.600.000.000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12.070.000.000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12.732.800.000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1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hd w:val="nil" w:color="auto"/>
              <w:spacing/>
              <w:ind/>
              <w:rPr>
                <w:highlight w:val="none"/>
                <w14:ligatures w14:val="none"/>
              </w:rPr>
            </w:pPr>
            <w:r>
              <w:rPr>
                <w:highlight w:val="none"/>
              </w:rPr>
            </w:r>
            <w:r>
              <w:rPr>
                <w:highlight w:val="none"/>
              </w:rPr>
              <w:t xml:space="preserve">1.187.586.490</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hd w:val="nil" w:color="auto"/>
              <w:spacing/>
              <w:ind/>
              <w:rPr>
                <w:highlight w:val="none"/>
                <w14:ligatures w14:val="none"/>
              </w:rPr>
            </w:pPr>
            <w:r>
              <w:rPr>
                <w:highlight w:val="none"/>
              </w:rPr>
            </w:r>
            <w:r>
              <w:rPr>
                <w:highlight w:val="none"/>
              </w:rPr>
              <w:t xml:space="preserve">1.876.011.200</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highlight w:val="none"/>
                <w14:ligatures w14:val="none"/>
              </w:rPr>
            </w:pPr>
            <w:r>
              <w:rPr>
                <w:highlight w:val="none"/>
              </w:rPr>
              <w:t xml:space="preserve">0</w:t>
            </w:r>
            <w:r>
              <w:rPr>
                <w:highlight w:val="none"/>
                <w14:ligatures w14:val="none"/>
              </w:rPr>
            </w:r>
            <w:r>
              <w:rPr>
                <w:highlight w:val="none"/>
                <w14:ligatures w14:val="none"/>
              </w:rPr>
            </w:r>
          </w:p>
        </w:tc>
      </w:tr>
      <w:tr>
        <w:trPr>
          <w:trHeight w:val="519"/>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hd w:val="nil" w:color="auto"/>
              <w:spacing/>
              <w:ind/>
              <w:jc w:val="center"/>
              <w:rPr>
                <w:sz w:val="22"/>
                <w:szCs w:val="22"/>
                <w:highlight w:val="none"/>
                <w14:ligatures w14:val="none"/>
              </w:rPr>
            </w:pPr>
            <w:r>
              <w:rPr>
                <w:sz w:val="22"/>
                <w:szCs w:val="22"/>
                <w:highlight w:val="none"/>
              </w:rPr>
              <w:t xml:space="preserve">-</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jc w:val="left"/>
              <w:rPr>
                <w:sz w:val="22"/>
                <w:szCs w:val="22"/>
                <w:highlight w:val="none"/>
                <w14:ligatures w14:val="none"/>
              </w:rPr>
            </w:pPr>
            <w:r>
              <w:rPr>
                <w:sz w:val="22"/>
                <w:szCs w:val="22"/>
                <w:highlight w:val="none"/>
              </w:rPr>
            </w:r>
            <w:r>
              <w:rPr>
                <w:sz w:val="22"/>
                <w:szCs w:val="22"/>
                <w:highlight w:val="none"/>
              </w:rPr>
              <w:t xml:space="preserve">Đơn giá xây dựng theo Quyết định số </w:t>
            </w:r>
            <w:r>
              <w:rPr>
                <w:sz w:val="22"/>
                <w:szCs w:val="22"/>
                <w:highlight w:val="none"/>
              </w:rPr>
              <w:t xml:space="preserve">425</w:t>
            </w:r>
            <w:r>
              <w:rPr>
                <w:sz w:val="22"/>
                <w:szCs w:val="22"/>
                <w:highlight w:val="none"/>
              </w:rPr>
              <w:t xml:space="preserve">/QĐ-BXD ngày </w:t>
            </w:r>
            <w:r>
              <w:rPr>
                <w:sz w:val="22"/>
                <w:szCs w:val="22"/>
                <w:highlight w:val="none"/>
              </w:rPr>
              <w:t xml:space="preserve">30</w:t>
            </w:r>
            <w:r>
              <w:rPr>
                <w:sz w:val="22"/>
                <w:szCs w:val="22"/>
                <w:highlight w:val="none"/>
              </w:rPr>
              <w:t xml:space="preserve">/</w:t>
            </w:r>
            <w:r>
              <w:rPr>
                <w:sz w:val="22"/>
                <w:szCs w:val="22"/>
                <w:highlight w:val="none"/>
              </w:rPr>
              <w:t xml:space="preserve">03</w:t>
            </w:r>
            <w:r>
              <w:rPr>
                <w:sz w:val="22"/>
                <w:szCs w:val="22"/>
                <w:highlight w:val="none"/>
              </w:rPr>
              <w:t xml:space="preserve">/202</w:t>
            </w:r>
            <w:r>
              <w:rPr>
                <w:sz w:val="22"/>
                <w:szCs w:val="22"/>
                <w:highlight w:val="none"/>
              </w:rPr>
              <w:t xml:space="preserve">6</w:t>
            </w:r>
            <w:r>
              <w:rPr>
                <w:sz w:val="22"/>
                <w:szCs w:val="22"/>
                <w:highlight w:val="none"/>
              </w:rPr>
              <w:t xml:space="preserve"> của Bộ Xây Dựng (đồng/m²)</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34"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7.968.240</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650"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7.949.200</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t xml:space="preserve">-</w:t>
            </w:r>
            <w:r>
              <w:rPr>
                <w:sz w:val="22"/>
                <w:szCs w:val="22"/>
                <w:highlight w:val="none"/>
                <w14:ligatures w14:val="none"/>
              </w:rPr>
            </w:r>
            <w:r>
              <w:rPr>
                <w:sz w:val="22"/>
                <w:szCs w:val="22"/>
                <w:highlight w:val="none"/>
                <w14:ligatures w14:val="none"/>
              </w:rPr>
            </w:r>
          </w:p>
        </w:tc>
      </w:tr>
      <w:tr>
        <w:trPr>
          <w:trHeight w:val="519"/>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hd w:val="nil" w:color="auto"/>
              <w:spacing/>
              <w:ind/>
              <w:jc w:val="center"/>
              <w:rPr>
                <w:sz w:val="22"/>
                <w:szCs w:val="22"/>
                <w:highlight w:val="none"/>
                <w14:ligatures w14:val="none"/>
              </w:rPr>
            </w:pPr>
            <w:r>
              <w:rPr>
                <w:sz w:val="22"/>
                <w:szCs w:val="22"/>
                <w:highlight w:val="none"/>
              </w:rPr>
              <w:t xml:space="preserve">-</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jc w:val="left"/>
              <w:rPr>
                <w:sz w:val="22"/>
                <w:szCs w:val="22"/>
                <w:highlight w:val="none"/>
                <w14:ligatures w14:val="none"/>
              </w:rPr>
            </w:pPr>
            <w:r>
              <w:rPr>
                <w:sz w:val="22"/>
                <w:szCs w:val="22"/>
                <w:highlight w:val="none"/>
              </w:rPr>
              <w:t xml:space="preserve">Tỷ </w:t>
            </w:r>
            <w:r>
              <w:rPr>
                <w:sz w:val="22"/>
                <w:szCs w:val="22"/>
                <w:highlight w:val="none"/>
              </w:rPr>
              <w:t xml:space="preserve">lệ </w:t>
            </w:r>
            <w:r>
              <w:rPr>
                <w:sz w:val="22"/>
                <w:szCs w:val="22"/>
                <w:highlight w:val="none"/>
              </w:rPr>
              <w:t xml:space="preserve">hao </w:t>
            </w:r>
            <w:r>
              <w:rPr>
                <w:sz w:val="22"/>
                <w:szCs w:val="22"/>
                <w:highlight w:val="none"/>
              </w:rPr>
              <w:t xml:space="preserve">mòn (%)</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34"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t xml:space="preserve">8%</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650"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t xml:space="preserve">2</w:t>
            </w:r>
            <w:r>
              <w:rPr>
                <w:sz w:val="22"/>
                <w:szCs w:val="22"/>
                <w:highlight w:val="none"/>
              </w:rPr>
              <w:t xml:space="preserve">0%</w:t>
            </w:r>
            <w:r>
              <w:rPr>
                <w:sz w:val="22"/>
                <w:szCs w:val="22"/>
                <w:highlight w:val="none"/>
                <w14:ligatures w14:val="none"/>
              </w:rPr>
            </w:r>
            <w:r>
              <w:rPr>
                <w:sz w:val="22"/>
                <w:szCs w:val="22"/>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highlight w:val="none"/>
                <w14:ligatures w14:val="none"/>
              </w:rPr>
            </w:pPr>
            <w:r>
              <w:rPr>
                <w:sz w:val="22"/>
                <w:szCs w:val="22"/>
                <w:highlight w:val="none"/>
              </w:rPr>
              <w:t xml:space="preserve">-</w:t>
            </w:r>
            <w:r>
              <w:rPr>
                <w:sz w:val="22"/>
                <w:szCs w:val="22"/>
                <w:highlight w:val="none"/>
                <w14:ligatures w14:val="none"/>
              </w:rPr>
            </w:r>
            <w:r>
              <w:rPr>
                <w:sz w:val="22"/>
                <w:szCs w:val="22"/>
                <w:highlight w:val="none"/>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11.600.000.000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12.070.000.000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12.732.800.000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tcPr>
          <w:p>
            <w:pPr>
              <w:pBdr/>
              <w:spacing/>
              <w:ind/>
              <w:jc w:val="center"/>
              <w:rPr>
                <w:color w:val="000000"/>
                <w:sz w:val="22"/>
                <w:szCs w:val="22"/>
              </w:rPr>
            </w:pPr>
            <w:r>
              <w:rPr>
                <w:color w:val="000000" w:themeColor="text1"/>
                <w:sz w:val="22"/>
                <w:szCs w:val="22"/>
              </w:rPr>
              <w:t xml:space="preserve">192.822.472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tcPr>
          <w:p>
            <w:pPr>
              <w:pBdr/>
              <w:spacing/>
              <w:ind/>
              <w:jc w:val="center"/>
              <w:rPr>
                <w:color w:val="000000"/>
                <w:sz w:val="22"/>
                <w:szCs w:val="22"/>
              </w:rPr>
            </w:pPr>
            <w:r>
              <w:rPr>
                <w:color w:val="000000" w:themeColor="text1"/>
                <w:sz w:val="22"/>
                <w:szCs w:val="22"/>
              </w:rPr>
              <w:t xml:space="preserve">172.779.471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184.000.000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34"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50"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10.412.413.510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10.193.988.800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12.732.800.000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192.822.472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172.779.471</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184.000.000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Giấy chứng nhận quyền sử dụng đất</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Giấy chứng nhận quyền sử dụng đất</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Giấy chứng nhận quyền sử dụng đất</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Giấy chứng nhận quyền sử dụng đất</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192.822.472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172.779.471</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184.000.000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Đất ở</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Đất ở</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Đất ở</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Đất ở</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192.822.472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172.779.471</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184.000.000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Lâu dài</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Lâu dài</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Lâu dài</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Lâu dài</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192.822.472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172.779.471</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184.000.000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Tài sản tại: </w:t>
            </w:r>
            <w:r>
              <w:rPr>
                <w:sz w:val="22"/>
                <w:szCs w:val="22"/>
                <w:highlight w:val="none"/>
              </w:rPr>
              <w:t xml:space="preserve">VT3 </w:t>
            </w:r>
            <w:r>
              <w:rPr>
                <w:sz w:val="22"/>
                <w:szCs w:val="22"/>
                <w:highlight w:val="none"/>
              </w:rPr>
              <w:t xml:space="preserve">P</w:t>
            </w:r>
            <w:r>
              <w:rPr>
                <w:sz w:val="22"/>
                <w:szCs w:val="22"/>
                <w:highlight w:val="none"/>
              </w:rPr>
              <w:t xml:space="preserve">hường Xuân Đỉnh, thành phố Hà Nội, khoảng cách ra đường chính Phạm Văn Đồng khoảng 400m,  21.069138888889, 105.78869444444</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Tài sản tại: </w:t>
            </w:r>
            <w:r>
              <w:rPr>
                <w:sz w:val="22"/>
                <w:szCs w:val="22"/>
                <w:highlight w:val="none"/>
              </w:rPr>
              <w:t xml:space="preserve">VT3 </w:t>
            </w:r>
            <w:r>
              <w:rPr>
                <w:sz w:val="22"/>
                <w:szCs w:val="22"/>
                <w:highlight w:val="none"/>
              </w:rPr>
              <w:t xml:space="preserve">P</w:t>
            </w:r>
            <w:r>
              <w:rPr>
                <w:sz w:val="22"/>
                <w:szCs w:val="22"/>
                <w:highlight w:val="none"/>
              </w:rPr>
              <w:t xml:space="preserve">hường Xuân Đỉnh, thành phố Hà Nội</w:t>
            </w:r>
            <w:r>
              <w:rPr>
                <w:sz w:val="22"/>
                <w:szCs w:val="22"/>
                <w:highlight w:val="none"/>
              </w:rPr>
              <w:t xml:space="preserve">, khoảng cách ra đường chính </w:t>
            </w:r>
            <w:r>
              <w:rPr>
                <w:sz w:val="22"/>
                <w:szCs w:val="22"/>
                <w:highlight w:val="none"/>
              </w:rPr>
              <w:t xml:space="preserve">Xuân </w:t>
            </w:r>
            <w:r>
              <w:rPr>
                <w:sz w:val="22"/>
                <w:szCs w:val="22"/>
                <w:highlight w:val="none"/>
              </w:rPr>
              <w:t xml:space="preserve">Đỉnh </w:t>
            </w:r>
            <w:r>
              <w:rPr>
                <w:sz w:val="22"/>
                <w:szCs w:val="22"/>
                <w:highlight w:val="none"/>
              </w:rPr>
              <w:t xml:space="preserve">khoảng </w:t>
            </w:r>
            <w:r>
              <w:rPr>
                <w:sz w:val="22"/>
                <w:szCs w:val="22"/>
                <w:highlight w:val="none"/>
              </w:rPr>
              <w:t xml:space="preserve">100m</w:t>
            </w:r>
            <w:r>
              <w:rPr>
                <w:sz w:val="22"/>
                <w:szCs w:val="22"/>
                <w:highlight w:val="none"/>
              </w:rPr>
              <w:t xml:space="preserve">  21.07177002281599, 105.8008377420637</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Tài sản tại: </w:t>
            </w:r>
            <w:r>
              <w:rPr>
                <w:sz w:val="22"/>
                <w:szCs w:val="22"/>
                <w:highlight w:val="none"/>
              </w:rPr>
              <w:t xml:space="preserve">VT3 </w:t>
            </w:r>
            <w:r>
              <w:rPr>
                <w:sz w:val="22"/>
                <w:szCs w:val="22"/>
                <w:highlight w:val="none"/>
              </w:rPr>
              <w:t xml:space="preserve">P</w:t>
            </w:r>
            <w:r>
              <w:rPr>
                <w:sz w:val="22"/>
                <w:szCs w:val="22"/>
                <w:highlight w:val="none"/>
              </w:rPr>
              <w:t xml:space="preserve">hường Xuân Đỉnh, thành phố Hà Nội</w:t>
            </w:r>
            <w:r>
              <w:rPr>
                <w:sz w:val="22"/>
                <w:szCs w:val="22"/>
                <w:highlight w:val="none"/>
              </w:rPr>
              <w:t xml:space="preserve">, khoảng cách ra đường chính </w:t>
            </w:r>
            <w:r>
              <w:rPr>
                <w:sz w:val="22"/>
                <w:szCs w:val="22"/>
                <w:highlight w:val="none"/>
              </w:rPr>
              <w:t xml:space="preserve">Phạm Văn Đồng khoảng </w:t>
            </w:r>
            <w:r>
              <w:rPr>
                <w:sz w:val="22"/>
                <w:szCs w:val="22"/>
                <w:highlight w:val="none"/>
              </w:rPr>
              <w:t xml:space="preserve">2</w:t>
            </w:r>
            <w:r>
              <w:rPr>
                <w:sz w:val="22"/>
                <w:szCs w:val="22"/>
                <w:highlight w:val="none"/>
              </w:rPr>
              <w:t xml:space="preserve">00m,</w:t>
            </w:r>
            <w:r>
              <w:rPr>
                <w:sz w:val="22"/>
                <w:szCs w:val="22"/>
                <w:highlight w:val="none"/>
              </w:rPr>
              <w:t xml:space="preserve">21.069833333333, 105.78725</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Tài sản tại: </w:t>
            </w:r>
            <w:r>
              <w:rPr>
                <w:sz w:val="22"/>
                <w:szCs w:val="22"/>
                <w:highlight w:val="none"/>
              </w:rPr>
              <w:t xml:space="preserve">VT3 </w:t>
            </w:r>
            <w:r>
              <w:rPr>
                <w:sz w:val="22"/>
                <w:szCs w:val="22"/>
                <w:highlight w:val="none"/>
              </w:rPr>
              <w:t xml:space="preserve">P</w:t>
            </w:r>
            <w:r>
              <w:rPr>
                <w:sz w:val="22"/>
                <w:szCs w:val="22"/>
                <w:highlight w:val="none"/>
              </w:rPr>
              <w:t xml:space="preserve">hường Xuân Đỉnh, thành phố Hà Nội</w:t>
            </w:r>
            <w:r>
              <w:rPr>
                <w:sz w:val="22"/>
                <w:szCs w:val="22"/>
                <w:highlight w:val="none"/>
              </w:rPr>
              <w:t xml:space="preserve">, khoảng cách ra đường chính </w:t>
            </w:r>
            <w:r>
              <w:rPr>
                <w:sz w:val="22"/>
                <w:szCs w:val="22"/>
                <w:highlight w:val="none"/>
              </w:rPr>
              <w:t xml:space="preserve">Xuân </w:t>
            </w:r>
            <w:r>
              <w:rPr>
                <w:sz w:val="22"/>
                <w:szCs w:val="22"/>
                <w:highlight w:val="none"/>
              </w:rPr>
              <w:t xml:space="preserve">Đỉnh </w:t>
            </w:r>
            <w:r>
              <w:rPr>
                <w:sz w:val="22"/>
                <w:szCs w:val="22"/>
                <w:highlight w:val="none"/>
              </w:rPr>
              <w:t xml:space="preserve">khoảng </w:t>
            </w:r>
            <w:r>
              <w:rPr>
                <w:sz w:val="22"/>
                <w:szCs w:val="22"/>
                <w:highlight w:val="none"/>
              </w:rPr>
              <w:t xml:space="preserve">300m</w:t>
            </w:r>
            <w:r>
              <w:rPr>
                <w:sz w:val="22"/>
                <w:szCs w:val="22"/>
                <w:highlight w:val="none"/>
              </w:rPr>
              <w:t xml:space="preserve">, 21.068583333333333, 105.79091666666666</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192.822.472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172.779.471</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184.000.000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Đường bê tông</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Đường bê tông</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Đường bê tông</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Đường bê tông</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192.822.472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172.779.471</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184.000.000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2,3</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2,5</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2,5</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2,5</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192.822.472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172.779.471</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184.000.000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45,9</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54</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59</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69,2</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3%</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5%</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5.399.994</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10.350.000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192.822.472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177.962.855</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193.200.0</w:t>
            </w:r>
            <w:r>
              <w:rPr>
                <w:sz w:val="22"/>
                <w:szCs w:val="22"/>
                <w:highlight w:val="none"/>
              </w:rPr>
              <w:t xml:space="preserve">00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3,13</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4</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4,34</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4,89</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-6%</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-4.393.486</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-3.696.267</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-12.420.000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188.966.023</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174.507.266</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182.160.00</w:t>
            </w: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Tiếp giáp 1 mặt tiền</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Tiếp giáp 1 mặt tiền</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Tiếp giáp 1 mặt tiền</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Tiếp giáp 1 mặt tiền</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307"/>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188.966.023</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174.507.266</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182.160.00</w:t>
            </w: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Hình chữ nhật</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Hình chữ nhật</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Hình chữ nhật</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Hình chữ nhật</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188.966.023</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174.507.266</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r>
            <w:r>
              <w:rPr>
                <w:sz w:val="22"/>
                <w:szCs w:val="22"/>
                <w:highlight w:val="none"/>
              </w:rPr>
              <w:t xml:space="preserve">182.160.00</w:t>
            </w:r>
            <w:r>
              <w:rPr>
                <w:sz w:val="22"/>
                <w:szCs w:val="22"/>
                <w:highlight w:val="none"/>
              </w:rPr>
              <w:t xml:space="preserve">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b/>
                <w:bCs/>
                <w:sz w:val="22"/>
                <w:szCs w:val="22"/>
                <w:highlight w:val="none"/>
                <w14:ligatures w14:val="none"/>
              </w:rPr>
            </w:pPr>
            <w:r>
              <w:rPr>
                <w:b/>
                <w:bCs/>
                <w:sz w:val="22"/>
                <w:szCs w:val="22"/>
                <w:highlight w:val="none"/>
              </w:rPr>
            </w:r>
            <w:r>
              <w:rPr>
                <w:b/>
                <w:bCs/>
                <w:sz w:val="22"/>
                <w:szCs w:val="22"/>
                <w:highlight w:val="none"/>
              </w:rPr>
              <w:t xml:space="preserve">188.966.023</w:t>
            </w:r>
            <w:r>
              <w:rPr>
                <w:b/>
                <w:bCs/>
                <w:sz w:val="22"/>
                <w:szCs w:val="22"/>
                <w:highlight w:val="none"/>
                <w14:ligatures w14:val="none"/>
              </w:rPr>
            </w:r>
            <w:r>
              <w:rPr>
                <w:b/>
                <w:bCs/>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b/>
                <w:bCs/>
                <w:sz w:val="22"/>
                <w:szCs w:val="22"/>
                <w:highlight w:val="none"/>
                <w14:ligatures w14:val="none"/>
              </w:rPr>
            </w:pPr>
            <w:r>
              <w:rPr>
                <w:b/>
                <w:bCs/>
                <w:sz w:val="22"/>
                <w:szCs w:val="22"/>
                <w:highlight w:val="none"/>
              </w:rPr>
            </w:r>
            <w:r>
              <w:rPr>
                <w:b/>
                <w:bCs/>
                <w:sz w:val="22"/>
                <w:szCs w:val="22"/>
                <w:highlight w:val="none"/>
              </w:rPr>
              <w:t xml:space="preserve">174.507.266</w:t>
            </w:r>
            <w:r>
              <w:rPr>
                <w:b/>
                <w:bCs/>
                <w:sz w:val="22"/>
                <w:szCs w:val="22"/>
                <w:highlight w:val="none"/>
                <w14:ligatures w14:val="none"/>
              </w:rPr>
            </w:r>
            <w:r>
              <w:rPr>
                <w:b/>
                <w:bCs/>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b/>
                <w:bCs/>
                <w:sz w:val="22"/>
                <w:szCs w:val="22"/>
                <w:highlight w:val="none"/>
                <w14:ligatures w14:val="none"/>
              </w:rPr>
            </w:pPr>
            <w:r>
              <w:rPr>
                <w:b/>
                <w:bCs/>
                <w:sz w:val="22"/>
                <w:szCs w:val="22"/>
                <w:highlight w:val="none"/>
              </w:rPr>
            </w:r>
            <w:r>
              <w:rPr>
                <w:b/>
                <w:bCs/>
                <w:sz w:val="22"/>
                <w:szCs w:val="22"/>
                <w:highlight w:val="none"/>
              </w:rPr>
              <w:t xml:space="preserve">182.160.00</w:t>
            </w:r>
            <w:r>
              <w:rPr>
                <w:b/>
                <w:bCs/>
                <w:sz w:val="22"/>
                <w:szCs w:val="22"/>
                <w:highlight w:val="none"/>
              </w:rPr>
              <w:t xml:space="preserve">0</w:t>
            </w:r>
            <w:r>
              <w:rPr>
                <w:b/>
                <w:bCs/>
                <w:sz w:val="22"/>
                <w:szCs w:val="22"/>
                <w:highlight w:val="none"/>
                <w14:ligatures w14:val="none"/>
              </w:rPr>
            </w:r>
            <w:r>
              <w:rPr>
                <w:b/>
                <w:bCs/>
                <w:sz w:val="22"/>
                <w:szCs w:val="22"/>
                <w:highlight w:val="none"/>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gridSpan w:val="3"/>
            <w:shd w:val="clear" w:color="000000" w:fill="ffffff"/>
            <w:tcBorders/>
            <w:tcW w:w="4566" w:type="dxa"/>
            <w:vAlign w:val="center"/>
            <w:textDirection w:val="lrTb"/>
            <w:noWrap w:val="false"/>
          </w:tcPr>
          <w:p>
            <w:pPr>
              <w:pBdr/>
              <w:shd w:val="nil" w:color="auto"/>
              <w:spacing/>
              <w:ind/>
              <w:jc w:val="center"/>
              <w:rPr>
                <w:b/>
                <w:bCs/>
                <w:sz w:val="22"/>
                <w:szCs w:val="22"/>
                <w:highlight w:val="none"/>
                <w14:ligatures w14:val="none"/>
              </w:rPr>
            </w:pPr>
            <w:r>
              <w:rPr>
                <w:b/>
                <w:bCs/>
                <w:sz w:val="22"/>
                <w:szCs w:val="22"/>
                <w:highlight w:val="none"/>
              </w:rPr>
            </w:r>
            <w:r>
              <w:rPr>
                <w:b/>
                <w:bCs/>
                <w:sz w:val="22"/>
                <w:szCs w:val="22"/>
                <w:highlight w:val="none"/>
              </w:rPr>
              <w:t xml:space="preserve">181.877.763</w:t>
            </w:r>
            <w:r>
              <w:rPr>
                <w:b/>
                <w:bCs/>
                <w:sz w:val="22"/>
                <w:szCs w:val="22"/>
                <w:highlight w:val="none"/>
                <w14:ligatures w14:val="none"/>
              </w:rPr>
            </w:r>
            <w:r>
              <w:rPr>
                <w:b/>
                <w:bCs/>
                <w:sz w:val="22"/>
                <w:szCs w:val="22"/>
                <w:highlight w:val="none"/>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3,90%</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-4,05%</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0,16%</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3.856.449</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8.638.973</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20.240.000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2</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 - 2%</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 - 3%</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0% - 6%</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 </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3.856.449</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1.727.795</w:t>
            </w:r>
            <w:r>
              <w:rPr>
                <w:sz w:val="22"/>
                <w:szCs w:val="22"/>
                <w:highlight w:val="none"/>
                <w14:ligatures w14:val="none"/>
              </w:rPr>
            </w:r>
            <w:r>
              <w:rPr>
                <w:sz w:val="22"/>
                <w:szCs w:val="22"/>
                <w:highlight w:val="none"/>
                <w14:ligatures w14:val="none"/>
              </w:rPr>
            </w:r>
          </w:p>
        </w:tc>
        <w:tc>
          <w:tcPr>
            <w:shd w:val="clear" w:color="000000" w:fill="ffffff"/>
            <w:tcBorders/>
            <w:tcW w:w="1522" w:type="dxa"/>
            <w:vAlign w:val="center"/>
            <w:textDirection w:val="lrTb"/>
            <w:noWrap/>
          </w:tcPr>
          <w:p>
            <w:pPr>
              <w:pBdr/>
              <w:shd w:val="nil" w:color="auto"/>
              <w:spacing/>
              <w:ind/>
              <w:jc w:val="center"/>
              <w:rPr>
                <w:sz w:val="22"/>
                <w:szCs w:val="22"/>
                <w:highlight w:val="none"/>
                <w14:ligatures w14:val="none"/>
              </w:rPr>
            </w:pPr>
            <w:r>
              <w:rPr>
                <w:sz w:val="22"/>
                <w:szCs w:val="22"/>
                <w:highlight w:val="none"/>
              </w:rPr>
              <w:t xml:space="preserve">1.840.000</w:t>
            </w:r>
            <w:r>
              <w:rPr>
                <w:sz w:val="22"/>
                <w:szCs w:val="22"/>
                <w:highlight w:val="none"/>
                <w14:ligatures w14:val="none"/>
              </w:rPr>
            </w:r>
            <w:r>
              <w:rPr>
                <w:sz w:val="22"/>
                <w:szCs w:val="22"/>
                <w:highlight w:val="none"/>
                <w14:ligatures w14:val="none"/>
              </w:rPr>
            </w:r>
          </w:p>
        </w:tc>
      </w:tr>
    </w:tbl>
    <w:p>
      <w:pPr>
        <w:pBdr/>
        <w:spacing w:after="120" w:before="120" w:line="276" w:lineRule="auto"/>
        <w:ind/>
        <w:jc w:val="both"/>
        <w:rPr>
          <w:b/>
          <w:bCs/>
          <w:i/>
          <w:iCs/>
          <w:u w:val="single"/>
        </w:rPr>
      </w:pPr>
      <w:r>
        <w:rPr>
          <w:i/>
          <w:iCs/>
          <w:u w:val="single"/>
        </w:rPr>
        <w:t xml:space="preserve"> </w:t>
      </w:r>
      <w:r>
        <w:rPr>
          <w:b/>
          <w:bCs/>
          <w:i/>
          <w:iCs/>
        </w:rPr>
      </w:r>
      <w:r>
        <w:rPr>
          <w:b/>
          <w:bCs/>
          <w:i/>
          <w:iCs/>
          <w:u w:val="single"/>
        </w:rPr>
      </w:r>
    </w:p>
    <w:p>
      <w:pPr>
        <w:pBdr/>
        <w:spacing w:after="120" w:before="120" w:line="276" w:lineRule="auto"/>
        <w:ind/>
        <w:jc w:val="both"/>
        <w:rPr>
          <w:b/>
          <w:bCs/>
          <w:i/>
        </w:rPr>
      </w:pPr>
      <w:r>
        <w:rPr>
          <w:b/>
          <w:bCs/>
          <w:i/>
          <w:iCs/>
          <w:highlight w:val="none"/>
        </w:rPr>
      </w:r>
      <w:r>
        <w:rPr>
          <w:b/>
          <w:bCs/>
          <w:i/>
          <w:iCs/>
          <w:highlight w:val="none"/>
        </w:rPr>
      </w:r>
      <w:r>
        <w:rPr>
          <w:b/>
          <w:bCs/>
          <w:i/>
        </w:rPr>
      </w:r>
    </w:p>
    <w:p>
      <w:pPr>
        <w:pBdr/>
        <w:spacing w:after="120" w:before="120" w:line="276" w:lineRule="auto"/>
        <w:ind/>
        <w:jc w:val="both"/>
        <w:rPr>
          <w:b/>
          <w:bCs/>
          <w:i/>
          <w:highlight w:val="none"/>
        </w:rPr>
      </w:pPr>
      <w:r>
        <w:rPr>
          <w:b/>
          <w:bCs/>
          <w:i/>
          <w:iCs/>
          <w:u w:val="single"/>
        </w:rPr>
        <w:t xml:space="preserve">Về nguyên tắc khống chế</w:t>
      </w:r>
      <w:r>
        <w:rPr>
          <w:b/>
          <w:bCs/>
          <w:i/>
          <w:iCs/>
        </w:rPr>
        <w:t xml:space="preserve">: </w:t>
      </w:r>
      <w:r>
        <w:rPr>
          <w:b/>
          <w:bCs/>
          <w:i/>
          <w:iCs/>
        </w:rPr>
      </w:r>
      <w:r>
        <w:rPr>
          <w:b/>
          <w:bCs/>
          <w:i/>
          <w:highlight w:val="none"/>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-4,05</w:t>
      </w:r>
      <w:r>
        <w:t xml:space="preserve">% đến</w:t>
      </w:r>
      <w:r>
        <w:t xml:space="preserve"> </w:t>
      </w:r>
      <w:r>
        <w:t xml:space="preserve"> </w:t>
      </w:r>
      <w:r>
        <w:t xml:space="preserve">3,90</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hd w:val="nil" w:color="auto"/>
              <w:spacing/>
              <w:ind/>
              <w:jc w:val="center"/>
              <w:rPr>
                <w:highlight w:val="none"/>
                <w14:ligatures w14:val="none"/>
              </w:rPr>
            </w:pPr>
            <w:r>
              <w:rPr>
                <w:highlight w:val="none"/>
              </w:rPr>
              <w:t xml:space="preserve">1</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hd w:val="nil" w:color="auto"/>
              <w:spacing/>
              <w:ind/>
              <w:jc w:val="center"/>
              <w:rPr>
                <w:highlight w:val="none"/>
                <w14:ligatures w14:val="none"/>
              </w:rPr>
            </w:pPr>
            <w:r>
              <w:rPr>
                <w:highlight w:val="none"/>
              </w:rPr>
              <w:t xml:space="preserve">Tài sản so sánh 1</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highlight w:val="none"/>
                <w14:ligatures w14:val="none"/>
              </w:rPr>
            </w:pPr>
            <w:r>
              <w:rPr>
                <w:highlight w:val="none"/>
              </w:rPr>
              <w:t xml:space="preserve">188.966.023</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highlight w:val="none"/>
                <w14:ligatures w14:val="none"/>
              </w:rPr>
            </w:pPr>
            <w:r>
              <w:rPr>
                <w:highlight w:val="none"/>
              </w:rPr>
              <w:t xml:space="preserve">33,34%</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highlight w:val="none"/>
                <w14:ligatures w14:val="none"/>
              </w:rPr>
            </w:pPr>
            <w:r>
              <w:rPr>
                <w:highlight w:val="none"/>
              </w:rPr>
              <w:t xml:space="preserve">63.001.272</w:t>
            </w:r>
            <w:r>
              <w:rPr>
                <w:highlight w:val="none"/>
                <w14:ligatures w14:val="none"/>
              </w:rPr>
            </w:r>
            <w:r>
              <w:rPr>
                <w:highlight w:val="none"/>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hd w:val="nil" w:color="auto"/>
              <w:spacing/>
              <w:ind/>
              <w:jc w:val="center"/>
              <w:rPr>
                <w:highlight w:val="none"/>
                <w14:ligatures w14:val="none"/>
              </w:rPr>
            </w:pPr>
            <w:r>
              <w:rPr>
                <w:highlight w:val="none"/>
              </w:rPr>
              <w:t xml:space="preserve">2</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hd w:val="nil" w:color="auto"/>
              <w:spacing/>
              <w:ind/>
              <w:jc w:val="center"/>
              <w:rPr>
                <w:highlight w:val="none"/>
                <w14:ligatures w14:val="none"/>
              </w:rPr>
            </w:pPr>
            <w:r>
              <w:rPr>
                <w:highlight w:val="none"/>
              </w:rPr>
              <w:t xml:space="preserve">Tài sản so sánh 2</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highlight w:val="none"/>
                <w14:ligatures w14:val="none"/>
              </w:rPr>
            </w:pPr>
            <w:r>
              <w:rPr>
                <w:highlight w:val="none"/>
              </w:rPr>
              <w:t xml:space="preserve">174.507.266</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highlight w:val="none"/>
                <w14:ligatures w14:val="none"/>
              </w:rPr>
            </w:pPr>
            <w:r>
              <w:rPr>
                <w:highlight w:val="none"/>
              </w:rPr>
              <w:t xml:space="preserve">33,33%</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highlight w:val="none"/>
                <w14:ligatures w14:val="none"/>
              </w:rPr>
            </w:pPr>
            <w:r>
              <w:rPr>
                <w:highlight w:val="none"/>
              </w:rPr>
              <w:t xml:space="preserve">58.163.272</w:t>
            </w:r>
            <w:r>
              <w:rPr>
                <w:highlight w:val="none"/>
                <w14:ligatures w14:val="none"/>
              </w:rPr>
            </w:r>
            <w:r>
              <w:rPr>
                <w:highlight w:val="none"/>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hd w:val="nil" w:color="auto"/>
              <w:spacing/>
              <w:ind/>
              <w:jc w:val="center"/>
              <w:rPr>
                <w:highlight w:val="none"/>
                <w14:ligatures w14:val="none"/>
              </w:rPr>
            </w:pPr>
            <w:r>
              <w:rPr>
                <w:highlight w:val="none"/>
              </w:rPr>
              <w:t xml:space="preserve">3</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hd w:val="nil" w:color="auto"/>
              <w:spacing/>
              <w:ind/>
              <w:jc w:val="center"/>
              <w:rPr>
                <w:highlight w:val="none"/>
                <w14:ligatures w14:val="none"/>
              </w:rPr>
            </w:pPr>
            <w:r>
              <w:rPr>
                <w:highlight w:val="none"/>
              </w:rPr>
              <w:t xml:space="preserve">Tài sản so sánh 3</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highlight w:val="none"/>
                <w14:ligatures w14:val="none"/>
              </w:rPr>
            </w:pPr>
            <w:r>
              <w:rPr>
                <w:highlight w:val="none"/>
              </w:rPr>
              <w:t xml:space="preserve">182.160.000</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highlight w:val="none"/>
                <w14:ligatures w14:val="none"/>
              </w:rPr>
            </w:pPr>
            <w:r>
              <w:rPr>
                <w:highlight w:val="none"/>
              </w:rPr>
              <w:t xml:space="preserve">33,33%</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highlight w:val="none"/>
                <w14:ligatures w14:val="none"/>
              </w:rPr>
            </w:pPr>
            <w:r>
              <w:rPr>
                <w:highlight w:val="none"/>
              </w:rPr>
              <w:t xml:space="preserve">60.713.928</w:t>
            </w:r>
            <w:r>
              <w:rPr>
                <w:highlight w:val="none"/>
                <w14:ligatures w14:val="none"/>
              </w:rPr>
            </w:r>
            <w:r>
              <w:rPr>
                <w:highlight w:val="none"/>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hd w:val="nil" w:color="auto"/>
              <w:spacing/>
              <w:ind/>
              <w:jc w:val="center"/>
              <w:rPr>
                <w:b/>
                <w:bCs/>
                <w:highlight w:val="none"/>
                <w14:ligatures w14:val="none"/>
              </w:rPr>
            </w:pPr>
            <w:r>
              <w:rPr>
                <w:b/>
                <w:bCs/>
                <w:highlight w:val="none"/>
              </w:rPr>
              <w:t xml:space="preserve">Giá trị bình quân theo trọng số:</w:t>
            </w:r>
            <w:r>
              <w:rPr>
                <w:b/>
                <w:bCs/>
                <w:highlight w:val="none"/>
                <w14:ligatures w14:val="none"/>
              </w:rPr>
            </w:r>
            <w:r>
              <w:rPr>
                <w:b/>
                <w:bCs/>
                <w:highlight w:val="none"/>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b/>
                <w:bCs/>
                <w:highlight w:val="none"/>
                <w14:ligatures w14:val="none"/>
              </w:rPr>
            </w:pPr>
            <w:r>
              <w:rPr>
                <w:b/>
                <w:bCs/>
                <w:highlight w:val="none"/>
                <w:lang w:val="vi-VN"/>
              </w:rPr>
            </w:r>
            <w:r>
              <w:rPr>
                <w:b/>
                <w:bCs/>
                <w:highlight w:val="none"/>
              </w:rPr>
              <w:t xml:space="preserve">181.878.472</w:t>
            </w:r>
            <w:r>
              <w:rPr>
                <w:b/>
                <w:bCs/>
                <w:highlight w:val="none"/>
                <w14:ligatures w14:val="none"/>
              </w:rPr>
            </w:r>
            <w:r>
              <w:rPr>
                <w:b/>
                <w:bCs/>
                <w:highlight w:val="none"/>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182.000.000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182.000.000</w:t>
      </w:r>
      <w:r>
        <w:rPr>
          <w:b/>
          <w:bCs/>
          <w:color w:val="000000" w:themeColor="text1"/>
        </w:rPr>
        <w:t xml:space="preserve"> </w:t>
      </w:r>
      <w:r>
        <w:rPr>
          <w:b/>
          <w:bCs/>
        </w:rPr>
        <w:t xml:space="preserve">đồng/m².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245, tờ bản đồ số: 33, có địa chỉ: Thôn Lộc, xã Xuân Đỉnh, huyện Từ Liêm, thành phố Hà Nội. (nay là phường Xuân Đỉnh</w:t>
            </w:r>
            <w:r>
              <w:rPr>
                <w:b/>
                <w:bCs/>
                <w:color w:val="000000"/>
              </w:rPr>
              <w:t xml:space="preserve">, thành phố Hà Nội) theo Giấy chứng nhận quyền sử dụng đất, quyền sở hữu nhà ở và tài sản khác gắn liền với đất số: BM 231521, Số vào sổ cấp GCN: CH02176 do UBND huyện Từ Liêm cấp ngày 25/03/2013; chủ sử dụng đất là Ông Hồ Khắc Thụ và Bà Hoàng Thị Kim Dung</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45,9</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182.000.000</w:t>
            </w: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color w:val="000000" w:themeColor="text1"/>
              </w:rPr>
              <w:t xml:space="preserve">8.353.800.000</w:t>
            </w:r>
            <w:r>
              <w:rPr>
                <w:b/>
                <w:bCs/>
              </w:rPr>
            </w:r>
            <w:r>
              <w:rPr>
                <w:b/>
                <w:bCs/>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8.353.800.000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ba trăm năm mươi ba triệu tám trăm nghìn </w:t>
            </w:r>
            <w:r>
              <w:rPr>
                <w:b/>
                <w:bCs/>
                <w:i/>
                <w:iCs/>
                <w:color w:val="000000"/>
              </w:rPr>
              <w:t xml:space="preserve">đồng </w:t>
            </w:r>
            <w:r>
              <w:rPr>
                <w:b/>
                <w:bCs/>
                <w:i/>
                <w:iCs/>
                <w:color w:val="000000"/>
              </w:rPr>
              <w:t xml:space="preserve">chẵn</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5"/>
        </w:numPr>
        <w:pBdr/>
        <w:spacing w:after="120" w:before="120" w:line="288" w:lineRule="auto"/>
        <w:ind/>
        <w:jc w:val="both"/>
        <w:rPr>
          <w:rFonts w:ascii="Times New Roman" w:hAnsi="Times New Roman" w:eastAsia="Times New Roman" w:cs="Times New Roman"/>
          <w:color w:val="000000"/>
          <w:sz w:val="24"/>
          <w:szCs w:val="24"/>
        </w:rPr>
      </w:pPr>
      <w:r>
        <w:rPr>
          <w:lang w:val="vi-VN"/>
        </w:rPr>
      </w:r>
      <w:r>
        <w:rPr>
          <w:rFonts w:ascii="Times New Roman" w:hAnsi="Times New Roman" w:eastAsia="Times New Roman" w:cs="Times New Roman"/>
          <w:color w:val="000000"/>
          <w:sz w:val="24"/>
        </w:rPr>
        <w:t xml:space="preserve">Tại thời điểm khảo sát, dưới sự hướng dẫn của chủ tài sản, trên đất có CTXD Nhà 4 tầng, diện tích xây dựng khoảng 45,9m2, diện tích sàn xây dựng khoảng 183,6m2, Xây dựng năm 2010, sửa lại năm 2025. Đồng thời, Tổ thẩm định không nhận được bất kỳ hồ sơ pháp </w:t>
      </w:r>
      <w:r>
        <w:rPr>
          <w:rFonts w:ascii="Times New Roman" w:hAnsi="Times New Roman" w:eastAsia="Times New Roman" w:cs="Times New Roman"/>
          <w:color w:val="000000"/>
          <w:sz w:val="24"/>
        </w:rPr>
        <w:t xml:space="preserve">lý nào liên quan đến CTXD nêu trên. 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w:t>
      </w:r>
      <w:r>
        <w:rPr>
          <w:rFonts w:ascii="Times New Roman" w:hAnsi="Times New Roman" w:eastAsia="Times New Roman" w:cs="Times New Roman"/>
          <w:color w:val="000000"/>
          <w:sz w:val="24"/>
        </w:rPr>
        <w:t xml:space="preserve">kết quả lưu ý.</w:t>
      </w:r>
      <w:r>
        <w:rPr>
          <w:lang w:val="vi-VN"/>
        </w:rPr>
      </w:r>
      <w:r>
        <w:rPr>
          <w:rFonts w:ascii="Times New Roman" w:hAnsi="Times New Roman" w:eastAsia="Times New Roman" w:cs="Times New Roman"/>
          <w:color w:val="000000"/>
          <w:sz w:val="24"/>
          <w:szCs w:val="24"/>
        </w:rPr>
      </w:r>
    </w:p>
    <w:p>
      <w:pPr>
        <w:pStyle w:val="1029"/>
        <w:numPr>
          <w:ilvl w:val="0"/>
          <w:numId w:val="5"/>
        </w:numPr>
        <w:pBdr/>
        <w:spacing w:after="120" w:before="120" w:line="288" w:lineRule="auto"/>
        <w:ind/>
        <w:jc w:val="both"/>
        <w:rPr>
          <w:rFonts w:ascii="Times New Roman" w:hAnsi="Times New Roman" w:eastAsia="Times New Roman" w:cs="Times New Roman"/>
          <w:color w:val="ee0000"/>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color w:val="ee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ee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ee0000"/>
          <w:sz w:val="24"/>
        </w:rPr>
        <w:t xml:space="preserve"> nhận rõ tình trạng quy hoạch thì kết quả thẩm định giá cần được xem xét, điều chỉnh phù hợp, đồng thời chúng tôi bảo lưu quyền xem xét lại kết quả thẩm định giá.</w:t>
      </w:r>
      <w:r>
        <w:rPr>
          <w:lang w:val="vi-VN"/>
        </w:rPr>
      </w:r>
      <w:r>
        <w:rPr>
          <w:rFonts w:ascii="Times New Roman" w:hAnsi="Times New Roman" w:eastAsia="Times New Roman" w:cs="Times New Roman"/>
          <w:color w:val="ee0000"/>
          <w:sz w:val="24"/>
          <w:szCs w:val="24"/>
        </w:rPr>
      </w:r>
    </w:p>
    <w:p>
      <w:pPr>
        <w:pStyle w:val="1029"/>
        <w:numPr>
          <w:ilvl w:val="0"/>
          <w:numId w:val="5"/>
        </w:numPr>
        <w:pBdr/>
        <w:spacing w:after="120" w:before="120" w:line="288" w:lineRule="auto"/>
        <w:ind/>
        <w:jc w:val="both"/>
        <w:rPr>
          <w:lang w:val="vi-VN"/>
        </w:rPr>
      </w:pPr>
      <w:r>
        <w:rPr>
          <w:rFonts w:ascii="Times New Roman" w:hAnsi="Times New Roman" w:eastAsia="Times New Roman" w:cs="Times New Roman"/>
          <w:color w:val="ee0000"/>
          <w:sz w:val="24"/>
        </w:rPr>
      </w:r>
      <w:r>
        <w:rPr>
          <w:rFonts w:ascii="Times New Roman" w:hAnsi="Times New Roman" w:eastAsia="Times New Roman" w:cs="Times New Roman"/>
          <w:color w:val="000000"/>
          <w:sz w:val="24"/>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rFonts w:ascii="Times New Roman" w:hAnsi="Times New Roman" w:eastAsia="Times New Roman" w:cs="Times New Roman"/>
          <w:color w:val="000000"/>
          <w:sz w:val="24"/>
        </w:rPr>
        <w:t xml:space="preserve"> mô tả, nên nguồn định vị các tsss chỉ mang tính chính xác tương đối . Khách hàng và các bên thứ ba khi sử dụng kết quả thẩm định giá cần lưu ý khi sử dụng Chứng thư thẩm định giá.</w:t>
      </w:r>
      <w:r>
        <w:rPr>
          <w:lang w:val="vi-VN"/>
        </w:rPr>
      </w:r>
      <w:r>
        <w:rPr>
          <w:lang w:val="vi-VN"/>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highlight w:val="none"/>
          <w:lang w:val="vi-VN"/>
        </w:rPr>
      </w:r>
      <w:r>
        <w:rPr>
          <w:highlight w:val="none"/>
          <w:lang w:val="vi-VN"/>
        </w:rPr>
      </w:r>
      <w:r>
        <w:rPr>
          <w:lang w:val="vi-VN"/>
        </w:rPr>
      </w:r>
    </w:p>
    <w:p>
      <w:pPr>
        <w:pStyle w:val="102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9"/>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275/2026/1482/VFI-CT.T06.A</w:t>
      </w:r>
      <w:r>
        <w:rPr>
          <w:color w:val="ff0000"/>
          <w:lang w:val="vi-VN"/>
        </w:rPr>
        <w:t xml:space="preserve"> </w:t>
      </w:r>
      <w:r>
        <w:rPr>
          <w:color w:val="000000" w:themeColor="text1"/>
        </w:rPr>
        <w:t xml:space="preserve">ngày 21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highlight w:val="none"/>
          <w:lang w:val="vi-VN"/>
        </w:rPr>
      </w:r>
    </w:p>
    <w:p>
      <w:pPr>
        <w:pStyle w:val="1029"/>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9"/>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9"/>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Đường Văn Tuyến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275/2026/1482/VFI-BC.T06.A</w:t>
      </w:r>
      <w:r>
        <w:rPr>
          <w:i/>
          <w:lang w:val="pt-BR"/>
        </w:rPr>
        <w:t xml:space="preserve"> </w:t>
      </w:r>
      <w:r>
        <w:rPr>
          <w:i/>
          <w:lang w:val="pt-BR"/>
        </w:rPr>
        <w:t xml:space="preserve">ngày </w:t>
      </w:r>
      <w:r>
        <w:rPr>
          <w:i/>
          <w:lang w:val="pt-BR"/>
        </w:rPr>
        <w:t xml:space="preserve">21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Mặt </w:t>
            </w:r>
            <w:r>
              <w:rPr>
                <w:b/>
                <w:bCs/>
                <w:i/>
                <w:lang w:val="pt-BR"/>
              </w:rPr>
              <w:t xml:space="preserve">tiền</w:t>
            </w:r>
            <w:r>
              <w:rPr>
                <w:b/>
                <w:bCs/>
                <w:i/>
                <w:lang w:val="pt-BR"/>
              </w:rPr>
              <w:t xml:space="preserve"> tài</w:t>
            </w:r>
            <w:r>
              <w:rPr>
                <w:b/>
                <w:bCs/>
                <w:i/>
                <w:lang w:val="pt-BR"/>
              </w:rPr>
              <w:t xml:space="preserve">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45536" cy="198207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178477" name=""/>
                              <pic:cNvPicPr>
                                <a:picLocks noChangeAspect="1"/>
                              </pic:cNvPicPr>
                              <pic:nvPr/>
                            </pic:nvPicPr>
                            <pic:blipFill rotWithShape="1">
                              <a:blip r:embed="rId21"/>
                              <a:stretch/>
                            </pic:blipFill>
                            <pic:spPr bwMode="auto">
                              <a:xfrm flipH="0" flipV="0">
                                <a:off x="0" y="0"/>
                                <a:ext cx="2645535" cy="19820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8.31pt;height:156.07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82765" cy="19350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838814" name=""/>
                              <pic:cNvPicPr>
                                <a:picLocks noChangeAspect="1"/>
                              </pic:cNvPicPr>
                              <pic:nvPr/>
                            </pic:nvPicPr>
                            <pic:blipFill rotWithShape="1">
                              <a:blip r:embed="rId22"/>
                              <a:stretch/>
                            </pic:blipFill>
                            <pic:spPr bwMode="auto">
                              <a:xfrm flipH="0" flipV="0">
                                <a:off x="0" y="0"/>
                                <a:ext cx="2582765" cy="193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3.37pt;height:152.3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52789" cy="198959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95841" name=""/>
                              <pic:cNvPicPr>
                                <a:picLocks noChangeAspect="1"/>
                              </pic:cNvPicPr>
                              <pic:nvPr/>
                            </pic:nvPicPr>
                            <pic:blipFill rotWithShape="1">
                              <a:blip r:embed="rId23"/>
                              <a:stretch/>
                            </pic:blipFill>
                            <pic:spPr bwMode="auto">
                              <a:xfrm flipH="0" flipV="0">
                                <a:off x="0" y="0"/>
                                <a:ext cx="2652788" cy="19895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8.88pt;height:156.66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87858" cy="201589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260858" name=""/>
                              <pic:cNvPicPr>
                                <a:picLocks noChangeAspect="1"/>
                              </pic:cNvPicPr>
                              <pic:nvPr/>
                            </pic:nvPicPr>
                            <pic:blipFill rotWithShape="1">
                              <a:blip r:embed="rId24"/>
                              <a:stretch/>
                            </pic:blipFill>
                            <pic:spPr bwMode="auto">
                              <a:xfrm flipH="0" flipV="0">
                                <a:off x="0" y="0"/>
                                <a:ext cx="2687858" cy="20158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1.64pt;height:158.73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1207" cy="210840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83332" name=""/>
                              <pic:cNvPicPr>
                                <a:picLocks noChangeAspect="1"/>
                              </pic:cNvPicPr>
                              <pic:nvPr/>
                            </pic:nvPicPr>
                            <pic:blipFill rotWithShape="1">
                              <a:blip r:embed="rId25"/>
                              <a:stretch/>
                            </pic:blipFill>
                            <pic:spPr bwMode="auto">
                              <a:xfrm flipH="0" flipV="0">
                                <a:off x="0" y="0"/>
                                <a:ext cx="2811206" cy="21084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1.35pt;height:166.02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24668" cy="211850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503391" name=""/>
                              <pic:cNvPicPr>
                                <a:picLocks noChangeAspect="1"/>
                              </pic:cNvPicPr>
                              <pic:nvPr/>
                            </pic:nvPicPr>
                            <pic:blipFill rotWithShape="1">
                              <a:blip r:embed="rId26"/>
                              <a:stretch/>
                            </pic:blipFill>
                            <pic:spPr bwMode="auto">
                              <a:xfrm flipH="0" flipV="0">
                                <a:off x="0" y="0"/>
                                <a:ext cx="2824667" cy="2118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2.41pt;height:166.81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97351" name=""/>
                        <pic:cNvPicPr>
                          <a:picLocks noChangeAspect="1"/>
                        </pic:cNvPicPr>
                        <pic:nvPr/>
                      </pic:nvPicPr>
                      <pic:blipFill rotWithShape="1">
                        <a:blip r:embed="rId2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7" o:title=""/>
                <o:lock v:ext="edit" rotation="t"/>
              </v:shape>
            </w:pict>
          </mc:Fallback>
        </mc:AlternateContent>
      </w:r>
      <w:r/>
    </w:p>
    <w:p>
      <w:pPr>
        <w:pBdr/>
        <w:spacing w:after="200" w:line="276" w:lineRule="auto"/>
        <w:ind/>
        <w:jc w:val="center"/>
        <w:rPr>
          <w:b/>
          <w:bCs/>
          <w:u w:val="single"/>
          <w:lang w:val="vi-VN"/>
        </w:rPr>
      </w:pPr>
      <w:r>
        <w:rPr>
          <w:b/>
          <w:u w:val="single"/>
          <w:lang w:val="vi-VN"/>
        </w:rPr>
      </w: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39745"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8" o:title=""/>
                <o:lock v:ext="edit" rotation="t"/>
              </v:shape>
            </w:pict>
          </mc:Fallback>
        </mc:AlternateContent>
      </w:r>
      <w:r>
        <mc:AlternateContent>
          <mc:Choice Requires="wpg">
            <w:drawing>
              <wp:inline xmlns:wp="http://schemas.openxmlformats.org/drawingml/2006/wordprocessingDrawing" distT="0" distB="0" distL="0" distR="0">
                <wp:extent cx="604837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5134" name=""/>
                        <pic:cNvPicPr>
                          <a:picLocks noChangeAspect="1"/>
                        </pic:cNvPicPr>
                        <pic:nvPr/>
                      </pic:nvPicPr>
                      <pic:blipFill rotWithShape="1">
                        <a:blip r:embed="rId2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00pt;mso-wrap-distance-left:0.00pt;mso-wrap-distance-top:0.00pt;mso-wrap-distance-right:0.00pt;mso-wrap-distance-bottom:0.00pt;z-index:1;" stroked="false">
                <v:imagedata r:id="rId29" o:title=""/>
                <o:lock v:ext="edit" rotation="t"/>
              </v:shape>
            </w:pict>
          </mc:Fallback>
        </mc:AlternateContent>
      </w:r>
      <w:r>
        <w:rPr>
          <w:i/>
          <w:lang w:val="pt-BR"/>
        </w:rPr>
      </w:r>
      <w:r>
        <w:rPr>
          <w:b/>
          <w:bCs/>
          <w:u w:val="single"/>
          <w:lang w:val="vi-VN"/>
        </w:rPr>
      </w:r>
    </w:p>
    <w:p>
      <w:pPr>
        <w:pBdr/>
        <w:spacing w:after="200" w:line="276" w:lineRule="auto"/>
        <w:ind/>
        <w:jc w:val="center"/>
        <w:rPr>
          <w:bCs/>
          <w:i/>
          <w:lang w:val="pt-BR"/>
        </w:rPr>
      </w:pPr>
      <w:r>
        <w:rPr>
          <w:b/>
          <w:highlight w:val="none"/>
        </w:rPr>
      </w:r>
      <w:r>
        <w:rPr>
          <w:b/>
          <w:highlight w:val="none"/>
        </w:rPr>
      </w:r>
      <w:r>
        <w:rPr>
          <w:bCs/>
          <w:i/>
          <w:lang w:val="pt-BR"/>
        </w:rPr>
      </w:r>
    </w:p>
    <w:p>
      <w:pPr>
        <w:pBdr/>
        <w:spacing w:after="200" w:line="276" w:lineRule="auto"/>
        <w:ind/>
        <w:jc w:val="center"/>
        <w:rPr>
          <w:b/>
          <w:bCs/>
          <w:u w:val="single"/>
          <w:lang w:val="vi-VN"/>
        </w:rPr>
      </w:pPr>
      <w:r>
        <w:rPr>
          <w:b/>
          <w:u w:val="single"/>
          <w:lang w:val="vi-VN"/>
        </w:rPr>
      </w:r>
      <w:r>
        <mc:AlternateContent>
          <mc:Choice Requires="wpg">
            <w:drawing>
              <wp:inline xmlns:wp="http://schemas.openxmlformats.org/drawingml/2006/wordprocessingDrawing" distT="0" distB="0" distL="0" distR="0">
                <wp:extent cx="6048375" cy="80645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71468"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00pt;mso-wrap-distance-left:0.00pt;mso-wrap-distance-top:0.00pt;mso-wrap-distance-right:0.00pt;mso-wrap-distance-bottom:0.00pt;z-index:1;" stroked="false">
                <v:imagedata r:id="rId30" o:title=""/>
                <o:lock v:ext="edit" rotation="t"/>
              </v:shape>
            </w:pict>
          </mc:Fallback>
        </mc:AlternateContent>
      </w:r>
      <w:r>
        <w:rPr>
          <w:b/>
          <w:bCs/>
          <w:highlight w:val="none"/>
        </w:rPr>
      </w:r>
      <w:r>
        <w:rPr>
          <w:b/>
          <w:bCs/>
          <w:u w:val="single"/>
          <w:lang w:val="vi-VN"/>
        </w:rPr>
      </w:r>
    </w:p>
    <w:p>
      <w:pPr>
        <w:pBdr/>
        <w:spacing w:after="200" w:line="276" w:lineRule="auto"/>
        <w:ind/>
        <w:jc w:val="center"/>
        <w:rPr>
          <w:b/>
          <w:bCs/>
          <w:highlight w:val="none"/>
        </w:rPr>
      </w:pPr>
      <w:r>
        <w:rPr>
          <w:b/>
          <w:highlight w:val="none"/>
        </w:rPr>
      </w:r>
      <w:r>
        <w:rPr>
          <w:b/>
          <w:highlight w:val="none"/>
        </w:rPr>
      </w:r>
      <w:r>
        <w:rPr>
          <w:b/>
          <w:bCs/>
          <w:highlight w:val="none"/>
        </w:rPr>
      </w:r>
    </w:p>
    <w:p>
      <w:pPr>
        <w:pBdr/>
        <w:spacing w:after="200" w:line="276" w:lineRule="auto"/>
        <w:ind/>
        <w:jc w:val="center"/>
        <w:rPr>
          <w:b/>
          <w:bCs/>
          <w:highlight w:val="none"/>
        </w:rPr>
      </w:pPr>
      <w:r>
        <w:rPr>
          <w:b/>
          <w:highlight w:val="none"/>
        </w:rPr>
      </w:r>
      <w:r>
        <w:rPr>
          <w:b/>
          <w:highlight w:val="none"/>
        </w:rPr>
      </w:r>
      <w:r>
        <w:rPr>
          <w:b/>
          <w:bCs/>
          <w:highlight w:val="none"/>
        </w:rPr>
      </w:r>
    </w:p>
    <w:p>
      <w:pPr>
        <w:pBdr/>
        <w:spacing w:after="200" w:line="276" w:lineRule="auto"/>
        <w:ind/>
        <w:jc w:val="center"/>
        <w:rPr>
          <w:b/>
          <w:bCs/>
          <w:highlight w:val="none"/>
        </w:rPr>
      </w:pPr>
      <w:r>
        <w:rPr>
          <w:b/>
          <w:highlight w:val="none"/>
        </w:rPr>
      </w:r>
      <w:r>
        <w:rPr>
          <w:b/>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p>
    <w:p>
      <w:pPr>
        <w:pBdr/>
        <w:spacing/>
        <w:ind/>
        <w:jc w:val="center"/>
        <w:rPr>
          <w:i/>
          <w:lang w:val="pt-BR"/>
        </w:rPr>
      </w:pPr>
      <w:r>
        <w:rPr>
          <w:i/>
          <w:lang w:val="pt-BR"/>
        </w:rPr>
        <w:t xml:space="preserve">(Kèm theo Báo cáo thẩm định số </w:t>
      </w:r>
      <w:r>
        <w:rPr>
          <w:i/>
        </w:rPr>
        <w:t xml:space="preserve">275/2026/1482/VFI-BC.T06.A</w:t>
      </w:r>
      <w:r>
        <w:rPr>
          <w:i/>
          <w:lang w:val="pt-BR"/>
        </w:rPr>
        <w:t xml:space="preserve"> </w:t>
      </w:r>
      <w:r>
        <w:rPr>
          <w:i/>
          <w:lang w:val="pt-BR"/>
        </w:rPr>
        <w:t xml:space="preserve">ngày </w:t>
      </w:r>
      <w:r>
        <w:rPr>
          <w:i/>
          <w:lang w:val="pt-BR"/>
        </w:rPr>
        <w:t xml:space="preserve">21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0948031338</w:t>
            </w:r>
            <w:r>
              <w:rPr>
                <w:sz w:val="22"/>
                <w:szCs w:val="22"/>
              </w:rPr>
              <w:t xml:space="preserve"> </w:t>
            </w:r>
            <w:r>
              <w:rPr>
                <w:sz w:val="22"/>
                <w:szCs w:val="22"/>
              </w:rPr>
              <w:br/>
              <w:t xml:space="preserve">(Thu Trang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(54m²)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P</w:t>
            </w:r>
            <w:r>
              <w:rPr>
                <w:color w:val="000000" w:themeColor="text1"/>
                <w:sz w:val="22"/>
                <w:szCs w:val="22"/>
              </w:rPr>
              <w:t xml:space="preserve">hường Xuân Đỉnh, thành phố Hà Nội</w:t>
            </w:r>
            <w:r>
              <w:rPr>
                <w:color w:val="000000" w:themeColor="text1"/>
                <w:sz w:val="22"/>
                <w:szCs w:val="22"/>
              </w:rPr>
              <w:t xml:space="preserve">, khoảng cách ra đường chính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khoảng </w:t>
            </w:r>
            <w:r>
              <w:rPr>
                <w:color w:val="000000" w:themeColor="text1"/>
                <w:sz w:val="22"/>
                <w:szCs w:val="22"/>
              </w:rPr>
              <w:t xml:space="preserve">100m</w:t>
            </w:r>
            <w:r>
              <w:rPr>
                <w:color w:val="000000" w:themeColor="text1"/>
                <w:sz w:val="22"/>
                <w:szCs w:val="22"/>
              </w:rPr>
              <w:t xml:space="preserve">, độ rộng đường trước mặt tài sản 2,5m, mặt tiền 4m, 21.07177002281599, 105.8008377420637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3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762247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762247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600.19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53252"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6532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45.14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Đường </w:t>
            </w:r>
            <w:r>
              <w:rPr>
                <w:b/>
                <w:bCs/>
              </w:rPr>
              <w:t xml:space="preserve">Văn </w:t>
            </w:r>
            <w:r>
              <w:rPr>
                <w:b/>
                <w:bCs/>
              </w:rPr>
              <w:t xml:space="preserve">Tuyến</w:t>
            </w:r>
            <w:r>
              <w:rPr>
                <w:b/>
                <w:bCs/>
              </w:rPr>
            </w:r>
            <w:r>
              <w:rPr>
                <w:b/>
                <w:bCs/>
              </w:rP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https://guland.vn/post/ban-gapxuan-dinhoto-do-cuafull-noi-thatdt59m2-x-5tangmt41mgia142-ty-bac-tu-liem-1364243</w:t>
            </w:r>
            <w:r>
              <w:rPr>
                <w:color w:val="000000" w:themeColor="text1"/>
                <w:sz w:val="22"/>
                <w:szCs w:val="22"/>
              </w:rPr>
              <w:br/>
              <w:t xml:space="preserve">0333.498.806</w:t>
            </w:r>
            <w:r>
              <w:rPr>
                <w:sz w:val="22"/>
                <w:szCs w:val="22"/>
              </w:rPr>
              <w:t xml:space="preserve"> </w:t>
            </w:r>
            <w:r>
              <w:rPr>
                <w:sz w:val="22"/>
                <w:szCs w:val="22"/>
              </w:rPr>
              <w:br/>
              <w:t xml:space="preserve">(Tùng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(59m²)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P</w:t>
            </w:r>
            <w:r>
              <w:rPr>
                <w:color w:val="000000" w:themeColor="text1"/>
                <w:sz w:val="22"/>
                <w:szCs w:val="22"/>
              </w:rPr>
              <w:t xml:space="preserve">hường Xuân Đỉnh, thành phố Hà Nội</w:t>
            </w:r>
            <w:r>
              <w:rPr>
                <w:color w:val="000000" w:themeColor="text1"/>
                <w:sz w:val="22"/>
                <w:szCs w:val="22"/>
              </w:rPr>
              <w:t xml:space="preserve">, khoảng cách ra đường chính </w:t>
            </w:r>
            <w:r>
              <w:rPr>
                <w:color w:val="000000" w:themeColor="text1"/>
                <w:sz w:val="22"/>
                <w:szCs w:val="22"/>
              </w:rPr>
              <w:t xml:space="preserve">Phạm Văn Đồng khoảng </w:t>
            </w:r>
            <w:r>
              <w:rPr>
                <w:color w:val="000000" w:themeColor="text1"/>
                <w:sz w:val="22"/>
                <w:szCs w:val="22"/>
              </w:rPr>
              <w:t xml:space="preserve">2</w:t>
            </w:r>
            <w:r>
              <w:rPr>
                <w:color w:val="000000" w:themeColor="text1"/>
                <w:sz w:val="22"/>
                <w:szCs w:val="22"/>
              </w:rPr>
              <w:t xml:space="preserve">00m</w:t>
            </w:r>
            <w:r>
              <w:rPr>
                <w:color w:val="000000" w:themeColor="text1"/>
                <w:sz w:val="22"/>
                <w:szCs w:val="22"/>
              </w:rPr>
              <w:t xml:space="preserve">, độ rộng đường trước mặt tài sản 2,5m, mặt tiền 4,34m, 21.069833333333, 105.78725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5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57244"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65724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9.23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766571"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76657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75.32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54616"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65461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9.02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Đường </w:t>
            </w:r>
            <w:r>
              <w:rPr>
                <w:b/>
                <w:bCs/>
              </w:rPr>
              <w:t xml:space="preserve">Văn </w:t>
            </w:r>
            <w:r>
              <w:rPr>
                <w:b/>
                <w:bCs/>
              </w:rPr>
              <w:t xml:space="preserve">Tuyến</w:t>
            </w:r>
            <w:r>
              <w:rPr>
                <w:b/>
                <w:bCs/>
              </w:rPr>
            </w:r>
            <w:r>
              <w:rPr>
                <w:b/>
                <w:bCs/>
              </w:rPr>
            </w:r>
          </w:p>
        </w:tc>
      </w:tr>
    </w:tbl>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https://batdongsan.com.vn/ban-nha-rieng-duong-xuan-dinh-phuong-xuan-dinh/ban-at-tang-vi-tri-ep-cach-uong-mo-rong-chuc-met-pr46148537</w:t>
            </w:r>
            <w:r>
              <w:rPr>
                <w:color w:val="000000" w:themeColor="text1"/>
                <w:sz w:val="22"/>
                <w:szCs w:val="22"/>
              </w:rPr>
              <w:br/>
            </w:r>
            <w:r>
              <w:rPr>
                <w:sz w:val="22"/>
                <w:szCs w:val="22"/>
              </w:rPr>
              <w:t xml:space="preserve">SĐT: </w:t>
            </w:r>
            <w:r>
              <w:rPr>
                <w:color w:val="000000" w:themeColor="text1"/>
                <w:sz w:val="22"/>
                <w:szCs w:val="22"/>
              </w:rPr>
              <w:t xml:space="preserve">0933462885</w:t>
            </w:r>
            <w:r>
              <w:rPr>
                <w:sz w:val="22"/>
                <w:szCs w:val="22"/>
              </w:rPr>
              <w:t xml:space="preserve"> </w:t>
            </w:r>
            <w:r>
              <w:rPr>
                <w:sz w:val="22"/>
                <w:szCs w:val="22"/>
              </w:rPr>
              <w:br/>
              <w:t xml:space="preserve">(Dũng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15.916.000.000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12.732.800.000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(69,2m²)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P</w:t>
            </w:r>
            <w:r>
              <w:rPr>
                <w:color w:val="000000" w:themeColor="text1"/>
                <w:sz w:val="22"/>
                <w:szCs w:val="22"/>
              </w:rPr>
              <w:t xml:space="preserve">hường Xuân Đỉnh, thành phố Hà Nội</w:t>
            </w:r>
            <w:r>
              <w:rPr>
                <w:color w:val="000000" w:themeColor="text1"/>
                <w:sz w:val="22"/>
                <w:szCs w:val="22"/>
              </w:rPr>
              <w:t xml:space="preserve">, khoảng cách ra đường chính </w:t>
            </w:r>
            <w:r>
              <w:rPr>
                <w:color w:val="000000" w:themeColor="text1"/>
                <w:sz w:val="22"/>
                <w:szCs w:val="22"/>
              </w:rPr>
              <w:t xml:space="preserve">Xuân </w:t>
            </w:r>
            <w:r>
              <w:rPr>
                <w:color w:val="000000" w:themeColor="text1"/>
                <w:sz w:val="22"/>
                <w:szCs w:val="22"/>
              </w:rPr>
              <w:t xml:space="preserve">Đỉnh </w:t>
            </w:r>
            <w:r>
              <w:rPr>
                <w:color w:val="000000" w:themeColor="text1"/>
                <w:sz w:val="22"/>
                <w:szCs w:val="22"/>
              </w:rPr>
              <w:t xml:space="preserve">khoảng </w:t>
            </w:r>
            <w:r>
              <w:rPr>
                <w:color w:val="000000" w:themeColor="text1"/>
                <w:sz w:val="22"/>
                <w:szCs w:val="22"/>
              </w:rPr>
              <w:t xml:space="preserve">300m</w:t>
            </w:r>
            <w:r>
              <w:rPr>
                <w:color w:val="000000" w:themeColor="text1"/>
                <w:sz w:val="22"/>
                <w:szCs w:val="22"/>
              </w:rPr>
              <w:t xml:space="preserve">, độ rộng đường trước mặt tài sản 2,5m, mặt tiền 4,89m, 21.068583333333333, 105.79091666666666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69,2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002208"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600220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2.61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6287"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146628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15.46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93902"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13939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09.76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393902"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13939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09.76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091356"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309135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43.41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Đường </w:t>
            </w:r>
            <w:r>
              <w:rPr>
                <w:b/>
                <w:bCs/>
              </w:rPr>
              <w:t xml:space="preserve">Văn </w:t>
            </w:r>
            <w:r>
              <w:rPr>
                <w:b/>
                <w:bCs/>
              </w:rPr>
              <w:t xml:space="preserve">Tuyến</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app.thanhuyhanoi.vn/tin-tuc/phuong-xuan-dinh/hdnd-phuong-xuan-dinh-quyet-nghi-nhieu-noi-dung-trong-tam-tao-luc-day-cho-dau-tu-cong-va-chinh-trang-do-thi-50049821.html?utm_source=chatgpt.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Đường Văn Tuyến</cp:lastModifiedBy>
  <cp:revision>285</cp:revision>
  <dcterms:created xsi:type="dcterms:W3CDTF">2025-09-15T09:58:00Z</dcterms:created>
  <dcterms:modified xsi:type="dcterms:W3CDTF">2026-09-23T08:09:17Z</dcterms:modified>
</cp:coreProperties>
</file>