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bCs/>
          <w:sz w:val="28"/>
          <w:szCs w:val="28"/>
          <w:lang w:val="vi-VN"/>
        </w:rPr>
      </w:pPr>
      <w:r>
        <w:rPr>
          <w:b/>
          <w:bCs/>
          <w:sz w:val="28"/>
          <w:szCs w:val="28"/>
          <w:lang w:val="vi-VN"/>
        </w:rPr>
      </w:r>
      <w:r>
        <w:rPr>
          <w:b/>
          <w:bCs/>
          <w:sz w:val="28"/>
          <w:szCs w:val="28"/>
          <w:lang w:val="vi-VN"/>
        </w:rPr>
      </w:r>
      <w:r>
        <w:rPr>
          <w:b/>
          <w:bCs/>
          <w:sz w:val="28"/>
          <w:szCs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70153</wp:posOffset>
                </wp:positionV>
                <wp:extent cx="5467350" cy="419100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41909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bCs/>
                                <w:color w:val="000000" w:themeColor="text1"/>
                                <w:highlight w:val="none"/>
                              </w:rPr>
                            </w:pPr>
                            <w:r>
                              <w:rPr>
                                <w:b/>
                                <w:color w:val="000000" w:themeColor="text1"/>
                              </w:rPr>
                              <w:t xml:space="preserve">Số: </w:t>
                            </w:r>
                            <w:r>
                              <w:rPr>
                                <w:b/>
                                <w:color w:val="000000" w:themeColor="text1"/>
                              </w:rPr>
                              <w:t xml:space="preserve">275/2026/1467/VFI-CT.T04.A</w:t>
                            </w:r>
                            <w:r>
                              <w:rPr>
                                <w:b/>
                                <w:bCs/>
                                <w:color w:val="000000" w:themeColor="text1"/>
                                <w:highlight w:val="none"/>
                              </w:rPr>
                            </w:r>
                            <w:r>
                              <w:rPr>
                                <w:b/>
                                <w:bCs/>
                                <w:color w:val="000000" w:themeColor="text1"/>
                                <w:highlight w:val="none"/>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Ngân Hàng Nông Nghiệp và Phát Triển Nông Thôn Việt Nam- Chi Nhánh Mạo Khê Quảng Ninh</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05</w:t>
                            </w:r>
                            <w:r>
                              <w:rPr>
                                <w:color w:val="000000"/>
                              </w:rPr>
                              <w:t xml:space="preserve">-Lô A7, </w:t>
                            </w:r>
                            <w:commentRangeStart w:id="0"/>
                            <w:r>
                              <w:rPr>
                                <w:color w:val="000000"/>
                              </w:rPr>
                              <w:t xml:space="preserve">tờ bản đồ số: ./. </w:t>
                            </w:r>
                            <w:commentRangeEnd w:id="0"/>
                            <w:r>
                              <w:commentReference w:id="0"/>
                            </w:r>
                            <w:r>
                              <w:rPr>
                                <w:color w:val="000000"/>
                              </w:rPr>
                              <w:t xml:space="preserve">, có địa chỉ: Khu Đô thị Du lịch và Bến Cảng Cao Cấp Ao Tiên tại xã Hạ Long, Vân Đồn, Quảng Ninh </w:t>
                            </w:r>
                            <w:r>
                              <w:rPr>
                                <w:color w:val="000000"/>
                                <w:highlight w:val="yellow"/>
                              </w:rPr>
                              <w:t xml:space="preserve">(nay</w:t>
                            </w:r>
                            <w:r>
                              <w:rPr>
                                <w:color w:val="000000"/>
                              </w:rPr>
                              <w:t xml:space="preserve"> là Đặc khu Vân Đồn, tỉnh Quả</w:t>
                            </w:r>
                            <w:r>
                              <w:rPr>
                                <w:color w:val="000000"/>
                              </w:rPr>
                              <w:t xml:space="preserve">ng </w:t>
                            </w:r>
                            <w:r>
                              <w:rPr>
                                <w:color w:val="000000"/>
                                <w:highlight w:val="yellow"/>
                              </w:rPr>
                              <w:t xml:space="preserve">Ninh)</w:t>
                            </w:r>
                            <w:r>
                              <w:rPr>
                                <w:color w:val="000000"/>
                              </w:rPr>
                              <w:t xml:space="preserve"> theo Giấy chứng nhận quyền sử dụng đất, quyền sở hữu nhà ở và tài sản khác gắn liền với đất số: DE 478517, Số vào sổ cấp GCN: CH07824 do Ủy ban nhân dân huyện Vân Đồn cấp ngày 26/09/2022; chủ sử dụng đất là Ông Nguyễn Công Tám và bà Vũ Thanh Tâm</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5.52pt;mso-position-vertical:absolute;width:430.50pt;height:330.0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bCs/>
                          <w:color w:val="000000" w:themeColor="text1"/>
                          <w:highlight w:val="none"/>
                        </w:rPr>
                      </w:pPr>
                      <w:r>
                        <w:rPr>
                          <w:b/>
                          <w:color w:val="000000" w:themeColor="text1"/>
                        </w:rPr>
                        <w:t xml:space="preserve">Số: </w:t>
                      </w:r>
                      <w:r>
                        <w:rPr>
                          <w:b/>
                          <w:color w:val="000000" w:themeColor="text1"/>
                        </w:rPr>
                        <w:t xml:space="preserve">275/2026/1467/VFI-CT.T04.A</w:t>
                      </w:r>
                      <w:r>
                        <w:rPr>
                          <w:b/>
                          <w:bCs/>
                          <w:color w:val="000000" w:themeColor="text1"/>
                          <w:highlight w:val="none"/>
                        </w:rPr>
                      </w:r>
                      <w:r>
                        <w:rPr>
                          <w:b/>
                          <w:bCs/>
                          <w:color w:val="000000" w:themeColor="text1"/>
                          <w:highlight w:val="none"/>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Ngân Hàng Nông Nghiệp và Phát Triển Nông Thôn Việt Nam- Chi Nhánh Mạo Khê Quảng Ninh</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05</w:t>
                      </w:r>
                      <w:r>
                        <w:rPr>
                          <w:color w:val="000000"/>
                        </w:rPr>
                        <w:t xml:space="preserve">-Lô A7, </w:t>
                      </w:r>
                      <w:commentRangeStart w:id="0"/>
                      <w:r>
                        <w:rPr>
                          <w:color w:val="000000"/>
                        </w:rPr>
                        <w:t xml:space="preserve">tờ bản đồ số: ./. </w:t>
                      </w:r>
                      <w:commentRangeEnd w:id="0"/>
                      <w:r>
                        <w:commentReference w:id="0"/>
                      </w:r>
                      <w:r>
                        <w:rPr>
                          <w:color w:val="000000"/>
                        </w:rPr>
                        <w:t xml:space="preserve">, có địa chỉ: Khu Đô thị Du lịch và Bến Cảng Cao Cấp Ao Tiên tại xã Hạ Long, Vân Đồn, Quảng Ninh </w:t>
                      </w:r>
                      <w:r>
                        <w:rPr>
                          <w:color w:val="000000"/>
                          <w:highlight w:val="yellow"/>
                        </w:rPr>
                        <w:t xml:space="preserve">(nay</w:t>
                      </w:r>
                      <w:r>
                        <w:rPr>
                          <w:color w:val="000000"/>
                        </w:rPr>
                        <w:t xml:space="preserve"> là Đặc khu Vân Đồn, tỉnh Quả</w:t>
                      </w:r>
                      <w:r>
                        <w:rPr>
                          <w:color w:val="000000"/>
                        </w:rPr>
                        <w:t xml:space="preserve">ng </w:t>
                      </w:r>
                      <w:r>
                        <w:rPr>
                          <w:color w:val="000000"/>
                          <w:highlight w:val="yellow"/>
                        </w:rPr>
                        <w:t xml:space="preserve">Ninh)</w:t>
                      </w:r>
                      <w:r>
                        <w:rPr>
                          <w:color w:val="000000"/>
                        </w:rPr>
                        <w:t xml:space="preserve"> theo Giấy chứng nhận quyền sử dụng đất, quyền sở hữu nhà ở và tài sản khác gắn liền với đất số: DE 478517, Số vào sổ cấp GCN: CH07824 do Ủy ban nhân dân huyện Vân Đồn cấp ngày 26/09/2022; chủ sử dụng đất là Ông Nguyễn Công Tám và bà Vũ Thanh Tâm</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4-24</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25-29</w:t>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30-35</w:t>
            </w:r>
            <w:r>
              <w:rPr>
                <w:b/>
                <w:bCs/>
              </w:rPr>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ayout w:type="fixed"/>
        <w:tblLook w:val="04A0" w:firstRow="1" w:lastRow="0" w:firstColumn="1" w:lastColumn="0" w:noHBand="0" w:noVBand="1"/>
      </w:tblPr>
      <w:tblGrid>
        <w:gridCol w:w="29"/>
        <w:gridCol w:w="1829"/>
        <w:gridCol w:w="2388"/>
        <w:gridCol w:w="5846"/>
        <w:gridCol w:w="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4217"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275/2026/1467/VFI-CT.T04.A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846"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18 tháng 9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NGÂN HÀNG NÔNG NGHIỆP VÀ PHÁ</w:t>
      </w:r>
      <w:r>
        <w:rPr>
          <w:rFonts w:ascii="Times New Roman Bold" w:hAnsi="Times New Roman Bold"/>
          <w:b/>
          <w:color w:val="000000" w:themeColor="text1"/>
          <w:lang w:val="pt-BR"/>
        </w:rPr>
        <w:t xml:space="preserve">T TRIỂN NÔNG THÔN VIỆT NAM- CHI NHÁNH MẠO KHÊ QUẢN</w:t>
      </w:r>
      <w:r>
        <w:rPr>
          <w:rFonts w:ascii="Times New Roman Bold" w:hAnsi="Times New Roman Bold"/>
          <w:b/>
          <w:color w:val="000000" w:themeColor="text1"/>
          <w:lang w:val="pt-BR"/>
        </w:rPr>
        <w:t xml:space="preserve">G NINH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275/2026/1467/VFI-HĐTĐ.T04.A</w:t>
      </w:r>
      <w:r>
        <w:rPr>
          <w:spacing w:val="-4"/>
          <w:lang w:val="vi-VN"/>
        </w:rPr>
        <w:t xml:space="preserve"> ký ngày </w:t>
      </w:r>
      <w:r>
        <w:rPr>
          <w:color w:val="000000" w:themeColor="text1"/>
          <w:spacing w:val="-4"/>
        </w:rPr>
        <w:t xml:space="preserve">14 tháng 9 năm 2026</w:t>
      </w:r>
      <w:r>
        <w:rPr>
          <w:spacing w:val="-4"/>
          <w:lang w:val="vi-VN"/>
        </w:rPr>
        <w:t xml:space="preserve"> </w:t>
      </w:r>
      <w:r>
        <w:rPr>
          <w:spacing w:val="-4"/>
          <w:lang w:val="vi-VN"/>
        </w:rPr>
        <w:t xml:space="preserve">giữa </w:t>
      </w:r>
      <w:r>
        <w:rPr>
          <w:color w:val="000000" w:themeColor="text1"/>
          <w:spacing w:val="-4"/>
        </w:rPr>
        <w:t xml:space="preserve">Ngân Hàng Nông Nghiệp Và Phát Triển Nông Thôn Việt Nam- Chi Nhánh Mạo Khê Quảng Ninh</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275/2026/1467/VFI-BC.T04.A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18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88" w:lineRule="auto"/>
              <w:ind w:right="-9"/>
              <w:contextualSpacing w:val="true"/>
              <w:rPr>
                <w:b w:val="0"/>
                <w:bCs w:val="0"/>
                <w:color w:val="000000" w:themeColor="text1"/>
                <w:u w:val="none"/>
              </w:rPr>
            </w:pPr>
            <w:r/>
            <w:bookmarkStart w:id="0" w:name="_Hlk117252695"/>
            <w:r>
              <w:rPr>
                <w:b w:val="0"/>
                <w:bCs w:val="0"/>
                <w:color w:val="000000" w:themeColor="text1"/>
                <w:u w:val="none"/>
              </w:rPr>
              <w:t xml:space="preserve">Tên khách hàng </w:t>
            </w:r>
            <w:r>
              <w:rPr>
                <w:b w:val="0"/>
                <w:bCs w:val="0"/>
                <w:color w:val="000000" w:themeColor="text1"/>
                <w:u w:val="none"/>
              </w:rPr>
            </w:r>
            <w:r>
              <w:rPr>
                <w:b w:val="0"/>
                <w:bCs w:val="0"/>
                <w:color w:val="000000" w:themeColor="text1"/>
                <w:u w:val="none"/>
              </w:rPr>
            </w:r>
          </w:p>
        </w:tc>
        <w:tc>
          <w:tcPr>
            <w:shd w:val="clear" w:color="auto" w:fill="auto"/>
            <w:tcBorders/>
            <w:tcW w:w="248" w:type="pct"/>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3643" w:type="pct"/>
            <w:vAlign w:val="center"/>
            <w:textDirection w:val="lrTb"/>
            <w:noWrap w:val="false"/>
          </w:tcPr>
          <w:p>
            <w:pPr>
              <w:keepNext w:val="true"/>
              <w:pBdr/>
              <w:spacing w:after="40" w:before="40" w:line="288" w:lineRule="auto"/>
              <w:ind/>
              <w:contextualSpacing w:val="true"/>
              <w:outlineLvl w:val="0"/>
              <w:rPr>
                <w:b/>
                <w:bCs/>
                <w:color w:val="000000" w:themeColor="text1"/>
                <w:spacing w:val="-8"/>
              </w:rPr>
            </w:pPr>
            <w:r/>
            <w:bookmarkEnd w:id="0"/>
            <w:r>
              <w:rPr>
                <w:b/>
                <w:bCs/>
              </w:rPr>
              <w:t xml:space="preserve">NGÂN HÀNG NÔNG NGHIỆP VÀ PHÁT TRIỂN NÔNG THÔN VIỆT NAM- CHI NHÁNH MẠO KHÊ QUẢNG NINH</w:t>
            </w:r>
            <w:r>
              <w:rPr>
                <w:b/>
                <w:bCs/>
                <w:color w:val="000000" w:themeColor="text1"/>
                <w:spacing w:val="-8"/>
              </w:rPr>
            </w:r>
            <w:r>
              <w:rPr>
                <w:b/>
                <w:bCs/>
                <w:color w:val="000000" w:themeColor="text1"/>
                <w:spacing w:val="-8"/>
              </w:rPr>
            </w:r>
          </w:p>
        </w:tc>
      </w:tr>
      <w:tr>
        <w:trPr>
          <w:trHeight w:val="20"/>
        </w:trPr>
        <w:tc>
          <w:tcPr>
            <w:shd w:val="clear" w:color="auto" w:fill="auto"/>
            <w:tcBorders/>
            <w:tcW w:w="1109" w:type="pct"/>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MST</w:t>
            </w:r>
            <w:r>
              <w:rPr>
                <w:bCs/>
                <w:color w:val="000000" w:themeColor="text1"/>
              </w:rPr>
            </w:r>
            <w:r>
              <w:rPr>
                <w:bCs/>
                <w:color w:val="000000" w:themeColor="text1"/>
              </w:rPr>
            </w:r>
          </w:p>
        </w:tc>
        <w:tc>
          <w:tcPr>
            <w:shd w:val="clear" w:color="auto" w:fill="auto"/>
            <w:tcBorders/>
            <w:tcW w:w="248" w:type="pct"/>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3643" w:type="pct"/>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0100686174</w:t>
            </w:r>
            <w:r>
              <w:rPr>
                <w:bCs/>
                <w:color w:val="000000" w:themeColor="text1"/>
                <w:lang w:val="vi-VN"/>
              </w:rPr>
            </w:r>
            <w:r>
              <w:rPr>
                <w:bCs/>
                <w:color w:val="000000" w:themeColor="text1"/>
                <w:lang w:val="vi-VN"/>
              </w:rPr>
            </w:r>
          </w:p>
        </w:tc>
      </w:tr>
      <w:tr>
        <w:trPr>
          <w:trHeight w:val="20"/>
        </w:trPr>
        <w:tc>
          <w:tcPr>
            <w:shd w:val="clear" w:color="auto" w:fill="auto"/>
            <w:tcBorders/>
            <w:tcW w:w="1109" w:type="pct"/>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shd w:val="clear" w:color="auto" w:fill="auto"/>
            <w:tcBorders/>
            <w:tcW w:w="248" w:type="pct"/>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3643" w:type="pct"/>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Số 60, Đường Hoa Thám , phường Mạo Khê, Thị xã Đông Triều, Tỉnh Quảng Ninh</w:t>
            </w:r>
            <w:r>
              <w:rPr>
                <w:bCs/>
                <w:color w:val="000000" w:themeColor="text1"/>
              </w:rPr>
            </w:r>
            <w:r>
              <w:rPr>
                <w:bCs/>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88" w:lineRule="auto"/>
              <w:ind/>
              <w:contextualSpacing w:val="true"/>
              <w:rPr>
                <w:b/>
                <w:color w:val="000000" w:themeColor="text1"/>
              </w:rPr>
            </w:pPr>
            <w:r>
              <w:rPr>
                <w:b/>
                <w:color w:val="000000" w:themeColor="text1"/>
              </w:rPr>
              <w:t xml:space="preserve">Hoàng Ngọc Hưng                </w:t>
            </w:r>
            <w:r>
              <w:rPr>
                <w:b/>
                <w:color w:val="000000" w:themeColor="text1"/>
                <w:highlight w:val="white"/>
              </w:rPr>
              <w:t xml:space="preserve">    Chức vụ : </w:t>
            </w:r>
            <w:r>
              <w:rPr>
                <w:b/>
                <w:color w:val="000000" w:themeColor="text1"/>
                <w:highlight w:val="white"/>
              </w:rPr>
            </w:r>
            <w:r>
              <w:rPr>
                <w:b/>
                <w:color w:val="000000" w:themeColor="text1"/>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TGĐ</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05-Lô A7, tờ bản đồ số: , có địa chỉ: Khu Đô thị Du lịch và Bến Cảng Cao Cấp Ao Tiên tại xã Hạ Long, Vân Đồn, Quảng Ninh ( nay là Đặc khu Vân Đồn, tỉnh Quả</w:t>
      </w:r>
      <w:r>
        <w:rPr>
          <w:color w:val="000000" w:themeColor="text1"/>
        </w:rPr>
        <w:t xml:space="preserve">ng Ninh ) theo Giấy chứng nhận quyền sử dụng đất, quyền sở hữu nhà ở và tài sản khác gắn liền với đất số: DE 478517, Số vào sổ cấp GCN: CH07824 do Ủy ban nhân dân huyện Vân Đồn  cấp ngày 26/09/2022; chủ sử dụng đất là Ông Nguyễn Công Tám và bà Vũ Thanh Tâm</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80"/>
        <w:gridCol w:w="1601"/>
        <w:gridCol w:w="1430"/>
        <w:gridCol w:w="2026"/>
        <w:gridCol w:w="1707"/>
        <w:gridCol w:w="1707"/>
      </w:tblGrid>
      <w:tr>
        <w:trPr>
          <w:trHeight w:val="20"/>
        </w:trPr>
        <w:tc>
          <w:tcPr>
            <w:shd w:val="clear" w:color="000000" w:fill="ffffff"/>
            <w:tcBorders/>
            <w:tcW w:w="780"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601"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430"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026"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707" w:type="dxa"/>
            <w:vAlign w:val="center"/>
            <w:textDirection w:val="lrTb"/>
            <w:noWrap w:val="false"/>
          </w:tcPr>
          <w:p>
            <w:pPr>
              <w:pBdr/>
              <w:spacing w:after="40" w:before="40" w:line="288" w:lineRule="auto"/>
              <w:ind/>
              <w:jc w:val="center"/>
              <w:rPr>
                <w:b/>
                <w:bCs/>
                <w:highlight w:val="none"/>
              </w:rPr>
            </w:pPr>
            <w:r>
              <w:rPr>
                <w:b/>
                <w:bCs/>
              </w:rPr>
              <w:t xml:space="preserve">Tỷ lệ CLCL</w:t>
            </w:r>
            <w:r>
              <w:rPr>
                <w:b/>
                <w:bCs/>
                <w:highlight w:val="none"/>
              </w:rPr>
            </w:r>
            <w:r>
              <w:rPr>
                <w:b/>
                <w:bCs/>
                <w:highlight w:val="none"/>
              </w:rPr>
            </w:r>
          </w:p>
          <w:p>
            <w:pPr>
              <w:pBdr/>
              <w:spacing w:after="40" w:before="40" w:line="288" w:lineRule="auto"/>
              <w:ind/>
              <w:jc w:val="center"/>
              <w:rPr>
                <w:b/>
                <w:bCs/>
              </w:rPr>
            </w:pPr>
            <w:r>
              <w:rPr>
                <w:b/>
                <w:bCs/>
                <w:highlight w:val="none"/>
              </w:rPr>
              <w:t xml:space="preserve">(%)</w:t>
            </w:r>
            <w:r>
              <w:rPr>
                <w:b/>
                <w:bCs/>
              </w:rPr>
            </w:r>
            <w:r>
              <w:rPr>
                <w:b/>
                <w:bCs/>
              </w:rPr>
            </w:r>
          </w:p>
        </w:tc>
        <w:tc>
          <w:tcPr>
            <w:shd w:val="clear" w:color="000000" w:fill="ffffff"/>
            <w:tcBorders/>
            <w:tcW w:w="1707"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80"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6764"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05-Lô A7, tờ bản đồ số: , có địa chỉ: Khu Đô thị Du lịch và Bến Cảng Cao Cấp Ao Tiên tại xã Hạ Long, Vân Đồn, Quảng Ninh ( nay là Đặc khu Vân Đồn, tỉnh Quả</w:t>
            </w:r>
            <w:r>
              <w:rPr>
                <w:color w:val="000000"/>
              </w:rPr>
              <w:t xml:space="preserve">ng Ninh ) theo Giấy chứng nhận quyền sử dụng đất, quyền sở hữu nhà ở và tài sản khác gắn liền với đất số: DE 478517, Số vào sổ cấp GCN: CH07824 do Ủy ban nhân dân huyện Vân Đồn  cấp ngày 26/09/2022; chủ sử dụng đất là Ông Nguyễn Công Tám và bà Vũ Thanh Tâm</w:t>
            </w:r>
            <w:r>
              <w:rPr>
                <w:b/>
                <w:bCs/>
              </w:rPr>
              <w:t xml:space="preserve">.</w:t>
            </w:r>
            <w:r>
              <w:rPr>
                <w:b/>
                <w:bCs/>
              </w:rPr>
              <w:t xml:space="preserve"> </w:t>
            </w:r>
            <w:r>
              <w:rPr>
                <w:b/>
                <w:bCs/>
              </w:rPr>
            </w:r>
            <w:r>
              <w:rPr>
                <w:b/>
                <w:bCs/>
              </w:rPr>
            </w:r>
          </w:p>
        </w:tc>
        <w:tc>
          <w:tcPr>
            <w:shd w:val="clear" w:color="000000" w:fill="ffffff"/>
            <w:tcBorders/>
            <w:tcW w:w="1707" w:type="dxa"/>
            <w:vAlign w:val="center"/>
            <w:textDirection w:val="lrTb"/>
            <w:noWrap w:val="false"/>
          </w:tcPr>
          <w:p>
            <w:pPr>
              <w:pBdr/>
              <w:spacing/>
              <w:ind/>
              <w:jc w:val="center"/>
              <w:rPr>
                <w:b/>
                <w:bCs/>
              </w:rPr>
            </w:pPr>
            <w:r>
              <w:rPr>
                <w:b/>
                <w:bCs/>
              </w:rPr>
            </w:r>
            <w:r>
              <w:rPr>
                <w:b/>
                <w:bCs/>
              </w:rPr>
            </w:r>
            <w:r>
              <w:rPr>
                <w:b/>
                <w:bCs/>
              </w:rPr>
            </w:r>
          </w:p>
        </w:tc>
      </w:tr>
      <w:tr>
        <w:trPr>
          <w:trHeight w:val="20"/>
        </w:trPr>
        <w:tc>
          <w:tcPr>
            <w:shd w:val="clear" w:color="000000" w:fill="ffffff"/>
            <w:tcBorders/>
            <w:tcW w:w="780"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601"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430" w:type="dxa"/>
            <w:vAlign w:val="center"/>
            <w:textDirection w:val="lrTb"/>
            <w:noWrap/>
          </w:tcPr>
          <w:p>
            <w:pPr>
              <w:pBdr/>
              <w:spacing w:after="40" w:before="40" w:line="288" w:lineRule="auto"/>
              <w:ind/>
              <w:jc w:val="center"/>
              <w:rPr>
                <w:color w:val="000000"/>
              </w:rPr>
            </w:pPr>
            <w:r>
              <w:rPr>
                <w:color w:val="000000" w:themeColor="text1"/>
              </w:rPr>
              <w:t xml:space="preserve">120,78</w:t>
            </w:r>
            <w:r>
              <w:rPr>
                <w:color w:val="000000"/>
              </w:rPr>
            </w:r>
            <w:r>
              <w:rPr>
                <w:color w:val="000000"/>
              </w:rPr>
            </w:r>
          </w:p>
        </w:tc>
        <w:tc>
          <w:tcPr>
            <w:shd w:val="clear" w:color="000000" w:fill="ffffff"/>
            <w:tcBorders/>
            <w:tcW w:w="2026" w:type="dxa"/>
            <w:vAlign w:val="center"/>
            <w:textDirection w:val="lrTb"/>
            <w:noWrap w:val="false"/>
          </w:tcPr>
          <w:p>
            <w:pPr>
              <w:pBdr/>
              <w:spacing w:after="40" w:before="40" w:line="288" w:lineRule="auto"/>
              <w:ind/>
              <w:jc w:val="center"/>
              <w:rPr/>
            </w:pPr>
            <w:r>
              <w:rPr>
                <w:color w:val="000000" w:themeColor="text1"/>
              </w:rPr>
              <w:t xml:space="preserve">47.000.000</w:t>
            </w:r>
            <w:r/>
          </w:p>
        </w:tc>
        <w:tc>
          <w:tcPr>
            <w:shd w:val="clear" w:color="000000" w:fill="ffffff"/>
            <w:tcBorders/>
            <w:tcW w:w="1707" w:type="dxa"/>
            <w:vAlign w:val="center"/>
            <w:textDirection w:val="lrTb"/>
            <w:noWrap w:val="false"/>
          </w:tcPr>
          <w:p>
            <w:pPr>
              <w:pBdr/>
              <w:spacing/>
              <w:ind/>
              <w:rPr/>
            </w:pPr>
            <w:r/>
            <w:r/>
          </w:p>
        </w:tc>
        <w:tc>
          <w:tcPr>
            <w:shd w:val="clear" w:color="000000" w:fill="ffffff"/>
            <w:tcBorders/>
            <w:tcW w:w="1707" w:type="dxa"/>
            <w:vAlign w:val="center"/>
            <w:textDirection w:val="lrTb"/>
            <w:noWrap w:val="false"/>
          </w:tcPr>
          <w:p>
            <w:pPr>
              <w:pBdr/>
              <w:spacing w:after="40" w:before="40" w:line="288" w:lineRule="auto"/>
              <w:ind/>
              <w:jc w:val="center"/>
              <w:rPr/>
            </w:pPr>
            <w:r>
              <w:rPr>
                <w:color w:val="000000" w:themeColor="text1"/>
              </w:rPr>
              <w:t xml:space="preserve">5.676.660.000</w:t>
            </w:r>
            <w:r/>
          </w:p>
        </w:tc>
      </w:tr>
      <w:tr>
        <w:trPr>
          <w:trHeight w:val="20"/>
        </w:trPr>
        <w:tc>
          <w:tcPr>
            <w:shd w:val="clear" w:color="000000" w:fill="ffffff"/>
            <w:tcBorders/>
            <w:tcW w:w="780"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1601" w:type="dxa"/>
            <w:vAlign w:val="center"/>
            <w:textDirection w:val="lrTb"/>
            <w:noWrap w:val="false"/>
          </w:tcPr>
          <w:p>
            <w:pPr>
              <w:pBdr/>
              <w:spacing w:after="40" w:before="40" w:line="288" w:lineRule="auto"/>
              <w:ind/>
              <w:rPr>
                <w:b w:val="0"/>
                <w:bCs w:val="0"/>
              </w:rPr>
            </w:pPr>
            <w:r>
              <w:rPr>
                <w:b w:val="0"/>
                <w:bCs w:val="0"/>
              </w:rPr>
              <w:t xml:space="preserve">Nhà ở 5 tầng</w:t>
            </w:r>
            <w:r>
              <w:rPr>
                <w:b w:val="0"/>
                <w:bCs w:val="0"/>
              </w:rPr>
            </w:r>
            <w:r>
              <w:rPr>
                <w:b w:val="0"/>
                <w:bCs w:val="0"/>
              </w:rPr>
            </w:r>
          </w:p>
        </w:tc>
        <w:tc>
          <w:tcPr>
            <w:tcBorders/>
            <w:tcW w:w="1430" w:type="dxa"/>
            <w:vAlign w:val="center"/>
            <w:textDirection w:val="lrTb"/>
            <w:noWrap/>
          </w:tcPr>
          <w:p>
            <w:pPr>
              <w:pBdr/>
              <w:spacing w:after="40" w:before="40" w:line="288" w:lineRule="auto"/>
              <w:ind/>
              <w:jc w:val="center"/>
              <w:rPr>
                <w:color w:val="000000"/>
              </w:rPr>
            </w:pPr>
            <w:r>
              <w:rPr>
                <w:color w:val="000000" w:themeColor="text1"/>
              </w:rPr>
              <w:t xml:space="preserve">464,3</w:t>
            </w:r>
            <w:r>
              <w:rPr>
                <w:color w:val="000000"/>
              </w:rPr>
            </w:r>
            <w:r>
              <w:rPr>
                <w:color w:val="000000"/>
              </w:rPr>
            </w:r>
          </w:p>
        </w:tc>
        <w:tc>
          <w:tcPr>
            <w:shd w:val="clear" w:color="000000" w:fill="ffffff"/>
            <w:tcBorders/>
            <w:tcW w:w="2026" w:type="dxa"/>
            <w:vAlign w:val="center"/>
            <w:textDirection w:val="lrTb"/>
            <w:noWrap w:val="false"/>
          </w:tcPr>
          <w:p>
            <w:pPr>
              <w:pBdr/>
              <w:spacing w:after="40" w:before="40" w:line="288" w:lineRule="auto"/>
              <w:ind/>
              <w:jc w:val="center"/>
              <w:rPr>
                <w:sz w:val="24"/>
                <w:szCs w:val="24"/>
              </w:rPr>
            </w:pPr>
            <w:r>
              <w:rPr>
                <w:color w:val="000000" w:themeColor="text1"/>
              </w:rPr>
            </w:r>
            <w:r>
              <w:rPr>
                <w:rFonts w:ascii="Times New Roman" w:hAnsi="Times New Roman" w:eastAsia="Times New Roman" w:cs="Times New Roman"/>
                <w:b w:val="0"/>
                <w:bCs w:val="0"/>
                <w:i w:val="0"/>
                <w:iCs w:val="0"/>
                <w:color w:val="000000" w:themeColor="text1"/>
                <w:sz w:val="24"/>
                <w:szCs w:val="24"/>
                <w:highlight w:val="white"/>
              </w:rPr>
              <w:t xml:space="preserve">7.233.240</w:t>
            </w:r>
            <w:r>
              <w:rPr>
                <w:sz w:val="24"/>
                <w:szCs w:val="24"/>
              </w:rPr>
            </w:r>
            <w:r>
              <w:rPr>
                <w:sz w:val="24"/>
                <w:szCs w:val="24"/>
              </w:rPr>
            </w:r>
          </w:p>
        </w:tc>
        <w:tc>
          <w:tcPr>
            <w:shd w:val="clear" w:color="000000" w:fill="ffffff"/>
            <w:tcBorders/>
            <w:tcW w:w="1707" w:type="dxa"/>
            <w:vAlign w:val="center"/>
            <w:textDirection w:val="lrTb"/>
            <w:noWrap w:val="false"/>
          </w:tcPr>
          <w:p>
            <w:pPr>
              <w:pBdr/>
              <w:spacing/>
              <w:ind/>
              <w:jc w:val="center"/>
              <w:rPr/>
            </w:pPr>
            <w:r>
              <w:t xml:space="preserve">92%</w:t>
            </w:r>
            <w:r/>
          </w:p>
        </w:tc>
        <w:tc>
          <w:tcPr>
            <w:shd w:val="clear" w:color="000000" w:fill="ffffff"/>
            <w:tcBorders/>
            <w:tcW w:w="1707" w:type="dxa"/>
            <w:vAlign w:val="center"/>
            <w:textDirection w:val="lrTb"/>
            <w:noWrap w:val="false"/>
          </w:tcPr>
          <w:p>
            <w:pPr>
              <w:pBdr/>
              <w:spacing w:after="60" w:before="60"/>
              <w:ind/>
              <w:jc w:val="center"/>
              <w:rPr>
                <w:sz w:val="24"/>
                <w:szCs w:val="24"/>
              </w:rPr>
            </w:pPr>
            <w:r>
              <w:rPr>
                <w:sz w:val="22"/>
                <w:szCs w:val="22"/>
              </w:rPr>
            </w:r>
            <w:commentRangeStart w:id="1"/>
            <w:r>
              <w:rPr>
                <w:sz w:val="24"/>
                <w:szCs w:val="24"/>
              </w:rPr>
              <w:t xml:space="preserve">3.089.721.865</w:t>
            </w:r>
            <w:r>
              <w:rPr>
                <w:sz w:val="24"/>
                <w:szCs w:val="24"/>
              </w:rPr>
            </w:r>
            <w:commentRangeEnd w:id="1"/>
            <w:r>
              <w:commentReference w:id="1"/>
            </w:r>
            <w:r>
              <w:rPr>
                <w:sz w:val="24"/>
                <w:szCs w:val="24"/>
              </w:rPr>
            </w:r>
            <w:r>
              <w:rPr>
                <w:sz w:val="24"/>
                <w:szCs w:val="24"/>
              </w:rPr>
            </w:r>
          </w:p>
        </w:tc>
      </w:tr>
      <w:tr>
        <w:trPr>
          <w:trHeight w:val="20"/>
        </w:trPr>
        <w:tc>
          <w:tcPr>
            <w:gridSpan w:val="4"/>
            <w:tcBorders/>
            <w:tcW w:w="5837"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707" w:type="dxa"/>
            <w:vAlign w:val="center"/>
            <w:textDirection w:val="lrTb"/>
            <w:noWrap/>
          </w:tcPr>
          <w:p>
            <w:pPr>
              <w:pBdr/>
              <w:spacing/>
              <w:ind/>
              <w:rPr/>
            </w:pPr>
            <w:r/>
            <w:r/>
          </w:p>
        </w:tc>
        <w:tc>
          <w:tcPr>
            <w:tcBorders/>
            <w:tcW w:w="1707" w:type="dxa"/>
            <w:vAlign w:val="center"/>
            <w:textDirection w:val="lrTb"/>
            <w:noWrap/>
          </w:tcPr>
          <w:p>
            <w:pPr>
              <w:pBdr/>
              <w:spacing w:after="40" w:before="40" w:line="288" w:lineRule="auto"/>
              <w:ind/>
              <w:jc w:val="center"/>
              <w:rPr>
                <w:b/>
                <w:bCs/>
                <w:color w:val="000000"/>
              </w:rPr>
            </w:pPr>
            <w:r>
              <w:rPr>
                <w:b/>
                <w:bCs/>
              </w:rPr>
              <w:t xml:space="preserve">8.766.381.865</w:t>
            </w:r>
            <w:r>
              <w:rPr>
                <w:b/>
                <w:bCs/>
                <w:color w:val="000000"/>
              </w:rPr>
            </w:r>
            <w:r>
              <w:rPr>
                <w:b/>
                <w:bCs/>
                <w:color w:val="000000"/>
              </w:rPr>
            </w:r>
          </w:p>
        </w:tc>
      </w:tr>
      <w:tr>
        <w:trPr>
          <w:trHeight w:val="20"/>
        </w:trPr>
        <w:tc>
          <w:tcPr>
            <w:gridSpan w:val="4"/>
            <w:tcBorders/>
            <w:tcW w:w="5837"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707" w:type="dxa"/>
            <w:vAlign w:val="center"/>
            <w:textDirection w:val="lrTb"/>
            <w:noWrap/>
          </w:tcPr>
          <w:p>
            <w:pPr>
              <w:pBdr/>
              <w:spacing/>
              <w:ind/>
              <w:rPr/>
            </w:pPr>
            <w:r/>
            <w:r/>
          </w:p>
        </w:tc>
        <w:tc>
          <w:tcPr>
            <w:tcBorders/>
            <w:tcW w:w="1707" w:type="dxa"/>
            <w:vAlign w:val="center"/>
            <w:textDirection w:val="lrTb"/>
            <w:noWrap/>
          </w:tcPr>
          <w:p>
            <w:pPr>
              <w:pBdr/>
              <w:spacing w:after="40" w:before="40" w:line="288" w:lineRule="auto"/>
              <w:ind/>
              <w:jc w:val="center"/>
              <w:rPr>
                <w:b/>
                <w:bCs/>
                <w:color w:val="000000"/>
              </w:rPr>
            </w:pPr>
            <w:r>
              <w:rPr>
                <w:b/>
                <w:bCs/>
                <w:color w:val="000000"/>
              </w:rPr>
              <w:t xml:space="preserve">8.766.000.000</w:t>
            </w:r>
            <w:r>
              <w:rPr>
                <w:b/>
                <w:bCs/>
                <w:color w:val="000000"/>
              </w:rPr>
            </w:r>
            <w:r>
              <w:rPr>
                <w:b/>
                <w:bCs/>
                <w:color w:val="000000"/>
              </w:rPr>
            </w:r>
          </w:p>
        </w:tc>
      </w:tr>
      <w:tr>
        <w:trPr>
          <w:trHeight w:val="20"/>
        </w:trPr>
        <w:tc>
          <w:tcPr>
            <w:gridSpan w:val="6"/>
            <w:tcBorders/>
            <w:tcW w:w="9251"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bảy trăm sáu mươi sáu triệu đồng </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50" w:type="dxa"/>
        <w:tblBorders/>
        <w:tblLayout w:type="fixed"/>
        <w:tblLook w:val="04A0" w:firstRow="1" w:lastRow="0" w:firstColumn="1" w:lastColumn="0" w:noHBand="0" w:noVBand="1"/>
      </w:tblPr>
      <w:tblGrid>
        <w:gridCol w:w="29"/>
        <w:gridCol w:w="1787"/>
        <w:gridCol w:w="2335"/>
        <w:gridCol w:w="5799"/>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13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w:t>
            </w:r>
            <w:r>
              <w:rPr>
                <w:rStyle w:val="1033"/>
                <w:rFonts w:ascii="Times New Roman" w:hAnsi="Times New Roman" w:eastAsia="Times New Roman" w:cs="Times New Roman"/>
                <w:color w:val="000000" w:themeColor="text1"/>
                <w:sz w:val="24"/>
                <w:szCs w:val="24"/>
                <w:lang w:val="pt-BR"/>
              </w:rPr>
              <w:t xml:space="preserve"> </w:t>
            </w:r>
            <w:r>
              <w:rPr>
                <w:rFonts w:ascii="Times New Roman" w:hAnsi="Times New Roman" w:eastAsia="Times New Roman" w:cs="Times New Roman"/>
                <w:color w:val="081b3a"/>
                <w:spacing w:val="3"/>
                <w:sz w:val="24"/>
                <w:szCs w:val="24"/>
                <w:highlight w:val="white"/>
              </w:rPr>
              <w:t xml:space="preserve">275/2026/1467/VFI-BC.T04.A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799"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18 tháng 9 năm 2026</w:t>
            </w:r>
            <w:r>
              <w:rPr>
                <w:color w:val="000000" w:themeColor="text1"/>
                <w:sz w:val="24"/>
                <w:szCs w:val="24"/>
                <w:lang w:val="vi-VN"/>
              </w:rPr>
            </w:r>
            <w:r>
              <w:rPr>
                <w:color w:val="000000" w:themeColor="text1"/>
                <w:sz w:val="24"/>
                <w:szCs w:val="24"/>
                <w:lang w:val="vi-VN"/>
              </w:rPr>
            </w:r>
          </w:p>
        </w:tc>
      </w:tr>
      <w:tr>
        <w:trPr>
          <w:gridBefore w:val="1"/>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034"/>
              <w:pBdr/>
              <w:spacing w:after="60"/>
              <w:ind/>
              <w:rPr>
                <w:rStyle w:val="1033"/>
                <w:rFonts w:ascii="Times New Roman" w:hAnsi="Times New Roman"/>
                <w:color w:val="000000" w:themeColor="text1"/>
                <w:lang w:val="pt-BR"/>
              </w:rPr>
            </w:pPr>
            <w:r>
              <w:rPr>
                <w:rStyle w:val="1033"/>
                <w:rFonts w:ascii="Times New Roman" w:hAnsi="Times New Roman"/>
                <w:color w:val="000000" w:themeColor="text1"/>
                <w:lang w:val="pt-BR"/>
              </w:rPr>
            </w:r>
            <w:r>
              <w:rPr>
                <w:rStyle w:val="1033"/>
                <w:rFonts w:ascii="Times New Roman" w:hAnsi="Times New Roman"/>
                <w:color w:val="000000" w:themeColor="text1"/>
                <w:lang w:val="pt-BR"/>
              </w:rPr>
            </w:r>
            <w:r>
              <w:rPr>
                <w:rStyle w:val="1033"/>
                <w:rFonts w:ascii="Times New Roman" w:hAnsi="Times New Roman"/>
                <w:color w:val="000000" w:themeColor="text1"/>
                <w:lang w:val="pt-BR"/>
              </w:rPr>
            </w:r>
          </w:p>
        </w:tc>
        <w:tc>
          <w:tcPr>
            <w:shd w:val="clear" w:color="auto" w:fill="auto"/>
            <w:tcBorders/>
            <w:tcMar>
              <w:left w:w="108" w:type="dxa"/>
              <w:top w:w="0" w:type="dxa"/>
              <w:right w:w="108" w:type="dxa"/>
              <w:bottom w:w="0" w:type="dxa"/>
            </w:tcMar>
            <w:tcW w:w="5799" w:type="dxa"/>
            <w:textDirection w:val="lrTb"/>
            <w:noWrap w:val="false"/>
          </w:tcPr>
          <w:p>
            <w:pPr>
              <w:pStyle w:val="1034"/>
              <w:pBdr/>
              <w:spacing w:after="60"/>
              <w:ind w:right="-56"/>
              <w:rPr>
                <w:rStyle w:val="1033"/>
                <w:rFonts w:ascii="Times New Roman" w:hAnsi="Times New Roman"/>
                <w:i/>
                <w:color w:val="auto"/>
              </w:rPr>
            </w:pPr>
            <w:r>
              <w:rPr>
                <w:rFonts w:ascii="Times New Roman" w:hAnsi="Times New Roman"/>
                <w:i/>
                <w:color w:val="auto"/>
              </w:rPr>
            </w:r>
            <w:r>
              <w:rPr>
                <w:rStyle w:val="1033"/>
                <w:rFonts w:ascii="Times New Roman" w:hAnsi="Times New Roman"/>
                <w:i/>
                <w:color w:val="auto"/>
              </w:rPr>
            </w:r>
            <w:r>
              <w:rPr>
                <w:rStyle w:val="1033"/>
                <w:rFonts w:ascii="Times New Roman" w:hAnsi="Times New Roman"/>
                <w:i/>
                <w:color w:val="auto"/>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275/2026/1467/VFI-CT.T04.A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18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88" w:lineRule="auto"/>
              <w:ind w:right="-9"/>
              <w:contextualSpacing w:val="true"/>
              <w:rPr>
                <w:b w:val="0"/>
                <w:bCs w:val="0"/>
                <w:color w:val="000000" w:themeColor="text1"/>
                <w:u w:val="none"/>
              </w:rPr>
            </w:pPr>
            <w:r>
              <w:rPr>
                <w:b w:val="0"/>
                <w:bCs w:val="0"/>
                <w:color w:val="000000" w:themeColor="text1"/>
                <w:u w:val="none"/>
              </w:rPr>
              <w:t xml:space="preserve">Tên khách hàng </w:t>
            </w:r>
            <w:r>
              <w:rPr>
                <w:b w:val="0"/>
                <w:bCs w:val="0"/>
                <w:color w:val="000000" w:themeColor="text1"/>
                <w:u w:val="none"/>
              </w:rPr>
            </w:r>
            <w:r>
              <w:rPr>
                <w:b w:val="0"/>
                <w:bCs w:val="0"/>
                <w:color w:val="000000" w:themeColor="text1"/>
                <w:u w:val="none"/>
              </w:rPr>
            </w:r>
          </w:p>
        </w:tc>
        <w:tc>
          <w:tcPr>
            <w:tcBorders/>
            <w:tcW w:w="284"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6945" w:type="dxa"/>
            <w:vAlign w:val="center"/>
            <w:textDirection w:val="lrTb"/>
            <w:noWrap w:val="false"/>
          </w:tcPr>
          <w:p>
            <w:pPr>
              <w:keepNext w:val="true"/>
              <w:pBdr/>
              <w:spacing w:after="40" w:before="40" w:line="288" w:lineRule="auto"/>
              <w:ind/>
              <w:contextualSpacing w:val="true"/>
              <w:outlineLvl w:val="0"/>
              <w:rPr>
                <w:b/>
                <w:bCs/>
                <w:color w:val="000000" w:themeColor="text1"/>
                <w:spacing w:val="-8"/>
              </w:rPr>
            </w:pPr>
            <w:r>
              <w:rPr>
                <w:b/>
                <w:bCs/>
              </w:rPr>
              <w:t xml:space="preserve">NGÂN HÀNG NÔNG NGHIỆP VÀ PHÁT TRIỂN NÔNG THÔN VIỆT NAM- CHI NHÁNH MẠO KHÊ QUẢNG NINH</w:t>
            </w:r>
            <w:r>
              <w:rPr>
                <w:b/>
                <w:bCs/>
                <w:color w:val="000000" w:themeColor="text1"/>
                <w:spacing w:val="-8"/>
              </w:rPr>
            </w:r>
            <w:r>
              <w:rPr>
                <w:b/>
                <w:bCs/>
                <w:color w:val="000000" w:themeColor="text1"/>
                <w:spacing w:val="-8"/>
              </w:rPr>
            </w:r>
          </w:p>
        </w:tc>
      </w:tr>
      <w:tr>
        <w:trPr>
          <w:trHeight w:val="20"/>
        </w:trPr>
        <w:tc>
          <w:tcPr>
            <w:tcBorders/>
            <w:tcW w:w="2518"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MST</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6945"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0100686174</w:t>
            </w:r>
            <w:r>
              <w:rPr>
                <w:bCs/>
                <w:color w:val="000000" w:themeColor="text1"/>
                <w:lang w:val="vi-VN"/>
              </w:rPr>
            </w:r>
            <w:r>
              <w:rPr>
                <w:bCs/>
                <w:color w:val="000000" w:themeColor="text1"/>
                <w:lang w:val="vi-VN"/>
              </w:rPr>
            </w:r>
          </w:p>
        </w:tc>
      </w:tr>
      <w:tr>
        <w:trPr>
          <w:trHeight w:val="20"/>
        </w:trPr>
        <w:tc>
          <w:tcPr>
            <w:tcBorders/>
            <w:tcW w:w="2518"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Số 60, Đường Hoa Thám , phường Mạo Khê, Thị xã Đông Triều, Tỉnh Quảng Ninh</w:t>
            </w:r>
            <w:r>
              <w:rPr>
                <w:bCs/>
                <w:color w:val="000000" w:themeColor="text1"/>
              </w:rPr>
            </w:r>
            <w:r>
              <w:rPr>
                <w:bCs/>
                <w:color w:val="000000" w:themeColor="text1"/>
              </w:rPr>
            </w:r>
          </w:p>
        </w:tc>
      </w:tr>
      <w:tr>
        <w:trPr>
          <w:trHeight w:val="20"/>
        </w:trPr>
        <w:tc>
          <w:tcPr>
            <w:tcBorders/>
            <w:tcW w:w="2518"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t xml:space="preserve">Hoàng Ngọc Hưng                </w:t>
            </w:r>
            <w:r>
              <w:rPr>
                <w:b/>
                <w:color w:val="000000" w:themeColor="text1"/>
                <w:highlight w:val="white"/>
              </w:rPr>
              <w:t xml:space="preserve">    Chức vụ : </w:t>
            </w:r>
            <w:r>
              <w:rPr>
                <w:b/>
                <w:color w:val="000000" w:themeColor="text1"/>
                <w:highlight w:val="white"/>
              </w:rPr>
            </w:r>
            <w:r>
              <w:rPr>
                <w:b/>
                <w:color w:val="000000" w:themeColor="text1"/>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05-Lô A7, tờ bản đồ số: , có địa chỉ: Khu Đô thị Du lịch và Bến Cảng Cao Cấp Ao Tiên tại xã Hạ Long, Vân Đồn, Quảng Ninh ( nay là Đặc khu Vân Đồn, tỉnh Quả</w:t>
            </w:r>
            <w:r>
              <w:rPr>
                <w:bCs/>
                <w:color w:val="000000" w:themeColor="text1"/>
                <w:lang w:val="pt-BR"/>
              </w:rPr>
              <w:t xml:space="preserve">ng Ninh ) theo Giấy chứng nhận quyền sử dụng đất, quyền sở hữu nhà ở và tài sản khác gắn liền với đất số: DE 478517, Số vào sổ cấp GCN: CH07824 do Ủy ban nhân dân huyện Vân Đồn  cấp ngày 26/09/2022; chủ sử dụng đất là Ông Nguyễn Công Tám và bà Vũ Thanh Tâm</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Đặc khu Vân Đồn, tỉnh Quảng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(21.087416666667, 107.45297222222)</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highlight w:val="yellow"/>
              </w:rPr>
            </w:pPr>
            <w:r>
              <w:rPr>
                <w:highlight w:val="none"/>
                <w:lang w:val="pt-BR"/>
              </w:rPr>
              <w:t xml:space="preserve">16/</w:t>
            </w:r>
            <w:r>
              <w:rPr>
                <w:highlight w:val="yellow"/>
                <w:lang w:val="pt-BR"/>
              </w:rPr>
              <w:t xml:space="preserve">09/2026</w:t>
            </w:r>
            <w:r>
              <w:rPr>
                <w:highlight w:val="yellow"/>
                <w:lang w:val="pt-BR"/>
              </w:rPr>
              <w:t xml:space="preserve">.</w:t>
            </w:r>
            <w:r>
              <w:rPr>
                <w:highlight w:val="yellow"/>
              </w:rPr>
            </w:r>
            <w:r>
              <w:rPr>
                <w:highlight w:val="yellow"/>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5"/>
        <w:numPr>
          <w:ilvl w:val="0"/>
          <w:numId w:val="1"/>
        </w:numPr>
        <w:pBdr/>
        <w:spacing w:after="120" w:before="120" w:line="276" w:lineRule="auto"/>
        <w:ind/>
        <w:jc w:val="both"/>
        <w:rPr>
          <w:bCs/>
          <w:spacing w:val="-4"/>
          <w:lang w:val="pt-BR"/>
        </w:rPr>
      </w:pPr>
      <w:r>
        <w:rPr>
          <w:bCs/>
          <w:spacing w:val="-4"/>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spacing w:val="-4"/>
          <w:lang w:val="pt-BR"/>
        </w:rPr>
      </w:r>
      <w:r>
        <w:rPr>
          <w:bCs/>
          <w:spacing w:val="-4"/>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color w:val="000000" w:themeColor="text1"/>
          <w:highlight w:val="white"/>
          <w14:ligatures w14:val="none"/>
        </w:rPr>
      </w:pPr>
      <w:r>
        <w:rPr>
          <w:color w:val="000000" w:themeColor="text1"/>
          <w:highlight w:val="white"/>
          <w:lang w:val="pt-BR"/>
        </w:rPr>
      </w:r>
      <w:r>
        <w:rPr>
          <w:color w:val="000000" w:themeColor="text1"/>
          <w:highlight w:val="white"/>
          <w:lang w:val="pt-BR"/>
        </w:rPr>
        <w:t xml:space="preserve">Giấy chứng nhận quyền sử dụng đất, quyền sở hữu nhà ở và tài sản khác gắn liền với đất số: DE 478517, Số vào sổ cấp GCN: CH07824 do Ủy ban nhân dân huyện Vân Đồn cấp ngày 26/09/2022; chủ sử dụng đất là Ông Nguyễn Công Tám và bà Vũ Thanh Tâm</w:t>
      </w:r>
      <w:r>
        <w:rPr>
          <w:color w:val="000000" w:themeColor="text1"/>
          <w:highlight w:val="white"/>
          <w:lang w:val="pt-BR"/>
        </w:rPr>
        <w:t xml:space="preserve">.</w:t>
      </w:r>
      <w:r>
        <w:rPr>
          <w:color w:val="000000" w:themeColor="text1"/>
          <w:highlight w:val="white"/>
          <w14:ligatures w14:val="none"/>
        </w:rPr>
      </w:r>
      <w:r>
        <w:rPr>
          <w:color w:val="000000" w:themeColor="text1"/>
          <w:highlight w:val="white"/>
          <w14:ligatures w14:val="none"/>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275/2026/1467/VFI-HĐTĐ.T04.A ngày 14/09/2026 giữa Ngân Hàng Nông Nghiệp Và Phát Triển Nông Thôn Việt Nam- Chi Nhánh Mạo Khê Quảng Ninh với Công ty Cổ phần Thẩm định và Đầu tư Tài chính Hoa Sen.</w:t>
      </w:r>
      <w:r>
        <w:rPr>
          <w:b/>
          <w:lang w:val="pt-BR"/>
        </w:rPr>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line="276" w:lineRule="auto"/>
        <w:ind w:right="0" w:firstLine="360" w:left="0"/>
        <w:jc w:val="both"/>
        <w:rPr>
          <w:b w:val="0"/>
          <w:bCs w:val="0"/>
        </w:rPr>
      </w:pPr>
      <w:r>
        <w:rPr>
          <w:rFonts w:ascii="Times New Roman" w:hAnsi="Times New Roman" w:eastAsia="Times New Roman" w:cs="Times New Roman"/>
          <w:b w:val="0"/>
          <w:bCs w:val="0"/>
          <w:color w:val="000000"/>
          <w:sz w:val="24"/>
        </w:rPr>
        <w:t xml:space="preserve">Thị trường bất động sản tỉnh Quảng Ninh trong những năm gần đây có sự phục hồi và phát triển trở lại sau giai đoạn trầm lắng. Quảng Ninh có nhiều lợi thế về vị trí địa lý, hệ thống giao thông, du lịch, công nghiệp, kinh tế biển và đô thị hóa. Tỉnh đồng thờ</w:t>
      </w:r>
      <w:r>
        <w:rPr>
          <w:rFonts w:ascii="Times New Roman" w:hAnsi="Times New Roman" w:eastAsia="Times New Roman" w:cs="Times New Roman"/>
          <w:b w:val="0"/>
          <w:bCs w:val="0"/>
          <w:color w:val="000000"/>
          <w:sz w:val="24"/>
        </w:rPr>
        <w:t xml:space="preserve">i sở hữu các trung tâm phát triển bất động sản lớn như Hạ Long, Vân Đồn, Cẩm Phả, Quảng Yên và Đông Triều. Sự phát triển của các tuyến giao thông kết nối với Hà Nội, Hải Phòng và các tỉnh phía Bắc, cùng với sự mở rộng của các khu đô thị, khu công nghiệp và</w:t>
      </w:r>
      <w:r>
        <w:rPr>
          <w:rFonts w:ascii="Times New Roman" w:hAnsi="Times New Roman" w:eastAsia="Times New Roman" w:cs="Times New Roman"/>
          <w:b w:val="0"/>
          <w:bCs w:val="0"/>
          <w:color w:val="000000"/>
          <w:sz w:val="24"/>
        </w:rPr>
        <w:t xml:space="preserve"> trung tâm du lịch đã góp phần thúc đẩy nhu cầu đối với đất ở, nhà ở, căn hộ và bất động sản thương mại – dịch vụ trên địa bàn tỉnh.</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360" w:left="0"/>
        <w:jc w:val="both"/>
        <w:rPr>
          <w:b w:val="0"/>
          <w:bCs w:val="0"/>
        </w:rPr>
      </w:pPr>
      <w:r>
        <w:rPr>
          <w:rFonts w:ascii="Times New Roman" w:hAnsi="Times New Roman" w:eastAsia="Times New Roman" w:cs="Times New Roman"/>
          <w:b w:val="0"/>
          <w:bCs w:val="0"/>
          <w:color w:val="000000"/>
          <w:sz w:val="24"/>
        </w:rPr>
        <w:t xml:space="preserve">Về </w:t>
      </w:r>
      <w:r>
        <w:rPr>
          <w:rFonts w:ascii="Times New Roman" w:hAnsi="Times New Roman" w:eastAsia="Times New Roman" w:cs="Times New Roman"/>
          <w:b w:val="0"/>
          <w:bCs w:val="0"/>
          <w:color w:val="000000"/>
          <w:sz w:val="24"/>
        </w:rPr>
        <w:t xml:space="preserve">nguồn cung</w:t>
      </w:r>
      <w:r>
        <w:rPr>
          <w:rFonts w:ascii="Times New Roman" w:hAnsi="Times New Roman" w:eastAsia="Times New Roman" w:cs="Times New Roman"/>
          <w:b w:val="0"/>
          <w:bCs w:val="0"/>
          <w:color w:val="000000"/>
          <w:sz w:val="24"/>
        </w:rPr>
        <w:t xml:space="preserve">, thị trường bất động sản Quảng Ninh đang có sự cải thiện đáng kể, đặc biệt tại các khu vực Hạ Long, Vân Đồn và Quảng Yên. Theo số liệu được công bố, trong năm 2025, thị trường Quảng Ninh ghi nhận khoảng </w:t>
      </w:r>
      <w:r>
        <w:rPr>
          <w:rFonts w:ascii="Times New Roman" w:hAnsi="Times New Roman" w:eastAsia="Times New Roman" w:cs="Times New Roman"/>
          <w:b w:val="0"/>
          <w:bCs w:val="0"/>
          <w:color w:val="000000"/>
          <w:sz w:val="24"/>
        </w:rPr>
        <w:t xml:space="preserve">5.000 sản phẩm bất động sản mới được đưa ra thị trường</w:t>
      </w:r>
      <w:r>
        <w:rPr>
          <w:rFonts w:ascii="Times New Roman" w:hAnsi="Times New Roman" w:eastAsia="Times New Roman" w:cs="Times New Roman"/>
          <w:b w:val="0"/>
          <w:bCs w:val="0"/>
          <w:color w:val="000000"/>
          <w:sz w:val="24"/>
        </w:rPr>
        <w:t xml:space="preserve">, chủ yếu thuộc phân khúc căn hộ, nhà ở thấp tầng và các sản phẩm gắn với hoạt động du lịch, nghỉ dưỡng. Tỷ lệ hấp thụ nguồn cung mới đạt </w:t>
      </w:r>
      <w:r>
        <w:rPr>
          <w:rFonts w:ascii="Times New Roman" w:hAnsi="Times New Roman" w:eastAsia="Times New Roman" w:cs="Times New Roman"/>
          <w:b w:val="0"/>
          <w:bCs w:val="0"/>
          <w:color w:val="000000"/>
          <w:sz w:val="24"/>
        </w:rPr>
        <w:t xml:space="preserve">trên 70%</w:t>
      </w:r>
      <w:r>
        <w:rPr>
          <w:rFonts w:ascii="Times New Roman" w:hAnsi="Times New Roman" w:eastAsia="Times New Roman" w:cs="Times New Roman"/>
          <w:b w:val="0"/>
          <w:bCs w:val="0"/>
          <w:color w:val="000000"/>
          <w:sz w:val="24"/>
        </w:rPr>
        <w:t xml:space="preserve">, cho thấy khả năng tiêu thụ của thị trường đã có sự cải thiện. Nguồn cung không chỉ đến từ các dự án mới mà còn bao gồm lượng lớn bất động sản chuyển nhượng trên thị trường thứ cấp như đất ở, đất nền, nhà ở riêng lẻ và căn hộ chung cư. Tuy nhiên, nguồn cu</w:t>
      </w:r>
      <w:r>
        <w:rPr>
          <w:rFonts w:ascii="Times New Roman" w:hAnsi="Times New Roman" w:eastAsia="Times New Roman" w:cs="Times New Roman"/>
          <w:b w:val="0"/>
          <w:bCs w:val="0"/>
          <w:color w:val="000000"/>
          <w:sz w:val="24"/>
        </w:rPr>
        <w:t xml:space="preserve">ng có sự phân hóa theo khu vực, trong đó Hạ Long và Vân Đồn tập trung nhiều sản phẩm phục vụ du lịch, nghỉ dưỡng và đầu tư, trong khi Quảng Yên có xu hướng gia tăng nguồn cung nhà ở gắn với quá trình phát triển công nghiệp và đô thị.</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360" w:left="0"/>
        <w:jc w:val="both"/>
        <w:rPr>
          <w:b w:val="0"/>
          <w:bCs w:val="0"/>
        </w:rPr>
      </w:pPr>
      <w:r>
        <w:rPr>
          <w:rFonts w:ascii="Times New Roman" w:hAnsi="Times New Roman" w:eastAsia="Times New Roman" w:cs="Times New Roman"/>
          <w:b w:val="0"/>
          <w:bCs w:val="0"/>
          <w:color w:val="000000"/>
          <w:sz w:val="24"/>
        </w:rPr>
        <w:t xml:space="preserve">Về </w:t>
      </w:r>
      <w:r>
        <w:rPr>
          <w:rFonts w:ascii="Times New Roman" w:hAnsi="Times New Roman" w:eastAsia="Times New Roman" w:cs="Times New Roman"/>
          <w:b w:val="0"/>
          <w:bCs w:val="0"/>
          <w:color w:val="000000"/>
          <w:sz w:val="24"/>
        </w:rPr>
        <w:t xml:space="preserve">nhu cầu</w:t>
      </w:r>
      <w:r>
        <w:rPr>
          <w:rFonts w:ascii="Times New Roman" w:hAnsi="Times New Roman" w:eastAsia="Times New Roman" w:cs="Times New Roman"/>
          <w:b w:val="0"/>
          <w:bCs w:val="0"/>
          <w:color w:val="000000"/>
          <w:sz w:val="24"/>
        </w:rPr>
        <w:t xml:space="preserve">, thị trường bất động sản Quảng Ninh có cơ cấu cầu khá đa dạng. Nhu cầu mua bất động sản đến từ người dân địa phương, người lao động tại các khu công nghiệp, nhà đầu tư từ Hà Nội và các tỉnh phía Bắc, cũng như nhóm khách hàng có nhu cầu khai thác kinh doan</w:t>
      </w:r>
      <w:r>
        <w:rPr>
          <w:rFonts w:ascii="Times New Roman" w:hAnsi="Times New Roman" w:eastAsia="Times New Roman" w:cs="Times New Roman"/>
          <w:b w:val="0"/>
          <w:bCs w:val="0"/>
          <w:color w:val="000000"/>
          <w:sz w:val="24"/>
        </w:rPr>
        <w:t xml:space="preserve">h và du lịch. Tại Hạ Long, nhu cầu tập trung vào căn hộ, nhà ở, đất ở, nhà phố thương mại và bất động sản phục vụ lưu trú do đây là trung tâm du lịch và dịch vụ của tỉnh. Tại Vân Đồn, nhu cầu chủ yếu gắn với đất nền, nhà ở và bất động sản du lịch – nghỉ dư</w:t>
      </w:r>
      <w:r>
        <w:rPr>
          <w:rFonts w:ascii="Times New Roman" w:hAnsi="Times New Roman" w:eastAsia="Times New Roman" w:cs="Times New Roman"/>
          <w:b w:val="0"/>
          <w:bCs w:val="0"/>
          <w:color w:val="000000"/>
          <w:sz w:val="24"/>
        </w:rPr>
        <w:t xml:space="preserve">ỡng. Trong khi đó, Quảng Yên đang hình thành nhu cầu mới về nhà ở và đất ở nhờ sự phát triển của các khu công nghiệp, khu kinh tế và hệ thống hạ tầng kết nối với Hải Phòng – Hạ Long. Cùng với đó, nhu cầu đầu tư dài hạn có xu hướng được quan tâm nhiều hơn k</w:t>
      </w:r>
      <w:r>
        <w:rPr>
          <w:rFonts w:ascii="Times New Roman" w:hAnsi="Times New Roman" w:eastAsia="Times New Roman" w:cs="Times New Roman"/>
          <w:b w:val="0"/>
          <w:bCs w:val="0"/>
          <w:color w:val="000000"/>
          <w:sz w:val="24"/>
        </w:rPr>
        <w:t xml:space="preserve">hi thị trường bước vào giai đoạn ổn định.</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360" w:left="0"/>
        <w:jc w:val="both"/>
        <w:rPr>
          <w:b w:val="0"/>
          <w:bCs w:val="0"/>
        </w:rPr>
      </w:pPr>
      <w:r>
        <w:rPr>
          <w:rFonts w:ascii="Times New Roman" w:hAnsi="Times New Roman" w:eastAsia="Times New Roman" w:cs="Times New Roman"/>
          <w:b w:val="0"/>
          <w:bCs w:val="0"/>
          <w:color w:val="000000"/>
          <w:sz w:val="24"/>
        </w:rPr>
        <w:t xml:space="preserve">Sức cầu của thị trường được thể hiện khá rõ thông qua khả năng hấp thụ nguồn cung. Với khoảng </w:t>
      </w:r>
      <w:r>
        <w:rPr>
          <w:rFonts w:ascii="Times New Roman" w:hAnsi="Times New Roman" w:eastAsia="Times New Roman" w:cs="Times New Roman"/>
          <w:b w:val="0"/>
          <w:bCs w:val="0"/>
          <w:color w:val="000000"/>
          <w:sz w:val="24"/>
        </w:rPr>
        <w:t xml:space="preserve">5.000 sản phẩm mới trong năm 2025 và tỷ lệ hấp thụ trên 70%</w:t>
      </w:r>
      <w:r>
        <w:rPr>
          <w:rFonts w:ascii="Times New Roman" w:hAnsi="Times New Roman" w:eastAsia="Times New Roman" w:cs="Times New Roman"/>
          <w:b w:val="0"/>
          <w:bCs w:val="0"/>
          <w:color w:val="000000"/>
          <w:sz w:val="24"/>
        </w:rPr>
        <w:t xml:space="preserve">, thị trường cho thấy lượng cầu thực tế đã có sự cải thiện so với giai đoạn trước. Tuy nhiên, khả năng hấp thụ không đồng đều giữa các phân khúc. Những bất động sản có pháp lý đầy đủ, vị trí thuận lợi, hạ tầng hoàn thiện và có khả năng sử dụng hoặc khai th</w:t>
      </w:r>
      <w:r>
        <w:rPr>
          <w:rFonts w:ascii="Times New Roman" w:hAnsi="Times New Roman" w:eastAsia="Times New Roman" w:cs="Times New Roman"/>
          <w:b w:val="0"/>
          <w:bCs w:val="0"/>
          <w:color w:val="000000"/>
          <w:sz w:val="24"/>
        </w:rPr>
        <w:t xml:space="preserve">ác kinh doanh thực tế thường được khách hàng quan tâm hơn. Ngược lại, những sản phẩm nằm ở khu vực xa trung tâm, phụ thuộc nhiều vào kỳ vọng tăng giá hoặc chưa hoàn thiện về hạ tầng có thể có thanh khoản thấp hơn. Điều này cho thấy thị trường Quảng Ninh đa</w:t>
      </w:r>
      <w:r>
        <w:rPr>
          <w:rFonts w:ascii="Times New Roman" w:hAnsi="Times New Roman" w:eastAsia="Times New Roman" w:cs="Times New Roman"/>
          <w:b w:val="0"/>
          <w:bCs w:val="0"/>
          <w:color w:val="000000"/>
          <w:sz w:val="24"/>
        </w:rPr>
        <w:t xml:space="preserve">ng có sự phân hóa ngày càng rõ giữa bất động sản có giá trị sử dụng thực tế và bất động sản chủ yếu phục vụ mục đích đầu tư.</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360" w:left="0"/>
        <w:jc w:val="both"/>
        <w:rPr>
          <w:b w:val="0"/>
          <w:bCs w:val="0"/>
        </w:rPr>
      </w:pPr>
      <w:r>
        <w:rPr>
          <w:rFonts w:ascii="Times New Roman" w:hAnsi="Times New Roman" w:eastAsia="Times New Roman" w:cs="Times New Roman"/>
          <w:b w:val="0"/>
          <w:bCs w:val="0"/>
          <w:color w:val="000000"/>
          <w:sz w:val="24"/>
        </w:rPr>
        <w:t xml:space="preserve">Về </w:t>
      </w:r>
      <w:r>
        <w:rPr>
          <w:rFonts w:ascii="Times New Roman" w:hAnsi="Times New Roman" w:eastAsia="Times New Roman" w:cs="Times New Roman"/>
          <w:b w:val="0"/>
          <w:bCs w:val="0"/>
          <w:color w:val="000000"/>
          <w:sz w:val="24"/>
        </w:rPr>
        <w:t xml:space="preserve">giá bất động sản</w:t>
      </w:r>
      <w:r>
        <w:rPr>
          <w:rFonts w:ascii="Times New Roman" w:hAnsi="Times New Roman" w:eastAsia="Times New Roman" w:cs="Times New Roman"/>
          <w:b w:val="0"/>
          <w:bCs w:val="0"/>
          <w:color w:val="000000"/>
          <w:sz w:val="24"/>
        </w:rPr>
        <w:t xml:space="preserve">, mặt bằng giá tại Quảng Ninh có xu hướng tăng trở lại cùng với quá trình phục hồi của thị trường. Theo số liệu thị trường năm 2025, </w:t>
      </w:r>
      <w:r>
        <w:rPr>
          <w:rFonts w:ascii="Times New Roman" w:hAnsi="Times New Roman" w:eastAsia="Times New Roman" w:cs="Times New Roman"/>
          <w:b w:val="0"/>
          <w:bCs w:val="0"/>
          <w:color w:val="000000"/>
          <w:sz w:val="24"/>
        </w:rPr>
        <w:t xml:space="preserve">giá bán căn hộ tại Quảng Ninh tăng khoảng 8% và giá đất nền tăng khoảng 5% so với cùng kỳ</w:t>
      </w:r>
      <w:r>
        <w:rPr>
          <w:rFonts w:ascii="Times New Roman" w:hAnsi="Times New Roman" w:eastAsia="Times New Roman" w:cs="Times New Roman"/>
          <w:b w:val="0"/>
          <w:bCs w:val="0"/>
          <w:color w:val="000000"/>
          <w:sz w:val="24"/>
        </w:rPr>
        <w:t xml:space="preserve">. Tuy nhiên, mức giá có sự chênh lệch đáng kể giữa các địa bàn. Tại Hạ Long, là khu vực có mức độ phát triển đô thị và du lịch cao, giá bất động sản thường cao hơn so với các khu vực khác của tỉnh. Đối với đất nền tại </w:t>
      </w:r>
      <w:r>
        <w:rPr>
          <w:rFonts w:ascii="Times New Roman" w:hAnsi="Times New Roman" w:eastAsia="Times New Roman" w:cs="Times New Roman"/>
          <w:b w:val="0"/>
          <w:bCs w:val="0"/>
          <w:color w:val="000000"/>
          <w:sz w:val="24"/>
        </w:rPr>
        <w:t xml:space="preserve">Tuần Châu</w:t>
      </w:r>
      <w:r>
        <w:rPr>
          <w:rFonts w:ascii="Times New Roman" w:hAnsi="Times New Roman" w:eastAsia="Times New Roman" w:cs="Times New Roman"/>
          <w:b w:val="0"/>
          <w:bCs w:val="0"/>
          <w:color w:val="000000"/>
          <w:sz w:val="24"/>
        </w:rPr>
        <w:t xml:space="preserve">, giá tham khảo trong tháng 9/2025 khoảng </w:t>
      </w:r>
      <w:r>
        <w:rPr>
          <w:rFonts w:ascii="Times New Roman" w:hAnsi="Times New Roman" w:eastAsia="Times New Roman" w:cs="Times New Roman"/>
          <w:b w:val="0"/>
          <w:bCs w:val="0"/>
          <w:color w:val="000000"/>
          <w:sz w:val="24"/>
        </w:rPr>
        <w:t xml:space="preserve">35–45 triệu đồng/m²</w:t>
      </w:r>
      <w:r>
        <w:rPr>
          <w:rFonts w:ascii="Times New Roman" w:hAnsi="Times New Roman" w:eastAsia="Times New Roman" w:cs="Times New Roman"/>
          <w:b w:val="0"/>
          <w:bCs w:val="0"/>
          <w:color w:val="000000"/>
          <w:sz w:val="24"/>
        </w:rPr>
        <w:t xml:space="preserve">, trong khi đất nền tại </w:t>
      </w:r>
      <w:r>
        <w:rPr>
          <w:rFonts w:ascii="Times New Roman" w:hAnsi="Times New Roman" w:eastAsia="Times New Roman" w:cs="Times New Roman"/>
          <w:b w:val="0"/>
          <w:bCs w:val="0"/>
          <w:color w:val="000000"/>
          <w:sz w:val="24"/>
        </w:rPr>
        <w:t xml:space="preserve">Ao Tiên, Vân Đồn</w:t>
      </w:r>
      <w:r>
        <w:rPr>
          <w:rFonts w:ascii="Times New Roman" w:hAnsi="Times New Roman" w:eastAsia="Times New Roman" w:cs="Times New Roman"/>
          <w:b w:val="0"/>
          <w:bCs w:val="0"/>
          <w:color w:val="000000"/>
          <w:sz w:val="24"/>
        </w:rPr>
        <w:t xml:space="preserve"> có mức giá bình quân khoảng </w:t>
      </w:r>
      <w:r>
        <w:rPr>
          <w:rFonts w:ascii="Times New Roman" w:hAnsi="Times New Roman" w:eastAsia="Times New Roman" w:cs="Times New Roman"/>
          <w:b w:val="0"/>
          <w:bCs w:val="0"/>
          <w:color w:val="000000"/>
          <w:sz w:val="24"/>
        </w:rPr>
        <w:t xml:space="preserve">37,7 triệu đồng/m²</w:t>
      </w:r>
      <w:r>
        <w:rPr>
          <w:rFonts w:ascii="Times New Roman" w:hAnsi="Times New Roman" w:eastAsia="Times New Roman" w:cs="Times New Roman"/>
          <w:b w:val="0"/>
          <w:bCs w:val="0"/>
          <w:color w:val="000000"/>
          <w:sz w:val="24"/>
        </w:rPr>
        <w:t xml:space="preserve">. Đất nền tại khu vực </w:t>
      </w:r>
      <w:r>
        <w:rPr>
          <w:rFonts w:ascii="Times New Roman" w:hAnsi="Times New Roman" w:eastAsia="Times New Roman" w:cs="Times New Roman"/>
          <w:b w:val="0"/>
          <w:bCs w:val="0"/>
          <w:color w:val="000000"/>
          <w:sz w:val="24"/>
        </w:rPr>
        <w:t xml:space="preserve">Tuần Châu Marina Hạ Long</w:t>
      </w:r>
      <w:r>
        <w:rPr>
          <w:rFonts w:ascii="Times New Roman" w:hAnsi="Times New Roman" w:eastAsia="Times New Roman" w:cs="Times New Roman"/>
          <w:b w:val="0"/>
          <w:bCs w:val="0"/>
          <w:color w:val="000000"/>
          <w:sz w:val="24"/>
        </w:rPr>
        <w:t xml:space="preserve"> được ghi nhận ở mức khoảng </w:t>
      </w:r>
      <w:r>
        <w:rPr>
          <w:rFonts w:ascii="Times New Roman" w:hAnsi="Times New Roman" w:eastAsia="Times New Roman" w:cs="Times New Roman"/>
          <w:b w:val="0"/>
          <w:bCs w:val="0"/>
          <w:color w:val="000000"/>
          <w:sz w:val="24"/>
        </w:rPr>
        <w:t xml:space="preserve">39,2 triệu đồng/m²</w:t>
      </w:r>
      <w:r>
        <w:rPr>
          <w:rFonts w:ascii="Times New Roman" w:hAnsi="Times New Roman" w:eastAsia="Times New Roman" w:cs="Times New Roman"/>
          <w:b w:val="0"/>
          <w:bCs w:val="0"/>
          <w:color w:val="000000"/>
          <w:sz w:val="24"/>
        </w:rPr>
        <w:t xml:space="preserve"> trong cùng thời kỳ. Các mức giá này cho thấy giá bất động sản tại Quảng Ninh đã hình thành mặt bằng tương đối cao tại các khu vực có lợi thế về du lịch và hạ tầng, nhưng vẫn có sự khác biệt tùy thuộc vào vị trí và đặc điểm từng tài sản.</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360" w:left="0"/>
        <w:jc w:val="both"/>
        <w:rPr>
          <w:b w:val="0"/>
          <w:bCs w:val="0"/>
        </w:rPr>
      </w:pPr>
      <w:r>
        <w:rPr>
          <w:rFonts w:ascii="Times New Roman" w:hAnsi="Times New Roman" w:eastAsia="Times New Roman" w:cs="Times New Roman"/>
          <w:b w:val="0"/>
          <w:bCs w:val="0"/>
          <w:color w:val="000000"/>
          <w:sz w:val="24"/>
        </w:rPr>
        <w:t xml:space="preserve">Đối với </w:t>
      </w:r>
      <w:r>
        <w:rPr>
          <w:rFonts w:ascii="Times New Roman" w:hAnsi="Times New Roman" w:eastAsia="Times New Roman" w:cs="Times New Roman"/>
          <w:b w:val="0"/>
          <w:bCs w:val="0"/>
          <w:color w:val="000000"/>
          <w:sz w:val="24"/>
        </w:rPr>
        <w:t xml:space="preserve">phân khúc căn hộ</w:t>
      </w:r>
      <w:r>
        <w:rPr>
          <w:rFonts w:ascii="Times New Roman" w:hAnsi="Times New Roman" w:eastAsia="Times New Roman" w:cs="Times New Roman"/>
          <w:b w:val="0"/>
          <w:bCs w:val="0"/>
          <w:color w:val="000000"/>
          <w:sz w:val="24"/>
        </w:rPr>
        <w:t xml:space="preserve">, giá cũng có sự phân hóa khá lớn giữa các dự án. Tại Hạ Long, một số dự án căn hộ có mức giá tham khảo khoảng </w:t>
      </w:r>
      <w:r>
        <w:rPr>
          <w:rFonts w:ascii="Times New Roman" w:hAnsi="Times New Roman" w:eastAsia="Times New Roman" w:cs="Times New Roman"/>
          <w:b w:val="0"/>
          <w:bCs w:val="0"/>
          <w:color w:val="000000"/>
          <w:sz w:val="24"/>
        </w:rPr>
        <w:t xml:space="preserve">30–50 triệu đồng/m²</w:t>
      </w:r>
      <w:r>
        <w:rPr>
          <w:rFonts w:ascii="Times New Roman" w:hAnsi="Times New Roman" w:eastAsia="Times New Roman" w:cs="Times New Roman"/>
          <w:b w:val="0"/>
          <w:bCs w:val="0"/>
          <w:color w:val="000000"/>
          <w:sz w:val="24"/>
        </w:rPr>
        <w:t xml:space="preserve">, trong khi các dự án có vị trí ven biển, chất lượng cao hoặc có hệ thống tiện ích và khả năng khai thác du lịch tốt có thể đạt mức giá cao hơn. Sự chênh lệch về giá căn hộ chịu ảnh hưởng bởi nhiều yếu tố như vị trí dự án, khoảng cách đến biển và trung tâm</w:t>
      </w:r>
      <w:r>
        <w:rPr>
          <w:rFonts w:ascii="Times New Roman" w:hAnsi="Times New Roman" w:eastAsia="Times New Roman" w:cs="Times New Roman"/>
          <w:b w:val="0"/>
          <w:bCs w:val="0"/>
          <w:color w:val="000000"/>
          <w:sz w:val="24"/>
        </w:rPr>
        <w:t xml:space="preserve"> thành phố, chất lượng công trình, diện tích căn hộ, tầng, hướng, tầm nhìn, tiện ích nội khu, pháp lý và khả năng khai thác cho thuê. Do đó, khi khảo sát giá để phục vụ thẩm định, cần lựa chọn các căn hộ có đặc điểm tương đồng thay vì sử dụng một mức giá b</w:t>
      </w:r>
      <w:r>
        <w:rPr>
          <w:rFonts w:ascii="Times New Roman" w:hAnsi="Times New Roman" w:eastAsia="Times New Roman" w:cs="Times New Roman"/>
          <w:b w:val="0"/>
          <w:bCs w:val="0"/>
          <w:color w:val="000000"/>
          <w:sz w:val="24"/>
        </w:rPr>
        <w:t xml:space="preserve">ình quân chung cho toàn thị trường.</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360" w:left="0"/>
        <w:jc w:val="both"/>
        <w:rPr>
          <w:b w:val="0"/>
          <w:bCs w:val="0"/>
        </w:rPr>
      </w:pPr>
      <w:r>
        <w:rPr>
          <w:rFonts w:ascii="Times New Roman" w:hAnsi="Times New Roman" w:eastAsia="Times New Roman" w:cs="Times New Roman"/>
          <w:b w:val="0"/>
          <w:bCs w:val="0"/>
          <w:color w:val="000000"/>
          <w:sz w:val="24"/>
        </w:rPr>
        <w:t xml:space="preserve">Đối với </w:t>
      </w:r>
      <w:r>
        <w:rPr>
          <w:rFonts w:ascii="Times New Roman" w:hAnsi="Times New Roman" w:eastAsia="Times New Roman" w:cs="Times New Roman"/>
          <w:b w:val="0"/>
          <w:bCs w:val="0"/>
          <w:color w:val="000000"/>
          <w:sz w:val="24"/>
        </w:rPr>
        <w:t xml:space="preserve">đất ở và đất nền</w:t>
      </w:r>
      <w:r>
        <w:rPr>
          <w:rFonts w:ascii="Times New Roman" w:hAnsi="Times New Roman" w:eastAsia="Times New Roman" w:cs="Times New Roman"/>
          <w:b w:val="0"/>
          <w:bCs w:val="0"/>
          <w:color w:val="000000"/>
          <w:sz w:val="24"/>
        </w:rPr>
        <w:t xml:space="preserve">, giá có sự phân hóa mạnh hơn giữa các vị trí. Tại các khu vực trung tâm Hạ Long, Bãi Cháy, Tuần Châu hoặc những nơi có hạ tầng giao thông hoàn chỉnh, giá đất có thể ở mức cao do khả năng sử dụng để ở kết hợp kinh doanh và khai thác du lịch. Trong khi đó, </w:t>
      </w:r>
      <w:r>
        <w:rPr>
          <w:rFonts w:ascii="Times New Roman" w:hAnsi="Times New Roman" w:eastAsia="Times New Roman" w:cs="Times New Roman"/>
          <w:b w:val="0"/>
          <w:bCs w:val="0"/>
          <w:color w:val="000000"/>
          <w:sz w:val="24"/>
        </w:rPr>
        <w:t xml:space="preserve">tại các khu vực xa trung tâm hoặc các khu vực đang trong quá trình phát triển đô thị, mặt bằng giá thấp hơn nhưng có thể xuất hiện mức tăng giá khi hạ tầng được đầu tư và dân cư tập trung. Vì vậy, đối với tài sản thẩm định giá là đất ở, các yếu tố như </w:t>
      </w:r>
      <w:r>
        <w:rPr>
          <w:rFonts w:ascii="Times New Roman" w:hAnsi="Times New Roman" w:eastAsia="Times New Roman" w:cs="Times New Roman"/>
          <w:b w:val="0"/>
          <w:bCs w:val="0"/>
          <w:color w:val="000000"/>
          <w:sz w:val="24"/>
        </w:rPr>
        <w:t xml:space="preserve">mặt tiền, chiều rộng đường, vị trí trong khu dân cư, khoảng cách đến trung tâm, khả năng kinh doanh, quy hoạch và tình trạng pháp lý</w:t>
      </w:r>
      <w:r>
        <w:rPr>
          <w:rFonts w:ascii="Times New Roman" w:hAnsi="Times New Roman" w:eastAsia="Times New Roman" w:cs="Times New Roman"/>
          <w:b w:val="0"/>
          <w:bCs w:val="0"/>
          <w:color w:val="000000"/>
          <w:sz w:val="24"/>
        </w:rPr>
        <w:t xml:space="preserve"> có ảnh hưởng trực tiếp đến giá trị tài sản.</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360" w:left="0"/>
        <w:jc w:val="both"/>
        <w:rPr>
          <w:b w:val="0"/>
          <w:bCs w:val="0"/>
        </w:rPr>
      </w:pPr>
      <w:r>
        <w:rPr>
          <w:rFonts w:ascii="Times New Roman" w:hAnsi="Times New Roman" w:eastAsia="Times New Roman" w:cs="Times New Roman"/>
          <w:b w:val="0"/>
          <w:bCs w:val="0"/>
          <w:color w:val="000000"/>
          <w:sz w:val="24"/>
        </w:rPr>
        <w:t xml:space="preserve">Nhìn chung, thị trường bất động sản Quảng Ninh đang có xu hướng </w:t>
      </w:r>
      <w:r>
        <w:rPr>
          <w:rFonts w:ascii="Times New Roman" w:hAnsi="Times New Roman" w:eastAsia="Times New Roman" w:cs="Times New Roman"/>
          <w:b w:val="0"/>
          <w:bCs w:val="0"/>
          <w:color w:val="000000"/>
          <w:sz w:val="24"/>
        </w:rPr>
        <w:t xml:space="preserve">phục hồi về nguồn cung, cải thiện về sức cầu và tăng trưởng về mặt bằng giá</w:t>
      </w:r>
      <w:r>
        <w:rPr>
          <w:rFonts w:ascii="Times New Roman" w:hAnsi="Times New Roman" w:eastAsia="Times New Roman" w:cs="Times New Roman"/>
          <w:b w:val="0"/>
          <w:bCs w:val="0"/>
          <w:color w:val="000000"/>
          <w:sz w:val="24"/>
        </w:rPr>
        <w:t xml:space="preserve">, nhưng mức độ phát triển giữa các khu vực không đồng đều. Hạ Long tiếp tục là thị trường có quy mô và tính đa dạng cao, trong khi Vân Đồn nổi bật về bất động sản du lịch – nghỉ dưỡng và Quảng Yên có nhiều tiềm năng từ sự phát triển công nghiệp, đô thị và </w:t>
      </w:r>
      <w:r>
        <w:rPr>
          <w:rFonts w:ascii="Times New Roman" w:hAnsi="Times New Roman" w:eastAsia="Times New Roman" w:cs="Times New Roman"/>
          <w:b w:val="0"/>
          <w:bCs w:val="0"/>
          <w:color w:val="000000"/>
          <w:sz w:val="24"/>
        </w:rPr>
        <w:t xml:space="preserve">hạ tầng. Việc nguồn cung mới đạt khoảng 5.000 sản phẩm trong năm 2025 với tỷ lệ hấp thụ trên 70%, cùng mức tăng khoảng 8% đối với giá căn hộ và 5% đối với giá đất nền, cho thấy thị trường đã có những dấu hiệu tích cực. Tuy nhiên, giá bất động sản vẫn phụ t</w:t>
      </w:r>
      <w:r>
        <w:rPr>
          <w:rFonts w:ascii="Times New Roman" w:hAnsi="Times New Roman" w:eastAsia="Times New Roman" w:cs="Times New Roman"/>
          <w:b w:val="0"/>
          <w:bCs w:val="0"/>
          <w:color w:val="000000"/>
          <w:sz w:val="24"/>
        </w:rPr>
        <w:t xml:space="preserve">huộc rất lớn vào vị trí, pháp lý, hạ tầng, mục đích sử dụng và khả năng khai thác thực tế của từng tài sản.</w:t>
      </w:r>
      <w:r>
        <w:rPr>
          <w:b w:val="0"/>
          <w:bCs w:val="0"/>
        </w:rPr>
      </w:r>
      <w:r>
        <w:rPr>
          <w:b w:val="0"/>
          <w:bCs w:val="0"/>
        </w:rPr>
      </w:r>
    </w:p>
    <w:p>
      <w:pPr>
        <w:pBdr>
          <w:top w:val="none" w:color="000000" w:sz="4" w:space="0"/>
          <w:left w:val="none" w:color="000000" w:sz="4" w:space="0"/>
          <w:bottom w:val="none" w:color="000000" w:sz="4" w:space="0"/>
          <w:right w:val="none" w:color="000000" w:sz="4" w:space="0"/>
        </w:pBdr>
        <w:spacing w:line="276" w:lineRule="auto"/>
        <w:ind w:right="0" w:firstLine="360" w:left="0"/>
        <w:jc w:val="both"/>
        <w:rPr>
          <w:b w:val="0"/>
          <w:bCs w:val="0"/>
        </w:rPr>
      </w:pPr>
      <w:r>
        <w:rPr>
          <w:rFonts w:ascii="Times New Roman" w:hAnsi="Times New Roman" w:eastAsia="Times New Roman" w:cs="Times New Roman"/>
          <w:b w:val="0"/>
          <w:bCs w:val="0"/>
          <w:color w:val="000000"/>
          <w:sz w:val="24"/>
        </w:rPr>
        <w:t xml:space="preserve">Đối với </w:t>
      </w:r>
      <w:r>
        <w:rPr>
          <w:rFonts w:ascii="Times New Roman" w:hAnsi="Times New Roman" w:eastAsia="Times New Roman" w:cs="Times New Roman"/>
          <w:b w:val="0"/>
          <w:bCs w:val="0"/>
          <w:color w:val="000000"/>
          <w:sz w:val="24"/>
        </w:rPr>
        <w:t xml:space="preserve">công tác thẩm định giá</w:t>
      </w:r>
      <w:r>
        <w:rPr>
          <w:rFonts w:ascii="Times New Roman" w:hAnsi="Times New Roman" w:eastAsia="Times New Roman" w:cs="Times New Roman"/>
          <w:b w:val="0"/>
          <w:bCs w:val="0"/>
          <w:color w:val="000000"/>
          <w:sz w:val="24"/>
        </w:rPr>
        <w:t xml:space="preserve">, những đặc điểm trên cho thấy việc xác định giá trị tài sản tại Quảng Ninh cần được thực hiện trên cơ sở khảo sát cụ thể từng khu vực và từng phân khúc. Khi áp dụng phương pháp so sánh, cần ưu tiên các giao dịch hoặc tài sản có đặc điểm tương đồng về vị t</w:t>
      </w:r>
      <w:r>
        <w:rPr>
          <w:rFonts w:ascii="Times New Roman" w:hAnsi="Times New Roman" w:eastAsia="Times New Roman" w:cs="Times New Roman"/>
          <w:b w:val="0"/>
          <w:bCs w:val="0"/>
          <w:color w:val="000000"/>
          <w:sz w:val="24"/>
        </w:rPr>
        <w:t xml:space="preserve">rí, mục đích sử dụng, diện tích, pháp lý, thời điểm giao dịch và điều kiện thị trường. Đồng thời, cần phân biệt giữa </w:t>
      </w:r>
      <w:r>
        <w:rPr>
          <w:rFonts w:ascii="Times New Roman" w:hAnsi="Times New Roman" w:eastAsia="Times New Roman" w:cs="Times New Roman"/>
          <w:b w:val="0"/>
          <w:bCs w:val="0"/>
          <w:color w:val="000000"/>
          <w:sz w:val="24"/>
        </w:rPr>
        <w:t xml:space="preserve">giá chào bán và giá giao dịch thực tế</w:t>
      </w:r>
      <w:r>
        <w:rPr>
          <w:rFonts w:ascii="Times New Roman" w:hAnsi="Times New Roman" w:eastAsia="Times New Roman" w:cs="Times New Roman"/>
          <w:b w:val="0"/>
          <w:bCs w:val="0"/>
          <w:color w:val="000000"/>
          <w:sz w:val="24"/>
        </w:rPr>
        <w:t xml:space="preserve">, bởi giá chào bán trên các sàn bất động sản thường có thể cao hơn mức giá mà các bên thực tế thỏa thuận. Việc thu thập, kiểm tra và đối chiếu nhiều nguồn thông tin sẽ giúp nâng cao độ tin cậy của mức giá được sử dụng làm căn cứ thẩm định.</w:t>
      </w:r>
      <w:r>
        <w:rPr>
          <w:b w:val="0"/>
          <w:bCs w:val="0"/>
        </w:rPr>
      </w:r>
      <w:r>
        <w:rPr>
          <w:b w:val="0"/>
          <w:bCs w:val="0"/>
        </w:rPr>
      </w:r>
    </w:p>
    <w:p>
      <w:pPr>
        <w:pStyle w:val="1035"/>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21"/>
        <w:gridCol w:w="2425"/>
        <w:gridCol w:w="2360"/>
        <w:gridCol w:w="2793"/>
      </w:tblGrid>
      <w:tr>
        <w:trPr>
          <w:trHeight w:val="1979"/>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b/>
                <w:i w:val="0"/>
                <w:iCs w:val="0"/>
                <w:color w:val="000000" w:themeColor="text1"/>
                <w:sz w:val="24"/>
              </w:rPr>
              <w:t xml:space="preserve">Tên tài sản</w:t>
            </w:r>
            <w:r>
              <w:rPr>
                <w:bCs w:val="0"/>
                <w:i w:val="0"/>
                <w:color w:val="000000" w:themeColor="text1"/>
              </w:rPr>
            </w:r>
            <w:r>
              <w:rPr>
                <w:bCs w:val="0"/>
                <w:i w:val="0"/>
                <w:color w:val="000000" w:themeColor="text1"/>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jc w:val="both"/>
              <w:rPr>
                <w:bCs w:val="0"/>
                <w:i w:val="0"/>
                <w:color w:val="000000" w:themeColor="text1"/>
              </w:rPr>
            </w:pPr>
            <w:r>
              <w:rPr>
                <w:rFonts w:ascii="Times New Roman" w:hAnsi="Times New Roman" w:eastAsia="Times New Roman" w:cs="Times New Roman"/>
                <w:b/>
                <w:i w:val="0"/>
                <w:iCs w:val="0"/>
                <w:color w:val="000000" w:themeColor="text1"/>
                <w:sz w:val="24"/>
              </w:rPr>
              <w:t xml:space="preserve"> Quyền sử dụng đất tại thửa đất số: 05-Lô A7, tờ bản đồ số: , có địa chỉ: Khu Đô thị Du lịch và Bến Cảng Cao Cấp Ao Tiên tại xã Hạ Long, Vân Đồn, Quảng Ninh ( nay là Đặc khu Vân Đồn, tỉnh Quảng Ninh ) theo Giấy chứng nhận quyền sử dụng đất, quyền sở hữu nh</w:t>
            </w:r>
            <w:r>
              <w:rPr>
                <w:rFonts w:ascii="Times New Roman" w:hAnsi="Times New Roman" w:eastAsia="Times New Roman" w:cs="Times New Roman"/>
                <w:b/>
                <w:i w:val="0"/>
                <w:iCs w:val="0"/>
                <w:color w:val="000000" w:themeColor="text1"/>
                <w:sz w:val="24"/>
              </w:rPr>
              <w:t xml:space="preserve">à ở và tài sản khác gắn liền với đất số: DE 478517, Số vào sổ cấp GCN: CH07824 do Ủy ban nhân dân huyện Vân Đồn  cấp ngày 26/09/2022; chủ sử dụng đất là Ông Nguyễn Công Tám và bà Vũ Thanh Tâm </w:t>
            </w:r>
            <w:r>
              <w:rPr>
                <w:bCs w:val="0"/>
                <w:i w:val="0"/>
                <w:color w:val="000000" w:themeColor="text1"/>
              </w:rPr>
            </w:r>
            <w:r>
              <w:rPr>
                <w:bCs w:val="0"/>
                <w:i w:val="0"/>
                <w:color w:val="000000" w:themeColor="text1"/>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b/>
                <w:i w:val="0"/>
                <w:iCs w:val="0"/>
                <w:color w:val="000000" w:themeColor="text1"/>
                <w:sz w:val="24"/>
              </w:rPr>
              <w:t xml:space="preserve">1.</w:t>
            </w:r>
            <w:r>
              <w:rPr>
                <w:bCs w:val="0"/>
                <w:i w:val="0"/>
                <w:color w:val="000000" w:themeColor="text1"/>
              </w:rPr>
            </w:r>
            <w:r>
              <w:rPr>
                <w:bCs w:val="0"/>
                <w:i w:val="0"/>
                <w:color w:val="000000" w:themeColor="text1"/>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b/>
                <w:i w:val="0"/>
                <w:iCs w:val="0"/>
                <w:color w:val="000000" w:themeColor="text1"/>
                <w:sz w:val="24"/>
              </w:rPr>
              <w:t xml:space="preserve">Nội dung Thửa đất theo Hồ sơ pháp lý</w:t>
            </w:r>
            <w:r>
              <w:rPr>
                <w:bCs w:val="0"/>
                <w:i w:val="0"/>
                <w:color w:val="000000" w:themeColor="text1"/>
              </w:rPr>
            </w:r>
            <w:r>
              <w:rPr>
                <w:bCs w:val="0"/>
                <w:i w:val="0"/>
                <w:color w:val="000000" w:themeColor="text1"/>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b/>
                <w:i w:val="0"/>
                <w:iCs w:val="0"/>
                <w:color w:val="000000" w:themeColor="text1"/>
                <w:sz w:val="24"/>
              </w:rPr>
              <w:t xml:space="preserve">1.1</w:t>
            </w:r>
            <w:r>
              <w:rPr>
                <w:bCs w:val="0"/>
                <w:i w:val="0"/>
                <w:color w:val="000000" w:themeColor="text1"/>
              </w:rPr>
            </w:r>
            <w:r>
              <w:rPr>
                <w:bCs w:val="0"/>
                <w:i w:val="0"/>
                <w:color w:val="000000" w:themeColor="text1"/>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b/>
                <w:i w:val="0"/>
                <w:iCs w:val="0"/>
                <w:color w:val="000000" w:themeColor="text1"/>
                <w:sz w:val="24"/>
              </w:rPr>
              <w:t xml:space="preserve">Thửa đất:</w:t>
            </w:r>
            <w:r>
              <w:rPr>
                <w:bCs w:val="0"/>
                <w:i w:val="0"/>
                <w:color w:val="000000" w:themeColor="text1"/>
              </w:rPr>
            </w:r>
            <w:r>
              <w:rPr>
                <w:bCs w:val="0"/>
                <w:i w:val="0"/>
                <w:color w:val="000000" w:themeColor="text1"/>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Thửa đất số:</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05-Lô A7</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Tờ bản đồ số:</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jc w:val="center"/>
              <w:rPr>
                <w:bCs w:val="0"/>
                <w:i w:val="0"/>
                <w:color w:val="ff0000"/>
              </w:rPr>
            </w:pPr>
            <w:r>
              <w:rPr>
                <w:rFonts w:ascii="Times New Roman" w:hAnsi="Times New Roman" w:eastAsia="Times New Roman" w:cs="Times New Roman"/>
                <w:i w:val="0"/>
                <w:iCs w:val="0"/>
                <w:color w:val="ff0000"/>
                <w:sz w:val="24"/>
              </w:rPr>
              <w:t xml:space="preserve">./. </w:t>
            </w:r>
            <w:r>
              <w:rPr>
                <w:bCs w:val="0"/>
                <w:i w:val="0"/>
                <w:color w:val="ff0000"/>
              </w:rPr>
            </w:r>
            <w:r>
              <w:rPr>
                <w:bCs w:val="0"/>
                <w:i w:val="0"/>
                <w:color w:val="ff0000"/>
              </w:rP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Địa chỉ:</w:t>
            </w:r>
            <w:r>
              <w:rPr>
                <w:bCs w:val="0"/>
                <w:i w:val="0"/>
                <w:color w:val="000000" w:themeColor="text1"/>
              </w:rPr>
            </w:r>
            <w:r>
              <w:rPr>
                <w:bCs w:val="0"/>
                <w:i w:val="0"/>
                <w:color w:val="000000" w:themeColor="text1"/>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578"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Khu Đô thị Du lịch và Bến Cảng Cao Cấp Ao Tiên tại xã Hạ Long, Vân Đồn, Quảng Ninh ( nay là Đặc khu Vân Đồn, tỉnh Quảng Ninh )</w:t>
            </w:r>
            <w:r>
              <w:rPr>
                <w:bCs w:val="0"/>
                <w:i w:val="0"/>
                <w:color w:val="000000" w:themeColor="text1"/>
              </w:rPr>
            </w:r>
            <w:r>
              <w:rPr>
                <w:bCs w:val="0"/>
                <w:i w:val="0"/>
                <w:color w:val="000000" w:themeColor="text1"/>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Diện tích (m²):</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120,78</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Hình thức sử dụng</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Sử dụng riêng</w:t>
            </w:r>
            <w:r>
              <w:rPr>
                <w:bCs w:val="0"/>
                <w:i w:val="0"/>
                <w:color w:val="000000" w:themeColor="text1"/>
              </w:rPr>
            </w:r>
            <w:r>
              <w:rPr>
                <w:bCs w:val="0"/>
                <w:i w:val="0"/>
                <w:color w:val="000000" w:themeColor="text1"/>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Mục đích sử dụng:</w:t>
            </w:r>
            <w:r>
              <w:rPr>
                <w:bCs w:val="0"/>
                <w:i w:val="0"/>
                <w:color w:val="000000" w:themeColor="text1"/>
              </w:rPr>
            </w:r>
            <w:r>
              <w:rPr>
                <w:bCs w:val="0"/>
                <w:i w:val="0"/>
                <w:color w:val="000000" w:themeColor="text1"/>
              </w:rPr>
            </w:r>
          </w:p>
        </w:tc>
        <w:tc>
          <w:tcPr>
            <w:tcBorders/>
            <w:tcMar>
              <w:left w:w="0" w:type="dxa"/>
              <w:top w:w="0" w:type="dxa"/>
              <w:right w:w="0" w:type="dxa"/>
              <w:bottom w:w="0" w:type="dxa"/>
            </w:tcMar>
            <w:tcW w:w="2425" w:type="dxa"/>
            <w:vAlign w:val="bottom"/>
            <w:textDirection w:val="lrTb"/>
            <w:noWrap/>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Đất ở tại đô thị</w:t>
            </w:r>
            <w:r>
              <w:rPr>
                <w:bCs w:val="0"/>
                <w:i w:val="0"/>
                <w:color w:val="000000" w:themeColor="text1"/>
              </w:rPr>
            </w:r>
            <w:r>
              <w:rPr>
                <w:bCs w:val="0"/>
                <w:i w:val="0"/>
                <w:color w:val="000000" w:themeColor="text1"/>
              </w:rPr>
            </w:r>
          </w:p>
        </w:tc>
        <w:tc>
          <w:tcPr>
            <w:tcBorders>
              <w:left w:val="single" w:color="000000" w:sz="6" w:space="0"/>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Thời hạn sử dụng:</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Lâu dài </w:t>
            </w:r>
            <w:r>
              <w:rPr>
                <w:bCs w:val="0"/>
                <w:i w:val="0"/>
                <w:color w:val="000000" w:themeColor="text1"/>
              </w:rPr>
            </w:r>
            <w:r>
              <w:rPr>
                <w:bCs w:val="0"/>
                <w:i w:val="0"/>
                <w:color w:val="000000" w:themeColor="text1"/>
              </w:rPr>
            </w:r>
          </w:p>
        </w:tc>
      </w:tr>
      <w:tr>
        <w:trPr>
          <w:trHeight w:val="1059"/>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Nguồn gốc sử dụng đất:</w:t>
            </w:r>
            <w:r>
              <w:rPr>
                <w:bCs w:val="0"/>
                <w:i w:val="0"/>
                <w:color w:val="000000" w:themeColor="text1"/>
              </w:rPr>
            </w:r>
            <w:r>
              <w:rPr>
                <w:bCs w:val="0"/>
                <w:i w:val="0"/>
                <w:color w:val="000000" w:themeColor="text1"/>
              </w:rP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578"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Nhận quyền chuyển nhượng đất được Nhà nước giao đất có thu tiền sử dụng đất (Nhận chuyển nhượng từ giấy chứng nhanaj quyền sử dụng đất số vào sổ: CT25612 do Sở Tài nguyên và Môi trường Tỉnh Quảng Ninh cấp ngày 11/08/2021)</w:t>
            </w:r>
            <w:r>
              <w:rPr>
                <w:bCs w:val="0"/>
                <w:i w:val="0"/>
                <w:color w:val="000000" w:themeColor="text1"/>
              </w:rPr>
            </w:r>
            <w:r>
              <w:rPr>
                <w:bCs w:val="0"/>
                <w:i w:val="0"/>
                <w:color w:val="000000" w:themeColor="text1"/>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b/>
                <w:i w:val="0"/>
                <w:iCs w:val="0"/>
                <w:color w:val="000000" w:themeColor="text1"/>
                <w:sz w:val="24"/>
              </w:rPr>
              <w:t xml:space="preserve">1.2.</w:t>
            </w:r>
            <w:r>
              <w:rPr>
                <w:bCs w:val="0"/>
                <w:i w:val="0"/>
                <w:color w:val="000000" w:themeColor="text1"/>
              </w:rPr>
            </w:r>
            <w:r>
              <w:rPr>
                <w:bCs w:val="0"/>
                <w:i w:val="0"/>
                <w:color w:val="000000" w:themeColor="text1"/>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b/>
                <w:i w:val="0"/>
                <w:iCs w:val="0"/>
                <w:color w:val="000000" w:themeColor="text1"/>
                <w:sz w:val="24"/>
              </w:rPr>
              <w:t xml:space="preserve">Nhà ở </w:t>
            </w:r>
            <w:r>
              <w:rPr>
                <w:bCs w:val="0"/>
                <w:i w:val="0"/>
                <w:color w:val="000000" w:themeColor="text1"/>
              </w:rPr>
            </w:r>
            <w:r>
              <w:rPr>
                <w:bCs w:val="0"/>
                <w:i w:val="0"/>
                <w:color w:val="000000" w:themeColor="text1"/>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b/>
                <w:i w:val="0"/>
                <w:iCs w:val="0"/>
                <w:color w:val="000000" w:themeColor="text1"/>
                <w:sz w:val="24"/>
              </w:rPr>
              <w:t xml:space="preserve">-</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Loại nhà ở:</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Nhà xây 5 tầng</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Hình thức sở hữu:</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Diện tích xây dựng (m²):</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90,7</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Diện tích sử dụng (m²):</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793" w:type="dxa"/>
            <w:vAlign w:val="center"/>
            <w:textDirection w:val="lrTb"/>
            <w:noWrap/>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464,3</w:t>
            </w:r>
            <w:r>
              <w:rPr>
                <w:bCs w:val="0"/>
                <w:i w:val="0"/>
                <w:color w:val="000000" w:themeColor="text1"/>
              </w:rPr>
            </w:r>
            <w:r>
              <w:rPr>
                <w:bCs w:val="0"/>
                <w:i w:val="0"/>
                <w:color w:val="000000" w:themeColor="text1"/>
              </w:rPr>
            </w:r>
          </w:p>
        </w:tc>
      </w:tr>
      <w:tr>
        <w:trPr>
          <w:trHeight w:val="56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 </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Cấp (Hạng):</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IV</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Năm hoàn thành xây dựng </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793" w:type="dxa"/>
            <w:vAlign w:val="center"/>
            <w:textDirection w:val="lrTb"/>
            <w:noWrap/>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2022</w:t>
            </w:r>
            <w:r>
              <w:rPr>
                <w:bCs w:val="0"/>
                <w:i w:val="0"/>
                <w:color w:val="000000" w:themeColor="text1"/>
              </w:rPr>
            </w:r>
            <w:r>
              <w:rPr>
                <w:bCs w:val="0"/>
                <w:i w:val="0"/>
                <w:color w:val="000000" w:themeColor="text1"/>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Số tầng:</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5</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Kết cấu:</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Bê tông, cốt thép </w:t>
            </w:r>
            <w:r>
              <w:rPr>
                <w:bCs w:val="0"/>
                <w:i w:val="0"/>
                <w:color w:val="000000" w:themeColor="text1"/>
              </w:rPr>
            </w:r>
            <w:r>
              <w:rPr>
                <w:bCs w:val="0"/>
                <w:i w:val="0"/>
                <w:color w:val="000000" w:themeColor="text1"/>
              </w:rPr>
            </w:r>
          </w:p>
        </w:tc>
      </w:tr>
      <w:tr>
        <w:trPr>
          <w:trHeight w:val="86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b/>
                <w:i w:val="0"/>
                <w:iCs w:val="0"/>
                <w:color w:val="000000" w:themeColor="text1"/>
                <w:sz w:val="24"/>
              </w:rPr>
              <w:t xml:space="preserve">1.2</w:t>
            </w:r>
            <w:r>
              <w:rPr>
                <w:bCs w:val="0"/>
                <w:i w:val="0"/>
                <w:color w:val="000000" w:themeColor="text1"/>
              </w:rPr>
            </w:r>
            <w:r>
              <w:rPr>
                <w:bCs w:val="0"/>
                <w:i w:val="0"/>
                <w:color w:val="000000" w:themeColor="text1"/>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b/>
                <w:i w:val="0"/>
                <w:iCs w:val="0"/>
                <w:color w:val="000000" w:themeColor="text1"/>
                <w:sz w:val="24"/>
              </w:rPr>
              <w:t xml:space="preserve">Ghi chú: </w:t>
            </w:r>
            <w:r>
              <w:rPr>
                <w:rFonts w:ascii="Times New Roman" w:hAnsi="Times New Roman" w:eastAsia="Times New Roman" w:cs="Times New Roman"/>
                <w:b w:val="0"/>
                <w:bCs w:val="0"/>
                <w:i w:val="0"/>
                <w:iCs w:val="0"/>
                <w:color w:val="000000" w:themeColor="text1"/>
                <w:sz w:val="24"/>
              </w:rPr>
              <w:t xml:space="preserve">Ô đất thuộc thửa đất số70 tờ bản đồ số 57, bản đồ quy hoạch chi tiết xây dựng tỷ lệ 1/500 </w:t>
              <w:br/>
              <w:t xml:space="preserve">Khu đô thị du lịch biển cảng cao cấp Ao Tiên đã được UBND tỉnh phê duyệt kèm theo Quyết định số 68/QĐ-UBND ngày 08/01/2019</w:t>
            </w:r>
            <w:r>
              <w:rPr>
                <w:rFonts w:ascii="Times New Roman" w:hAnsi="Times New Roman" w:eastAsia="Times New Roman" w:cs="Times New Roman"/>
                <w:b/>
                <w:i w:val="0"/>
                <w:iCs w:val="0"/>
                <w:color w:val="000000" w:themeColor="text1"/>
                <w:sz w:val="24"/>
              </w:rPr>
              <w:t xml:space="preserve"> </w:t>
            </w:r>
            <w:r>
              <w:rPr>
                <w:bCs w:val="0"/>
                <w:i w:val="0"/>
                <w:color w:val="000000" w:themeColor="text1"/>
              </w:rPr>
            </w:r>
            <w:r>
              <w:rPr>
                <w:bCs w:val="0"/>
                <w:i w:val="0"/>
                <w:color w:val="000000" w:themeColor="text1"/>
              </w:rP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b/>
                <w:i w:val="0"/>
                <w:iCs w:val="0"/>
                <w:color w:val="000000" w:themeColor="text1"/>
                <w:sz w:val="24"/>
              </w:rPr>
              <w:t xml:space="preserve">1.3.</w:t>
            </w:r>
            <w:r>
              <w:rPr>
                <w:bCs w:val="0"/>
                <w:i w:val="0"/>
                <w:color w:val="000000" w:themeColor="text1"/>
              </w:rPr>
            </w:r>
            <w:r>
              <w:rPr>
                <w:bCs w:val="0"/>
                <w:i w:val="0"/>
                <w:color w:val="000000" w:themeColor="text1"/>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b/>
                <w:i w:val="0"/>
                <w:iCs w:val="0"/>
                <w:color w:val="000000" w:themeColor="text1"/>
                <w:sz w:val="24"/>
              </w:rPr>
              <w:t xml:space="preserve">Thông tin quy hoạch:</w:t>
            </w:r>
            <w:r>
              <w:rPr>
                <w:bCs w:val="0"/>
                <w:i w:val="0"/>
                <w:color w:val="000000" w:themeColor="text1"/>
              </w:rPr>
            </w:r>
            <w:r>
              <w:rPr>
                <w:bCs w:val="0"/>
                <w:i w:val="0"/>
                <w:color w:val="000000" w:themeColor="text1"/>
              </w:rPr>
            </w:r>
          </w:p>
        </w:tc>
      </w:tr>
      <w:tr>
        <w:trPr>
          <w:trHeight w:val="1236"/>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b/>
                <w:i w:val="0"/>
                <w:iCs w:val="0"/>
                <w:color w:val="000000" w:themeColor="text1"/>
                <w:sz w:val="24"/>
              </w:rPr>
              <w:t xml:space="preserve">-</w:t>
            </w:r>
            <w:r>
              <w:rPr>
                <w:bCs w:val="0"/>
                <w:i w:val="0"/>
                <w:color w:val="000000" w:themeColor="text1"/>
              </w:rPr>
            </w:r>
            <w:r>
              <w:rPr>
                <w:bCs w:val="0"/>
                <w:i w:val="0"/>
                <w:color w:val="000000" w:themeColor="text1"/>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i w:val="0"/>
                <w:iCs w:val="0"/>
                <w:color w:val="000000" w:themeColor="text1"/>
                <w:sz w:val="24"/>
              </w:rPr>
              <w:t xml:space="preserve">định vị trí tài sản thuộc quy hoạch đất ở.</w:t>
            </w:r>
            <w:r>
              <w:rPr>
                <w:bCs w:val="0"/>
                <w:i w:val="0"/>
                <w:color w:val="000000" w:themeColor="text1"/>
              </w:rPr>
            </w:r>
            <w:r>
              <w:rPr>
                <w:bCs w:val="0"/>
                <w:i w:val="0"/>
                <w:color w:val="000000" w:themeColor="text1"/>
              </w:rP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b/>
                <w:i w:val="0"/>
                <w:iCs w:val="0"/>
                <w:color w:val="000000" w:themeColor="text1"/>
                <w:sz w:val="24"/>
              </w:rPr>
              <w:t xml:space="preserve">2.</w:t>
            </w:r>
            <w:r>
              <w:rPr>
                <w:bCs w:val="0"/>
                <w:i w:val="0"/>
                <w:color w:val="000000" w:themeColor="text1"/>
              </w:rPr>
            </w:r>
            <w:r>
              <w:rPr>
                <w:bCs w:val="0"/>
                <w:i w:val="0"/>
                <w:color w:val="000000" w:themeColor="text1"/>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b/>
                <w:i w:val="0"/>
                <w:iCs w:val="0"/>
                <w:color w:val="000000" w:themeColor="text1"/>
                <w:sz w:val="24"/>
              </w:rPr>
              <w:t xml:space="preserve">Về đất:</w:t>
            </w:r>
            <w:r>
              <w:rPr>
                <w:bCs w:val="0"/>
                <w:i w:val="0"/>
                <w:color w:val="000000" w:themeColor="text1"/>
              </w:rPr>
            </w:r>
            <w:r>
              <w:rPr>
                <w:bCs w:val="0"/>
                <w:i w:val="0"/>
                <w:color w:val="000000" w:themeColor="text1"/>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b/>
                <w:i w:val="0"/>
                <w:iCs w:val="0"/>
                <w:color w:val="000000" w:themeColor="text1"/>
                <w:sz w:val="24"/>
              </w:rPr>
              <w:t xml:space="preserve">2.1</w:t>
            </w:r>
            <w:r>
              <w:rPr>
                <w:bCs w:val="0"/>
                <w:i w:val="0"/>
                <w:color w:val="000000" w:themeColor="text1"/>
              </w:rPr>
            </w:r>
            <w:r>
              <w:rPr>
                <w:bCs w:val="0"/>
                <w:i w:val="0"/>
                <w:color w:val="000000" w:themeColor="text1"/>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b/>
                <w:i w:val="0"/>
                <w:iCs w:val="0"/>
                <w:color w:val="000000" w:themeColor="text1"/>
                <w:sz w:val="24"/>
              </w:rPr>
              <w:t xml:space="preserve">Vị trí; Giao thông;</w:t>
            </w:r>
            <w:r>
              <w:rPr>
                <w:bCs w:val="0"/>
                <w:i w:val="0"/>
                <w:color w:val="000000" w:themeColor="text1"/>
              </w:rPr>
            </w:r>
            <w:r>
              <w:rPr>
                <w:bCs w:val="0"/>
                <w:i w:val="0"/>
                <w:color w:val="000000" w:themeColor="text1"/>
              </w:rPr>
            </w:r>
          </w:p>
        </w:tc>
      </w:tr>
      <w:tr>
        <w:trPr>
          <w:trHeight w:val="648"/>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Địa chỉ thực tế: </w:t>
            </w:r>
            <w:r>
              <w:rPr>
                <w:bCs w:val="0"/>
                <w:i w:val="0"/>
                <w:color w:val="000000" w:themeColor="text1"/>
              </w:rPr>
            </w:r>
            <w:r>
              <w:rPr>
                <w:bCs w:val="0"/>
                <w:i w:val="0"/>
                <w:color w:val="000000" w:themeColor="text1"/>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578"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05-Lô A7 Khu Đô thị Du lịch và Bến Cảng Cao Cấp Ao Tiên tại xã Hạ Long, Vân Đồn, Quảng Ninh ( nay là Đặc khu Vân Đồn, tỉnh Quảng Ninh )</w:t>
            </w:r>
            <w:r>
              <w:rPr>
                <w:bCs w:val="0"/>
                <w:i w:val="0"/>
                <w:color w:val="000000" w:themeColor="text1"/>
              </w:rPr>
            </w:r>
            <w:r>
              <w:rPr>
                <w:bCs w:val="0"/>
                <w:i w:val="0"/>
                <w:color w:val="000000" w:themeColor="text1"/>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tcBorders>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Đường tiếp giáp chính:</w:t>
            </w:r>
            <w:r>
              <w:rPr>
                <w:bCs w:val="0"/>
                <w:i w:val="0"/>
                <w:color w:val="000000" w:themeColor="text1"/>
              </w:rPr>
            </w:r>
            <w:r>
              <w:rPr>
                <w:bCs w:val="0"/>
                <w:i w:val="0"/>
                <w:color w:val="000000" w:themeColor="text1"/>
              </w:rPr>
            </w:r>
          </w:p>
        </w:tc>
        <w:tc>
          <w:tcPr>
            <w:tcBorders>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đường Vân Đồn </w:t>
            </w:r>
            <w:r>
              <w:rPr>
                <w:bCs w:val="0"/>
                <w:i w:val="0"/>
                <w:color w:val="000000" w:themeColor="text1"/>
              </w:rPr>
            </w:r>
            <w:r>
              <w:rPr>
                <w:bCs w:val="0"/>
                <w:i w:val="0"/>
                <w:color w:val="000000" w:themeColor="text1"/>
              </w:rPr>
            </w:r>
          </w:p>
        </w:tc>
        <w:tc>
          <w:tcPr>
            <w:tcBorders>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Số mặt tiền:</w:t>
            </w:r>
            <w:r>
              <w:rPr>
                <w:bCs w:val="0"/>
                <w:i w:val="0"/>
                <w:color w:val="000000" w:themeColor="text1"/>
              </w:rPr>
            </w:r>
            <w:r>
              <w:rPr>
                <w:bCs w:val="0"/>
                <w:i w:val="0"/>
                <w:color w:val="000000" w:themeColor="text1"/>
              </w:rPr>
            </w:r>
          </w:p>
        </w:tc>
        <w:tc>
          <w:tcPr>
            <w:tcBorders>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1</w:t>
            </w:r>
            <w:r>
              <w:rPr>
                <w:bCs w:val="0"/>
                <w:i w:val="0"/>
                <w:color w:val="000000" w:themeColor="text1"/>
              </w:rPr>
            </w:r>
            <w:r>
              <w:rPr>
                <w:bCs w:val="0"/>
                <w:i w:val="0"/>
                <w:color w:val="000000" w:themeColor="text1"/>
              </w:rPr>
            </w:r>
          </w:p>
        </w:tc>
      </w:tr>
      <w:tr>
        <w:trPr>
          <w:trHeight w:val="1470"/>
        </w:trPr>
        <w:tc>
          <w:tcPr>
            <w:tcBorders>
              <w:left w:val="single" w:color="000000" w:sz="6"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jc w:val="left"/>
              <w:rPr>
                <w:bCs w:val="0"/>
                <w:i w:val="0"/>
                <w:color w:val="000000" w:themeColor="text1"/>
              </w:rPr>
            </w:pPr>
            <w:r>
              <w:rPr>
                <w:rFonts w:ascii="Times New Roman" w:hAnsi="Times New Roman" w:eastAsia="Times New Roman" w:cs="Times New Roman"/>
                <w:i w:val="0"/>
                <w:iCs w:val="0"/>
                <w:color w:val="000000" w:themeColor="text1"/>
                <w:sz w:val="24"/>
              </w:rPr>
              <w:t xml:space="preserve">Mặt cắt đường/ngõ nhỏ nhất từ đường chính dẫn đến tài sản thẩm định giá:</w:t>
            </w:r>
            <w:r>
              <w:rPr>
                <w:bCs w:val="0"/>
                <w:i w:val="0"/>
                <w:color w:val="000000" w:themeColor="text1"/>
              </w:rPr>
            </w:r>
            <w:r>
              <w:rPr>
                <w:bCs w:val="0"/>
                <w:i w:val="0"/>
                <w:color w:val="000000" w:themeColor="text1"/>
              </w:rPr>
            </w:r>
          </w:p>
        </w:tc>
        <w:tc>
          <w:tcPr>
            <w:tcBorders>
              <w:top w:val="single" w:color="000000" w:sz="6" w:space="0"/>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center"/>
              <w:rPr>
                <w:bCs w:val="0"/>
                <w:i w:val="0"/>
                <w:color w:val="000000" w:themeColor="text1"/>
              </w:rPr>
            </w:pPr>
            <w:r>
              <w:rPr>
                <w:bCs w:val="0"/>
                <w:i w:val="0"/>
                <w:color w:val="000000" w:themeColor="text1"/>
              </w:rPr>
              <w:t xml:space="preserve">Gồm 2 làn đường, mỗi làn rộng khoảng 20m+ vỉa hè cây xanh khoảng 10m + đường nội khu 8m</w:t>
            </w:r>
            <w:r>
              <w:rPr>
                <w:bCs w:val="0"/>
                <w:i w:val="0"/>
                <w:color w:val="000000" w:themeColor="text1"/>
              </w:rPr>
            </w:r>
            <w:r>
              <w:rPr>
                <w:bCs w:val="0"/>
                <w:i w:val="0"/>
                <w:color w:val="000000" w:themeColor="text1"/>
              </w:rPr>
            </w:r>
          </w:p>
        </w:tc>
        <w:tc>
          <w:tcPr>
            <w:tcBorders>
              <w:top w:val="single" w:color="000000" w:sz="6" w:space="0"/>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jc w:val="left"/>
              <w:rPr>
                <w:bCs w:val="0"/>
                <w:i w:val="0"/>
                <w:color w:val="000000" w:themeColor="text1"/>
              </w:rPr>
            </w:pPr>
            <w:r>
              <w:rPr>
                <w:rFonts w:ascii="Times New Roman" w:hAnsi="Times New Roman" w:eastAsia="Times New Roman" w:cs="Times New Roman"/>
                <w:i w:val="0"/>
                <w:iCs w:val="0"/>
                <w:color w:val="000000" w:themeColor="text1"/>
                <w:sz w:val="24"/>
              </w:rPr>
              <w:t xml:space="preserve">Mặt cắt đường/ngõ trước mặt tài sản thẩm định giá:</w:t>
            </w:r>
            <w:r>
              <w:rPr>
                <w:bCs w:val="0"/>
                <w:i w:val="0"/>
                <w:color w:val="000000" w:themeColor="text1"/>
              </w:rPr>
            </w:r>
            <w:r>
              <w:rPr>
                <w:bCs w:val="0"/>
                <w:i w:val="0"/>
                <w:color w:val="000000" w:themeColor="text1"/>
              </w:rPr>
            </w:r>
          </w:p>
        </w:tc>
        <w:tc>
          <w:tcPr>
            <w:tcBorders>
              <w:top w:val="single" w:color="000000" w:sz="6" w:space="0"/>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jc w:val="center"/>
              <w:rPr>
                <w:bCs w:val="0"/>
                <w:i w:val="0"/>
                <w:color w:val="000000" w:themeColor="text1"/>
              </w:rPr>
            </w:pPr>
            <w:r>
              <w:rPr>
                <w:bCs w:val="0"/>
                <w:i w:val="0"/>
                <w:color w:val="000000" w:themeColor="text1"/>
              </w:rPr>
              <w:t xml:space="preserve">Gồm 2 làn đường, mỗi làn rộng khoảng 20m+ vỉa hè cây xanh khoảng 10m + đường nội khu 8m</w:t>
            </w:r>
            <w:r>
              <w:rPr>
                <w:bCs w:val="0"/>
                <w:i w:val="0"/>
                <w:color w:val="000000" w:themeColor="text1"/>
              </w:rPr>
            </w:r>
            <w:r>
              <w:rPr>
                <w:bCs w:val="0"/>
                <w:i w:val="0"/>
                <w:color w:val="000000" w:themeColor="text1"/>
              </w:rPr>
            </w:r>
          </w:p>
        </w:tc>
      </w:tr>
      <w:tr>
        <w:trPr>
          <w:trHeight w:val="699"/>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tcBorders>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Khoảng cách đến trục đường chính:</w:t>
            </w:r>
            <w:r>
              <w:rPr>
                <w:bCs w:val="0"/>
                <w:i w:val="0"/>
                <w:color w:val="000000" w:themeColor="text1"/>
              </w:rPr>
            </w:r>
            <w:r>
              <w:rPr>
                <w:bCs w:val="0"/>
                <w:i w:val="0"/>
                <w:color w:val="000000" w:themeColor="text1"/>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578"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Tiếp giáp đường Vân Đồn </w:t>
            </w:r>
            <w:r>
              <w:rPr>
                <w:bCs w:val="0"/>
                <w:i w:val="0"/>
                <w:color w:val="000000" w:themeColor="text1"/>
              </w:rPr>
            </w:r>
            <w:r>
              <w:rPr>
                <w:bCs w:val="0"/>
                <w:i w:val="0"/>
                <w:color w:val="000000" w:themeColor="text1"/>
              </w:rPr>
            </w:r>
          </w:p>
        </w:tc>
      </w:tr>
      <w:tr>
        <w:trPr>
          <w:trHeight w:val="888"/>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Các hướng tiếp giáp:</w:t>
            </w:r>
            <w:r>
              <w:rPr>
                <w:bCs w:val="0"/>
                <w:i w:val="0"/>
                <w:color w:val="000000" w:themeColor="text1"/>
              </w:rPr>
            </w:r>
            <w:r>
              <w:rPr>
                <w:bCs w:val="0"/>
                <w:i w:val="0"/>
                <w:color w:val="000000" w:themeColor="text1"/>
              </w:rP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7578"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Hướng Tây Bắc - Tiếp giáp đường Vân Đồn </w:t>
              <w:br/>
              <w:t xml:space="preserve">Các hướng còn lại tiếp giáp với thửa đất khác</w:t>
            </w:r>
            <w:r>
              <w:rPr>
                <w:bCs w:val="0"/>
                <w:i w:val="0"/>
                <w:color w:val="000000" w:themeColor="text1"/>
              </w:rPr>
            </w:r>
            <w:r>
              <w:rPr>
                <w:bCs w:val="0"/>
                <w:i w:val="0"/>
                <w:color w:val="000000" w:themeColor="text1"/>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Vị trí trên bản đồ vệ tinh:  (21.087416666667, 107.45297222222)</w:t>
            </w:r>
            <w:r>
              <w:rPr>
                <w:bCs w:val="0"/>
                <w:i w:val="0"/>
                <w:color w:val="000000" w:themeColor="text1"/>
              </w:rPr>
            </w:r>
            <w:r>
              <w:rPr>
                <w:bCs w:val="0"/>
                <w:i w:val="0"/>
                <w:color w:val="000000" w:themeColor="text1"/>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0"/>
              <w:rPr>
                <w:bCs w:val="0"/>
                <w:i w:val="0"/>
                <w:color w:val="000000" w:themeColor="text1"/>
              </w:rPr>
            </w:pPr>
            <w:r>
              <mc:AlternateContent>
                <mc:Choice Requires="wpg">
                  <w:drawing>
                    <wp:inline xmlns:wp="http://schemas.openxmlformats.org/drawingml/2006/wordprocessingDrawing" distT="0" distB="0" distL="0" distR="0">
                      <wp:extent cx="5676922" cy="294087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44471" name=""/>
                              <pic:cNvPicPr>
                                <a:picLocks noChangeAspect="1"/>
                              </pic:cNvPicPr>
                              <pic:nvPr/>
                            </pic:nvPicPr>
                            <pic:blipFill rotWithShape="1">
                              <a:blip r:embed="rId17"/>
                              <a:stretch/>
                            </pic:blipFill>
                            <pic:spPr bwMode="auto">
                              <a:xfrm flipH="0" flipV="0">
                                <a:off x="0" y="0"/>
                                <a:ext cx="5676922" cy="29408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47.00pt;height:231.56pt;mso-wrap-distance-left:0.00pt;mso-wrap-distance-top:0.00pt;mso-wrap-distance-right:0.00pt;mso-wrap-distance-bottom:0.00pt;z-index:1;" stroked="false">
                      <v:imagedata r:id="rId17" o:title=""/>
                      <o:lock v:ext="edit" rotation="t"/>
                    </v:shape>
                  </w:pict>
                </mc:Fallback>
              </mc:AlternateContent>
            </w:r>
            <w:r>
              <w:rPr>
                <w:bCs w:val="0"/>
                <w:i w:val="0"/>
                <w:color w:val="000000" w:themeColor="text1"/>
              </w:rPr>
            </w:r>
            <w:r>
              <w:rPr>
                <w:bCs w:val="0"/>
                <w:i w:val="0"/>
                <w:color w:val="000000" w:themeColor="text1"/>
              </w:rP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b/>
                <w:i w:val="0"/>
                <w:iCs w:val="0"/>
                <w:color w:val="000000" w:themeColor="text1"/>
                <w:sz w:val="24"/>
              </w:rPr>
              <w:t xml:space="preserve">2.2.</w:t>
            </w:r>
            <w:r>
              <w:rPr>
                <w:bCs w:val="0"/>
                <w:i w:val="0"/>
                <w:color w:val="000000" w:themeColor="text1"/>
              </w:rPr>
            </w:r>
            <w:r>
              <w:rPr>
                <w:bCs w:val="0"/>
                <w:i w:val="0"/>
                <w:color w:val="000000" w:themeColor="text1"/>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b/>
                <w:i w:val="0"/>
                <w:iCs w:val="0"/>
                <w:color w:val="000000" w:themeColor="text1"/>
                <w:sz w:val="24"/>
              </w:rPr>
              <w:t xml:space="preserve">Diện tích; Kích thước; Hình dáng</w:t>
            </w:r>
            <w:r>
              <w:rPr>
                <w:bCs w:val="0"/>
                <w:i w:val="0"/>
                <w:color w:val="000000" w:themeColor="text1"/>
              </w:rPr>
            </w:r>
            <w:r>
              <w:rPr>
                <w:bCs w:val="0"/>
                <w:i w:val="0"/>
                <w:color w:val="000000" w:themeColor="text1"/>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Diện tích sử dụng riêng thực tế (m²):</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120,78</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Diện tích sử dụng chung thực tế (m²):</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0,00</w:t>
            </w:r>
            <w:r>
              <w:rPr>
                <w:bCs w:val="0"/>
                <w:i w:val="0"/>
                <w:color w:val="000000" w:themeColor="text1"/>
              </w:rPr>
            </w:r>
            <w:r>
              <w:rPr>
                <w:bCs w:val="0"/>
                <w:i w:val="0"/>
                <w:color w:val="000000" w:themeColor="text1"/>
              </w:rPr>
            </w:r>
          </w:p>
        </w:tc>
      </w:tr>
      <w:tr>
        <w:trPr>
          <w:trHeight w:val="38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KT mặt tiền (m):</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6,00</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Chiều sâu (m): </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20,00</w:t>
            </w:r>
            <w:r>
              <w:rPr>
                <w:bCs w:val="0"/>
                <w:i w:val="0"/>
                <w:color w:val="000000" w:themeColor="text1"/>
              </w:rPr>
            </w:r>
            <w:r>
              <w:rPr>
                <w:bCs w:val="0"/>
                <w:i w:val="0"/>
                <w:color w:val="000000" w:themeColor="text1"/>
              </w:rPr>
            </w:r>
          </w:p>
        </w:tc>
      </w:tr>
      <w:tr>
        <w:trPr>
          <w:trHeight w:val="529"/>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Hình dáng</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Hình chữ nhật </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Hướng chính</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Tây Bắc</w:t>
            </w:r>
            <w:r>
              <w:rPr>
                <w:bCs w:val="0"/>
                <w:i w:val="0"/>
                <w:color w:val="000000" w:themeColor="text1"/>
              </w:rPr>
            </w:r>
            <w:r>
              <w:rPr>
                <w:bCs w:val="0"/>
                <w:i w:val="0"/>
                <w:color w:val="000000" w:themeColor="text1"/>
              </w:rP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b/>
                <w:i w:val="0"/>
                <w:iCs w:val="0"/>
                <w:color w:val="000000" w:themeColor="text1"/>
                <w:sz w:val="24"/>
              </w:rPr>
              <w:t xml:space="preserve">2.3.</w:t>
            </w:r>
            <w:r>
              <w:rPr>
                <w:bCs w:val="0"/>
                <w:i w:val="0"/>
                <w:color w:val="000000" w:themeColor="text1"/>
              </w:rPr>
            </w:r>
            <w:r>
              <w:rPr>
                <w:bCs w:val="0"/>
                <w:i w:val="0"/>
                <w:color w:val="000000" w:themeColor="text1"/>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b/>
                <w:i w:val="0"/>
                <w:iCs w:val="0"/>
                <w:color w:val="000000" w:themeColor="text1"/>
                <w:sz w:val="24"/>
              </w:rPr>
              <w:t xml:space="preserve">Điều kiện kinh doanh; Hạ tầng nội bộ; Hạ tầng xung quanh</w:t>
            </w:r>
            <w:r>
              <w:rPr>
                <w:bCs w:val="0"/>
                <w:i w:val="0"/>
                <w:color w:val="000000" w:themeColor="text1"/>
              </w:rPr>
            </w:r>
            <w:r>
              <w:rPr>
                <w:bCs w:val="0"/>
                <w:i w:val="0"/>
                <w:color w:val="000000" w:themeColor="text1"/>
              </w:rPr>
            </w:r>
          </w:p>
        </w:tc>
      </w:tr>
      <w:tr>
        <w:trPr>
          <w:trHeight w:val="50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Mật độ dân cư:</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Khu vực tập trung dân cư </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Đời sống dân cư:</w:t>
            </w:r>
            <w:r>
              <w:rPr>
                <w:bCs w:val="0"/>
                <w:i w:val="0"/>
                <w:color w:val="000000" w:themeColor="text1"/>
              </w:rPr>
            </w:r>
            <w:r>
              <w:rPr>
                <w:bCs w:val="0"/>
                <w:i w:val="0"/>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Ổn định</w:t>
            </w:r>
            <w:r>
              <w:rPr>
                <w:bCs w:val="0"/>
                <w:i w:val="0"/>
                <w:color w:val="000000" w:themeColor="text1"/>
              </w:rPr>
            </w:r>
            <w:r>
              <w:rPr>
                <w:bCs w:val="0"/>
                <w:i w:val="0"/>
                <w:color w:val="000000" w:themeColor="text1"/>
              </w:rPr>
            </w:r>
          </w:p>
        </w:tc>
      </w:tr>
      <w:tr>
        <w:trPr>
          <w:trHeight w:val="656"/>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Lợi thế kinh doanh:</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r>
            <w:commentRangeStart w:id="2"/>
            <w:r>
              <w:rPr>
                <w:rFonts w:ascii="Times New Roman" w:hAnsi="Times New Roman" w:eastAsia="Times New Roman" w:cs="Times New Roman"/>
                <w:i w:val="0"/>
                <w:iCs w:val="0"/>
                <w:color w:val="000000" w:themeColor="text1"/>
                <w:sz w:val="24"/>
              </w:rPr>
              <w:t xml:space="preserve">Phù hợp để ở</w:t>
            </w:r>
            <w:r>
              <w:rPr>
                <w:bCs w:val="0"/>
                <w:i w:val="0"/>
                <w:color w:val="000000" w:themeColor="text1"/>
              </w:rPr>
            </w:r>
            <w:commentRangeEnd w:id="2"/>
            <w:r>
              <w:commentReference w:id="2"/>
            </w:r>
            <w:r>
              <w:rPr>
                <w:bCs w:val="0"/>
                <w:i w:val="0"/>
                <w:color w:val="000000" w:themeColor="text1"/>
              </w:rPr>
              <w:t xml:space="preserve">/kinh doanh </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Khả năng chuyển nhượng:</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Trung bình</w:t>
            </w:r>
            <w:r>
              <w:rPr>
                <w:bCs w:val="0"/>
                <w:i w:val="0"/>
                <w:color w:val="000000" w:themeColor="text1"/>
              </w:rPr>
            </w:r>
            <w:r>
              <w:rPr>
                <w:bCs w:val="0"/>
                <w:i w:val="0"/>
                <w:color w:val="000000" w:themeColor="text1"/>
              </w:rPr>
            </w:r>
          </w:p>
        </w:tc>
      </w:tr>
      <w:tr>
        <w:trPr>
          <w:trHeight w:val="126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Điều kiện cơ sở hạ tầng kỹ thuật:</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Hạ tầng khu dân cư thông thường: hệ thống cấp điện, cấp thoát nước đầy đủ</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i w:val="0"/>
                <w:iCs w:val="0"/>
                <w:color w:val="000000" w:themeColor="text1"/>
                <w:sz w:val="24"/>
              </w:rPr>
              <w:t xml:space="preserve">Điều kiện môi trường an ninh:</w:t>
            </w:r>
            <w:r>
              <w:rPr>
                <w:bCs w:val="0"/>
                <w:i w:val="0"/>
                <w:color w:val="000000" w:themeColor="text1"/>
              </w:rPr>
            </w:r>
            <w:r>
              <w:rPr>
                <w:bCs w:val="0"/>
                <w:i w:val="0"/>
                <w:color w:val="000000" w:themeColor="text1"/>
              </w:rPr>
            </w:r>
          </w:p>
        </w:tc>
        <w:tc>
          <w:tcPr>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jc w:val="center"/>
              <w:rPr>
                <w:bCs w:val="0"/>
                <w:i w:val="0"/>
                <w:color w:val="000000" w:themeColor="text1"/>
              </w:rPr>
            </w:pPr>
            <w:r>
              <w:rPr>
                <w:rFonts w:ascii="Times New Roman" w:hAnsi="Times New Roman" w:eastAsia="Times New Roman" w:cs="Times New Roman"/>
                <w:i w:val="0"/>
                <w:iCs w:val="0"/>
                <w:color w:val="000000" w:themeColor="text1"/>
                <w:sz w:val="24"/>
              </w:rPr>
              <w:t xml:space="preserve">Tốt </w:t>
            </w:r>
            <w:r>
              <w:rPr>
                <w:bCs w:val="0"/>
                <w:i w:val="0"/>
                <w:color w:val="000000" w:themeColor="text1"/>
              </w:rPr>
            </w:r>
            <w:r>
              <w:rPr>
                <w:bCs w:val="0"/>
                <w:i w:val="0"/>
                <w:color w:val="000000" w:themeColor="text1"/>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bCs w:val="0"/>
                <w:i w:val="0"/>
                <w:color w:val="000000" w:themeColor="text1"/>
              </w:rPr>
            </w:pPr>
            <w:r>
              <w:rPr>
                <w:rFonts w:ascii="Times New Roman" w:hAnsi="Times New Roman" w:eastAsia="Times New Roman" w:cs="Times New Roman"/>
                <w:b/>
                <w:i w:val="0"/>
                <w:iCs w:val="0"/>
                <w:color w:val="000000" w:themeColor="text1"/>
                <w:sz w:val="24"/>
              </w:rPr>
              <w:t xml:space="preserve">3.</w:t>
            </w:r>
            <w:r>
              <w:rPr>
                <w:bCs w:val="0"/>
                <w:i w:val="0"/>
                <w:color w:val="000000" w:themeColor="text1"/>
              </w:rPr>
            </w:r>
            <w:r>
              <w:rPr>
                <w:bCs w:val="0"/>
                <w:i w:val="0"/>
                <w:color w:val="000000" w:themeColor="text1"/>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bCs w:val="0"/>
                <w:i w:val="0"/>
                <w:color w:val="000000" w:themeColor="text1"/>
              </w:rPr>
            </w:pPr>
            <w:r>
              <w:rPr>
                <w:rFonts w:ascii="Times New Roman" w:hAnsi="Times New Roman" w:eastAsia="Times New Roman" w:cs="Times New Roman"/>
                <w:b/>
                <w:i w:val="0"/>
                <w:iCs w:val="0"/>
                <w:color w:val="000000" w:themeColor="text1"/>
                <w:sz w:val="24"/>
              </w:rPr>
              <w:t xml:space="preserve"> Tài sản gắn liền với đất: </w:t>
            </w:r>
            <w:r>
              <w:rPr>
                <w:rFonts w:ascii="Times New Roman" w:hAnsi="Times New Roman" w:eastAsia="Times New Roman" w:cs="Times New Roman"/>
                <w:b/>
                <w:i w:val="0"/>
                <w:iCs w:val="0"/>
                <w:color w:val="000000" w:themeColor="text1"/>
                <w:sz w:val="24"/>
              </w:rPr>
              <w:t xml:space="preserve">Nhà 05 tầng</w:t>
            </w:r>
            <w:r>
              <w:rPr>
                <w:rFonts w:ascii="Times New Roman" w:hAnsi="Times New Roman" w:eastAsia="Times New Roman" w:cs="Times New Roman"/>
                <w:b/>
                <w:i w:val="0"/>
                <w:iCs w:val="0"/>
                <w:color w:val="000000" w:themeColor="text1"/>
                <w:sz w:val="24"/>
              </w:rPr>
              <w:t xml:space="preserve"> </w:t>
            </w:r>
            <w:r>
              <w:rPr>
                <w:rFonts w:ascii="Times New Roman" w:hAnsi="Times New Roman" w:eastAsia="Times New Roman" w:cs="Times New Roman"/>
                <w:b/>
                <w:i w:val="0"/>
                <w:iCs w:val="0"/>
                <w:color w:val="000000" w:themeColor="text1"/>
                <w:sz w:val="24"/>
              </w:rPr>
              <w:t xml:space="preserve">+1 tum</w:t>
            </w:r>
            <w:r>
              <w:rPr>
                <w:rFonts w:ascii="Times New Roman" w:hAnsi="Times New Roman" w:eastAsia="Times New Roman" w:cs="Times New Roman"/>
                <w:b/>
                <w:i w:val="0"/>
                <w:iCs w:val="0"/>
                <w:color w:val="000000" w:themeColor="text1"/>
                <w:sz w:val="24"/>
              </w:rPr>
              <w:t xml:space="preserve"> </w:t>
            </w:r>
            <w:r>
              <w:rPr>
                <w:bCs w:val="0"/>
                <w:i w:val="0"/>
                <w:color w:val="000000" w:themeColor="text1"/>
              </w:rPr>
            </w:r>
            <w:r>
              <w:rPr>
                <w:bCs w:val="0"/>
                <w:i w:val="0"/>
                <w:color w:val="000000" w:themeColor="text1"/>
              </w:rPr>
            </w:r>
          </w:p>
        </w:tc>
      </w:tr>
    </w:tbl>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95"/>
        <w:gridCol w:w="3799"/>
        <w:gridCol w:w="1560"/>
        <w:gridCol w:w="3571"/>
      </w:tblGrid>
      <w:tr>
        <w:trPr>
          <w:cantSplit/>
          <w:tblCellSpacing w:w="0" w:type="dxa"/>
          <w:trHeight w:val="300"/>
          <w:tblHeader/>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95"/>
        <w:gridCol w:w="3799"/>
        <w:gridCol w:w="1560"/>
        <w:gridCol w:w="3571"/>
      </w:tblGrid>
      <w:tr>
        <w:trPr>
          <w:cantSplit/>
          <w:tblCellSpacing w:w="0" w:type="dxa"/>
          <w:trHeight w:val="300"/>
          <w:tblHeader/>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5"/>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11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Đặc khu Vân Đồn,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Đặc khu Vân Đồn,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Đặc khu Vân Đồn,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Đặc khu Vân Đồn, Tỉnh Quảng Ninh</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Liên hệ trực tiếp</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Liên hệ trực tiếp</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w:t>
            </w:r>
            <w:r>
              <w:rPr>
                <w:color w:val="000000" w:themeColor="text1"/>
                <w:sz w:val="22"/>
                <w:szCs w:val="22"/>
              </w:rPr>
              <w:t xml:space="preserve">an-shophouse-nha-pho-thuong-mai-duong-58-xa-ha-long-khu-do-thi-ao-tien-van-don/chinh-chu-ban-cap-sieu-ep-o-on-san-khai-thac-uoc-ngay-pr46235379?utm_source=chatgpt.com&amp;&amp;gidzl=vJu_Csz0eXhd8ZqmO5Qd5EWhCJXv0VmIy7KpRdS1gaR_VsTi9GVzIFugP31rKFmR-2usCpI_JAuTQqkY6G</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0948385838</w:t>
            </w:r>
            <w:r>
              <w:rPr>
                <w:sz w:val="22"/>
                <w:szCs w:val="22"/>
              </w:rPr>
              <w:t xml:space="preserve"> </w:t>
            </w:r>
            <w:r>
              <w:rPr>
                <w:sz w:val="22"/>
                <w:szCs w:val="22"/>
              </w:rPr>
              <w:br/>
              <w:t xml:space="preserve">(</w:t>
            </w:r>
            <w:r>
              <w:rPr>
                <w:sz w:val="22"/>
                <w:szCs w:val="22"/>
              </w:rPr>
              <w:t xml:space="preserve">Tuyên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0948385838</w:t>
            </w:r>
            <w:r>
              <w:rPr>
                <w:sz w:val="22"/>
                <w:szCs w:val="22"/>
              </w:rPr>
              <w:br/>
            </w:r>
            <w:r>
              <w:rPr>
                <w:sz w:val="22"/>
                <w:szCs w:val="22"/>
              </w:rPr>
              <w:t xml:space="preserve">(</w:t>
            </w:r>
            <w:r>
              <w:rPr>
                <w:sz w:val="22"/>
                <w:szCs w:val="22"/>
              </w:rPr>
              <w:t xml:space="preserve">Tuyên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0916555586</w:t>
            </w:r>
            <w:r>
              <w:rPr>
                <w:sz w:val="22"/>
                <w:szCs w:val="22"/>
              </w:rPr>
              <w:br/>
            </w:r>
            <w:r>
              <w:rPr>
                <w:sz w:val="22"/>
                <w:szCs w:val="22"/>
              </w:rPr>
              <w:t xml:space="preserve">(</w:t>
            </w:r>
            <w:r>
              <w:rPr>
                <w:sz w:val="22"/>
                <w:szCs w:val="22"/>
              </w:rPr>
              <w:t xml:space="preserve">Xuân Hòa</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tại:Vị trí 1, Đặc khu Vân Đồn, Tỉnh Quảng Ninh,</w:t>
            </w:r>
            <w:r>
              <w:rPr>
                <w:color w:val="000000" w:themeColor="text1"/>
                <w:sz w:val="22"/>
                <w:szCs w:val="22"/>
              </w:rPr>
              <w:t xml:space="preserve">nằm trên trục đường Vân Đồn</w:t>
            </w:r>
            <w:r>
              <w:rPr>
                <w:color w:val="000000" w:themeColor="text1"/>
                <w:sz w:val="22"/>
                <w:szCs w:val="22"/>
              </w:rPr>
              <w:t xml:space="preserve">,21.087416666667, 107.45297222222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yellow"/>
              </w:rPr>
            </w:pPr>
            <w:r>
              <w:rPr>
                <w:color w:val="000000" w:themeColor="text1"/>
                <w:sz w:val="22"/>
                <w:szCs w:val="22"/>
              </w:rPr>
              <w:t xml:space="preserve">Tài sản tại:</w:t>
            </w:r>
            <w:r>
              <w:rPr>
                <w:color w:val="000000" w:themeColor="text1"/>
                <w:sz w:val="22"/>
                <w:szCs w:val="22"/>
              </w:rPr>
              <w:t xml:space="preserve">Vị trí 1</w:t>
            </w:r>
            <w:r>
              <w:rPr>
                <w:color w:val="000000" w:themeColor="text1"/>
                <w:sz w:val="22"/>
                <w:szCs w:val="22"/>
              </w:rPr>
              <w:t xml:space="preserve">, </w:t>
            </w:r>
            <w:r>
              <w:rPr>
                <w:color w:val="000000" w:themeColor="text1"/>
                <w:sz w:val="22"/>
                <w:szCs w:val="22"/>
                <w:highlight w:val="yellow"/>
              </w:rPr>
              <w:t xml:space="preserve">08-Lô A7</w:t>
            </w:r>
            <w:r>
              <w:rPr>
                <w:color w:val="000000" w:themeColor="text1"/>
                <w:sz w:val="22"/>
                <w:szCs w:val="22"/>
                <w:highlight w:val="yellow"/>
              </w:rPr>
            </w:r>
            <w:r>
              <w:rPr>
                <w:color w:val="000000" w:themeColor="text1"/>
                <w:sz w:val="22"/>
                <w:szCs w:val="22"/>
                <w:highlight w:val="yellow"/>
              </w:rPr>
            </w:r>
          </w:p>
          <w:p>
            <w:pPr>
              <w:pBdr/>
              <w:spacing/>
              <w:ind/>
              <w:jc w:val="center"/>
              <w:rPr>
                <w:color w:val="000000"/>
                <w:sz w:val="22"/>
                <w:szCs w:val="22"/>
              </w:rPr>
            </w:pPr>
            <w:r>
              <w:rPr>
                <w:color w:val="000000" w:themeColor="text1"/>
                <w:sz w:val="22"/>
                <w:szCs w:val="22"/>
              </w:rPr>
              <w:t xml:space="preserve">Đặc khu Vân Đồn, Tỉnh Quảng Ninh, nằm trên trục đường Vân Đồn </w:t>
            </w:r>
            <w:r>
              <w:rPr>
                <w:color w:val="000000" w:themeColor="text1"/>
                <w:sz w:val="22"/>
                <w:szCs w:val="22"/>
              </w:rPr>
              <w:t xml:space="preserve">,21.087527777777776, 107.45305555555557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yellow"/>
              </w:rPr>
            </w:pPr>
            <w:r>
              <w:rPr>
                <w:color w:val="000000" w:themeColor="text1"/>
                <w:sz w:val="22"/>
                <w:szCs w:val="22"/>
              </w:rPr>
              <w:t xml:space="preserve">Tài sản tại:</w:t>
            </w:r>
            <w:r>
              <w:rPr>
                <w:color w:val="000000" w:themeColor="text1"/>
                <w:sz w:val="22"/>
                <w:szCs w:val="22"/>
              </w:rPr>
              <w:t xml:space="preserve">Vị trí 1</w:t>
            </w:r>
            <w:r>
              <w:rPr>
                <w:color w:val="000000" w:themeColor="text1"/>
                <w:sz w:val="22"/>
                <w:szCs w:val="22"/>
              </w:rPr>
              <w:t xml:space="preserve">,</w:t>
            </w:r>
            <w:r>
              <w:rPr>
                <w:color w:val="000000" w:themeColor="text1"/>
                <w:sz w:val="22"/>
                <w:szCs w:val="22"/>
                <w:highlight w:val="yellow"/>
              </w:rPr>
              <w:t xml:space="preserve">09-Lô A7,</w:t>
            </w:r>
            <w:r>
              <w:rPr>
                <w:color w:val="000000" w:themeColor="text1"/>
                <w:sz w:val="22"/>
                <w:szCs w:val="22"/>
              </w:rPr>
              <w:t xml:space="preserve">  Đặc khu Vân Đồn, Tỉnh Quảng Ninh, đường nằm trên trục đường Vân Đồn ,</w:t>
            </w:r>
            <w:r>
              <w:rPr>
                <w:color w:val="000000" w:themeColor="text1"/>
                <w:sz w:val="22"/>
                <w:szCs w:val="22"/>
              </w:rPr>
              <w:t xml:space="preserve"> 21.087583333333335, 107.45308333202367</w:t>
            </w:r>
            <w:r>
              <w:rPr>
                <w:color w:val="000000" w:themeColor="text1"/>
                <w:sz w:val="22"/>
                <w:szCs w:val="22"/>
                <w:highlight w:val="yellow"/>
              </w:rPr>
            </w:r>
            <w:r>
              <w:rPr>
                <w:color w:val="000000" w:themeColor="text1"/>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Vị trí 1</w:t>
            </w:r>
            <w:r>
              <w:rPr>
                <w:color w:val="000000" w:themeColor="text1"/>
                <w:sz w:val="22"/>
                <w:szCs w:val="22"/>
              </w:rPr>
              <w:t xml:space="preserve">, </w:t>
            </w:r>
            <w:r>
              <w:rPr>
                <w:color w:val="000000" w:themeColor="text1"/>
                <w:sz w:val="22"/>
                <w:szCs w:val="22"/>
                <w:highlight w:val="yellow"/>
              </w:rPr>
              <w:t xml:space="preserve">04 và 05-Lô A7</w:t>
            </w:r>
            <w:r>
              <w:rPr>
                <w:color w:val="000000" w:themeColor="text1"/>
                <w:sz w:val="22"/>
                <w:szCs w:val="22"/>
                <w:highlight w:val="none"/>
              </w:rPr>
              <w:t xml:space="preserve">, </w:t>
            </w:r>
            <w:r>
              <w:rPr>
                <w:color w:val="000000" w:themeColor="text1"/>
                <w:sz w:val="22"/>
                <w:szCs w:val="22"/>
              </w:rPr>
              <w:t xml:space="preserve">Đặc khu Vân Đồn, Tỉnh Quảng Ninh, đường nằm trên trục đường Vân Đồn, </w:t>
            </w:r>
            <w:r>
              <w:rPr>
                <w:color w:val="000000" w:themeColor="text1"/>
                <w:sz w:val="22"/>
                <w:szCs w:val="22"/>
              </w:rPr>
              <w:t xml:space="preserve">21.087305555556, 107.453</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Vị trí tương quan giữa TSTĐ và các TSSS</w:t>
            </w:r>
            <w:r>
              <w:rPr>
                <w:color w:val="000000" w:themeColor="text1"/>
                <w:sz w:val="22"/>
                <w:szCs w:val="22"/>
              </w:rPr>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pacing/>
              <w:ind/>
              <w:rPr/>
            </w:pPr>
            <w:r>
              <w:rPr>
                <w:color w:val="000000"/>
              </w:rPr>
              <mc:AlternateContent>
                <mc:Choice Requires="wpg">
                  <w:drawing>
                    <wp:inline xmlns:wp="http://schemas.openxmlformats.org/drawingml/2006/wordprocessingDrawing" distT="0" distB="0" distL="0" distR="0">
                      <wp:extent cx="4283676"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1629362610" name="" descr=""/>
                              <pic:cNvPicPr/>
                              <pic:nvPr/>
                            </pic:nvPicPr>
                            <pic:blipFill rotWithShape="1">
                              <a:blip r:embed="rId18"/>
                              <a:stretch/>
                            </pic:blipFill>
                            <pic:spPr bwMode="auto">
                              <a:xfrm rot="0" flipH="0" flipV="0">
                                <a:off x="0" y="0"/>
                                <a:ext cx="4283676"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37.30pt;height:200.00pt;mso-wrap-distance-left:0.00pt;mso-wrap-distance-top:0.00pt;mso-wrap-distance-right:0.00pt;mso-wrap-distance-bottom:0.00pt;rotation:0;z-index:1;" stroked="false">
                      <v:imagedata r:id="rId18" o:title=""/>
                      <o:lock v:ext="edit" rotation="t"/>
                    </v:shape>
                  </w:pict>
                </mc:Fallback>
              </mc:AlternateConten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120,78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120,78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120,78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17</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CTXD trên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yellow"/>
              </w:rPr>
            </w:pPr>
            <w:r>
              <w:rPr>
                <w:rFonts w:ascii="Times New Roman" w:hAnsi="Times New Roman" w:eastAsia="Times New Roman" w:cs="Times New Roman"/>
                <w:color w:val="000000" w:themeColor="text1"/>
                <w:sz w:val="22"/>
                <w:highlight w:val="yellow"/>
              </w:rPr>
            </w:r>
            <w:r>
              <w:rPr>
                <w:rFonts w:ascii="Times New Roman" w:hAnsi="Times New Roman" w:eastAsia="Times New Roman" w:cs="Times New Roman"/>
                <w:color w:val="000000" w:themeColor="text1"/>
                <w:sz w:val="22"/>
                <w:highlight w:val="yellow"/>
              </w:rPr>
              <w:t xml:space="preserve">Nhà 05 tầng, xây thô đã hoàn thiện mặt ngoài </w:t>
            </w:r>
            <w:r>
              <w:rPr>
                <w:color w:val="000000" w:themeColor="text1"/>
                <w:highlight w:val="yellow"/>
              </w:rPr>
            </w:r>
            <w:r>
              <w:rPr>
                <w:color w:val="000000" w:themeColor="text1"/>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yellow"/>
              </w:rPr>
            </w:pPr>
            <w:r>
              <w:rPr>
                <w:rFonts w:ascii="Times New Roman" w:hAnsi="Times New Roman" w:eastAsia="Times New Roman" w:cs="Times New Roman"/>
                <w:color w:val="000000" w:themeColor="text1"/>
                <w:sz w:val="22"/>
                <w:highlight w:val="yellow"/>
              </w:rPr>
            </w:r>
            <w:r>
              <w:rPr>
                <w:rFonts w:ascii="Times New Roman" w:hAnsi="Times New Roman" w:eastAsia="Times New Roman" w:cs="Times New Roman"/>
                <w:color w:val="000000" w:themeColor="text1"/>
                <w:sz w:val="22"/>
                <w:highlight w:val="yellow"/>
              </w:rPr>
              <w:t xml:space="preserve">Nhà 05 tầng, xây thô đã hoàn thiện mặt ngoài</w:t>
            </w:r>
            <w:r>
              <w:rPr>
                <w:color w:val="000000" w:themeColor="text1"/>
                <w:highlight w:val="yellow"/>
              </w:rPr>
            </w:r>
            <w:r>
              <w:rPr>
                <w:color w:val="000000" w:themeColor="text1"/>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yellow"/>
              </w:rPr>
            </w:pPr>
            <w:r>
              <w:rPr>
                <w:rFonts w:ascii="Times New Roman" w:hAnsi="Times New Roman" w:eastAsia="Times New Roman" w:cs="Times New Roman"/>
                <w:color w:val="000000" w:themeColor="text1"/>
                <w:sz w:val="22"/>
                <w:highlight w:val="yellow"/>
              </w:rPr>
            </w:r>
            <w:r>
              <w:rPr>
                <w:rFonts w:ascii="Times New Roman" w:hAnsi="Times New Roman" w:eastAsia="Times New Roman" w:cs="Times New Roman"/>
                <w:color w:val="000000" w:themeColor="text1"/>
                <w:sz w:val="22"/>
                <w:highlight w:val="yellow"/>
              </w:rPr>
              <w:t xml:space="preserve">Nhà 05 tầng, xây thô đã hoàn thiện mặt ngoài</w:t>
            </w:r>
            <w:r>
              <w:rPr>
                <w:color w:val="000000" w:themeColor="text1"/>
                <w:highlight w:val="yellow"/>
              </w:rPr>
            </w:r>
            <w:r>
              <w:rPr>
                <w:color w:val="000000" w:themeColor="text1"/>
                <w:highlight w:val="yellow"/>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i/>
                <w:color w:val="000000" w:themeColor="text1"/>
                <w:sz w:val="22"/>
                <w:highlight w:val="white"/>
              </w:rPr>
              <w:t xml:space="preserve">Số tầng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i/>
                <w:color w:val="000000" w:themeColor="text1"/>
                <w:sz w:val="22"/>
                <w:highlight w:val="white"/>
              </w:rPr>
              <w:t xml:space="preserve">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i/>
                <w:color w:val="000000" w:themeColor="text1"/>
                <w:sz w:val="22"/>
                <w:highlight w:val="white"/>
              </w:rPr>
              <w:t xml:space="preserve">05 tầng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i/>
                <w:color w:val="000000" w:themeColor="text1"/>
                <w:sz w:val="22"/>
                <w:highlight w:val="white"/>
              </w:rPr>
              <w:t xml:space="preserve">05 tầng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i/>
                <w:color w:val="000000" w:themeColor="text1"/>
                <w:sz w:val="22"/>
                <w:highlight w:val="white"/>
              </w:rPr>
              <w:t xml:space="preserve">05 tầng </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i/>
                <w:color w:val="000000" w:themeColor="text1"/>
                <w:sz w:val="22"/>
                <w:highlight w:val="white"/>
              </w:rPr>
            </w:r>
            <w:commentRangeStart w:id="3"/>
            <w:r>
              <w:rPr>
                <w:rFonts w:ascii="Times New Roman" w:hAnsi="Times New Roman" w:eastAsia="Times New Roman" w:cs="Times New Roman"/>
                <w:i/>
                <w:color w:val="000000" w:themeColor="text1"/>
                <w:sz w:val="22"/>
                <w:highlight w:val="white"/>
              </w:rPr>
              <w:t xml:space="preserve">Diện tích sàn sử dụng (m²)</w:t>
            </w:r>
            <w:r>
              <w:rPr>
                <w:color w:val="000000" w:themeColor="text1"/>
                <w:highlight w:val="white"/>
              </w:rPr>
            </w:r>
            <w:commentRangeEnd w:id="3"/>
            <w:r>
              <w:commentReference w:id="3"/>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i/>
                <w:color w:val="000000" w:themeColor="text1"/>
                <w:sz w:val="22"/>
                <w:highlight w:val="white"/>
              </w:rPr>
              <w:t xml:space="preserve">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yellow"/>
              </w:rPr>
            </w:pPr>
            <w:r>
              <w:rPr>
                <w:rFonts w:ascii="Times New Roman" w:hAnsi="Times New Roman" w:eastAsia="Times New Roman" w:cs="Times New Roman"/>
                <w:i/>
                <w:color w:val="000000" w:themeColor="text1"/>
                <w:sz w:val="22"/>
                <w:highlight w:val="none"/>
              </w:rPr>
              <w:t xml:space="preserve">464,4</w:t>
            </w:r>
            <w:r>
              <w:rPr>
                <w:color w:val="000000" w:themeColor="text1"/>
                <w:highlight w:val="yellow"/>
              </w:rPr>
            </w:r>
            <w:r>
              <w:rPr>
                <w:color w:val="000000" w:themeColor="text1"/>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yellow"/>
              </w:rPr>
            </w:pPr>
            <w:r>
              <w:rPr>
                <w:rFonts w:ascii="Times New Roman" w:hAnsi="Times New Roman" w:eastAsia="Times New Roman" w:cs="Times New Roman"/>
                <w:i/>
                <w:color w:val="000000" w:themeColor="text1"/>
                <w:sz w:val="22"/>
                <w:highlight w:val="none"/>
              </w:rPr>
              <w:t xml:space="preserve">464,4</w:t>
            </w:r>
            <w:r>
              <w:rPr>
                <w:color w:val="000000" w:themeColor="text1"/>
                <w:highlight w:val="yellow"/>
              </w:rPr>
            </w:r>
            <w:r>
              <w:rPr>
                <w:color w:val="000000" w:themeColor="text1"/>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i/>
                <w:color w:val="000000" w:themeColor="text1"/>
                <w:sz w:val="22"/>
                <w:highlight w:val="white"/>
              </w:rPr>
            </w:r>
            <w:r>
              <w:rPr>
                <w:rFonts w:ascii="Times New Roman" w:hAnsi="Times New Roman" w:eastAsia="Times New Roman" w:cs="Times New Roman"/>
                <w:i/>
                <w:color w:val="000000" w:themeColor="text1"/>
                <w:sz w:val="22"/>
                <w:highlight w:val="white"/>
              </w:rPr>
              <w:t xml:space="preserve">928,8</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14.960.000.000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2.162.805.305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2.162.805.305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4.325.610.612</w:t>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 giá xây dựng theo Quyết định số 425/QĐ-BXD ngày 30/03/2026 của Bộ Xây Dựng (đồng/m²)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5.063.268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5.063.268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5.063.268</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color w:val="000000"/>
                <w:sz w:val="22"/>
                <w:szCs w:val="22"/>
              </w:rPr>
            </w:pPr>
            <w:r>
              <w:rPr>
                <w:color w:val="000000"/>
                <w:sz w:val="22"/>
                <w:szCs w:val="22"/>
              </w:rPr>
              <w:t xml:space="preserve">Tỷ lệ % hoàn 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5.837.194.695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5.837.194.695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10.634.389.388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44.309.956</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673"/>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5.837.194.695</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5.837.194.695</w:t>
            </w:r>
            <w:r>
              <w:rPr>
                <w:color w:val="000000"/>
                <w:sz w:val="20"/>
                <w:szCs w:val="20"/>
              </w:rPr>
            </w:r>
            <w:r>
              <w:rPr>
                <w:color w:val="000000"/>
                <w:sz w:val="20"/>
                <w:szCs w:val="20"/>
              </w:rPr>
            </w:r>
          </w:p>
        </w:tc>
        <w:tc>
          <w:tcPr>
            <w:shd w:val="clear" w:color="000000" w:fill="ffffff"/>
            <w:tcBorders/>
            <w:tcW w:w="1673" w:type="dxa"/>
            <w:vAlign w:val="center"/>
            <w:textDirection w:val="lrTb"/>
            <w:noWrap w:val="false"/>
          </w:tcPr>
          <w:p>
            <w:pPr>
              <w:pBdr/>
              <w:spacing/>
              <w:ind/>
              <w:jc w:val="center"/>
              <w:rPr>
                <w:color w:val="000000"/>
                <w:sz w:val="20"/>
                <w:szCs w:val="20"/>
              </w:rPr>
            </w:pPr>
            <w:r>
              <w:rPr>
                <w:color w:val="000000" w:themeColor="text1"/>
                <w:sz w:val="22"/>
                <w:szCs w:val="22"/>
              </w:rPr>
              <w:t xml:space="preserve">10.634.389.388</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44.309.956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73"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44.309.956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44.309.956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44.309.956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tại:Vị trí 1;  Đặc khu Vân Đồn, Tỉnh Quảng Ninh, độ rộng đường trước mặt tài sản 58m,21.087416666667, 107.45297222222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w:t>
            </w:r>
            <w:r>
              <w:rPr>
                <w:color w:val="000000" w:themeColor="text1"/>
                <w:sz w:val="22"/>
                <w:szCs w:val="22"/>
              </w:rPr>
              <w:t xml:space="preserve">Vị trí 1</w:t>
            </w:r>
            <w:r>
              <w:rPr>
                <w:color w:val="000000" w:themeColor="text1"/>
                <w:sz w:val="22"/>
                <w:szCs w:val="22"/>
              </w:rPr>
              <w:t xml:space="preserve">, Đặc khu Vân Đồn, Tỉnh Quảng Ninh, đường nằm trên trục đường Vân Đồn, độ rộng đường trước mặt tài sản 58m,21.087527777777776, 107.45305555555557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w:t>
            </w:r>
            <w:r>
              <w:rPr>
                <w:color w:val="000000" w:themeColor="text1"/>
                <w:sz w:val="22"/>
                <w:szCs w:val="22"/>
              </w:rPr>
              <w:t xml:space="preserve">Vị trí 1</w:t>
            </w:r>
            <w:r>
              <w:rPr>
                <w:color w:val="000000" w:themeColor="text1"/>
                <w:sz w:val="22"/>
                <w:szCs w:val="22"/>
              </w:rPr>
              <w:t xml:space="preserve">, Đặc khu Vân Đồn, Tỉnh Quảng Ninh, đường nằm trên trục đường Vân Đồn , độ rộng đường trước mặt tài sản 58m, 21.087583333333335, 107.45308333202367</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Vị trí 1</w:t>
            </w:r>
            <w:r>
              <w:rPr>
                <w:color w:val="000000" w:themeColor="text1"/>
                <w:sz w:val="22"/>
                <w:szCs w:val="22"/>
              </w:rPr>
              <w:t xml:space="preserve">, Đặc khu Vân Đồn, Tỉnh Quảng Ninh, đường nằm trên trục đường Vân Đồn, độ rộng đường trước mặt tài sản 58m, 21.087305555556, 107.453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44.309.956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44.309.956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58</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58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44.309.956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44.309.956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120,78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120,78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120,78</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240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3.956.759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48.266.715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-3.544.796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44.721.919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44.721.919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48.329.150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44.721.919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48.329.150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48.329.150</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44.721.919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717"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47.126.740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2,55%</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-5,1%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7.501.555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673"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673"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673" w:type="dxa"/>
            <w:vAlign w:val="center"/>
            <w:textDirection w:val="lrTb"/>
            <w:noWrap/>
          </w:tcPr>
          <w:p>
            <w:pPr>
              <w:pBdr/>
              <w:spacing/>
              <w:ind/>
              <w:jc w:val="center"/>
              <w:rPr>
                <w:sz w:val="22"/>
                <w:szCs w:val="22"/>
              </w:rPr>
            </w:pPr>
            <w:r>
              <w:rPr>
                <w:color w:val="000000" w:themeColor="text1"/>
                <w:sz w:val="22"/>
                <w:szCs w:val="22"/>
              </w:rPr>
              <w:t xml:space="preserve">411.963</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-5,1</w:t>
      </w:r>
      <w:r>
        <w:t xml:space="preserve">% đến </w:t>
      </w:r>
      <w:r>
        <w:t xml:space="preserve">2,55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48.329.150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16.112.939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48.329.150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16.108.106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44.721.919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14.905.816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47.126.861</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47.000.000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47.000.000</w:t>
      </w:r>
      <w:r>
        <w:rPr>
          <w:b/>
          <w:bCs/>
          <w:color w:val="000000" w:themeColor="text1"/>
        </w:rPr>
        <w:t xml:space="preserve"> </w:t>
      </w:r>
      <w:r>
        <w:rPr>
          <w:b/>
          <w:bCs/>
        </w:rPr>
        <w:t xml:space="preserve">đồng/m².</w:t>
      </w:r>
      <w:r>
        <w:rPr>
          <w:b/>
          <w:bCs/>
        </w:rPr>
      </w:r>
      <w:r>
        <w:rPr>
          <w:b/>
          <w:bCs/>
        </w:rPr>
      </w:r>
    </w:p>
    <w:p>
      <w:pPr>
        <w:pStyle w:val="1035"/>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numPr>
          <w:ilvl w:val="0"/>
          <w:numId w:val="39"/>
        </w:numPr>
        <w:pBdr>
          <w:top w:val="none" w:color="000000" w:sz="4" w:space="0"/>
          <w:left w:val="none" w:color="000000" w:sz="4" w:space="0"/>
          <w:bottom w:val="none" w:color="000000" w:sz="4" w:space="0"/>
          <w:right w:val="none" w:color="000000" w:sz="4" w:space="0"/>
        </w:pBdr>
        <w:spacing w:after="120" w:before="120" w:line="312" w:lineRule="auto"/>
        <w:ind/>
        <w:jc w:val="both"/>
        <w:rPr>
          <w:color w:val="000000" w:themeColor="text1"/>
          <w:highlight w:val="white"/>
        </w:rPr>
      </w:pPr>
      <w:r>
        <w:rPr>
          <w:rFonts w:ascii="Times New Roman" w:hAnsi="Times New Roman" w:eastAsia="Times New Roman" w:cs="Times New Roman"/>
          <w:b/>
          <w:color w:val="000000" w:themeColor="text1"/>
          <w:sz w:val="24"/>
          <w:highlight w:val="white"/>
        </w:rPr>
        <w:t xml:space="preserve">Xác định đơn giá của công trình xây dựng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Qua tham khảo thị trường về đơn giá xây dựng mới đối với công tr</w:t>
      </w:r>
      <w:r>
        <w:rPr>
          <w:rFonts w:ascii="Times New Roman" w:hAnsi="Times New Roman" w:eastAsia="Times New Roman" w:cs="Times New Roman"/>
          <w:color w:val="000000" w:themeColor="text1"/>
          <w:sz w:val="24"/>
          <w:highlight w:val="white"/>
        </w:rPr>
        <w:t xml:space="preserve">ì</w:t>
      </w:r>
      <w:r>
        <w:rPr>
          <w:rFonts w:ascii="Times New Roman" w:hAnsi="Times New Roman" w:eastAsia="Times New Roman" w:cs="Times New Roman"/>
          <w:color w:val="000000" w:themeColor="text1"/>
          <w:sz w:val="24"/>
          <w:highlight w:val="white"/>
        </w:rPr>
        <w:t xml:space="preserve">nh</w:t>
      </w:r>
      <w:r>
        <w:rPr>
          <w:rFonts w:ascii="Times New Roman" w:hAnsi="Times New Roman" w:eastAsia="Times New Roman" w:cs="Times New Roman"/>
          <w:color w:val="000000" w:themeColor="text1"/>
          <w:sz w:val="24"/>
          <w:highlight w:val="yellow"/>
        </w:rPr>
        <w:t xml:space="preserve"> Nhà 05 tầng, </w:t>
      </w:r>
      <w:r>
        <w:rPr>
          <w:rFonts w:ascii="Times New Roman" w:hAnsi="Times New Roman" w:eastAsia="Times New Roman" w:cs="Times New Roman"/>
          <w:color w:val="000000" w:themeColor="text1"/>
          <w:sz w:val="24"/>
          <w:highlight w:val="yellow"/>
        </w:rPr>
        <w:t xml:space="preserve">c</w:t>
      </w:r>
      <w:r>
        <w:rPr>
          <w:rFonts w:ascii="Times New Roman" w:hAnsi="Times New Roman" w:eastAsia="Times New Roman" w:cs="Times New Roman"/>
          <w:color w:val="000000" w:themeColor="text1"/>
          <w:sz w:val="24"/>
          <w:highlight w:val="white"/>
        </w:rPr>
        <w:t xml:space="preserve">ân nhắc và xem xét với mức độ hoàn thiện của công trình xây dựng hiện có, Tổ thẩm định nhận thấy đơn giá vận dụng theo Quyết định số 425/QĐ-BXD ngày 30/3/2026 của Bộ Xây dựng</w:t>
      </w:r>
      <w:r>
        <w:rPr>
          <w:rFonts w:ascii="Times New Roman" w:hAnsi="Times New Roman" w:eastAsia="Times New Roman" w:cs="Times New Roman"/>
          <w:color w:val="000000" w:themeColor="text1"/>
          <w:sz w:val="24"/>
          <w:highlight w:val="white"/>
        </w:rPr>
        <w:t xml:space="preserve"> về việc Công bố suất vốn đầu tư xây dựng công trình và giá xây dựng tổng hợp bộ phận kết cấu công trình năm 2025 là khá phù hợp với thị trường, theo đó:</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rPr>
          <w:color w:val="000000" w:themeColor="text1"/>
          <w:highlight w:val="white"/>
        </w:rPr>
      </w:pPr>
      <w:r>
        <w:rPr>
          <w:rFonts w:ascii="Times New Roman" w:hAnsi="Times New Roman" w:eastAsia="Times New Roman" w:cs="Times New Roman"/>
          <w:i/>
          <w:color w:val="000000" w:themeColor="text1"/>
          <w:sz w:val="24"/>
          <w:highlight w:val="white"/>
        </w:rPr>
        <w:t xml:space="preserve">“</w:t>
      </w:r>
      <w:r>
        <w:rPr>
          <w:rFonts w:ascii="Times New Roman" w:hAnsi="Times New Roman" w:eastAsia="Times New Roman" w:cs="Times New Roman"/>
          <w:i/>
          <w:color w:val="000000" w:themeColor="text1"/>
          <w:sz w:val="24"/>
          <w:highlight w:val="white"/>
        </w:rPr>
        <w:t xml:space="preserve">Suất vốn đầu tư xây dựng </w:t>
      </w:r>
      <w:r>
        <w:rPr>
          <w:rFonts w:ascii="Times New Roman" w:hAnsi="Times New Roman" w:eastAsia="Times New Roman" w:cs="Times New Roman"/>
          <w:i/>
          <w:color w:val="000000" w:themeColor="text1"/>
          <w:sz w:val="24"/>
          <w:highlight w:val="white"/>
        </w:rPr>
        <w:t xml:space="preserve">của Nhà từ 4 đến 5 tầng, kết cấu khung chịu lực BTCT; tường bao xây gạch; sàn, mái BTCT đổ tại chỗ không có tầng hầm; diện tích xây dựng từ 90m</w:t>
      </w:r>
      <w:r>
        <w:rPr>
          <w:rFonts w:ascii="Times New Roman" w:hAnsi="Times New Roman" w:eastAsia="Times New Roman" w:cs="Times New Roman"/>
          <w:i/>
          <w:color w:val="000000" w:themeColor="text1"/>
          <w:sz w:val="24"/>
          <w:highlight w:val="white"/>
          <w:vertAlign w:val="superscript"/>
        </w:rPr>
        <w:t xml:space="preserve">2</w:t>
      </w:r>
      <w:r>
        <w:rPr>
          <w:rFonts w:ascii="Times New Roman" w:hAnsi="Times New Roman" w:eastAsia="Times New Roman" w:cs="Times New Roman"/>
          <w:i/>
          <w:color w:val="000000" w:themeColor="text1"/>
          <w:sz w:val="24"/>
          <w:highlight w:val="white"/>
        </w:rPr>
        <w:t xml:space="preserve">-140m</w:t>
      </w:r>
      <w:r>
        <w:rPr>
          <w:rFonts w:ascii="Times New Roman" w:hAnsi="Times New Roman" w:eastAsia="Times New Roman" w:cs="Times New Roman"/>
          <w:i/>
          <w:color w:val="000000" w:themeColor="text1"/>
          <w:sz w:val="24"/>
          <w:highlight w:val="white"/>
          <w:vertAlign w:val="superscript"/>
        </w:rPr>
        <w:t xml:space="preserve">2</w:t>
      </w:r>
      <w:r>
        <w:rPr>
          <w:rFonts w:ascii="Times New Roman" w:hAnsi="Times New Roman" w:eastAsia="Times New Roman" w:cs="Times New Roman"/>
          <w:i/>
          <w:color w:val="000000" w:themeColor="text1"/>
          <w:sz w:val="24"/>
          <w:highlight w:val="white"/>
        </w:rPr>
        <w:t xml:space="preserve"> </w:t>
      </w:r>
      <w:r>
        <w:rPr>
          <w:rFonts w:ascii="Times New Roman" w:hAnsi="Times New Roman" w:eastAsia="Times New Roman" w:cs="Times New Roman"/>
          <w:i/>
          <w:color w:val="000000" w:themeColor="text1"/>
          <w:sz w:val="24"/>
          <w:highlight w:val="white"/>
        </w:rPr>
        <w:t xml:space="preserve">có đơn giá là </w:t>
      </w:r>
      <w:r>
        <w:rPr>
          <w:rFonts w:ascii="Times New Roman" w:hAnsi="Times New Roman" w:eastAsia="Times New Roman" w:cs="Times New Roman"/>
          <w:b/>
          <w:i/>
          <w:color w:val="000000" w:themeColor="text1"/>
          <w:sz w:val="24"/>
          <w:highlight w:val="white"/>
        </w:rPr>
        <w:t xml:space="preserve">7.630.000 </w:t>
      </w:r>
      <w:r>
        <w:rPr>
          <w:rFonts w:ascii="Times New Roman" w:hAnsi="Times New Roman" w:eastAsia="Times New Roman" w:cs="Times New Roman"/>
          <w:i/>
          <w:color w:val="000000" w:themeColor="text1"/>
          <w:sz w:val="24"/>
          <w:highlight w:val="white"/>
        </w:rPr>
        <w:t xml:space="preserve">đồng/m² sàn.”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color w:val="000000" w:themeColor="text1"/>
          <w:highlight w:val="white"/>
        </w:rPr>
      </w:pPr>
      <w:r>
        <w:rPr>
          <w:rFonts w:ascii="Times New Roman" w:hAnsi="Times New Roman" w:eastAsia="Times New Roman" w:cs="Times New Roman"/>
          <w:i/>
          <w:color w:val="000000" w:themeColor="text1"/>
          <w:sz w:val="24"/>
          <w:highlight w:val="white"/>
        </w:rPr>
        <w:t xml:space="preserve">Hệ số điều chỉnh vùng cho Suất đầu tư: Tỉnh Quảng Ninh thuộc vùng 2 có hệ số điều chỉnh là </w:t>
      </w:r>
      <w:r>
        <w:rPr>
          <w:rFonts w:ascii="Times New Roman" w:hAnsi="Times New Roman" w:eastAsia="Times New Roman" w:cs="Times New Roman"/>
          <w:b/>
          <w:i/>
          <w:color w:val="000000" w:themeColor="text1"/>
          <w:sz w:val="24"/>
          <w:highlight w:val="white"/>
        </w:rPr>
        <w:t xml:space="preserve">0,948</w:t>
      </w:r>
      <w:r>
        <w:rPr>
          <w:rFonts w:ascii="Times New Roman" w:hAnsi="Times New Roman" w:eastAsia="Times New Roman" w:cs="Times New Roman"/>
          <w:i/>
          <w:color w:val="000000" w:themeColor="text1"/>
          <w:sz w:val="24"/>
          <w:highlight w:val="white"/>
        </w:rPr>
        <w:t xml:space="preserve">.”</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2761"/>
        </w:tabs>
        <w:spacing w:line="276" w:lineRule="auto"/>
        <w:ind w:right="0" w:firstLine="0" w:left="0"/>
        <w:jc w:val="both"/>
        <w:rPr>
          <w:color w:val="000000" w:themeColor="text1"/>
          <w:highlight w:val="white"/>
        </w:rPr>
      </w:pPr>
      <w:r>
        <w:rPr>
          <w:rFonts w:ascii="Times New Roman" w:hAnsi="Times New Roman" w:eastAsia="Times New Roman" w:cs="Times New Roman"/>
          <w:i/>
          <w:color w:val="000000" w:themeColor="text1"/>
          <w:sz w:val="24"/>
          <w:highlight w:val="white"/>
        </w:rPr>
        <w:t xml:space="preserve">Tại thời diểm khảo sát, hiện trạng công </w:t>
      </w:r>
      <w:r>
        <w:rPr>
          <w:rFonts w:ascii="Times New Roman" w:hAnsi="Times New Roman" w:eastAsia="Times New Roman" w:cs="Times New Roman"/>
          <w:i/>
          <w:color w:val="000000" w:themeColor="text1"/>
          <w:sz w:val="24"/>
          <w:highlight w:val="white"/>
        </w:rPr>
        <w:t xml:space="preserve">trình là nhà 5 tầng hoàn thiện. Do đó, Tổ thẩm định xác định đơn giá xây mới của công trình xây dựng là: (Suất đầu tư xây dựng) x (Hệ số vùng) x (Tỷ lệ hoàn thiện) = 7.630.000 x 0,948*100% =</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b/>
          <w:i/>
          <w:color w:val="000000" w:themeColor="text1"/>
          <w:sz w:val="24"/>
          <w:highlight w:val="white"/>
        </w:rPr>
        <w:t xml:space="preserve"> 7.233.240 đồng/m² sàn. </w:t>
      </w:r>
      <w:r>
        <w:rPr>
          <w:color w:val="000000" w:themeColor="text1"/>
          <w:highlight w:val="white"/>
        </w:rPr>
        <w:tab/>
      </w:r>
      <w:r>
        <w:rPr>
          <w:color w:val="000000" w:themeColor="text1"/>
          <w:highlight w:val="white"/>
        </w:rPr>
      </w:r>
      <w:r>
        <w:rPr>
          <w:color w:val="000000" w:themeColor="text1"/>
          <w:highlight w:val="white"/>
        </w:rP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color w:val="000000" w:themeColor="text1"/>
          <w:highlight w:val="white"/>
        </w:rPr>
      </w:pPr>
      <w:r>
        <w:rPr>
          <w:rFonts w:ascii="Times New Roman" w:hAnsi="Times New Roman" w:eastAsia="Times New Roman" w:cs="Times New Roman"/>
          <w:b/>
          <w:color w:val="000000" w:themeColor="text1"/>
          <w:sz w:val="24"/>
          <w:highlight w:val="white"/>
        </w:rPr>
        <w:t xml:space="preserve">Xác định giá trị hao mòn theo kỹ thuật tuổi đời: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color w:val="000000" w:themeColor="text1"/>
          <w:highlight w:val="white"/>
        </w:rPr>
      </w:pPr>
      <w:r>
        <w:rPr>
          <w:rFonts w:ascii="Times New Roman" w:hAnsi="Times New Roman" w:eastAsia="Times New Roman" w:cs="Times New Roman"/>
          <w:color w:val="000000" w:themeColor="text1"/>
          <w:spacing w:val="2"/>
          <w:sz w:val="24"/>
          <w:highlight w:val="white"/>
        </w:rPr>
        <w:t xml:space="preserve">Tỉ lệ hao mòn được tính toán theo phương pháp tuổi đời: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color w:val="000000" w:themeColor="text1"/>
          <w:highlight w:val="white"/>
        </w:rPr>
      </w:pPr>
      <w:r>
        <w:rPr>
          <w:rFonts w:ascii="Times New Roman" w:hAnsi="Times New Roman" w:eastAsia="Times New Roman" w:cs="Times New Roman"/>
          <w:color w:val="000000" w:themeColor="text1"/>
          <w:spacing w:val="2"/>
          <w:sz w:val="24"/>
          <w:highlight w:val="white"/>
        </w:rPr>
        <w:t xml:space="preserve">Công thức: Tỉ lệ hao mòn = Tuổi đời hiệu quả/ Tuổi đời kinh tế</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pacing w:after="60" w:before="60" w:line="276" w:lineRule="auto"/>
        <w:ind w:right="0" w:firstLine="426" w:left="0"/>
        <w:jc w:val="both"/>
        <w:rPr>
          <w:color w:val="000000" w:themeColor="text1"/>
          <w:highlight w:val="white"/>
        </w:rPr>
      </w:pPr>
      <w:r>
        <w:rPr>
          <w:rFonts w:ascii="Times New Roman" w:hAnsi="Times New Roman" w:eastAsia="Times New Roman" w:cs="Times New Roman"/>
          <w:color w:val="000000" w:themeColor="text1"/>
          <w:spacing w:val="2"/>
          <w:sz w:val="24"/>
          <w:highlight w:val="white"/>
        </w:rPr>
        <w:t xml:space="preserve">Tổ thẩm định giả định rằng công trình xây dựng trong khoảng thời gian trích khấu hao được duy tu, sửa chữa định kỳ và đúng quy trình nên tuổi đời hiệu quả bằng tuổi đời thực tế. Theo thông tin khách hàng cung cấp,</w:t>
      </w:r>
      <w:r>
        <w:rPr>
          <w:rFonts w:ascii="Times New Roman" w:hAnsi="Times New Roman" w:eastAsia="Times New Roman" w:cs="Times New Roman"/>
          <w:color w:val="000000" w:themeColor="text1"/>
          <w:spacing w:val="2"/>
          <w:sz w:val="24"/>
          <w:highlight w:val="white"/>
        </w:rPr>
        <w:t xml:space="preserve"> </w:t>
      </w:r>
      <w:r>
        <w:rPr>
          <w:rFonts w:ascii="Times New Roman" w:hAnsi="Times New Roman" w:eastAsia="Times New Roman" w:cs="Times New Roman"/>
          <w:color w:val="000000" w:themeColor="text1"/>
          <w:spacing w:val="2"/>
          <w:sz w:val="24"/>
          <w:highlight w:val="white"/>
        </w:rPr>
        <w:t xml:space="preserve">công trình xây dựng được hoàn thành năm 20</w:t>
      </w:r>
      <w:r>
        <w:rPr>
          <w:rFonts w:ascii="Times New Roman" w:hAnsi="Times New Roman" w:eastAsia="Times New Roman" w:cs="Times New Roman"/>
          <w:color w:val="000000" w:themeColor="text1"/>
          <w:spacing w:val="2"/>
          <w:sz w:val="24"/>
          <w:highlight w:val="white"/>
        </w:rPr>
        <w:t xml:space="preserve">22, do đó, Tổ thẩm định ước tính tuổi đời hiệu quả của công trình là khoảng 4 năm</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pacing w:after="60" w:before="60" w:line="276" w:lineRule="auto"/>
        <w:ind w:right="0" w:firstLine="426" w:left="0"/>
        <w:jc w:val="both"/>
        <w:rPr>
          <w:color w:val="000000" w:themeColor="text1"/>
          <w:highlight w:val="none"/>
        </w:rPr>
      </w:pPr>
      <w:r>
        <w:rPr>
          <w:rFonts w:ascii="Times New Roman" w:hAnsi="Times New Roman" w:eastAsia="Times New Roman" w:cs="Times New Roman"/>
          <w:color w:val="000000" w:themeColor="text1"/>
          <w:sz w:val="24"/>
          <w:highlight w:val="white"/>
        </w:rPr>
        <w:t xml:space="preserve">Vận dụng khung thời gian trích khấu hao TSCĐ tại Thông tư 45/2013/TT-BTC ngày 25/4/2013 của Bộ Tài chính về việc hướng dẫn chế độ quản lý, sử dụng và trích khấu hao tài sản cố định, kết hợp với khảo sát thông tin thị trường và quan sát hiện trạng thực tế c</w:t>
      </w:r>
      <w:r>
        <w:rPr>
          <w:rFonts w:ascii="Times New Roman" w:hAnsi="Times New Roman" w:eastAsia="Times New Roman" w:cs="Times New Roman"/>
          <w:color w:val="000000" w:themeColor="text1"/>
          <w:sz w:val="24"/>
          <w:highlight w:val="white"/>
        </w:rPr>
        <w:t xml:space="preserve">ông trình, Tổ thẩm định xác định tuổi đời kinh tế của tài sản thẩm định là 50 năm. </w:t>
      </w:r>
      <w:r>
        <w:rPr>
          <w:color w:val="000000" w:themeColor="text1"/>
          <w:highlight w:val="none"/>
        </w:rPr>
      </w:r>
      <w:r>
        <w:rPr>
          <w:color w:val="000000" w:themeColor="text1"/>
          <w:highlight w:val="none"/>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67"/>
        <w:gridCol w:w="1868"/>
        <w:gridCol w:w="2085"/>
        <w:gridCol w:w="2086"/>
        <w:gridCol w:w="2086"/>
        <w:gridCol w:w="2085"/>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8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Tên tài sản</w:t>
            </w:r>
            <w:r>
              <w:rPr>
                <w:color w:val="000000" w:themeColor="text1"/>
                <w:highlight w:val="white"/>
              </w:rPr>
            </w:r>
            <w:r>
              <w:rPr>
                <w:color w:val="000000" w:themeColor="text1"/>
                <w:highlight w:val="white"/>
              </w:rPr>
            </w:r>
          </w:p>
        </w:tc>
        <w:tc>
          <w:tcPr>
            <w:tcBorders>
              <w:top w:val="single" w:color="000000" w:sz="8" w:space="0"/>
              <w:bottom w:val="single" w:color="000000" w:sz="8" w:space="0"/>
              <w:right w:val="single" w:color="000000" w:sz="8" w:space="0"/>
            </w:tcBorders>
            <w:tcMar>
              <w:left w:w="0" w:type="dxa"/>
              <w:top w:w="0" w:type="dxa"/>
              <w:right w:w="0" w:type="dxa"/>
              <w:bottom w:w="0" w:type="dxa"/>
            </w:tcMar>
            <w:tcW w:w="18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Năm xây dựng hoàn thành</w:t>
            </w:r>
            <w:r>
              <w:rPr>
                <w:color w:val="000000" w:themeColor="text1"/>
                <w:highlight w:val="white"/>
              </w:rPr>
            </w:r>
            <w:r>
              <w:rPr>
                <w:color w:val="000000" w:themeColor="text1"/>
                <w:highlight w:val="white"/>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Thời điểm thẩm định</w:t>
            </w:r>
            <w:r>
              <w:rPr>
                <w:color w:val="000000" w:themeColor="text1"/>
                <w:highlight w:val="white"/>
              </w:rPr>
            </w:r>
            <w:r>
              <w:rPr>
                <w:color w:val="000000" w:themeColor="text1"/>
                <w:highlight w:val="white"/>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Tuổi đời kinh tế (năm)</w:t>
            </w:r>
            <w:r>
              <w:rPr>
                <w:color w:val="000000" w:themeColor="text1"/>
                <w:highlight w:val="white"/>
              </w:rPr>
            </w:r>
            <w:r>
              <w:rPr>
                <w:color w:val="000000" w:themeColor="text1"/>
                <w:highlight w:val="white"/>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Tuổi đời hiệu quả (năm)</w:t>
            </w:r>
            <w:r>
              <w:rPr>
                <w:color w:val="000000" w:themeColor="text1"/>
                <w:highlight w:val="white"/>
              </w:rPr>
            </w:r>
            <w:r>
              <w:rPr>
                <w:color w:val="000000" w:themeColor="text1"/>
                <w:highlight w:val="white"/>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Tỉ lệ hao mòn (%)</w:t>
            </w:r>
            <w:r>
              <w:rPr>
                <w:color w:val="000000" w:themeColor="text1"/>
                <w:highlight w:val="white"/>
              </w:rPr>
            </w:r>
            <w:r>
              <w:rPr>
                <w:color w:val="000000" w:themeColor="text1"/>
                <w:highlight w:val="white"/>
              </w:rP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18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Nhà 5 tầng</w:t>
            </w:r>
            <w:r>
              <w:rPr>
                <w:rFonts w:ascii="Times New Roman" w:hAnsi="Times New Roman" w:eastAsia="Times New Roman" w:cs="Times New Roman"/>
                <w:color w:val="000000" w:themeColor="text1"/>
                <w:sz w:val="24"/>
                <w:highlight w:val="white"/>
              </w:rPr>
              <w:t xml:space="preserve"> </w:t>
            </w:r>
            <w:r>
              <w:rPr>
                <w:color w:val="000000" w:themeColor="text1"/>
                <w:highlight w:val="white"/>
              </w:rPr>
            </w:r>
            <w:r>
              <w:rPr>
                <w:color w:val="000000" w:themeColor="text1"/>
                <w:highlight w:val="white"/>
              </w:rPr>
            </w:r>
          </w:p>
        </w:tc>
        <w:tc>
          <w:tcPr>
            <w:tcBorders>
              <w:bottom w:val="single" w:color="000000" w:sz="8" w:space="0"/>
              <w:right w:val="single" w:color="000000" w:sz="8" w:space="0"/>
            </w:tcBorders>
            <w:tcMar>
              <w:left w:w="0" w:type="dxa"/>
              <w:top w:w="0" w:type="dxa"/>
              <w:right w:w="0" w:type="dxa"/>
              <w:bottom w:w="0" w:type="dxa"/>
            </w:tcMar>
            <w:tcW w:w="18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2022</w:t>
            </w:r>
            <w:r>
              <w:rPr>
                <w:color w:val="000000" w:themeColor="text1"/>
                <w:highlight w:val="white"/>
              </w:rPr>
            </w:r>
            <w:r>
              <w:rPr>
                <w:color w:val="000000" w:themeColor="text1"/>
                <w:highlight w:val="white"/>
              </w:rPr>
            </w:r>
          </w:p>
        </w:tc>
        <w:tc>
          <w:tcPr>
            <w:shd w:val="clear" w:color="ffffff" w:fill="ffffff"/>
            <w:tcBorders>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2026</w:t>
            </w:r>
            <w:r>
              <w:rPr>
                <w:color w:val="000000" w:themeColor="text1"/>
                <w:highlight w:val="white"/>
              </w:rPr>
            </w:r>
            <w:r>
              <w:rPr>
                <w:color w:val="000000" w:themeColor="text1"/>
                <w:highlight w:val="white"/>
              </w:rPr>
            </w:r>
          </w:p>
        </w:tc>
        <w:tc>
          <w:tcPr>
            <w:shd w:val="clear" w:color="ffffff" w:fill="ffffff"/>
            <w:tcBorders>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50</w:t>
            </w:r>
            <w:r>
              <w:rPr>
                <w:color w:val="000000" w:themeColor="text1"/>
                <w:highlight w:val="white"/>
              </w:rPr>
            </w:r>
            <w:r>
              <w:rPr>
                <w:color w:val="000000" w:themeColor="text1"/>
                <w:highlight w:val="white"/>
              </w:rPr>
            </w:r>
          </w:p>
        </w:tc>
        <w:tc>
          <w:tcPr>
            <w:shd w:val="clear" w:color="ffffff" w:fill="ffffff"/>
            <w:tcBorders>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color w:val="000000" w:themeColor="text1"/>
                <w:highlight w:val="none"/>
              </w:rPr>
              <w:t xml:space="preserve">4</w:t>
            </w:r>
            <w:r>
              <w:rPr>
                <w:color w:val="000000" w:themeColor="text1"/>
                <w:highlight w:val="white"/>
              </w:rPr>
            </w:r>
            <w:r>
              <w:rPr>
                <w:color w:val="000000" w:themeColor="text1"/>
                <w:highlight w:val="white"/>
              </w:rPr>
            </w:r>
          </w:p>
        </w:tc>
        <w:tc>
          <w:tcPr>
            <w:shd w:val="clear" w:color="ffffff" w:fill="ffffff"/>
            <w:tcBorders>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none"/>
              </w:rPr>
              <w:t xml:space="preserve">8</w:t>
            </w: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r>
    </w:tbl>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rFonts w:ascii="Times New Roman" w:hAnsi="Times New Roman" w:eastAsia="Times New Roman" w:cs="Times New Roman"/>
          <w:color w:val="000000" w:themeColor="text1"/>
          <w:sz w:val="24"/>
          <w:szCs w:val="24"/>
          <w:highlight w:val="none"/>
        </w:rPr>
      </w:pPr>
      <w:r>
        <w:rPr>
          <w:rFonts w:ascii="Times New Roman" w:hAnsi="Times New Roman" w:eastAsia="Times New Roman" w:cs="Times New Roman"/>
          <w:color w:val="000000" w:themeColor="text1"/>
          <w:sz w:val="24"/>
          <w:highlight w:val="white"/>
        </w:rPr>
        <w:t xml:space="preserve">Tổ thẩm định xác định tỉ lệ hao mòn của tài sản thẩm định là: 8%, theo đó tỷ lệ chất lượng còn lại của tài sản là: </w:t>
      </w:r>
      <w:r>
        <w:rPr>
          <w:rFonts w:ascii="Times New Roman" w:hAnsi="Times New Roman" w:eastAsia="Times New Roman" w:cs="Times New Roman"/>
          <w:b/>
          <w:color w:val="000000" w:themeColor="text1"/>
          <w:sz w:val="24"/>
          <w:highlight w:val="white"/>
        </w:rPr>
        <w:t xml:space="preserve">92%</w:t>
      </w:r>
      <w:r>
        <w:rPr>
          <w:rFonts w:ascii="Times New Roman" w:hAnsi="Times New Roman" w:eastAsia="Times New Roman" w:cs="Times New Roman"/>
          <w:color w:val="000000" w:themeColor="text1"/>
          <w:sz w:val="24"/>
          <w:highlight w:val="white"/>
        </w:rPr>
        <w:t xml:space="preserve">.</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color w:val="000000" w:themeColor="text1"/>
          <w:highlight w:val="white"/>
        </w:rPr>
      </w:pPr>
      <w:r>
        <w:rPr>
          <w:rFonts w:ascii="Times New Roman" w:hAnsi="Times New Roman" w:eastAsia="Times New Roman" w:cs="Times New Roman"/>
          <w:b/>
          <w:color w:val="000000" w:themeColor="text1"/>
          <w:sz w:val="24"/>
          <w:highlight w:val="white"/>
        </w:rPr>
        <w:t xml:space="preserve">Xác định giá trị của công trình xây dựng trên đất:</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color w:val="000000" w:themeColor="text1"/>
          <w:highlight w:val="white"/>
        </w:rPr>
      </w:pPr>
      <w:r>
        <w:rPr>
          <w:rFonts w:ascii="Times New Roman" w:hAnsi="Times New Roman" w:eastAsia="Times New Roman" w:cs="Times New Roman"/>
          <w:color w:val="000000" w:themeColor="text1"/>
          <w:spacing w:val="2"/>
          <w:sz w:val="24"/>
          <w:highlight w:val="white"/>
        </w:rPr>
        <w:t xml:space="preserve">Công thức:</w:t>
      </w:r>
      <w:r>
        <w:rPr>
          <w:color w:val="000000" w:themeColor="text1"/>
          <w:highlight w:val="white"/>
        </w:rPr>
      </w:r>
      <w:r>
        <w:rPr>
          <w:color w:val="000000" w:themeColor="text1"/>
          <w:highlight w:val="white"/>
        </w:rPr>
      </w:r>
    </w:p>
    <w:tbl>
      <w:tblPr>
        <w:tblStyle w:val="1039"/>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fixed"/>
        <w:tblLook w:val="04A0" w:firstRow="1" w:lastRow="0" w:firstColumn="1" w:lastColumn="0" w:noHBand="0" w:noVBand="1"/>
      </w:tblPr>
      <w:tblGrid>
        <w:gridCol w:w="1633"/>
        <w:gridCol w:w="351"/>
        <w:gridCol w:w="4030"/>
        <w:gridCol w:w="283"/>
        <w:gridCol w:w="2268"/>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Giá trị ước tính của tài sản</w:t>
            </w:r>
            <w:r>
              <w:rPr>
                <w:color w:val="000000" w:themeColor="text1"/>
                <w:highlight w:val="white"/>
              </w:rPr>
            </w:r>
            <w:r>
              <w:rPr>
                <w:color w:val="000000" w:themeColor="text1"/>
                <w:highlight w:val="white"/>
              </w:rPr>
            </w:r>
          </w:p>
        </w:tc>
        <w:tc>
          <w:tcPr>
            <w:tcBorders/>
            <w:tcMar>
              <w:left w:w="108" w:type="dxa"/>
              <w:top w:w="0" w:type="dxa"/>
              <w:right w:w="108" w:type="dxa"/>
              <w:bottom w:w="0" w:type="dxa"/>
            </w:tcMar>
            <w:tcW w:w="3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Mar>
              <w:left w:w="108" w:type="dxa"/>
              <w:top w:w="0" w:type="dxa"/>
              <w:right w:w="108" w:type="dxa"/>
              <w:bottom w:w="0" w:type="dxa"/>
            </w:tcMar>
            <w:tcW w:w="4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Chi phí thay thế </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(Giá trị xây mới tài sản-đã bao gồm lợi nhuận của nhà sản xuất/nhà đầu tư)</w:t>
            </w:r>
            <w:r>
              <w:rPr>
                <w:color w:val="000000" w:themeColor="text1"/>
                <w:highlight w:val="white"/>
              </w:rPr>
            </w:r>
            <w:r>
              <w:rPr>
                <w:color w:val="000000" w:themeColor="text1"/>
                <w:highlight w:val="white"/>
              </w:rP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Tổng giá trị hao mòn </w:t>
            </w:r>
            <w:r>
              <w:rPr>
                <w:color w:val="000000" w:themeColor="text1"/>
                <w:highlight w:val="white"/>
              </w:rPr>
            </w:r>
            <w:r>
              <w:rPr>
                <w:color w:val="000000" w:themeColor="text1"/>
                <w:highlight w:val="white"/>
              </w:rPr>
            </w:r>
          </w:p>
        </w:tc>
      </w:tr>
    </w:tbl>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color w:val="000000" w:themeColor="text1"/>
          <w:highlight w:val="white"/>
        </w:rPr>
      </w:pPr>
      <w:r>
        <w:rPr>
          <w:rFonts w:ascii="Times New Roman" w:hAnsi="Times New Roman" w:eastAsia="Times New Roman" w:cs="Times New Roman"/>
          <w:color w:val="000000" w:themeColor="text1"/>
          <w:sz w:val="24"/>
          <w:highlight w:val="none"/>
        </w:rPr>
      </w:r>
      <w:r>
        <w:rPr>
          <w:color w:val="000000" w:themeColor="text1"/>
          <w:highlight w:val="white"/>
        </w:rPr>
      </w:r>
      <w:r>
        <w:rPr>
          <w:color w:val="000000" w:themeColor="text1"/>
          <w:highlight w:val="white"/>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1418" w:type="dxa"/>
            <w:vAlign w:val="center"/>
            <w:textDirection w:val="lrTb"/>
            <w:noWrap w:val="false"/>
          </w:tcPr>
          <w:p>
            <w:pPr>
              <w:pBdr/>
              <w:spacing w:after="60" w:before="60"/>
              <w:ind/>
              <w:jc w:val="center"/>
              <w:rPr>
                <w:sz w:val="22"/>
                <w:szCs w:val="22"/>
              </w:rPr>
            </w:pPr>
            <w:r>
              <w:rPr>
                <w:sz w:val="22"/>
                <w:szCs w:val="22"/>
              </w:rPr>
              <w:t xml:space="preserve">Nhà ở 5 tầng</w:t>
            </w:r>
            <w:r>
              <w:rPr>
                <w:sz w:val="22"/>
                <w:szCs w:val="22"/>
              </w:rPr>
            </w:r>
            <w:r>
              <w:rPr>
                <w:sz w:val="22"/>
                <w:szCs w:val="22"/>
              </w:rPr>
            </w:r>
          </w:p>
        </w:tc>
        <w:tc>
          <w:tcPr>
            <w:tcBorders/>
            <w:tcW w:w="1275" w:type="dxa"/>
            <w:vAlign w:val="center"/>
            <w:textDirection w:val="lrTb"/>
            <w:noWrap/>
          </w:tcPr>
          <w:p>
            <w:pPr>
              <w:pBdr/>
              <w:spacing w:after="60" w:before="60"/>
              <w:ind/>
              <w:jc w:val="center"/>
              <w:rPr>
                <w:sz w:val="22"/>
                <w:szCs w:val="22"/>
              </w:rPr>
            </w:pPr>
            <w:r>
              <w:rPr>
                <w:sz w:val="22"/>
                <w:szCs w:val="22"/>
              </w:rPr>
              <w:t xml:space="preserve">464,3</w:t>
            </w:r>
            <w:r>
              <w:rPr>
                <w:sz w:val="22"/>
                <w:szCs w:val="22"/>
              </w:rPr>
            </w:r>
            <w:r>
              <w:rPr>
                <w:sz w:val="22"/>
                <w:szCs w:val="22"/>
              </w:rPr>
            </w:r>
          </w:p>
        </w:tc>
        <w:tc>
          <w:tcPr>
            <w:tcBorders/>
            <w:tcW w:w="1560" w:type="dxa"/>
            <w:vAlign w:val="center"/>
            <w:textDirection w:val="lrTb"/>
            <w:noWrap/>
          </w:tcPr>
          <w:p>
            <w:pPr>
              <w:pBdr/>
              <w:spacing w:after="60" w:before="60"/>
              <w:ind/>
              <w:jc w:val="center"/>
              <w:rPr>
                <w:b w:val="0"/>
                <w:bCs w:val="0"/>
                <w:i w:val="0"/>
                <w:sz w:val="22"/>
                <w:szCs w:val="22"/>
              </w:rPr>
            </w:pPr>
            <w:r>
              <w:rPr>
                <w:sz w:val="22"/>
                <w:szCs w:val="22"/>
              </w:rPr>
            </w:r>
            <w:r>
              <w:rPr>
                <w:rFonts w:ascii="Times New Roman" w:hAnsi="Times New Roman" w:eastAsia="Times New Roman" w:cs="Times New Roman"/>
                <w:b w:val="0"/>
                <w:bCs w:val="0"/>
                <w:i w:val="0"/>
                <w:iCs w:val="0"/>
                <w:color w:val="000000" w:themeColor="text1"/>
                <w:sz w:val="22"/>
                <w:szCs w:val="22"/>
                <w:highlight w:val="white"/>
              </w:rPr>
              <w:t xml:space="preserve">7.233.240 </w:t>
            </w:r>
            <w:r>
              <w:rPr>
                <w:b w:val="0"/>
                <w:bCs w:val="0"/>
                <w:i w:val="0"/>
                <w:sz w:val="22"/>
                <w:szCs w:val="22"/>
              </w:rPr>
            </w:r>
            <w:r>
              <w:rPr>
                <w:b w:val="0"/>
                <w:bCs w:val="0"/>
                <w:i w:val="0"/>
                <w:sz w:val="22"/>
                <w:szCs w:val="22"/>
              </w:rPr>
            </w:r>
          </w:p>
        </w:tc>
        <w:tc>
          <w:tcPr>
            <w:tcBorders/>
            <w:tcW w:w="1701" w:type="dxa"/>
            <w:vAlign w:val="center"/>
            <w:textDirection w:val="lrTb"/>
            <w:noWrap/>
          </w:tcPr>
          <w:p>
            <w:pPr>
              <w:pBdr/>
              <w:spacing w:after="60" w:before="60"/>
              <w:ind/>
              <w:jc w:val="center"/>
              <w:rPr>
                <w:sz w:val="22"/>
                <w:szCs w:val="22"/>
              </w:rPr>
            </w:pPr>
            <w:r>
              <w:rPr>
                <w:sz w:val="22"/>
                <w:szCs w:val="22"/>
              </w:rPr>
            </w:r>
            <w:r>
              <w:rPr>
                <w:sz w:val="22"/>
                <w:szCs w:val="22"/>
              </w:rPr>
              <w:t xml:space="preserve">3.358.393.332</w:t>
            </w:r>
            <w:r>
              <w:rPr>
                <w:sz w:val="22"/>
                <w:szCs w:val="22"/>
              </w:rPr>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8%</w:t>
            </w:r>
            <w:r>
              <w:rPr>
                <w:sz w:val="22"/>
                <w:szCs w:val="22"/>
              </w:rPr>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r>
            <w:r>
              <w:rPr>
                <w:sz w:val="22"/>
                <w:szCs w:val="22"/>
              </w:rPr>
              <w:t xml:space="preserve">268.671.467</w:t>
            </w:r>
            <w:r>
              <w:rPr>
                <w:sz w:val="22"/>
                <w:szCs w:val="22"/>
              </w:rPr>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r>
            <w:r>
              <w:rPr>
                <w:sz w:val="22"/>
                <w:szCs w:val="22"/>
              </w:rPr>
              <w:t xml:space="preserve">3.089.721.865</w:t>
            </w:r>
            <w:r>
              <w:rPr>
                <w:sz w:val="22"/>
                <w:szCs w:val="22"/>
              </w:rPr>
            </w:r>
            <w:r>
              <w:rPr>
                <w:sz w:val="22"/>
                <w:szCs w:val="22"/>
              </w:rPr>
            </w:r>
          </w:p>
        </w:tc>
      </w:tr>
    </w:tbl>
    <w:p>
      <w:pPr>
        <w:pStyle w:val="1035"/>
        <w:pBdr/>
        <w:spacing w:after="120" w:before="120" w:line="276" w:lineRule="auto"/>
        <w:ind w:left="357"/>
        <w:jc w:val="both"/>
        <w:rPr>
          <w:b/>
          <w:lang w:val="pt-BR"/>
        </w:rPr>
      </w:pPr>
      <w:r>
        <w:rPr>
          <w:b/>
          <w:lang w:val="pt-BR"/>
        </w:rPr>
      </w:r>
      <w:r>
        <w:rPr>
          <w:b/>
          <w:lang w:val="pt-BR"/>
        </w:rPr>
      </w:r>
      <w:r>
        <w:rPr>
          <w:b/>
          <w:lang w:val="pt-BR"/>
        </w:rPr>
      </w:r>
    </w:p>
    <w:p>
      <w:pPr>
        <w:pStyle w:val="103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5"/>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09/2026</w:t>
      </w:r>
      <w:r>
        <w:t xml:space="preserve"> </w:t>
      </w:r>
      <w:r>
        <w:t xml:space="preserve">ước tính </w:t>
      </w:r>
      <w:r>
        <w:t xml:space="preserve">như sau</w:t>
      </w:r>
      <w:r>
        <w:t xml:space="preserve">:</w:t>
      </w:r>
      <w:r>
        <w:rPr>
          <w:highlight w:val="none"/>
        </w:rPr>
      </w:r>
      <w:r>
        <w:rPr>
          <w:highlight w:val="none"/>
        </w:rPr>
      </w:r>
    </w:p>
    <w:tbl>
      <w:tblPr>
        <w:tblW w:w="497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80"/>
        <w:gridCol w:w="1601"/>
        <w:gridCol w:w="1430"/>
        <w:gridCol w:w="2026"/>
        <w:gridCol w:w="1707"/>
        <w:gridCol w:w="1707"/>
      </w:tblGrid>
      <w:tr>
        <w:trPr>
          <w:trHeight w:val="20"/>
        </w:trPr>
        <w:tc>
          <w:tcPr>
            <w:shd w:val="clear" w:color="000000" w:fill="ffffff"/>
            <w:tcBorders/>
            <w:tcW w:w="780"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601"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430"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026"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707" w:type="dxa"/>
            <w:vAlign w:val="center"/>
            <w:textDirection w:val="lrTb"/>
            <w:noWrap w:val="false"/>
          </w:tcPr>
          <w:p>
            <w:pPr>
              <w:pBdr/>
              <w:spacing w:after="40" w:before="40" w:line="288" w:lineRule="auto"/>
              <w:ind/>
              <w:jc w:val="center"/>
              <w:rPr>
                <w:b/>
                <w:bCs/>
                <w:highlight w:val="none"/>
              </w:rPr>
            </w:pPr>
            <w:r>
              <w:rPr>
                <w:b/>
                <w:bCs/>
              </w:rPr>
              <w:t xml:space="preserve">Tỷ lệ CLCL</w:t>
            </w:r>
            <w:r>
              <w:rPr>
                <w:b/>
                <w:bCs/>
                <w:highlight w:val="none"/>
              </w:rPr>
            </w:r>
            <w:r>
              <w:rPr>
                <w:b/>
                <w:bCs/>
                <w:highlight w:val="none"/>
              </w:rPr>
            </w:r>
          </w:p>
          <w:p>
            <w:pPr>
              <w:pBdr/>
              <w:spacing w:after="40" w:before="40" w:line="288" w:lineRule="auto"/>
              <w:ind/>
              <w:jc w:val="center"/>
              <w:rPr>
                <w:b/>
                <w:bCs/>
              </w:rPr>
            </w:pPr>
            <w:r>
              <w:rPr>
                <w:b/>
                <w:bCs/>
                <w:highlight w:val="none"/>
              </w:rPr>
              <w:t xml:space="preserve">(%)</w:t>
            </w:r>
            <w:r>
              <w:rPr>
                <w:b/>
                <w:bCs/>
              </w:rPr>
            </w:r>
            <w:r>
              <w:rPr>
                <w:b/>
                <w:bCs/>
              </w:rPr>
            </w:r>
          </w:p>
        </w:tc>
        <w:tc>
          <w:tcPr>
            <w:shd w:val="clear" w:color="000000" w:fill="ffffff"/>
            <w:tcBorders/>
            <w:tcW w:w="1707"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80"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6764"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05-Lô A7, tờ bản đồ số: , có địa chỉ: Khu Đô thị Du lịch và Bến Cảng Cao Cấp Ao Tiên tại xã Hạ Long, Vân Đồn, Quảng Ninh ( nay là Đặc khu Vân Đồn, tỉnh Quả</w:t>
            </w:r>
            <w:r>
              <w:rPr>
                <w:color w:val="000000"/>
              </w:rPr>
              <w:t xml:space="preserve">ng Ninh ) theo Giấy chứng nhận quyền sử dụng đất, quyền sở hữu nhà ở và tài sản khác gắn liền với đất số: DE 478517, Số vào sổ cấp GCN: CH07824 do Ủy ban nhân dân huyện Vân Đồn  cấp ngày 26/09/2022; chủ sử dụng đất là Ông Nguyễn Công Tám và bà Vũ Thanh Tâm</w:t>
            </w:r>
            <w:r>
              <w:rPr>
                <w:b/>
                <w:bCs/>
              </w:rPr>
              <w:t xml:space="preserve">.</w:t>
            </w:r>
            <w:r>
              <w:rPr>
                <w:b/>
                <w:bCs/>
              </w:rPr>
              <w:t xml:space="preserve"> </w:t>
            </w:r>
            <w:r>
              <w:rPr>
                <w:b/>
                <w:bCs/>
              </w:rPr>
            </w:r>
            <w:r>
              <w:rPr>
                <w:b/>
                <w:bCs/>
              </w:rPr>
            </w:r>
          </w:p>
        </w:tc>
        <w:tc>
          <w:tcPr>
            <w:shd w:val="clear" w:color="000000" w:fill="ffffff"/>
            <w:tcBorders/>
            <w:tcW w:w="1707" w:type="dxa"/>
            <w:vAlign w:val="center"/>
            <w:textDirection w:val="lrTb"/>
            <w:noWrap w:val="false"/>
          </w:tcPr>
          <w:p>
            <w:pPr>
              <w:pBdr/>
              <w:spacing/>
              <w:ind/>
              <w:jc w:val="center"/>
              <w:rPr>
                <w:b/>
                <w:bCs/>
              </w:rPr>
            </w:pPr>
            <w:r>
              <w:rPr>
                <w:b/>
                <w:bCs/>
              </w:rPr>
            </w:r>
            <w:r>
              <w:rPr>
                <w:b/>
                <w:bCs/>
              </w:rPr>
            </w:r>
            <w:r>
              <w:rPr>
                <w:b/>
                <w:bCs/>
              </w:rPr>
            </w:r>
          </w:p>
        </w:tc>
      </w:tr>
      <w:tr>
        <w:trPr>
          <w:trHeight w:val="20"/>
        </w:trPr>
        <w:tc>
          <w:tcPr>
            <w:shd w:val="clear" w:color="000000" w:fill="ffffff"/>
            <w:tcBorders/>
            <w:tcW w:w="780"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601"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430" w:type="dxa"/>
            <w:vAlign w:val="center"/>
            <w:textDirection w:val="lrTb"/>
            <w:noWrap/>
          </w:tcPr>
          <w:p>
            <w:pPr>
              <w:pBdr/>
              <w:spacing w:after="40" w:before="40" w:line="288" w:lineRule="auto"/>
              <w:ind/>
              <w:jc w:val="center"/>
              <w:rPr>
                <w:color w:val="000000"/>
              </w:rPr>
            </w:pPr>
            <w:r>
              <w:rPr>
                <w:color w:val="000000" w:themeColor="text1"/>
              </w:rPr>
              <w:t xml:space="preserve">120,78</w:t>
            </w:r>
            <w:r>
              <w:rPr>
                <w:color w:val="000000"/>
              </w:rPr>
            </w:r>
            <w:r>
              <w:rPr>
                <w:color w:val="000000"/>
              </w:rPr>
            </w:r>
          </w:p>
        </w:tc>
        <w:tc>
          <w:tcPr>
            <w:shd w:val="clear" w:color="000000" w:fill="ffffff"/>
            <w:tcBorders/>
            <w:tcW w:w="2026" w:type="dxa"/>
            <w:vAlign w:val="center"/>
            <w:textDirection w:val="lrTb"/>
            <w:noWrap w:val="false"/>
          </w:tcPr>
          <w:p>
            <w:pPr>
              <w:pBdr/>
              <w:spacing w:after="40" w:before="40" w:line="288" w:lineRule="auto"/>
              <w:ind/>
              <w:jc w:val="center"/>
              <w:rPr/>
            </w:pPr>
            <w:r>
              <w:rPr>
                <w:color w:val="000000" w:themeColor="text1"/>
              </w:rPr>
              <w:t xml:space="preserve">47.000.000</w:t>
            </w:r>
            <w:r/>
          </w:p>
        </w:tc>
        <w:tc>
          <w:tcPr>
            <w:shd w:val="clear" w:color="000000" w:fill="ffffff"/>
            <w:tcBorders/>
            <w:tcW w:w="1707" w:type="dxa"/>
            <w:vAlign w:val="center"/>
            <w:textDirection w:val="lrTb"/>
            <w:noWrap w:val="false"/>
          </w:tcPr>
          <w:p>
            <w:pPr>
              <w:pBdr/>
              <w:spacing/>
              <w:ind/>
              <w:rPr/>
            </w:pPr>
            <w:r/>
            <w:r/>
          </w:p>
        </w:tc>
        <w:tc>
          <w:tcPr>
            <w:shd w:val="clear" w:color="000000" w:fill="ffffff"/>
            <w:tcBorders/>
            <w:tcW w:w="1707" w:type="dxa"/>
            <w:vAlign w:val="center"/>
            <w:textDirection w:val="lrTb"/>
            <w:noWrap w:val="false"/>
          </w:tcPr>
          <w:p>
            <w:pPr>
              <w:pBdr/>
              <w:spacing w:after="40" w:before="40" w:line="288" w:lineRule="auto"/>
              <w:ind/>
              <w:jc w:val="center"/>
              <w:rPr/>
            </w:pPr>
            <w:r>
              <w:rPr>
                <w:color w:val="000000" w:themeColor="text1"/>
              </w:rPr>
              <w:t xml:space="preserve">5.676.660.000</w:t>
            </w:r>
            <w:r/>
          </w:p>
        </w:tc>
      </w:tr>
      <w:tr>
        <w:trPr>
          <w:trHeight w:val="20"/>
        </w:trPr>
        <w:tc>
          <w:tcPr>
            <w:shd w:val="clear" w:color="000000" w:fill="ffffff"/>
            <w:tcBorders/>
            <w:tcW w:w="780"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1601" w:type="dxa"/>
            <w:vAlign w:val="center"/>
            <w:textDirection w:val="lrTb"/>
            <w:noWrap w:val="false"/>
          </w:tcPr>
          <w:p>
            <w:pPr>
              <w:pBdr/>
              <w:spacing w:after="40" w:before="40" w:line="288" w:lineRule="auto"/>
              <w:ind/>
              <w:rPr>
                <w:b w:val="0"/>
                <w:bCs w:val="0"/>
              </w:rPr>
            </w:pPr>
            <w:r>
              <w:rPr>
                <w:b w:val="0"/>
                <w:bCs w:val="0"/>
              </w:rPr>
              <w:t xml:space="preserve">Nhà ở 5 tầng</w:t>
            </w:r>
            <w:r>
              <w:rPr>
                <w:b w:val="0"/>
                <w:bCs w:val="0"/>
              </w:rPr>
            </w:r>
            <w:r>
              <w:rPr>
                <w:b w:val="0"/>
                <w:bCs w:val="0"/>
              </w:rPr>
            </w:r>
          </w:p>
        </w:tc>
        <w:tc>
          <w:tcPr>
            <w:tcBorders/>
            <w:tcW w:w="1430" w:type="dxa"/>
            <w:vAlign w:val="center"/>
            <w:textDirection w:val="lrTb"/>
            <w:noWrap/>
          </w:tcPr>
          <w:p>
            <w:pPr>
              <w:pBdr/>
              <w:spacing w:after="40" w:before="40" w:line="288" w:lineRule="auto"/>
              <w:ind/>
              <w:jc w:val="center"/>
              <w:rPr>
                <w:color w:val="000000"/>
              </w:rPr>
            </w:pPr>
            <w:r>
              <w:rPr>
                <w:color w:val="000000" w:themeColor="text1"/>
              </w:rPr>
              <w:t xml:space="preserve">464,3</w:t>
            </w:r>
            <w:r>
              <w:rPr>
                <w:color w:val="000000"/>
              </w:rPr>
            </w:r>
            <w:r>
              <w:rPr>
                <w:color w:val="000000"/>
              </w:rPr>
            </w:r>
          </w:p>
        </w:tc>
        <w:tc>
          <w:tcPr>
            <w:shd w:val="clear" w:color="000000" w:fill="ffffff"/>
            <w:tcBorders/>
            <w:tcW w:w="2026" w:type="dxa"/>
            <w:vAlign w:val="center"/>
            <w:textDirection w:val="lrTb"/>
            <w:noWrap w:val="false"/>
          </w:tcPr>
          <w:p>
            <w:pPr>
              <w:pBdr/>
              <w:spacing w:after="40" w:before="40" w:line="288" w:lineRule="auto"/>
              <w:ind/>
              <w:jc w:val="center"/>
              <w:rPr>
                <w:sz w:val="24"/>
                <w:szCs w:val="24"/>
              </w:rPr>
            </w:pPr>
            <w:r>
              <w:rPr>
                <w:color w:val="000000" w:themeColor="text1"/>
              </w:rPr>
            </w:r>
            <w:r>
              <w:rPr>
                <w:rFonts w:ascii="Times New Roman" w:hAnsi="Times New Roman" w:eastAsia="Times New Roman" w:cs="Times New Roman"/>
                <w:b w:val="0"/>
                <w:bCs w:val="0"/>
                <w:i w:val="0"/>
                <w:iCs w:val="0"/>
                <w:color w:val="000000" w:themeColor="text1"/>
                <w:sz w:val="24"/>
                <w:szCs w:val="24"/>
                <w:highlight w:val="white"/>
              </w:rPr>
              <w:t xml:space="preserve">7.233.240</w:t>
            </w:r>
            <w:r>
              <w:rPr>
                <w:sz w:val="24"/>
                <w:szCs w:val="24"/>
              </w:rPr>
            </w:r>
            <w:r>
              <w:rPr>
                <w:sz w:val="24"/>
                <w:szCs w:val="24"/>
              </w:rPr>
            </w:r>
          </w:p>
        </w:tc>
        <w:tc>
          <w:tcPr>
            <w:shd w:val="clear" w:color="000000" w:fill="ffffff"/>
            <w:tcBorders/>
            <w:tcW w:w="1707" w:type="dxa"/>
            <w:vAlign w:val="center"/>
            <w:textDirection w:val="lrTb"/>
            <w:noWrap w:val="false"/>
          </w:tcPr>
          <w:p>
            <w:pPr>
              <w:pBdr/>
              <w:spacing/>
              <w:ind/>
              <w:jc w:val="center"/>
              <w:rPr/>
            </w:pPr>
            <w:r>
              <w:t xml:space="preserve">92%</w:t>
            </w:r>
            <w:r/>
          </w:p>
        </w:tc>
        <w:tc>
          <w:tcPr>
            <w:shd w:val="clear" w:color="000000" w:fill="ffffff"/>
            <w:tcBorders/>
            <w:tcW w:w="1707" w:type="dxa"/>
            <w:vAlign w:val="center"/>
            <w:textDirection w:val="lrTb"/>
            <w:noWrap w:val="false"/>
          </w:tcPr>
          <w:p>
            <w:pPr>
              <w:pBdr/>
              <w:spacing w:after="60" w:before="60"/>
              <w:ind/>
              <w:jc w:val="center"/>
              <w:rPr>
                <w:sz w:val="24"/>
                <w:szCs w:val="24"/>
              </w:rPr>
            </w:pPr>
            <w:r>
              <w:rPr>
                <w:sz w:val="22"/>
                <w:szCs w:val="22"/>
              </w:rPr>
            </w:r>
            <w:commentRangeStart w:id="4"/>
            <w:r>
              <w:rPr>
                <w:sz w:val="24"/>
                <w:szCs w:val="24"/>
              </w:rPr>
              <w:t xml:space="preserve">3.089.721.865</w:t>
            </w:r>
            <w:r>
              <w:rPr>
                <w:sz w:val="24"/>
                <w:szCs w:val="24"/>
              </w:rPr>
            </w:r>
            <w:commentRangeEnd w:id="4"/>
            <w:r>
              <w:commentReference w:id="4"/>
            </w:r>
            <w:r>
              <w:rPr>
                <w:sz w:val="24"/>
                <w:szCs w:val="24"/>
              </w:rPr>
            </w:r>
            <w:r>
              <w:rPr>
                <w:sz w:val="24"/>
                <w:szCs w:val="24"/>
              </w:rPr>
            </w:r>
          </w:p>
        </w:tc>
      </w:tr>
      <w:tr>
        <w:trPr>
          <w:trHeight w:val="20"/>
        </w:trPr>
        <w:tc>
          <w:tcPr>
            <w:gridSpan w:val="4"/>
            <w:tcBorders/>
            <w:tcW w:w="5837"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707" w:type="dxa"/>
            <w:vAlign w:val="center"/>
            <w:textDirection w:val="lrTb"/>
            <w:noWrap/>
          </w:tcPr>
          <w:p>
            <w:pPr>
              <w:pBdr/>
              <w:spacing/>
              <w:ind/>
              <w:rPr/>
            </w:pPr>
            <w:r/>
            <w:r/>
          </w:p>
        </w:tc>
        <w:tc>
          <w:tcPr>
            <w:tcBorders/>
            <w:tcW w:w="1707" w:type="dxa"/>
            <w:vAlign w:val="center"/>
            <w:textDirection w:val="lrTb"/>
            <w:noWrap/>
          </w:tcPr>
          <w:p>
            <w:pPr>
              <w:pBdr/>
              <w:spacing w:after="40" w:before="40" w:line="288" w:lineRule="auto"/>
              <w:ind/>
              <w:jc w:val="center"/>
              <w:rPr>
                <w:b/>
                <w:bCs/>
                <w:color w:val="000000"/>
              </w:rPr>
            </w:pPr>
            <w:r>
              <w:rPr>
                <w:b/>
                <w:bCs/>
              </w:rPr>
              <w:t xml:space="preserve">8.766.381.865</w:t>
            </w:r>
            <w:r>
              <w:rPr>
                <w:b/>
                <w:bCs/>
                <w:color w:val="000000"/>
              </w:rPr>
            </w:r>
            <w:r>
              <w:rPr>
                <w:b/>
                <w:bCs/>
                <w:color w:val="000000"/>
              </w:rPr>
            </w:r>
          </w:p>
        </w:tc>
      </w:tr>
      <w:tr>
        <w:trPr>
          <w:trHeight w:val="20"/>
        </w:trPr>
        <w:tc>
          <w:tcPr>
            <w:gridSpan w:val="4"/>
            <w:tcBorders/>
            <w:tcW w:w="5837"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707" w:type="dxa"/>
            <w:vAlign w:val="center"/>
            <w:textDirection w:val="lrTb"/>
            <w:noWrap/>
          </w:tcPr>
          <w:p>
            <w:pPr>
              <w:pBdr/>
              <w:spacing/>
              <w:ind/>
              <w:rPr/>
            </w:pPr>
            <w:r/>
            <w:r/>
          </w:p>
        </w:tc>
        <w:tc>
          <w:tcPr>
            <w:tcBorders/>
            <w:tcW w:w="1707" w:type="dxa"/>
            <w:vAlign w:val="center"/>
            <w:textDirection w:val="lrTb"/>
            <w:noWrap/>
          </w:tcPr>
          <w:p>
            <w:pPr>
              <w:pBdr/>
              <w:spacing w:after="40" w:before="40" w:line="288" w:lineRule="auto"/>
              <w:ind/>
              <w:jc w:val="center"/>
              <w:rPr>
                <w:b/>
                <w:bCs/>
                <w:color w:val="000000"/>
              </w:rPr>
            </w:pPr>
            <w:r>
              <w:rPr>
                <w:b/>
                <w:bCs/>
                <w:color w:val="000000"/>
              </w:rPr>
              <w:t xml:space="preserve">8.766.000.000</w:t>
            </w:r>
            <w:r>
              <w:rPr>
                <w:b/>
                <w:bCs/>
                <w:color w:val="000000"/>
              </w:rPr>
            </w:r>
            <w:r>
              <w:rPr>
                <w:b/>
                <w:bCs/>
                <w:color w:val="000000"/>
              </w:rPr>
            </w:r>
          </w:p>
        </w:tc>
      </w:tr>
      <w:tr>
        <w:trPr>
          <w:trHeight w:val="20"/>
        </w:trPr>
        <w:tc>
          <w:tcPr>
            <w:gridSpan w:val="6"/>
            <w:tcBorders/>
            <w:tcW w:w="9251"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bảy trăm sáu mươi sáu triệu đồng </w:t>
            </w:r>
            <w:r>
              <w:rPr>
                <w:b/>
                <w:bCs/>
                <w:i/>
                <w:iCs/>
                <w:color w:val="000000"/>
              </w:rPr>
              <w:t xml:space="preserve">./.)</w:t>
            </w:r>
            <w:r>
              <w:rPr>
                <w:b/>
                <w:bCs/>
                <w:i/>
                <w:iCs/>
                <w:color w:val="000000"/>
              </w:rPr>
            </w:r>
            <w:r>
              <w:rPr>
                <w:b/>
                <w:bCs/>
                <w:i/>
                <w:iCs/>
                <w:color w:val="000000"/>
              </w:rPr>
            </w:r>
          </w:p>
        </w:tc>
      </w:tr>
    </w:tbl>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6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w:t>
      </w:r>
      <w:r>
        <w:rPr>
          <w:rFonts w:ascii="Times New Roman" w:hAnsi="Times New Roman" w:eastAsia="Times New Roman" w:cs="Times New Roman"/>
          <w:color w:val="000000" w:themeColor="text1"/>
          <w:sz w:val="24"/>
          <w:highlight w:val="white"/>
        </w:rPr>
        <w:t xml:space="preserve">à không có xác nhận của Công ty Cổ phần Thẩm định và Đầu tư Tài chính Hoa Sen đều vi phạm pháp luật và không có giá trị.</w:t>
      </w:r>
      <w:r>
        <w:rPr>
          <w:color w:val="000000" w:themeColor="text1"/>
          <w:highlight w:val="white"/>
        </w:rPr>
      </w:r>
      <w:r>
        <w:rPr>
          <w:color w:val="000000" w:themeColor="text1"/>
          <w:highlight w:val="white"/>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6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highlight w:val="white"/>
        </w:rPr>
      </w:r>
      <w:r>
        <w:rPr>
          <w:color w:val="000000" w:themeColor="text1"/>
          <w:highlight w:val="white"/>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6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highlight w:val="white"/>
        </w:rPr>
      </w:r>
      <w:r>
        <w:rPr>
          <w:color w:val="000000" w:themeColor="text1"/>
          <w:highlight w:val="white"/>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6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Các phương pháp tính toán trên cơ sở tài liệu được cung cấp bởi khách hàng và dựa trên các tài liệu khác có liên quan do tổ thẩm định thu thập, cũng như các điều kiện và kỳ vọng tại thời điểm thẩm định giá phù hợp với các luật định, chính sách quản lý của </w:t>
      </w:r>
      <w:r>
        <w:rPr>
          <w:rFonts w:ascii="Times New Roman" w:hAnsi="Times New Roman" w:eastAsia="Times New Roman" w:cs="Times New Roman"/>
          <w:color w:val="000000" w:themeColor="text1"/>
          <w:sz w:val="24"/>
          <w:highlight w:val="white"/>
        </w:rPr>
        <w:t xml:space="preserve">Nhà nước hiện hành và các điều kiện, giả định theo quan điểm hợp lý của tổ thẩm định kèm theo báo cáo này. Một số vấn đề, sự kiện tương lai không có khả năng tính toán chính xác, hoặc nằm ngoài phạm vi chuyên môn nên cần vận dụng các giả định cho việc thẩm</w:t>
      </w:r>
      <w:r>
        <w:rPr>
          <w:rFonts w:ascii="Times New Roman" w:hAnsi="Times New Roman" w:eastAsia="Times New Roman" w:cs="Times New Roman"/>
          <w:color w:val="000000" w:themeColor="text1"/>
          <w:sz w:val="24"/>
          <w:highlight w:val="white"/>
        </w:rPr>
        <w:t xml:space="preserve"> định giá này, tổ thẩm định không đảm bảo là các giả định làm cơ sở thẩm định giá là chính xác hoàn toàn.</w:t>
      </w:r>
      <w:r>
        <w:rPr>
          <w:color w:val="000000" w:themeColor="text1"/>
          <w:highlight w:val="white"/>
        </w:rPr>
      </w:r>
      <w:r>
        <w:rPr>
          <w:color w:val="000000" w:themeColor="text1"/>
          <w:highlight w:val="white"/>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60" w:lineRule="auto"/>
        <w:ind/>
        <w:jc w:val="both"/>
        <w:rPr>
          <w:color w:val="000000" w:themeColor="text1"/>
          <w:highlight w:val="white"/>
        </w:rPr>
      </w:pPr>
      <w:r>
        <w:rPr>
          <w:rFonts w:ascii="Times New Roman" w:hAnsi="Times New Roman" w:eastAsia="Times New Roman" w:cs="Times New Roman"/>
          <w:color w:val="000000" w:themeColor="text1"/>
          <w:spacing w:val="2"/>
          <w:sz w:val="24"/>
          <w:highlight w:val="white"/>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themeColor="text1"/>
          <w:spacing w:val="2"/>
          <w:sz w:val="24"/>
          <w:highlight w:val="white"/>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w:t>
      </w:r>
      <w:r>
        <w:rPr>
          <w:rFonts w:ascii="Times New Roman" w:hAnsi="Times New Roman" w:eastAsia="Times New Roman" w:cs="Times New Roman"/>
          <w:color w:val="000000" w:themeColor="text1"/>
          <w:spacing w:val="2"/>
          <w:sz w:val="24"/>
          <w:highlight w:val="white"/>
        </w:rPr>
        <w:t xml:space="preserve">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color w:val="000000" w:themeColor="text1"/>
          <w:highlight w:val="white"/>
        </w:rPr>
      </w:r>
      <w:r>
        <w:rPr>
          <w:color w:val="000000" w:themeColor="text1"/>
          <w:highlight w:val="white"/>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6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w:t>
      </w:r>
      <w:r>
        <w:rPr>
          <w:rFonts w:ascii="Times New Roman" w:hAnsi="Times New Roman" w:eastAsia="Times New Roman" w:cs="Times New Roman"/>
          <w:color w:val="000000" w:themeColor="text1"/>
          <w:sz w:val="24"/>
          <w:highlight w:val="white"/>
        </w:rPr>
        <w:t xml:space="preserve">cho Công ty Cổ phần Thẩm định và Đầu tư Tài chính Hoa Sen tại thời điểm và địa điểm thẩm định giá.</w:t>
      </w:r>
      <w:r>
        <w:rPr>
          <w:color w:val="000000" w:themeColor="text1"/>
          <w:highlight w:val="white"/>
        </w:rPr>
      </w:r>
      <w:r>
        <w:rPr>
          <w:color w:val="000000" w:themeColor="text1"/>
          <w:highlight w:val="white"/>
        </w:rPr>
      </w:r>
    </w:p>
    <w:p>
      <w:pPr>
        <w:numPr>
          <w:ilvl w:val="0"/>
          <w:numId w:val="42"/>
        </w:numPr>
        <w:pBdr>
          <w:top w:val="none" w:color="000000" w:sz="4" w:space="0"/>
          <w:left w:val="none" w:color="000000" w:sz="4" w:space="0"/>
          <w:bottom w:val="none" w:color="000000" w:sz="4" w:space="0"/>
          <w:right w:val="none" w:color="000000" w:sz="4" w:space="0"/>
        </w:pBdr>
        <w:spacing w:after="120" w:before="120" w:line="36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themeColor="text1"/>
          <w:sz w:val="24"/>
          <w:highlight w:val="white"/>
        </w:rPr>
        <w:t xml:space="preserve">Giá trị ước tính này không nhất thiết phải trùng khớp với giá trị dùng để giao dịch.</w:t>
      </w:r>
      <w:r>
        <w:rPr>
          <w:color w:val="000000" w:themeColor="text1"/>
          <w:highlight w:val="white"/>
        </w:rPr>
      </w:r>
      <w:r>
        <w:rPr>
          <w:color w:val="000000" w:themeColor="text1"/>
          <w:highlight w:val="white"/>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6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themeColor="text1"/>
          <w:sz w:val="24"/>
          <w:highlight w:val="white"/>
        </w:rPr>
        <w:t xml:space="preserve">ch, số ô, số thửa, tờ bản đồ theo </w:t>
      </w:r>
      <w:r>
        <w:rPr>
          <w:rFonts w:ascii="Times New Roman" w:hAnsi="Times New Roman" w:eastAsia="Times New Roman" w:cs="Times New Roman"/>
          <w:color w:val="000000" w:themeColor="text1"/>
          <w:sz w:val="24"/>
          <w:highlight w:val="white"/>
        </w:rPr>
        <w:t xml:space="preserve">Giấy chứng nhận quyền sử dụng đất  đã cung cấp cho chúng tôi.</w:t>
      </w:r>
      <w:r>
        <w:rPr>
          <w:color w:val="000000" w:themeColor="text1"/>
          <w:highlight w:val="white"/>
        </w:rPr>
      </w:r>
      <w:r>
        <w:rPr>
          <w:color w:val="000000" w:themeColor="text1"/>
          <w:highlight w:val="white"/>
        </w:rPr>
      </w:r>
    </w:p>
    <w:p>
      <w:pPr>
        <w:numPr>
          <w:ilvl w:val="0"/>
          <w:numId w:val="42"/>
        </w:numPr>
        <w:pBdr>
          <w:top w:val="none" w:color="000000" w:sz="4" w:space="0"/>
          <w:left w:val="none" w:color="000000" w:sz="4" w:space="0"/>
          <w:bottom w:val="none" w:color="000000" w:sz="4" w:space="0"/>
          <w:right w:val="none" w:color="000000" w:sz="4" w:space="0"/>
        </w:pBdr>
        <w:spacing w:after="120" w:before="120" w:line="36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themeColor="text1"/>
          <w:sz w:val="24"/>
          <w:highlight w:val="white"/>
        </w:rPr>
        <w:t xml:space="preserve"> trừ mọi trách nhiệm phát sinh, liên đới (nếu có) trong trường hợp này.</w:t>
      </w:r>
      <w:r>
        <w:rPr>
          <w:color w:val="000000" w:themeColor="text1"/>
          <w:highlight w:val="white"/>
        </w:rPr>
      </w:r>
      <w:r>
        <w:rPr>
          <w:color w:val="000000" w:themeColor="text1"/>
          <w:highlight w:val="white"/>
        </w:rPr>
      </w:r>
    </w:p>
    <w:p>
      <w:pPr>
        <w:numPr>
          <w:ilvl w:val="0"/>
          <w:numId w:val="42"/>
        </w:numPr>
        <w:pBdr>
          <w:top w:val="none" w:color="000000" w:sz="4" w:space="0"/>
          <w:left w:val="none" w:color="000000" w:sz="4" w:space="0"/>
          <w:bottom w:val="none" w:color="000000" w:sz="4" w:space="0"/>
          <w:right w:val="none" w:color="000000" w:sz="4" w:space="0"/>
        </w:pBdr>
        <w:spacing w:after="120" w:before="120" w:line="36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themeColor="text1"/>
          <w:sz w:val="24"/>
          <w:highlight w:val="white"/>
        </w:rPr>
        <w:t xml:space="preserve">Giá trị ước tính này không nhất thiết phải trùng khớp với giá trị dùng để giao dịch.</w:t>
      </w:r>
      <w:r>
        <w:rPr>
          <w:color w:val="000000" w:themeColor="text1"/>
          <w:highlight w:val="white"/>
        </w:rPr>
      </w:r>
      <w:r>
        <w:rPr>
          <w:color w:val="000000" w:themeColor="text1"/>
          <w:highlight w:val="white"/>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6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themeColor="text1"/>
          <w:sz w:val="24"/>
          <w:highlight w:val="white"/>
        </w:rPr>
        <w:t xml:space="preserve">ch, số ô, số thửa, tờ bản đồ theo </w:t>
      </w:r>
      <w:r>
        <w:rPr>
          <w:rFonts w:ascii="Times New Roman" w:hAnsi="Times New Roman" w:eastAsia="Times New Roman" w:cs="Times New Roman"/>
          <w:color w:val="000000" w:themeColor="text1"/>
          <w:sz w:val="24"/>
          <w:highlight w:val="white"/>
        </w:rPr>
        <w:t xml:space="preserve">Giấy chứng nhận quyền sử dụng đất  đã cung cấp cho chúng tôi.</w:t>
      </w:r>
      <w:r>
        <w:rPr>
          <w:color w:val="000000" w:themeColor="text1"/>
          <w:highlight w:val="white"/>
        </w:rPr>
      </w:r>
      <w:r>
        <w:rPr>
          <w:color w:val="000000" w:themeColor="text1"/>
          <w:highlight w:val="white"/>
        </w:rPr>
      </w:r>
    </w:p>
    <w:p>
      <w:pPr>
        <w:numPr>
          <w:ilvl w:val="0"/>
          <w:numId w:val="42"/>
        </w:numPr>
        <w:pBdr>
          <w:top w:val="none" w:color="000000" w:sz="4" w:space="0"/>
          <w:left w:val="none" w:color="000000" w:sz="4" w:space="0"/>
          <w:bottom w:val="none" w:color="000000" w:sz="4" w:space="0"/>
          <w:right w:val="none" w:color="000000" w:sz="4" w:space="0"/>
        </w:pBdr>
        <w:spacing w:after="120" w:before="120" w:line="36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themeColor="text1"/>
          <w:sz w:val="24"/>
          <w:highlight w:val="white"/>
        </w:rPr>
        <w:t xml:space="preserve"> trừ mọi trách nhiệm phát sinh, liên đới (nếu có) trong trường hợp này.</w:t>
      </w:r>
      <w:r>
        <w:rPr>
          <w:color w:val="000000" w:themeColor="text1"/>
          <w:highlight w:val="white"/>
        </w:rPr>
      </w:r>
      <w:r>
        <w:rPr>
          <w:color w:val="000000" w:themeColor="text1"/>
          <w:highlight w:val="white"/>
        </w:rP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36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w:t>
      </w:r>
      <w:r>
        <w:rPr>
          <w:rFonts w:ascii="Times New Roman" w:hAnsi="Times New Roman" w:eastAsia="Times New Roman" w:cs="Times New Roman"/>
          <w:color w:val="000000" w:themeColor="text1"/>
          <w:sz w:val="24"/>
          <w:highlight w:val="white"/>
        </w:rPr>
        <w:t xml:space="preserve">mô tả, nên nguồn định vị các TSSS chỉ mang tính chính xác tương đối. Khách hàng và các bên thứ ba khi sử dụng kết quả thẩm định giá cần lưu ý khi sử dụng Chứng thư thẩm định giá.</w:t>
      </w:r>
      <w:r>
        <w:rPr>
          <w:color w:val="000000" w:themeColor="text1"/>
          <w:highlight w:val="white"/>
        </w:rPr>
      </w:r>
      <w:r>
        <w:rPr>
          <w:color w:val="000000" w:themeColor="text1"/>
          <w:highlight w:val="white"/>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6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w:t>
      </w:r>
      <w:r>
        <w:rPr>
          <w:rFonts w:ascii="Times New Roman" w:hAnsi="Times New Roman" w:eastAsia="Times New Roman" w:cs="Times New Roman"/>
          <w:color w:val="000000" w:themeColor="text1"/>
          <w:sz w:val="24"/>
          <w:highlight w:val="white"/>
        </w:rPr>
        <w:t xml:space="preserve">định giá.</w:t>
      </w:r>
      <w:r>
        <w:rPr>
          <w:color w:val="000000" w:themeColor="text1"/>
          <w:highlight w:val="white"/>
        </w:rPr>
      </w:r>
      <w:r>
        <w:rPr>
          <w:color w:val="000000" w:themeColor="text1"/>
          <w:highlight w:val="white"/>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60" w:lineRule="auto"/>
        <w:ind/>
        <w:jc w:val="both"/>
        <w:rPr>
          <w:color w:val="000000" w:themeColor="text1"/>
          <w:highlight w:val="white"/>
        </w:rPr>
      </w:pPr>
      <w:r>
        <w:rPr>
          <w:rFonts w:ascii="Times New Roman" w:hAnsi="Times New Roman" w:eastAsia="Times New Roman" w:cs="Times New Roman"/>
          <w:color w:val="000000" w:themeColor="text1"/>
          <w:sz w:val="24"/>
          <w:highlight w:val="white"/>
          <w:u w:val="none"/>
        </w:rPr>
        <w:t xml:space="preserve">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w:t>
      </w:r>
      <w:r>
        <w:rPr>
          <w:rFonts w:ascii="Times New Roman" w:hAnsi="Times New Roman" w:eastAsia="Times New Roman" w:cs="Times New Roman"/>
          <w:color w:val="000000" w:themeColor="text1"/>
          <w:sz w:val="24"/>
          <w:highlight w:val="white"/>
          <w:u w:val="none"/>
        </w:rPr>
        <w:t xml:space="preserve">kết quả…. và chấp nhận sử dụng tất cả nội dung được trình bày trong chứng thư này.</w:t>
      </w:r>
      <w:r>
        <w:rPr>
          <w:color w:val="000000" w:themeColor="text1"/>
          <w:highlight w:val="white"/>
        </w:rPr>
      </w:r>
      <w:r>
        <w:rPr>
          <w:color w:val="000000" w:themeColor="text1"/>
          <w:highlight w:val="white"/>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5"/>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275/2026/1467/VFI-CT.T04.A</w:t>
      </w:r>
      <w:r>
        <w:rPr>
          <w:color w:val="ff0000"/>
          <w:lang w:val="vi-VN"/>
        </w:rPr>
        <w:t xml:space="preserve"> </w:t>
      </w:r>
      <w:r>
        <w:rPr>
          <w:color w:val="000000" w:themeColor="text1"/>
        </w:rPr>
        <w:t xml:space="preserve">ngày 18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Khánh Hà</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r>
      <w:commentRangeStart w:id="5"/>
      <w:r>
        <w:rPr>
          <w:b/>
          <w:lang w:val="pt-BR"/>
        </w:rPr>
        <w:t xml:space="preserve">VÀ PHÁP LÝ </w:t>
      </w:r>
      <w:r>
        <w:rPr>
          <w:b/>
          <w:lang w:val="pt-BR"/>
        </w:rPr>
        <w:t xml:space="preserve">CỦA TÀI SẢ</w:t>
      </w:r>
      <w:commentRangeEnd w:id="5"/>
      <w:r>
        <w:commentReference w:id="5"/>
      </w:r>
      <w:r>
        <w:rPr>
          <w:b/>
          <w:lang w:val="pt-BR"/>
        </w:rPr>
        <w:t xml:space="preserve">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275/2026/1467/VFI-BC.T04.A</w:t>
      </w:r>
      <w:r>
        <w:rPr>
          <w:i/>
        </w:rPr>
        <w:t xml:space="preserve"> ngày</w:t>
      </w:r>
      <w:r>
        <w:rPr>
          <w:i/>
          <w:lang w:val="pt-BR"/>
        </w:rPr>
        <w:t xml:space="preserve"> </w:t>
      </w:r>
      <w:r>
        <w:rPr>
          <w:i/>
          <w:lang w:val="pt-BR"/>
        </w:rPr>
        <w:t xml:space="preserve">18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919997" cy="240740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83481" name=""/>
                              <pic:cNvPicPr>
                                <a:picLocks noChangeAspect="1"/>
                              </pic:cNvPicPr>
                              <pic:nvPr/>
                            </pic:nvPicPr>
                            <pic:blipFill rotWithShape="1">
                              <a:blip r:embed="rId19"/>
                              <a:stretch/>
                            </pic:blipFill>
                            <pic:spPr bwMode="auto">
                              <a:xfrm flipH="0" flipV="0">
                                <a:off x="0" y="0"/>
                                <a:ext cx="1919997" cy="24074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51.18pt;height:189.56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67142" cy="248131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248461" name=""/>
                              <pic:cNvPicPr>
                                <a:picLocks noChangeAspect="1"/>
                              </pic:cNvPicPr>
                              <pic:nvPr/>
                            </pic:nvPicPr>
                            <pic:blipFill rotWithShape="1">
                              <a:blip r:embed="rId20"/>
                              <a:stretch/>
                            </pic:blipFill>
                            <pic:spPr bwMode="auto">
                              <a:xfrm flipH="0" flipV="0">
                                <a:off x="0" y="0"/>
                                <a:ext cx="2867141" cy="24813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5.76pt;height:195.38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rHeight w:val="394"/>
        </w:trPr>
        <w:tc>
          <w:tcPr>
            <w:tcBorders/>
            <w:tcW w:w="4758" w:type="dxa"/>
            <w:vAlign w:val="center"/>
            <w:vMerge w:val="restart"/>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712578" cy="254727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863659" name=""/>
                              <pic:cNvPicPr>
                                <a:picLocks noChangeAspect="1"/>
                              </pic:cNvPicPr>
                              <pic:nvPr/>
                            </pic:nvPicPr>
                            <pic:blipFill rotWithShape="1">
                              <a:blip r:embed="rId21"/>
                              <a:stretch/>
                            </pic:blipFill>
                            <pic:spPr bwMode="auto">
                              <a:xfrm flipH="0" flipV="0">
                                <a:off x="0" y="0"/>
                                <a:ext cx="2712577" cy="2547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3.59pt;height:200.57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vMerge w:val="restart"/>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39591" cy="265600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795449" name=""/>
                              <pic:cNvPicPr>
                                <a:picLocks noChangeAspect="1"/>
                              </pic:cNvPicPr>
                              <pic:nvPr/>
                            </pic:nvPicPr>
                            <pic:blipFill rotWithShape="1">
                              <a:blip r:embed="rId22"/>
                              <a:stretch/>
                            </pic:blipFill>
                            <pic:spPr bwMode="auto">
                              <a:xfrm flipH="0" flipV="0">
                                <a:off x="0" y="0"/>
                                <a:ext cx="2839591" cy="26560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3.59pt;height:209.13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vMerge w:val="restart"/>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vMerge w:val="restart"/>
            <w:textDirection w:val="lrTb"/>
            <w:noWrap w:val="false"/>
          </w:tcPr>
          <w:p>
            <w:pPr>
              <w:pBdr/>
              <w:spacing w:after="120"/>
              <w:ind/>
              <w:jc w:val="center"/>
              <w:rPr>
                <w:b/>
                <w:bCs/>
                <w:i/>
                <w:lang w:val="pt-BR"/>
              </w:rPr>
            </w:pPr>
            <w:r>
              <w:rPr>
                <w:b/>
                <w:bCs/>
                <w:i/>
                <w:lang w:val="pt-BR"/>
              </w:rPr>
              <w:t xml:space="preserve">Hiện trạng tài sản </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835478" cy="227188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048827" name=""/>
                              <pic:cNvPicPr>
                                <a:picLocks noChangeAspect="1"/>
                              </pic:cNvPicPr>
                              <pic:nvPr/>
                            </pic:nvPicPr>
                            <pic:blipFill rotWithShape="1">
                              <a:blip r:embed="rId23"/>
                              <a:stretch/>
                            </pic:blipFill>
                            <pic:spPr bwMode="auto">
                              <a:xfrm flipH="0" flipV="0">
                                <a:off x="0" y="0"/>
                                <a:ext cx="1835478" cy="22718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44.53pt;height:178.89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313259" cy="233333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166508" name=""/>
                              <pic:cNvPicPr>
                                <a:picLocks noChangeAspect="1"/>
                              </pic:cNvPicPr>
                              <pic:nvPr/>
                            </pic:nvPicPr>
                            <pic:blipFill rotWithShape="1">
                              <a:blip r:embed="rId24"/>
                              <a:stretch/>
                            </pic:blipFill>
                            <pic:spPr bwMode="auto">
                              <a:xfrm flipH="0" flipV="0">
                                <a:off x="0" y="0"/>
                                <a:ext cx="2313258" cy="23333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82.15pt;height:183.73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499931" cy="239976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059754" name=""/>
                              <pic:cNvPicPr>
                                <a:picLocks noChangeAspect="1"/>
                              </pic:cNvPicPr>
                              <pic:nvPr/>
                            </pic:nvPicPr>
                            <pic:blipFill rotWithShape="1">
                              <a:blip r:embed="rId25"/>
                              <a:stretch/>
                            </pic:blipFill>
                            <pic:spPr bwMode="auto">
                              <a:xfrm flipH="0" flipV="0">
                                <a:off x="0" y="0"/>
                                <a:ext cx="2499930" cy="23997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96.84pt;height:188.96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57674" cy="236166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128504" name=""/>
                              <pic:cNvPicPr>
                                <a:picLocks noChangeAspect="1"/>
                              </pic:cNvPicPr>
                              <pic:nvPr/>
                            </pic:nvPicPr>
                            <pic:blipFill rotWithShape="1">
                              <a:blip r:embed="rId26"/>
                              <a:stretch/>
                            </pic:blipFill>
                            <pic:spPr bwMode="auto">
                              <a:xfrm flipH="0" flipV="0">
                                <a:off x="0" y="0"/>
                                <a:ext cx="2857673" cy="23616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5.01pt;height:185.96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r>
      <w:tr>
        <w:trPr/>
        <w:tc>
          <w:tcPr>
            <w:tcBorders/>
            <w:tcW w:w="4758" w:type="dxa"/>
            <w:vAlign w:val="center"/>
            <w:vMerge w:val="restart"/>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vMerge w:val="restart"/>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37728" cy="2601413"/>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345150" name=""/>
                              <pic:cNvPicPr>
                                <a:picLocks noChangeAspect="1"/>
                              </pic:cNvPicPr>
                              <pic:nvPr/>
                            </pic:nvPicPr>
                            <pic:blipFill rotWithShape="1">
                              <a:blip r:embed="rId27"/>
                              <a:stretch/>
                            </pic:blipFill>
                            <pic:spPr bwMode="auto">
                              <a:xfrm flipH="0" flipV="0">
                                <a:off x="0" y="0"/>
                                <a:ext cx="2637727" cy="26014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07.70pt;height:204.84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24187" cy="262131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85215" name=""/>
                              <pic:cNvPicPr>
                                <a:picLocks noChangeAspect="1"/>
                              </pic:cNvPicPr>
                              <pic:nvPr/>
                            </pic:nvPicPr>
                            <pic:blipFill rotWithShape="1">
                              <a:blip r:embed="rId28"/>
                              <a:stretch/>
                            </pic:blipFill>
                            <pic:spPr bwMode="auto">
                              <a:xfrm flipH="0" flipV="0">
                                <a:off x="0" y="0"/>
                                <a:ext cx="3024187" cy="26213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8.12pt;height:206.40pt;mso-wrap-distance-left:0.00pt;mso-wrap-distance-top:0.00pt;mso-wrap-distance-right:0.00pt;mso-wrap-distance-bottom:0.00pt;z-index:1;" stroked="false">
                      <v:imagedata r:id="rId28" o:title=""/>
                      <o:lock v:ext="edit" rotation="t"/>
                    </v:shape>
                  </w:pict>
                </mc:Fallback>
              </mc:AlternateContent>
            </w:r>
            <w:r>
              <w:rPr>
                <w:i/>
                <w:lang w:val="pt-BR"/>
              </w:rPr>
            </w:r>
            <w:r>
              <w:rPr>
                <w:i/>
                <w:lang w:val="pt-BR"/>
              </w:rPr>
            </w:r>
          </w:p>
        </w:tc>
      </w:tr>
    </w:tbl>
    <w:p>
      <w:pPr>
        <w:pBdr/>
        <w:spacing w:after="200" w:line="276" w:lineRule="auto"/>
        <w:ind/>
        <w:jc w:val="center"/>
        <w:rPr/>
      </w:pPr>
      <w:r>
        <w:rPr>
          <w:b/>
          <w:bCs/>
          <w:highlight w:val="none"/>
        </w:rPr>
      </w:r>
      <w:r>
        <w:rPr>
          <w:b/>
          <w:bCs/>
          <w:highlight w:val="none"/>
        </w:rPr>
      </w: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left"/>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rPr>
        <w:t xml:space="preserve">Giấy chứng nhận quyền sử dụng đất </w:t>
      </w:r>
      <w:r>
        <w:rPr>
          <w:b/>
          <w:bCs/>
          <w:highlight w:val="none"/>
        </w:rPr>
      </w:r>
      <w:r>
        <w:rPr>
          <w:b/>
          <w:bCs/>
          <w:highlight w:val="none"/>
        </w:rPr>
      </w:r>
    </w:p>
    <w:p>
      <w:pPr>
        <w:pBdr/>
        <w:spacing w:after="200" w:line="276" w:lineRule="auto"/>
        <w:ind/>
        <w:jc w:val="center"/>
        <w:rPr/>
      </w:pPr>
      <w:r>
        <mc:AlternateContent>
          <mc:Choice Requires="wpg">
            <w:drawing>
              <wp:inline xmlns:wp="http://schemas.openxmlformats.org/drawingml/2006/wordprocessingDrawing" distT="0" distB="0" distL="0" distR="0">
                <wp:extent cx="6048375" cy="823376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406664" name=""/>
                        <pic:cNvPicPr>
                          <a:picLocks noChangeAspect="1"/>
                        </pic:cNvPicPr>
                        <pic:nvPr/>
                      </pic:nvPicPr>
                      <pic:blipFill rotWithShape="1">
                        <a:blip r:embed="rId29"/>
                        <a:stretch/>
                      </pic:blipFill>
                      <pic:spPr bwMode="auto">
                        <a:xfrm>
                          <a:off x="0" y="0"/>
                          <a:ext cx="6048374" cy="82337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48.33pt;mso-wrap-distance-left:0.00pt;mso-wrap-distance-top:0.00pt;mso-wrap-distance-right:0.00pt;mso-wrap-distance-bottom:0.00pt;z-index:1;" stroked="false">
                <v:imagedata r:id="rId29" o:title=""/>
                <o:lock v:ext="edit" rotation="t"/>
              </v:shape>
            </w:pict>
          </mc:Fallback>
        </mc:AlternateContent>
      </w:r>
      <w:r/>
    </w:p>
    <w:p>
      <w:pPr>
        <w:pBdr/>
        <w:spacing w:after="200" w:line="276" w:lineRule="auto"/>
        <w:ind/>
        <w:jc w:val="center"/>
        <w:rPr/>
      </w:pPr>
      <w:r>
        <w:rPr>
          <w:highlight w:val="none"/>
        </w:rPr>
      </w:r>
      <w:r>
        <w:rPr>
          <w:highlight w:val="none"/>
        </w:rPr>
      </w: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pPr>
      <w:r>
        <mc:AlternateContent>
          <mc:Choice Requires="wpg">
            <w:drawing>
              <wp:inline xmlns:wp="http://schemas.openxmlformats.org/drawingml/2006/wordprocessingDrawing" distT="0" distB="0" distL="0" distR="0">
                <wp:extent cx="6048375" cy="850490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00042" name=""/>
                        <pic:cNvPicPr>
                          <a:picLocks noChangeAspect="1"/>
                        </pic:cNvPicPr>
                        <pic:nvPr/>
                      </pic:nvPicPr>
                      <pic:blipFill rotWithShape="1">
                        <a:blip r:embed="rId30"/>
                        <a:stretch/>
                      </pic:blipFill>
                      <pic:spPr bwMode="auto">
                        <a:xfrm>
                          <a:off x="0" y="0"/>
                          <a:ext cx="6048374" cy="85049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69.68pt;mso-wrap-distance-left:0.00pt;mso-wrap-distance-top:0.00pt;mso-wrap-distance-right:0.00pt;mso-wrap-distance-bottom:0.00pt;z-index:1;" stroked="false">
                <v:imagedata r:id="rId30" o:title=""/>
                <o:lock v:ext="edit" rotation="t"/>
              </v:shape>
            </w:pict>
          </mc:Fallback>
        </mc:AlternateContent>
      </w:r>
      <w:r>
        <w:rPr>
          <w:highlight w:val="none"/>
        </w:rPr>
      </w: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pPr>
      <w:r>
        <w:rPr>
          <w:b/>
          <w:bCs/>
        </w:rPr>
        <w:t xml:space="preserve">Biên bản khảo sát </w:t>
      </w:r>
      <w:r>
        <w:rPr>
          <w:highlight w:val="none"/>
        </w:rPr>
      </w:r>
      <w:r/>
    </w:p>
    <w:p>
      <w:pPr>
        <w:pBdr/>
        <w:spacing w:after="200" w:line="276" w:lineRule="auto"/>
        <w:ind/>
        <w:jc w:val="center"/>
        <w:rPr>
          <w:highlight w:val="none"/>
        </w:rPr>
      </w:pPr>
      <w:r>
        <mc:AlternateContent>
          <mc:Choice Requires="wpg">
            <w:drawing>
              <wp:inline xmlns:wp="http://schemas.openxmlformats.org/drawingml/2006/wordprocessingDrawing" distT="0" distB="0" distL="0" distR="0">
                <wp:extent cx="6048375" cy="8786353"/>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65717" name=""/>
                        <pic:cNvPicPr>
                          <a:picLocks noChangeAspect="1"/>
                        </pic:cNvPicPr>
                        <pic:nvPr/>
                      </pic:nvPicPr>
                      <pic:blipFill rotWithShape="1">
                        <a:blip r:embed="rId31"/>
                        <a:stretch/>
                      </pic:blipFill>
                      <pic:spPr bwMode="auto">
                        <a:xfrm flipH="0" flipV="0">
                          <a:off x="0" y="0"/>
                          <a:ext cx="6048374" cy="87863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91.84pt;mso-wrap-distance-left:0.00pt;mso-wrap-distance-top:0.00pt;mso-wrap-distance-right:0.00pt;mso-wrap-distance-bottom:0.00pt;z-index:1;" stroked="false">
                <v:imagedata r:id="rId31" o:title=""/>
                <o:lock v:ext="edit" rotation="t"/>
              </v:shape>
            </w:pict>
          </mc:Fallback>
        </mc:AlternateContent>
      </w:r>
      <w:r>
        <w:br w:type="page" w:clear="all"/>
      </w:r>
      <w:r>
        <w:rPr>
          <w:highlight w:val="none"/>
        </w:rPr>
      </w:r>
      <w:r>
        <w:rPr>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275/2026/1467/VFI-BC.T04.A</w:t>
      </w:r>
      <w:r>
        <w:rPr>
          <w:i/>
        </w:rPr>
        <w:t xml:space="preserve"> ngày</w:t>
      </w:r>
      <w:r>
        <w:rPr>
          <w:i/>
          <w:lang w:val="pt-BR"/>
        </w:rPr>
        <w:t xml:space="preserve"> </w:t>
      </w:r>
      <w:r>
        <w:rPr>
          <w:i/>
          <w:lang w:val="pt-BR"/>
        </w:rPr>
        <w:t xml:space="preserve">18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Trực tiếp</w:t>
            </w:r>
            <w:r>
              <w:rPr>
                <w:color w:val="000000" w:themeColor="text1"/>
                <w:sz w:val="22"/>
                <w:szCs w:val="22"/>
              </w:rPr>
              <w:br/>
              <w:t xml:space="preserve">0948385838</w:t>
            </w:r>
            <w:r>
              <w:rPr>
                <w:sz w:val="22"/>
                <w:szCs w:val="22"/>
              </w:rPr>
              <w:t xml:space="preserve"> </w:t>
            </w:r>
            <w:r>
              <w:rPr>
                <w:sz w:val="22"/>
                <w:szCs w:val="22"/>
              </w:rPr>
              <w:br/>
              <w:t xml:space="preserve">(Tuyên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Vị trí 1</w:t>
            </w:r>
            <w:r>
              <w:rPr>
                <w:color w:val="000000" w:themeColor="text1"/>
                <w:sz w:val="22"/>
                <w:szCs w:val="22"/>
              </w:rPr>
              <w:t xml:space="preserve">, 08- Lô A7, Đặc khu Vân Đồn, Tỉnh Quảng Ninh, đường nằm trên trục đường Vân Đồn, độ rộng đường trước mặt tài sản 58m,21.087527777777776, 107.45305555555557</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120,78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Công trình xây dựng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5 tầng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55024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616655623" name="" descr=""/>
                              <pic:cNvPicPr/>
                              <pic:nvPr/>
                            </pic:nvPicPr>
                            <pic:blipFill rotWithShape="1">
                              <a:blip r:embed="rId32"/>
                              <a:stretch/>
                            </pic:blipFill>
                            <pic:spPr bwMode="auto">
                              <a:xfrm flipH="0" flipV="0">
                                <a:off x="0" y="0"/>
                                <a:ext cx="555023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37.03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68915"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2060001500" name="" descr=""/>
                              <pic:cNvPicPr/>
                              <pic:nvPr/>
                            </pic:nvPicPr>
                            <pic:blipFill rotWithShape="1">
                              <a:blip r:embed="rId33"/>
                              <a:stretch/>
                            </pic:blipFill>
                            <pic:spPr bwMode="auto">
                              <a:xfrm flipH="0" flipV="0">
                                <a:off x="0" y="0"/>
                                <a:ext cx="256891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02.28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38455"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1030126814" name="" descr=""/>
                              <pic:cNvPicPr/>
                              <pic:nvPr/>
                            </pic:nvPicPr>
                            <pic:blipFill rotWithShape="1">
                              <a:blip r:embed="rId34"/>
                              <a:stretch/>
                            </pic:blipFill>
                            <pic:spPr bwMode="auto">
                              <a:xfrm flipH="0" flipV="0">
                                <a:off x="0" y="0"/>
                                <a:ext cx="283845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23.50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1214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551213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34.03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ind/>
        <w:rPr/>
      </w:pPr>
      <w:r>
        <w:br w:type="page" w:clear="all"/>
      </w: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Trực tiếp</w:t>
            </w:r>
            <w:r>
              <w:rPr>
                <w:color w:val="000000" w:themeColor="text1"/>
                <w:sz w:val="22"/>
                <w:szCs w:val="22"/>
              </w:rPr>
              <w:br/>
              <w:t xml:space="preserve">0948385838</w:t>
            </w:r>
            <w:r>
              <w:rPr>
                <w:sz w:val="22"/>
                <w:szCs w:val="22"/>
              </w:rPr>
              <w:t xml:space="preserve"> </w:t>
            </w:r>
            <w:r>
              <w:rPr>
                <w:sz w:val="22"/>
                <w:szCs w:val="22"/>
              </w:rPr>
              <w:br/>
              <w:t xml:space="preserve">(Tuyên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Vị trí 1</w:t>
            </w:r>
            <w:r>
              <w:rPr>
                <w:color w:val="000000" w:themeColor="text1"/>
                <w:sz w:val="22"/>
                <w:szCs w:val="22"/>
              </w:rPr>
              <w:t xml:space="preserve">, </w:t>
            </w:r>
            <w:r>
              <w:rPr>
                <w:color w:val="000000" w:themeColor="text1"/>
                <w:sz w:val="22"/>
                <w:szCs w:val="22"/>
              </w:rPr>
              <w:t xml:space="preserve">09- Lô A7</w:t>
            </w:r>
            <w:r>
              <w:rPr>
                <w:color w:val="000000" w:themeColor="text1"/>
                <w:sz w:val="22"/>
                <w:szCs w:val="22"/>
              </w:rPr>
              <w:t xml:space="preserve">, Đặc khu Vân Đồn, Tỉnh Quảng Ninh, đường nằm trên trục đường Vân Đồn , độ rộng đường trước mặt tài sản 58m, 21.087583333333335, 107.45308333202367</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120,78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Công trình xây dựng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5 tầng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51214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1332476650" name="" descr=""/>
                              <pic:cNvPicPr/>
                              <pic:nvPr/>
                            </pic:nvPicPr>
                            <pic:blipFill rotWithShape="1">
                              <a:blip r:embed="rId36"/>
                              <a:stretch/>
                            </pic:blipFill>
                            <pic:spPr bwMode="auto">
                              <a:xfrm flipH="0" flipV="0">
                                <a:off x="0" y="0"/>
                                <a:ext cx="551213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34.03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45015"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184501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45.28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08151"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170815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34.50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06578"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370714458" name="" descr=""/>
                              <pic:cNvPicPr/>
                              <pic:nvPr/>
                            </pic:nvPicPr>
                            <pic:blipFill rotWithShape="1">
                              <a:blip r:embed="rId39"/>
                              <a:stretch/>
                            </pic:blipFill>
                            <pic:spPr bwMode="auto">
                              <a:xfrm rot="0" flipH="0" flipV="0">
                                <a:off x="0" y="0"/>
                                <a:ext cx="180657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42.25pt;height:250.00pt;mso-wrap-distance-left:0.00pt;mso-wrap-distance-top:0.00pt;mso-wrap-distance-right:0.00pt;mso-wrap-distance-bottom:0.00pt;rotation:0;z-index:1;" stroked="false">
                      <v:imagedata r:id="rId39"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69290"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flipH="0" flipV="0">
                                <a:off x="0" y="0"/>
                                <a:ext cx="556928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38.53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w:t>
            </w:r>
            <w:r>
              <w:rPr>
                <w:color w:val="000000" w:themeColor="text1"/>
                <w:sz w:val="22"/>
                <w:szCs w:val="22"/>
              </w:rPr>
              <w:t xml:space="preserve">an-shophouse-nha-pho-thuong-mai-duong-58-xa-ha-long-khu-do-thi-ao-tien-van-don/chinh-chu-ban-cap-sieu-ep-o-on-san-khai-thac-uoc-ngay-pr46235379?utm_source=chatgpt.com&amp;&amp;gidzl=vJu_Csz0eXhd8ZqmO5Qd5EWhCJXv0VmIy7KpRdS1gaR_VsTi9GVzIFugP31rKFmR-2usCpI_JAuTQqkY6G</w:t>
            </w:r>
            <w:r>
              <w:rPr>
                <w:color w:val="000000" w:themeColor="text1"/>
                <w:sz w:val="22"/>
                <w:szCs w:val="22"/>
              </w:rPr>
              <w:br/>
            </w:r>
            <w:r>
              <w:rPr>
                <w:sz w:val="22"/>
                <w:szCs w:val="22"/>
              </w:rPr>
              <w:t xml:space="preserve">SĐT: </w:t>
            </w:r>
            <w:r>
              <w:rPr>
                <w:color w:val="000000" w:themeColor="text1"/>
                <w:sz w:val="22"/>
                <w:szCs w:val="22"/>
              </w:rPr>
              <w:t xml:space="preserve">0916555586</w:t>
            </w:r>
            <w:r>
              <w:rPr>
                <w:sz w:val="22"/>
                <w:szCs w:val="22"/>
              </w:rPr>
              <w:t xml:space="preserve"> </w:t>
            </w:r>
            <w:r>
              <w:rPr>
                <w:sz w:val="22"/>
                <w:szCs w:val="22"/>
              </w:rPr>
              <w:br/>
              <w:t xml:space="preserve">(Xuân Hòa</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14.960.000.000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w:t>
            </w:r>
            <w:r>
              <w:rPr>
                <w:sz w:val="22"/>
                <w:szCs w:val="22"/>
              </w:rPr>
            </w:r>
            <w:r>
              <w:rPr>
                <w:sz w:val="22"/>
                <w:szCs w:val="22"/>
              </w:rPr>
            </w:r>
          </w:p>
        </w:tc>
      </w:tr>
      <w:tr>
        <w:trPr>
          <w:trHeight w:val="335"/>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w:t>
            </w:r>
            <w:r>
              <w:rPr>
                <w:color w:val="000000" w:themeColor="text1"/>
                <w:sz w:val="22"/>
                <w:szCs w:val="22"/>
              </w:rPr>
              <w:t xml:space="preserve">Vị trí 1</w:t>
            </w:r>
            <w:r>
              <w:rPr>
                <w:color w:val="000000" w:themeColor="text1"/>
                <w:sz w:val="22"/>
                <w:szCs w:val="22"/>
              </w:rPr>
              <w:t xml:space="preserve">,</w:t>
            </w:r>
            <w:r>
              <w:rPr>
                <w:color w:val="000000" w:themeColor="text1"/>
                <w:sz w:val="22"/>
                <w:szCs w:val="22"/>
              </w:rPr>
              <w:t xml:space="preserve"> 04 và 05- Lô A7</w:t>
            </w:r>
            <w:r>
              <w:rPr>
                <w:color w:val="000000" w:themeColor="text1"/>
                <w:sz w:val="22"/>
                <w:szCs w:val="22"/>
              </w:rPr>
              <w:t xml:space="preserve">, Đặc khu Vân Đồn, Tỉnh Quảng Ninh, đường nằm trên trục đường Vân Đồn, độ rộng đường trước mặt tài sản 58m, 21.087305555556, 107.453</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Công trình xây dựng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5 tầng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578815"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836912530" name="" descr=""/>
                              <pic:cNvPicPr/>
                              <pic:nvPr/>
                            </pic:nvPicPr>
                            <pic:blipFill rotWithShape="1">
                              <a:blip r:embed="rId41"/>
                              <a:stretch/>
                            </pic:blipFill>
                            <pic:spPr bwMode="auto">
                              <a:xfrm flipH="0" flipV="0">
                                <a:off x="0" y="0"/>
                                <a:ext cx="557881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39.28pt;height:250.00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64165"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flipH="0" flipV="0">
                                <a:off x="0" y="0"/>
                                <a:ext cx="266416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209.78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12313" cy="3175000"/>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a:off x="0" y="0"/>
                                <a:ext cx="281231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221.44pt;height:250.00pt;mso-wrap-distance-left:0.00pt;mso-wrap-distance-top:0.00pt;mso-wrap-distance-right:0.00pt;mso-wrap-distance-bottom:0.00pt;z-index:1;" stroked="false">
                      <v:imagedata r:id="rId43"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11401" cy="3175000"/>
                      <wp:effectExtent l="0" t="0" r="0" b="0"/>
                      <wp:docPr id="3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4"/>
                              <a:stretch/>
                            </pic:blipFill>
                            <pic:spPr bwMode="auto">
                              <a:xfrm flipH="0" flipV="0">
                                <a:off x="0" y="0"/>
                                <a:ext cx="5511400"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433.97pt;height:250.00pt;mso-wrap-distance-left:0.00pt;mso-wrap-distance-top:0.00pt;mso-wrap-distance-right:0.00pt;mso-wrap-distance-bottom:0.00pt;z-index:1;" stroked="false">
                      <v:imagedata r:id="rId4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Nguyễn Khánh Hà</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5" w:author="Nguyễn Thị Thùy Dương" w:date="2026-09-23T15:21:18Z" w:initials="NTTD">
    <w:p w14:paraId="00000001" w14:textId="00000001">
      <w:pPr>
        <w:spacing w:line="240" w:after="0" w:lineRule="auto" w:before="0"/>
        <w:ind w:firstLine="0" w:left="0" w:right="0"/>
        <w:jc w:val="left"/>
      </w:pPr>
      <w:r>
        <w:rPr>
          <w:rFonts w:eastAsia="Arial" w:ascii="Arial" w:hAnsi="Arial" w:cs="Arial"/>
          <w:sz w:val="22"/>
        </w:rPr>
        <w:t xml:space="preserve">Bổ sung ảnh đường tiếp giáp. Không nhất thiết phải co vào 6 ảnh. làm 12 ảnh 2 trang ảnh cũng được. Mục tiêu là hình ảnh đầy đủ, thể hiện rõ tài sản thẩm định</w:t>
      </w:r>
    </w:p>
  </w:comment>
  <w:comment w:id="4" w:author="Nguyễn Thị Thùy Dương" w:date="2026-09-23T15:02:33Z" w:initials="NTTD">
    <w:p w14:paraId="00000002" w14:textId="00000002">
      <w:pPr>
        <w:spacing w:line="240" w:after="0" w:lineRule="auto" w:before="0"/>
        <w:ind w:firstLine="0" w:left="0" w:right="0"/>
        <w:jc w:val="left"/>
      </w:pPr>
      <w:r>
        <w:rPr>
          <w:rFonts w:eastAsia="Arial" w:ascii="Arial" w:hAnsi="Arial" w:cs="Arial"/>
          <w:sz w:val="22"/>
        </w:rPr>
        <w:t xml:space="preserve">Thiếu cột tỷ lệ chất lượng còn lại.</w:t>
      </w:r>
    </w:p>
  </w:comment>
  <w:comment w:id="3" w:author="Nguyễn Thị Thùy Dương" w:date="2026-09-23T15:15:36Z" w:initials="NTTD">
    <w:p w14:paraId="00000003" w14:textId="00000003">
      <w:pPr>
        <w:spacing w:line="240" w:after="0" w:lineRule="auto" w:before="0"/>
        <w:ind w:firstLine="0" w:left="0" w:right="0"/>
        <w:jc w:val="left"/>
      </w:pPr>
      <w:r>
        <w:rPr>
          <w:rFonts w:eastAsia="Arial" w:ascii="Arial" w:hAnsi="Arial" w:cs="Arial"/>
          <w:sz w:val="22"/>
        </w:rPr>
        <w:t xml:space="preserve">Kiêm rtra diện tích sàn đã đúng chưa.</w:t>
      </w:r>
    </w:p>
  </w:comment>
  <w:comment w:id="2" w:author="Nguyễn Thị Thùy Dương" w:date="2026-09-23T15:06:16Z" w:initials="NTTD">
    <w:p w14:paraId="00000004" w14:textId="00000004">
      <w:pPr>
        <w:spacing w:line="240" w:after="0" w:lineRule="auto" w:before="0"/>
        <w:ind w:firstLine="0" w:left="0" w:right="0"/>
        <w:jc w:val="left"/>
      </w:pPr>
      <w:r>
        <w:rPr>
          <w:rFonts w:eastAsia="Arial" w:ascii="Arial" w:hAnsi="Arial" w:cs="Arial"/>
          <w:sz w:val="22"/>
        </w:rPr>
        <w:t xml:space="preserve">Phù hợp để ở/kinh doanh</w:t>
      </w:r>
    </w:p>
  </w:comment>
  <w:comment w:id="1" w:author="Nguyễn Thị Thùy Dương" w:date="2026-09-23T15:02:33Z" w:initials="NTTD">
    <w:p w14:paraId="00000005" w14:textId="00000005">
      <w:pPr>
        <w:spacing w:line="240" w:after="0" w:lineRule="auto" w:before="0"/>
        <w:ind w:firstLine="0" w:left="0" w:right="0"/>
        <w:jc w:val="left"/>
      </w:pPr>
      <w:r>
        <w:rPr>
          <w:rFonts w:eastAsia="Arial" w:ascii="Arial" w:hAnsi="Arial" w:cs="Arial"/>
          <w:sz w:val="22"/>
        </w:rPr>
        <w:t xml:space="preserve">Thiếu cột tỷ lệ chất lượng còn lại.</w:t>
      </w:r>
    </w:p>
  </w:comment>
  <w:comment w:id="0" w:author="Nguyễn Thị Thùy Dương" w:date="2026-09-23T15:00:37Z" w:initials="NTTD">
    <w:p w14:paraId="00000006" w14:textId="00000006">
      <w:pPr>
        <w:spacing w:line="240" w:after="0" w:lineRule="auto" w:before="0"/>
        <w:ind w:firstLine="0" w:left="0" w:right="0"/>
        <w:jc w:val="left"/>
      </w:pPr>
      <w:r>
        <w:rPr>
          <w:rFonts w:eastAsia="Arial" w:ascii="Arial" w:hAnsi="Arial" w:cs="Arial"/>
          <w:sz w:val="22"/>
        </w:rPr>
        <w:t xml:space="preserve">tờ bản đồ số: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Ex w15:paraId="00000003" w15:done="0"/>
  <w15:commentEx w15:paraId="00000004" w15:done="0"/>
  <w15:commentEx w15:paraId="00000005" w15:done="0"/>
  <w15:commentEx w15:paraId="0000000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59758CCC" w16cex:dateUtc="2026-09-23T08:21:18Z"/>
  <w16cex:commentExtensible w16cex:durableId="21B70BC6" w16cex:dateUtc="2026-09-23T08:02:33Z"/>
  <w16cex:commentExtensible w16cex:durableId="07BA4DA2" w16cex:dateUtc="2026-09-23T08:15:36Z"/>
  <w16cex:commentExtensible w16cex:durableId="4F5639BD" w16cex:dateUtc="2026-09-23T08:06:16Z"/>
  <w16cex:commentExtensible w16cex:durableId="1EE02CEC" w16cex:dateUtc="2026-09-23T08:02:33Z"/>
  <w16cex:commentExtensible w16cex:durableId="6A5ECC2F" w16cex:dateUtc="2026-09-23T08:00:37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59758CCC"/>
  <w16cid:commentId w16cid:paraId="00000002" w16cid:durableId="21B70BC6"/>
  <w16cid:commentId w16cid:paraId="00000003" w16cid:durableId="07BA4DA2"/>
  <w16cid:commentId w16cid:paraId="00000004" w16cid:durableId="4F5639BD"/>
  <w16cid:commentId w16cid:paraId="00000005" w16cid:durableId="1EE02CEC"/>
  <w16cid:commentId w16cid:paraId="00000006" w16cid:durableId="6A5ECC2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BEC70BA"/>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686ACE4D"/>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9">
    <w:nsid w:val="7A0755B1"/>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0">
    <w:nsid w:val="66773E2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43781F4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jpg"/><Relationship Id="rId42" Type="http://schemas.openxmlformats.org/officeDocument/2006/relationships/image" Target="media/image28.jpg"/><Relationship Id="rId43" Type="http://schemas.openxmlformats.org/officeDocument/2006/relationships/image" Target="media/image29.jpg"/><Relationship Id="rId44" Type="http://schemas.openxmlformats.org/officeDocument/2006/relationships/image" Target="media/image30.jpg"/><Relationship Id="rId45" Type="http://schemas.openxmlformats.org/officeDocument/2006/relationships/comments" Target="comments.xml" /><Relationship Id="rId46" Type="http://schemas.microsoft.com/office/2011/relationships/commentsExtended" Target="commentsExtended.xml" /><Relationship Id="rId47" Type="http://schemas.microsoft.com/office/2018/08/relationships/commentsExtensible" Target="commentsExtensible.xml" /><Relationship Id="rId48" Type="http://schemas.microsoft.com/office/2016/09/relationships/commentsIds" Target="commentsIds.xml" /><Relationship Id="rId49"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Khánh Hà</cp:lastModifiedBy>
  <cp:revision>523</cp:revision>
  <dcterms:created xsi:type="dcterms:W3CDTF">2025-09-15T02:01:00Z</dcterms:created>
  <dcterms:modified xsi:type="dcterms:W3CDTF">2026-09-24T01:48:18Z</dcterms:modified>
</cp:coreProperties>
</file>