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492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492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275/2026/1382/VFI-CT.39.A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w:t>
                            </w:r>
                            <w:r>
                              <w:rPr>
                                <w:rFonts w:ascii="Times New Roman" w:hAnsi="Times New Roman" w:eastAsia="Times New Roman" w:cs="Times New Roman"/>
                                <w:b/>
                                <w:color w:val="000000"/>
                                <w:sz w:val="24"/>
                              </w:rPr>
                              <w:t xml:space="preserve">NGÂN HÀNG NÔNG NGHIỆP VÀ PHÁT TRIỂN NÔNG THÔN VIỆT NAM - CHI NHÁNH HÀ TÂY I</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02, tờ bản đồ số 55 có địa chỉ: Thôn Đại Quang, xã Sơn Đông, Thị xã Sơn Tây, Thành phố Hà Nội (Nay là</w:t>
                            </w:r>
                            <w:r>
                              <w:rPr>
                                <w:color w:val="000000"/>
                              </w:rPr>
                              <w:t xml:space="preserve"> xã Đoài Phương, Thành phố Hà Nội) theo Giấy chứng nhận quyền sử dụng đất quyền sở hữu tài sản gắn liền với đất số: AA 00817008, số vào sổ cấp GCN: CN 772 do Chi nhánh Văn phòng đăng ký đất đai Hà Nội cấp ngày 17/4/2025; Chủ sử dụng đất là Bà Tạ Thị Huyền.</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7.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275/2026/1382/VFI-CT.39.A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w:t>
                      </w:r>
                      <w:r>
                        <w:rPr>
                          <w:rFonts w:ascii="Times New Roman" w:hAnsi="Times New Roman" w:eastAsia="Times New Roman" w:cs="Times New Roman"/>
                          <w:b/>
                          <w:color w:val="000000"/>
                          <w:sz w:val="24"/>
                        </w:rPr>
                        <w:t xml:space="preserve">NGÂN HÀNG NÔNG NGHIỆP VÀ PHÁT TRIỂN NÔNG THÔN VIỆT NAM - CHI NHÁNH HÀ TÂY I</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02, tờ bản đồ số 55 có địa chỉ: Thôn Đại Quang, xã Sơn Đông, Thị xã Sơn Tây, Thành phố Hà Nội (Nay là</w:t>
                      </w:r>
                      <w:r>
                        <w:rPr>
                          <w:color w:val="000000"/>
                        </w:rPr>
                        <w:t xml:space="preserve"> xã Đoài Phương, Thành phố Hà Nội) theo Giấy chứng nhận quyền sử dụng đất quyền sở hữu tài sản gắn liền với đất số: AA 00817008, số vào sổ cấp GCN: CN 772 do Chi nhánh Văn phòng đăng ký đất đai Hà Nội cấp ngày 17/4/2025; Chủ sử dụng đất là Bà Tạ Thị Huyền.</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355" w:type="dxa"/>
        <w:tblBorders/>
        <w:tblLayout w:type="fixed"/>
        <w:tblLook w:val="04A0" w:firstRow="1" w:lastRow="0" w:firstColumn="1" w:lastColumn="0" w:noHBand="0" w:noVBand="1"/>
      </w:tblPr>
      <w:tblGrid>
        <w:gridCol w:w="856"/>
        <w:gridCol w:w="1299"/>
        <w:gridCol w:w="12201"/>
      </w:tblGrid>
      <w:tr>
        <w:trPr>
          <w:trHeight w:val="1152"/>
        </w:trPr>
        <w:tc>
          <w:tcPr>
            <w:gridSpan w:val="2"/>
            <w:tcBorders/>
            <w:tcW w:w="2155"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20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3500" w:type="dxa"/>
            <w:textDirection w:val="lrTb"/>
            <w:noWrap w:val="false"/>
          </w:tcPr>
          <w:p>
            <w:pPr>
              <w:pStyle w:val="1030"/>
              <w:pBdr/>
              <w:spacing w:after="60"/>
              <w:ind/>
              <w:rPr>
                <w:bCs/>
                <w:i/>
                <w:color w:val="000000" w:themeColor="text1"/>
                <w:sz w:val="24"/>
                <w:szCs w:val="24"/>
              </w:rPr>
            </w:pPr>
            <w:r>
              <w:rPr>
                <w:rStyle w:val="1029"/>
                <w:rFonts w:ascii="Times New Roman" w:hAnsi="Times New Roman"/>
                <w:i/>
                <w:iCs/>
                <w:color w:val="000000" w:themeColor="text1"/>
                <w:lang w:val="pt-BR"/>
              </w:rPr>
              <w:t xml:space="preserve">Số: </w:t>
            </w:r>
            <w:r>
              <w:rPr>
                <w:rStyle w:val="1029"/>
                <w:rFonts w:ascii="Times New Roman" w:hAnsi="Times New Roman"/>
                <w:i/>
                <w:iCs/>
                <w:color w:val="000000" w:themeColor="text1"/>
                <w:lang w:val="pt-BR"/>
              </w:rPr>
              <w:t xml:space="preserve">275/2026/1382/VFI-CT.39.A                                       </w:t>
            </w:r>
            <w:r>
              <w:rPr>
                <w:rStyle w:val="1029"/>
                <w:rFonts w:ascii="Times New Roman" w:hAnsi="Times New Roman"/>
                <w:i/>
                <w:color w:val="auto"/>
              </w:rPr>
              <w:t xml:space="preserve">TP. 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7 tháng 9 năm 2026</w:t>
            </w:r>
            <w:r>
              <w:rPr>
                <w:bCs/>
                <w:i/>
                <w:color w:val="000000" w:themeColor="text1"/>
                <w:sz w:val="24"/>
                <w:szCs w:val="24"/>
              </w:rPr>
            </w:r>
            <w:r>
              <w:rPr>
                <w:bCs/>
                <w:i/>
                <w:color w:val="000000" w:themeColor="text1"/>
                <w:sz w:val="24"/>
                <w:szCs w:val="24"/>
              </w:rPr>
            </w:r>
          </w:p>
        </w:tc>
      </w:tr>
    </w:tbl>
    <w:p>
      <w:pPr>
        <w:pStyle w:val="1030"/>
        <w:pBdr/>
        <w:spacing w:after="120" w:before="200" w:line="288" w:lineRule="auto"/>
        <w:ind/>
        <w:jc w:val="center"/>
        <w:rPr>
          <w:rStyle w:val="1029"/>
          <w:rFonts w:ascii="Times New Roman" w:hAnsi="Times New Roman"/>
          <w:b/>
          <w:bCs/>
          <w:color w:val="auto"/>
          <w:sz w:val="30"/>
          <w:szCs w:val="30"/>
          <w:lang w:val="vi-VN"/>
        </w:rPr>
      </w:pPr>
      <w:r>
        <w:rPr>
          <w:rStyle w:val="1029"/>
          <w:rFonts w:ascii="Times New Roman" w:hAnsi="Times New Roman"/>
          <w:b/>
          <w:bCs/>
          <w:color w:val="auto"/>
          <w:sz w:val="30"/>
          <w:szCs w:val="30"/>
          <w:lang w:val="vi-VN"/>
        </w:rPr>
        <w:t xml:space="preserve">CHỨNG THƯ THẨM ĐỊNH GIÁ</w:t>
      </w:r>
      <w:r>
        <w:rPr>
          <w:rStyle w:val="1029"/>
          <w:rFonts w:ascii="Times New Roman" w:hAnsi="Times New Roman"/>
          <w:b/>
          <w:bCs/>
          <w:color w:val="auto"/>
          <w:sz w:val="30"/>
          <w:szCs w:val="30"/>
          <w:lang w:val="vi-VN"/>
        </w:rPr>
      </w:r>
      <w:r>
        <w:rPr>
          <w:rStyle w:val="1029"/>
          <w:rFonts w:ascii="Times New Roman" w:hAnsi="Times New Roman"/>
          <w:b/>
          <w:bCs/>
          <w:color w:val="auto"/>
          <w:sz w:val="30"/>
          <w:szCs w:val="30"/>
          <w:lang w:val="vi-VN"/>
        </w:rPr>
      </w:r>
    </w:p>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b/>
          <w:u w:val="single"/>
          <w:lang w:val="pt-BR"/>
        </w:rPr>
        <w:t xml:space="preserve">Kính gửi</w:t>
      </w:r>
      <w:r>
        <w:rPr>
          <w:b/>
          <w:lang w:val="pt-BR"/>
        </w:rPr>
        <w:t xml:space="preserve">:</w:t>
      </w:r>
      <w:r>
        <w:rPr>
          <w:b/>
          <w:lang w:val="pt-BR"/>
        </w:rPr>
        <w:t xml:space="preserve"> </w:t>
      </w:r>
      <w:r>
        <w:rPr>
          <w:rFonts w:ascii="Times New Roman" w:hAnsi="Times New Roman" w:eastAsia="Times New Roman" w:cs="Times New Roman"/>
          <w:b/>
          <w:color w:val="000000"/>
          <w:sz w:val="24"/>
        </w:rPr>
        <w:t xml:space="preserve">NGÂN HÀNG NÔNG NGHIỆP VÀ PHÁT TRIỂN NÔNG THÔN VIỆT NAM - CHI NHÁNH HÀ TÂY I</w:t>
      </w:r>
      <w:r>
        <w:rPr>
          <w:rFonts w:ascii="Times New Roman" w:hAnsi="Times New Roman" w:eastAsia="Times New Roman" w:cs="Times New Roman"/>
          <w:sz w:val="24"/>
        </w:rPr>
      </w:r>
      <w:r>
        <w:rPr>
          <w:rFonts w:ascii="Times New Roman" w:hAnsi="Times New Roman" w:eastAsia="Times New Roman" w:cs="Times New Roman"/>
          <w:sz w:val="24"/>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275/2026/1382/VFI-HĐTĐ.39.A</w:t>
      </w:r>
      <w:r>
        <w:rPr>
          <w:spacing w:val="-4"/>
          <w:lang w:val="vi-VN"/>
        </w:rPr>
        <w:t xml:space="preserve"> ký ngày </w:t>
      </w:r>
      <w:r>
        <w:rPr>
          <w:color w:val="000000" w:themeColor="text1"/>
          <w:spacing w:val="-4"/>
        </w:rPr>
        <w:t xml:space="preserve">28 tháng 8 năm 2026</w:t>
      </w:r>
      <w:r>
        <w:rPr>
          <w:spacing w:val="-4"/>
          <w:lang w:val="vi-VN"/>
        </w:rPr>
        <w:t xml:space="preserve"> </w:t>
      </w:r>
      <w:r>
        <w:rPr>
          <w:spacing w:val="-4"/>
          <w:lang w:val="vi-VN"/>
        </w:rPr>
        <w:t xml:space="preserve">giữa Ngân hàng Nông nghiệp và Phát triển Nông thôn Việt Nam - Chi nhánh Hà Tây I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275/2026/1382/VFI-BC.39.A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7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NGÂN HÀNG NÔNG NGHIỆP VÀ PHÁT TRIỂN NÔNG THÔN VIỆT NAM - CHI NHÁNH HÀ TÂY 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Mã số thuế</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rFonts w:ascii="Times New Roman" w:hAnsi="Times New Roman" w:eastAsia="Times New Roman" w:cs="Times New Roman"/>
                <w:color w:val="000000"/>
                <w:sz w:val="24"/>
                <w:szCs w:val="24"/>
                <w14:ligatures w14:val="none"/>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14:ligatures w14:val="none"/>
              </w:rPr>
            </w:r>
            <w:r>
              <w:rPr>
                <w:rFonts w:ascii="Times New Roman" w:hAnsi="Times New Roman" w:eastAsia="Times New Roman" w:cs="Times New Roman"/>
                <w:color w:val="000000"/>
                <w:sz w:val="24"/>
                <w:szCs w:val="24"/>
                <w14:ligatures w14:val="non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rFonts w:ascii="Times New Roman" w:hAnsi="Times New Roman" w:eastAsia="Times New Roman" w:cs="Times New Roman"/>
                <w:color w:val="000000"/>
                <w:sz w:val="24"/>
                <w:szCs w:val="24"/>
                <w14:ligatures w14:val="none"/>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0100686174-081</w:t>
            </w:r>
            <w:r>
              <w:rPr>
                <w:rFonts w:ascii="Times New Roman" w:hAnsi="Times New Roman" w:eastAsia="Times New Roman" w:cs="Times New Roman"/>
                <w:color w:val="000000"/>
                <w:sz w:val="24"/>
                <w:szCs w:val="24"/>
                <w14:ligatures w14:val="none"/>
              </w:rPr>
            </w:r>
            <w:r>
              <w:rPr>
                <w:rFonts w:ascii="Times New Roman" w:hAnsi="Times New Roman" w:eastAsia="Times New Roman" w:cs="Times New Roman"/>
                <w:color w:val="000000"/>
                <w:sz w:val="24"/>
                <w:szCs w:val="24"/>
                <w14:ligatures w14:val="non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Đia chỉ</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Số 189 phố Lê Lợi, Phường Sơn Tây, TP Hà Nội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ffffff" w:fill="ffffff"/>
            <w:tcBorders/>
            <w:tcW w:w="1109"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Đại diện</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cW w:w="248"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3643"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Ông Phùng Ngọc Thanh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ffffff" w:fill="ffffff"/>
            <w:tcBorders/>
            <w:tcW w:w="1109"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Chức vụ</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cW w:w="248"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3643"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Phó Giám Đốc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ffffff" w:fill="ffffff"/>
            <w:tcBorders/>
            <w:tcW w:w="1109"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cW w:w="248"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3643"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i/>
                <w:color w:val="000000"/>
                <w:sz w:val="22"/>
              </w:rPr>
              <w:t xml:space="preserve"> (Theo quyết định số:2664/QĐ-NHNo-PC ngày 01/12/2</w:t>
            </w:r>
            <w:r>
              <w:rPr>
                <w:rFonts w:ascii="Times New Roman" w:hAnsi="Times New Roman" w:eastAsia="Times New Roman" w:cs="Times New Roman"/>
                <w:i/>
                <w:color w:val="000000"/>
                <w:sz w:val="22"/>
              </w:rPr>
              <w:t xml:space="preserve">022 của Người đại diện theo pháp luật Ngân hàng Nông nghiệp và Phát triển nông thôn Việt Nam về việc “Ủy quyền thực hiện nhiệm vụ, quyền hạn của người đại diện theo phát luật” và Quyết định số 209/QĐ-NHNo-HTI-HT ngày 08/06/2026 của Giám đốc Ngân hàng Nông </w:t>
            </w:r>
            <w:r>
              <w:rPr>
                <w:rFonts w:ascii="Times New Roman" w:hAnsi="Times New Roman" w:eastAsia="Times New Roman" w:cs="Times New Roman"/>
                <w:i/>
                <w:color w:val="000000"/>
                <w:sz w:val="22"/>
              </w:rPr>
              <w:t xml:space="preserve">nghiệp và Phát triển nông thôn Việt Nam – chi nhánh Hà Tây I về việc ‘Ủy quyền lại thực hiện nhiệm vụ quyền hạn của người đại diện theo pháp luật  và kí kết thực hiện hợp đồng theo thẩm quyền cấp tín dụng” và các văn bản sửa đổi, bổ sung kèm theo (nếu có))</w:t>
            </w:r>
            <w:r>
              <w:rPr>
                <w:rFonts w:ascii="Times New Roman" w:hAnsi="Times New Roman" w:eastAsia="Times New Roman" w:cs="Times New Roman"/>
                <w:sz w:val="24"/>
              </w:rPr>
            </w:r>
            <w:r>
              <w:rPr>
                <w:rFonts w:ascii="Times New Roman" w:hAnsi="Times New Roman" w:eastAsia="Times New Roman" w:cs="Times New Roman"/>
                <w:sz w:val="24"/>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40"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40"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40"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40"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40"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40"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40"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40"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276"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02, tờ bản đồ số 55 có địa chỉ: Thôn Đại Quang, xã Sơn Đông, Thị xã Sơn Tây, Thành phố Hà Nội (Nay là</w:t>
      </w:r>
      <w:r>
        <w:rPr>
          <w:color w:val="000000" w:themeColor="text1"/>
        </w:rPr>
        <w:t xml:space="preserve"> xã Đoài Phương, Thành phố Hà Nội) theo Giấy chứng nhận quyền sử dụng đất quyền sở hữu tài sản gắn liền với đất số: AA 00817008, số vào sổ cấp GCN: CN 772 do Chi nhánh Văn phòng đăng ký đất đai Hà Nội cấp ngày 17/4/2025; Chủ sử dụng đất là Bà Tạ Thị Huyền.</w:t>
      </w:r>
      <w:r>
        <w:rPr>
          <w:b/>
          <w:bCs/>
        </w:rPr>
      </w:r>
      <w:r>
        <w:rPr>
          <w:b/>
          <w:bCs/>
        </w:rPr>
      </w:r>
    </w:p>
    <w:p>
      <w:pPr>
        <w:pBdr/>
        <w:spacing w:after="120" w:before="120" w:line="276"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276"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276"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276"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276"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276"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276"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276"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276"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276"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92"/>
        <w:gridCol w:w="2738"/>
        <w:gridCol w:w="1843"/>
        <w:gridCol w:w="2268"/>
        <w:gridCol w:w="1985"/>
      </w:tblGrid>
      <w:tr>
        <w:trPr>
          <w:trHeight w:val="20"/>
        </w:trPr>
        <w:tc>
          <w:tcPr>
            <w:shd w:val="clear" w:color="000000" w:fill="ffffff"/>
            <w:tcBorders/>
            <w:tcW w:w="692" w:type="dxa"/>
            <w:vAlign w:val="center"/>
            <w:textDirection w:val="lrTb"/>
            <w:noWrap w:val="false"/>
          </w:tcPr>
          <w:p>
            <w:pPr>
              <w:pBdr/>
              <w:spacing w:after="40" w:before="40" w:line="240" w:lineRule="auto"/>
              <w:ind/>
              <w:jc w:val="center"/>
              <w:rPr>
                <w:b/>
                <w:bCs/>
              </w:rPr>
            </w:pPr>
            <w:r>
              <w:rPr>
                <w:b/>
                <w:bCs/>
              </w:rPr>
              <w:t xml:space="preserve">TT</w:t>
            </w:r>
            <w:r>
              <w:rPr>
                <w:b/>
                <w:bCs/>
              </w:rPr>
            </w:r>
            <w:r>
              <w:rPr>
                <w:b/>
                <w:bCs/>
              </w:rPr>
            </w:r>
          </w:p>
        </w:tc>
        <w:tc>
          <w:tcPr>
            <w:shd w:val="clear" w:color="000000" w:fill="ffffff"/>
            <w:tcBorders/>
            <w:tcW w:w="2738" w:type="dxa"/>
            <w:vAlign w:val="center"/>
            <w:textDirection w:val="lrTb"/>
            <w:noWrap w:val="false"/>
          </w:tcPr>
          <w:p>
            <w:pPr>
              <w:pBdr/>
              <w:spacing w:after="40" w:before="40" w:line="240" w:lineRule="auto"/>
              <w:ind/>
              <w:jc w:val="center"/>
              <w:rPr>
                <w:b/>
                <w:bCs/>
              </w:rPr>
            </w:pPr>
            <w:r>
              <w:rPr>
                <w:b/>
                <w:bCs/>
              </w:rPr>
              <w:t xml:space="preserve">Tài sản</w:t>
            </w:r>
            <w:r>
              <w:rPr>
                <w:b/>
                <w:bCs/>
              </w:rPr>
            </w:r>
            <w:r>
              <w:rPr>
                <w:b/>
                <w:bCs/>
              </w:rPr>
            </w:r>
          </w:p>
        </w:tc>
        <w:tc>
          <w:tcPr>
            <w:shd w:val="clear" w:color="000000" w:fill="ffffff"/>
            <w:tcBorders/>
            <w:tcW w:w="1843" w:type="dxa"/>
            <w:vAlign w:val="center"/>
            <w:textDirection w:val="lrTb"/>
            <w:noWrap w:val="false"/>
          </w:tcPr>
          <w:p>
            <w:pPr>
              <w:pBdr/>
              <w:spacing w:after="40" w:before="40" w:line="240" w:lineRule="auto"/>
              <w:ind/>
              <w:jc w:val="center"/>
              <w:rPr>
                <w:b/>
                <w:bCs/>
              </w:rPr>
            </w:pPr>
            <w:r>
              <w:rPr>
                <w:b/>
                <w:bCs/>
              </w:rPr>
              <w:t xml:space="preserve">Diện tích (m²)</w:t>
            </w:r>
            <w:r>
              <w:rPr>
                <w:b/>
                <w:bCs/>
              </w:rPr>
            </w:r>
            <w:r>
              <w:rPr>
                <w:b/>
                <w:bCs/>
              </w:rPr>
            </w:r>
          </w:p>
        </w:tc>
        <w:tc>
          <w:tcPr>
            <w:shd w:val="clear" w:color="000000" w:fill="ffffff"/>
            <w:tcBorders/>
            <w:tcW w:w="2268" w:type="dxa"/>
            <w:vAlign w:val="center"/>
            <w:textDirection w:val="lrTb"/>
            <w:noWrap w:val="false"/>
          </w:tcPr>
          <w:p>
            <w:pPr>
              <w:pBdr/>
              <w:spacing w:after="40" w:before="40" w:line="240" w:lineRule="auto"/>
              <w:ind/>
              <w:jc w:val="center"/>
              <w:rPr>
                <w:b/>
                <w:bCs/>
              </w:rPr>
            </w:pPr>
            <w:r>
              <w:rPr>
                <w:b/>
                <w:bCs/>
              </w:rPr>
              <w:t xml:space="preserve">Đơn giá (đồng/m²)</w:t>
            </w:r>
            <w:r>
              <w:rPr>
                <w:b/>
                <w:bCs/>
              </w:rPr>
            </w:r>
            <w:r>
              <w:rPr>
                <w:b/>
                <w:bCs/>
              </w:rPr>
            </w:r>
          </w:p>
        </w:tc>
        <w:tc>
          <w:tcPr>
            <w:shd w:val="clear" w:color="000000" w:fill="ffffff"/>
            <w:tcBorders/>
            <w:tcW w:w="1985" w:type="dxa"/>
            <w:vAlign w:val="center"/>
            <w:textDirection w:val="lrTb"/>
            <w:noWrap w:val="false"/>
          </w:tcPr>
          <w:p>
            <w:pPr>
              <w:pBdr/>
              <w:spacing w:after="40" w:before="40" w:line="240"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40" w:lineRule="auto"/>
              <w:ind/>
              <w:jc w:val="center"/>
              <w:rPr>
                <w:b/>
                <w:bCs/>
              </w:rPr>
            </w:pPr>
            <w:r>
              <w:rPr>
                <w:b/>
                <w:bCs/>
              </w:rPr>
              <w:t xml:space="preserve"> </w:t>
            </w:r>
            <w:r>
              <w:rPr>
                <w:b/>
                <w:bCs/>
              </w:rPr>
            </w:r>
            <w:r>
              <w:rPr>
                <w:b/>
                <w:bCs/>
              </w:rPr>
            </w:r>
          </w:p>
        </w:tc>
        <w:tc>
          <w:tcPr>
            <w:gridSpan w:val="3"/>
            <w:shd w:val="clear" w:color="000000" w:fill="ffffff"/>
            <w:tcBorders/>
            <w:tcW w:w="6848" w:type="dxa"/>
            <w:vAlign w:val="center"/>
            <w:textDirection w:val="lrTb"/>
            <w:noWrap w:val="false"/>
          </w:tcPr>
          <w:p>
            <w:pPr>
              <w:pBdr/>
              <w:spacing w:after="40" w:before="40" w:line="240" w:lineRule="auto"/>
              <w:ind/>
              <w:jc w:val="both"/>
              <w:rPr>
                <w:b/>
                <w:bCs/>
              </w:rPr>
            </w:pPr>
            <w:r>
              <w:rPr>
                <w:b/>
                <w:bCs/>
                <w:color w:val="000000"/>
              </w:rPr>
              <w:t xml:space="preserve">Quyền sử dụng đất tại thửa đất số: 02, tờ bản đồ số 55 có địa chỉ: Thôn Đại Quang, xã Sơn Đông, Thị xã Sơn Tây, Thành phố Hà Nội (Nay là</w:t>
            </w:r>
            <w:r>
              <w:rPr>
                <w:b/>
                <w:bCs/>
                <w:color w:val="000000"/>
              </w:rPr>
              <w:t xml:space="preserve"> xã Đoài Phương, Thành phố Hà Nội) theo Giấy chứng nhận quyền sử dụng đất quyền sở hữu tài sản gắn liền với đất số: AA 00817008, số vào sổ cấp GCN: CN 772 do Chi nhánh Văn phòng đăng ký đất đai Hà Nội cấp ngày 17/4/2025; Chủ sử dụng đất là Bà Tạ Thị Huyền.</w:t>
            </w:r>
            <w:r>
              <w:rPr>
                <w:b/>
                <w:bCs/>
              </w:rPr>
              <w:t xml:space="preserve">.</w:t>
            </w:r>
            <w:r>
              <w:rPr>
                <w:b/>
                <w:bCs/>
              </w:rPr>
            </w:r>
            <w:r>
              <w:rPr>
                <w:b/>
                <w:bCs/>
              </w:rPr>
            </w:r>
          </w:p>
        </w:tc>
        <w:tc>
          <w:tcPr>
            <w:shd w:val="clear" w:color="000000" w:fill="ffffff"/>
            <w:tcBorders/>
            <w:tcW w:w="1985" w:type="dxa"/>
            <w:vAlign w:val="center"/>
            <w:textDirection w:val="lrTb"/>
            <w:noWrap w:val="false"/>
          </w:tcPr>
          <w:p>
            <w:pPr>
              <w:pBdr/>
              <w:spacing w:after="40" w:before="40" w:line="240" w:lineRule="auto"/>
              <w:ind/>
              <w:jc w:val="right"/>
              <w:rPr>
                <w:b/>
                <w:bCs/>
              </w:rPr>
            </w:pPr>
            <w:r>
              <w:rPr>
                <w:b/>
                <w:bCs/>
              </w:rPr>
              <w:t xml:space="preserve"> </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40" w:lineRule="auto"/>
              <w:ind/>
              <w:jc w:val="center"/>
              <w:rPr/>
            </w:pPr>
            <w:r>
              <w:rPr>
                <w:b/>
                <w:bCs/>
              </w:rPr>
              <w:t xml:space="preserve">1</w:t>
            </w:r>
            <w:r/>
          </w:p>
        </w:tc>
        <w:tc>
          <w:tcPr>
            <w:shd w:val="clear" w:color="000000" w:fill="ffffff"/>
            <w:tcBorders/>
            <w:tcW w:w="2738" w:type="dxa"/>
            <w:vAlign w:val="center"/>
            <w:textDirection w:val="lrTb"/>
            <w:noWrap w:val="false"/>
          </w:tcPr>
          <w:p>
            <w:pPr>
              <w:pBdr/>
              <w:spacing w:after="40" w:before="40" w:line="240" w:lineRule="auto"/>
              <w:ind/>
              <w:rPr>
                <w:b w:val="0"/>
                <w:bCs w:val="0"/>
              </w:rPr>
            </w:pPr>
            <w:r>
              <w:rPr>
                <w:b w:val="0"/>
                <w:bCs w:val="0"/>
              </w:rPr>
              <w:t xml:space="preserve">Quyền sử dụng đất nằm ngoài quy hoạch</w:t>
            </w:r>
            <w:r>
              <w:rPr>
                <w:b w:val="0"/>
                <w:bCs w:val="0"/>
              </w:rPr>
            </w:r>
            <w:r>
              <w:rPr>
                <w:b w:val="0"/>
                <w:bCs w:val="0"/>
              </w:rPr>
            </w:r>
          </w:p>
        </w:tc>
        <w:tc>
          <w:tcPr>
            <w:tcBorders/>
            <w:tcW w:w="1843" w:type="dxa"/>
            <w:vAlign w:val="center"/>
            <w:textDirection w:val="lrTb"/>
            <w:noWrap/>
          </w:tcPr>
          <w:p>
            <w:pPr>
              <w:pBdr/>
              <w:spacing w:after="40" w:before="40" w:line="240" w:lineRule="auto"/>
              <w:ind/>
              <w:jc w:val="center"/>
              <w:rPr>
                <w:color w:val="000000"/>
              </w:rPr>
            </w:pPr>
            <w:r>
              <w:rPr>
                <w:color w:val="000000" w:themeColor="text1"/>
              </w:rPr>
              <w:t xml:space="preserve">190</w:t>
            </w:r>
            <w:r>
              <w:rPr>
                <w:color w:val="000000"/>
              </w:rPr>
            </w:r>
            <w:r>
              <w:rPr>
                <w:color w:val="000000"/>
              </w:rPr>
            </w:r>
          </w:p>
        </w:tc>
        <w:tc>
          <w:tcPr>
            <w:shd w:val="clear" w:color="000000" w:fill="ffffff"/>
            <w:tcBorders/>
            <w:tcW w:w="2268" w:type="dxa"/>
            <w:vAlign w:val="center"/>
            <w:textDirection w:val="lrTb"/>
            <w:noWrap w:val="false"/>
          </w:tcPr>
          <w:p>
            <w:pPr>
              <w:pBdr/>
              <w:spacing w:after="40" w:before="40" w:line="240" w:lineRule="auto"/>
              <w:ind/>
              <w:jc w:val="center"/>
              <w:rPr/>
            </w:pPr>
            <w:r>
              <w:rPr>
                <w:color w:val="000000" w:themeColor="text1"/>
              </w:rPr>
              <w:t xml:space="preserve">41.000.000</w:t>
            </w:r>
            <w:r/>
          </w:p>
        </w:tc>
        <w:tc>
          <w:tcPr>
            <w:shd w:val="clear" w:color="000000" w:fill="ffffff"/>
            <w:tcBorders/>
            <w:tcW w:w="1985" w:type="dxa"/>
            <w:vAlign w:val="center"/>
            <w:textDirection w:val="lrTb"/>
            <w:noWrap w:val="false"/>
          </w:tcPr>
          <w:p>
            <w:pPr>
              <w:pBdr/>
              <w:spacing w:after="40" w:before="40" w:line="240" w:lineRule="auto"/>
              <w:ind/>
              <w:jc w:val="center"/>
              <w:rPr>
                <w:color w:val="000000" w:themeColor="text1"/>
                <w14:ligatures w14:val="none"/>
              </w:rPr>
            </w:pPr>
            <w:r>
              <w:rPr>
                <w:color w:val="000000" w:themeColor="text1"/>
              </w:rPr>
              <w:t xml:space="preserve">7.790.000.000</w:t>
            </w:r>
            <w:r>
              <w:rPr>
                <w:color w:val="000000" w:themeColor="text1"/>
                <w14:ligatures w14:val="none"/>
              </w:rPr>
            </w:r>
            <w:r>
              <w:rPr>
                <w:color w:val="000000" w:themeColor="text1"/>
                <w14:ligatures w14:val="none"/>
              </w:rPr>
            </w:r>
          </w:p>
        </w:tc>
      </w:tr>
      <w:tr>
        <w:trPr>
          <w:trHeight w:val="20"/>
        </w:trPr>
        <w:tc>
          <w:tcPr>
            <w:shd w:val="clear" w:color="000000" w:fill="ffffff"/>
            <w:tcBorders/>
            <w:tcW w:w="692" w:type="dxa"/>
            <w:vAlign w:val="center"/>
            <w:vMerge w:val="restart"/>
            <w:textDirection w:val="lrTb"/>
            <w:noWrap w:val="false"/>
          </w:tcPr>
          <w:p>
            <w:pPr>
              <w:pBdr/>
              <w:spacing w:after="40" w:before="40" w:line="240" w:lineRule="auto"/>
              <w:ind/>
              <w:jc w:val="center"/>
              <w:rPr>
                <w:b/>
                <w:bCs/>
              </w:rPr>
            </w:pPr>
            <w:r>
              <w:rPr>
                <w:b/>
                <w:bCs/>
              </w:rPr>
              <w:t xml:space="preserve">2</w:t>
            </w:r>
            <w:r>
              <w:rPr>
                <w:b/>
                <w:bCs/>
              </w:rPr>
            </w:r>
            <w:r>
              <w:rPr>
                <w:b/>
                <w:bCs/>
              </w:rPr>
            </w:r>
          </w:p>
        </w:tc>
        <w:tc>
          <w:tcPr>
            <w:shd w:val="clear" w:color="000000" w:fill="ffffff"/>
            <w:tcBorders/>
            <w:tcW w:w="2738" w:type="dxa"/>
            <w:vAlign w:val="center"/>
            <w:vMerge w:val="restart"/>
            <w:textDirection w:val="lrTb"/>
            <w:noWrap w:val="false"/>
          </w:tcPr>
          <w:p>
            <w:pPr>
              <w:pBdr/>
              <w:spacing w:after="40" w:before="40" w:line="240" w:lineRule="auto"/>
              <w:ind/>
              <w:rPr>
                <w:b w:val="0"/>
                <w:bCs w:val="0"/>
              </w:rPr>
            </w:pPr>
            <w:r>
              <w:rPr>
                <w:b w:val="0"/>
                <w:bCs w:val="0"/>
              </w:rPr>
              <w:t xml:space="preserve">Quyền sử dụng đất nằm trong quy hoạch</w:t>
            </w:r>
            <w:r>
              <w:rPr>
                <w:b w:val="0"/>
                <w:bCs w:val="0"/>
              </w:rPr>
            </w:r>
            <w:r>
              <w:rPr>
                <w:b w:val="0"/>
                <w:bCs w:val="0"/>
              </w:rPr>
            </w:r>
          </w:p>
        </w:tc>
        <w:tc>
          <w:tcPr>
            <w:tcBorders/>
            <w:tcW w:w="1843" w:type="dxa"/>
            <w:vAlign w:val="center"/>
            <w:vMerge w:val="restart"/>
            <w:textDirection w:val="lrTb"/>
            <w:noWrap/>
          </w:tcPr>
          <w:p>
            <w:pPr>
              <w:pBdr/>
              <w:spacing w:after="40" w:before="40" w:line="240" w:lineRule="auto"/>
              <w:ind/>
              <w:jc w:val="center"/>
              <w:rPr>
                <w:color w:val="000000" w:themeColor="text1"/>
              </w:rPr>
            </w:pPr>
            <w:r>
              <w:rPr>
                <w:color w:val="000000" w:themeColor="text1"/>
              </w:rPr>
              <w:t xml:space="preserve">30,5</w:t>
            </w:r>
            <w:r>
              <w:rPr>
                <w:color w:val="000000" w:themeColor="text1"/>
              </w:rPr>
            </w:r>
            <w:r>
              <w:rPr>
                <w:color w:val="000000" w:themeColor="text1"/>
              </w:rPr>
            </w:r>
          </w:p>
        </w:tc>
        <w:tc>
          <w:tcPr>
            <w:shd w:val="clear" w:color="000000" w:fill="ffffff"/>
            <w:tcBorders/>
            <w:tcW w:w="2268" w:type="dxa"/>
            <w:vAlign w:val="center"/>
            <w:vMerge w:val="restart"/>
            <w:textDirection w:val="lrTb"/>
            <w:noWrap w:val="false"/>
          </w:tcPr>
          <w:p>
            <w:pPr>
              <w:pBdr/>
              <w:spacing w:after="40" w:before="40" w:line="240" w:lineRule="auto"/>
              <w:ind/>
              <w:jc w:val="center"/>
              <w:rPr>
                <w:color w:val="000000" w:themeColor="text1"/>
              </w:rPr>
            </w:pPr>
            <w:r>
              <w:rPr>
                <w:color w:val="000000" w:themeColor="text1"/>
              </w:rPr>
            </w:r>
            <w:r>
              <w:rPr>
                <w:b w:val="0"/>
                <w:bCs w:val="0"/>
                <w:lang w:val="pt-BR"/>
              </w:rPr>
              <w:t xml:space="preserve">11.021.000</w:t>
            </w:r>
            <w:r>
              <w:rPr>
                <w:color w:val="000000" w:themeColor="text1"/>
              </w:rPr>
            </w:r>
            <w:r>
              <w:rPr>
                <w:color w:val="000000" w:themeColor="text1"/>
              </w:rPr>
            </w:r>
          </w:p>
        </w:tc>
        <w:tc>
          <w:tcPr>
            <w:shd w:val="clear" w:color="000000" w:fill="ffffff"/>
            <w:tcBorders/>
            <w:tcW w:w="1985" w:type="dxa"/>
            <w:vAlign w:val="center"/>
            <w:vMerge w:val="restart"/>
            <w:textDirection w:val="lrTb"/>
            <w:noWrap w:val="false"/>
          </w:tcPr>
          <w:p>
            <w:pPr>
              <w:pBdr/>
              <w:spacing w:after="40" w:before="40" w:line="240" w:lineRule="auto"/>
              <w:ind/>
              <w:jc w:val="center"/>
              <w:rPr>
                <w:color w:val="000000" w:themeColor="text1"/>
                <w14:ligatures w14:val="none"/>
              </w:rPr>
            </w:pPr>
            <w:r>
              <w:rPr>
                <w:color w:val="000000" w:themeColor="text1"/>
              </w:rPr>
              <w:t xml:space="preserve">336.140.500</w:t>
            </w:r>
            <w:r>
              <w:rPr>
                <w:color w:val="000000" w:themeColor="text1"/>
                <w14:ligatures w14:val="none"/>
              </w:rPr>
            </w:r>
            <w:r>
              <w:rPr>
                <w:color w:val="000000" w:themeColor="text1"/>
                <w14:ligatures w14:val="none"/>
              </w:rPr>
            </w:r>
          </w:p>
        </w:tc>
      </w:tr>
      <w:tr>
        <w:trPr>
          <w:trHeight w:val="20"/>
        </w:trPr>
        <w:tc>
          <w:tcPr>
            <w:gridSpan w:val="4"/>
            <w:tcBorders/>
            <w:tcW w:w="7540" w:type="dxa"/>
            <w:vAlign w:val="center"/>
            <w:textDirection w:val="lrTb"/>
            <w:noWrap/>
          </w:tcPr>
          <w:p>
            <w:pPr>
              <w:pBdr/>
              <w:spacing w:after="40" w:before="40" w:line="240" w:lineRule="auto"/>
              <w:ind/>
              <w:jc w:val="center"/>
              <w:rPr>
                <w:b/>
                <w:bCs/>
                <w:color w:val="000000"/>
              </w:rPr>
            </w:pPr>
            <w:r>
              <w:rPr>
                <w:b/>
                <w:bCs/>
                <w:color w:val="000000"/>
              </w:rPr>
              <w:t xml:space="preserve">TỔNG CỘNG</w:t>
            </w:r>
            <w:r>
              <w:rPr>
                <w:b/>
                <w:bCs/>
                <w:color w:val="000000"/>
              </w:rPr>
            </w:r>
            <w:r>
              <w:rPr>
                <w:b/>
                <w:bCs/>
                <w:color w:val="000000"/>
              </w:rPr>
            </w:r>
          </w:p>
        </w:tc>
        <w:tc>
          <w:tcPr>
            <w:tcBorders/>
            <w:tcW w:w="1985" w:type="dxa"/>
            <w:vAlign w:val="center"/>
            <w:textDirection w:val="lrTb"/>
            <w:noWrap/>
          </w:tcPr>
          <w:p>
            <w:pPr>
              <w:pBdr/>
              <w:spacing w:after="0" w:before="0" w:line="240" w:lineRule="auto"/>
              <w:ind/>
              <w:jc w:val="center"/>
              <w:rPr>
                <w:b/>
                <w:bCs/>
              </w:rPr>
            </w:pPr>
            <w:r>
              <w:rPr>
                <w:rFonts w:ascii="Times New Roman" w:hAnsi="Times New Roman" w:eastAsia="Times New Roman" w:cs="Times New Roman"/>
                <w:b/>
                <w:bCs/>
                <w:color w:val="000000"/>
                <w:sz w:val="24"/>
              </w:rPr>
              <w:t xml:space="preserve">8.126.140.500</w:t>
            </w:r>
            <w:r>
              <w:rPr>
                <w:b/>
                <w:bCs/>
              </w:rPr>
            </w:r>
            <w:r>
              <w:rPr>
                <w:b/>
                <w:bCs/>
              </w:rPr>
            </w:r>
          </w:p>
        </w:tc>
      </w:tr>
      <w:tr>
        <w:trPr>
          <w:trHeight w:val="20"/>
        </w:trPr>
        <w:tc>
          <w:tcPr>
            <w:gridSpan w:val="4"/>
            <w:tcBorders/>
            <w:tcW w:w="7540" w:type="dxa"/>
            <w:vAlign w:val="center"/>
            <w:textDirection w:val="lrTb"/>
            <w:noWrap/>
          </w:tcPr>
          <w:p>
            <w:pPr>
              <w:pBdr/>
              <w:spacing w:after="40" w:before="40" w:line="240" w:lineRule="auto"/>
              <w:ind/>
              <w:jc w:val="center"/>
              <w:rPr>
                <w:b/>
                <w:bCs/>
                <w:color w:val="000000"/>
              </w:rPr>
            </w:pPr>
            <w:r>
              <w:rPr>
                <w:b/>
                <w:bCs/>
                <w:color w:val="000000"/>
              </w:rPr>
              <w:t xml:space="preserve">LÀM TRÒN</w:t>
            </w:r>
            <w:r>
              <w:rPr>
                <w:b/>
                <w:bCs/>
                <w:color w:val="000000"/>
              </w:rPr>
            </w:r>
            <w:r>
              <w:rPr>
                <w:b/>
                <w:bCs/>
                <w:color w:val="000000"/>
              </w:rPr>
            </w:r>
          </w:p>
        </w:tc>
        <w:tc>
          <w:tcPr>
            <w:tcBorders/>
            <w:tcW w:w="1985" w:type="dxa"/>
            <w:vAlign w:val="center"/>
            <w:textDirection w:val="lrTb"/>
            <w:noWrap/>
          </w:tcPr>
          <w:p>
            <w:pPr>
              <w:pBdr/>
              <w:spacing w:after="0" w:before="0" w:line="240" w:lineRule="auto"/>
              <w:ind/>
              <w:jc w:val="center"/>
              <w:rPr>
                <w:b/>
                <w:bCs/>
              </w:rPr>
            </w:pPr>
            <w:r>
              <w:rPr>
                <w:rFonts w:ascii="Times New Roman" w:hAnsi="Times New Roman" w:eastAsia="Times New Roman" w:cs="Times New Roman"/>
                <w:b/>
                <w:bCs/>
                <w:color w:val="000000"/>
                <w:sz w:val="24"/>
              </w:rPr>
              <w:t xml:space="preserve">8.126.000.000</w:t>
            </w:r>
            <w:r>
              <w:rPr>
                <w:b/>
                <w:bCs/>
              </w:rPr>
            </w:r>
            <w:r>
              <w:rPr>
                <w:b/>
                <w:bCs/>
              </w:rPr>
            </w:r>
          </w:p>
        </w:tc>
      </w:tr>
      <w:tr>
        <w:trPr>
          <w:trHeight w:val="20"/>
        </w:trPr>
        <w:tc>
          <w:tcPr>
            <w:gridSpan w:val="5"/>
            <w:tcBorders/>
            <w:tcW w:w="9525" w:type="dxa"/>
            <w:vAlign w:val="center"/>
            <w:textDirection w:val="lrTb"/>
            <w:noWrap w:val="false"/>
          </w:tcPr>
          <w:p>
            <w:pPr>
              <w:pBdr/>
              <w:spacing w:after="40" w:before="40" w:line="240" w:lineRule="auto"/>
              <w:ind/>
              <w:jc w:val="center"/>
              <w:rPr>
                <w:b/>
                <w:bCs/>
                <w:i/>
                <w:iCs/>
                <w:color w:val="000000"/>
              </w:rPr>
            </w:pPr>
            <w:r>
              <w:rPr>
                <w:b/>
                <w:bCs/>
                <w:i/>
                <w:iCs/>
                <w:color w:val="000000"/>
              </w:rPr>
              <w:t xml:space="preserve">(Bằng chữ: </w:t>
            </w:r>
            <w:r>
              <w:rPr>
                <w:b/>
                <w:bCs/>
                <w:i/>
                <w:iCs/>
                <w:color w:val="000000"/>
              </w:rPr>
              <w:t xml:space="preserve">Tám tỷ, một trăm hai mươi sáu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0"/>
              <w:pBdr/>
              <w:spacing w:after="60"/>
              <w:ind/>
              <w:rPr>
                <w:bCs/>
                <w:i/>
                <w:color w:val="000000" w:themeColor="text1"/>
                <w:sz w:val="24"/>
                <w:szCs w:val="24"/>
              </w:rPr>
            </w:pPr>
            <w:r>
              <w:rPr>
                <w:rStyle w:val="1029"/>
                <w:rFonts w:ascii="Times New Roman" w:hAnsi="Times New Roman"/>
                <w:i/>
                <w:iCs/>
                <w:color w:val="000000" w:themeColor="text1"/>
                <w:lang w:val="pt-BR"/>
              </w:rPr>
              <w:t xml:space="preserve">Số: </w:t>
            </w:r>
            <w:r>
              <w:rPr>
                <w:rStyle w:val="1029"/>
                <w:rFonts w:ascii="Times New Roman" w:hAnsi="Times New Roman"/>
                <w:i/>
                <w:iCs/>
                <w:color w:val="000000" w:themeColor="text1"/>
                <w:lang w:val="pt-BR"/>
              </w:rPr>
              <w:t xml:space="preserve">275/2026/1382/VFI-BC.39.A</w:t>
            </w:r>
            <w:r>
              <w:rPr>
                <w:bCs/>
                <w:i/>
                <w:color w:val="000000" w:themeColor="text1"/>
                <w:sz w:val="24"/>
                <w:szCs w:val="24"/>
              </w:rPr>
            </w:r>
            <w:r>
              <w:rPr>
                <w:bCs/>
                <w:i/>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30"/>
              <w:pBdr/>
              <w:spacing w:after="60"/>
              <w:ind w:right="-56"/>
              <w:jc w:val="right"/>
              <w:rPr>
                <w:color w:val="000000" w:themeColor="text1"/>
                <w:sz w:val="24"/>
                <w:szCs w:val="24"/>
                <w:lang w:val="vi-VN"/>
              </w:rPr>
            </w:pPr>
            <w:r>
              <w:rPr>
                <w:rStyle w:val="1029"/>
                <w:rFonts w:ascii="Times New Roman" w:hAnsi="Times New Roman"/>
                <w:i/>
                <w:color w:val="auto"/>
              </w:rPr>
              <w:t xml:space="preserve">TP. 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7 tháng 9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0"/>
              <w:pBdr/>
              <w:spacing w:after="60"/>
              <w:ind/>
              <w:rPr>
                <w:rStyle w:val="1029"/>
                <w:rFonts w:ascii="Times New Roman" w:hAnsi="Times New Roman"/>
                <w:color w:val="000000" w:themeColor="text1"/>
                <w:lang w:val="pt-BR"/>
              </w:rPr>
            </w:pPr>
            <w:r>
              <w:rPr>
                <w:rStyle w:val="1029"/>
                <w:rFonts w:ascii="Times New Roman" w:hAnsi="Times New Roman"/>
                <w:color w:val="000000" w:themeColor="text1"/>
                <w:lang w:val="pt-BR"/>
              </w:rPr>
            </w:r>
            <w:r>
              <w:rPr>
                <w:rStyle w:val="1029"/>
                <w:rFonts w:ascii="Times New Roman" w:hAnsi="Times New Roman"/>
                <w:color w:val="000000" w:themeColor="text1"/>
                <w:lang w:val="pt-BR"/>
              </w:rPr>
            </w:r>
            <w:r>
              <w:rPr>
                <w:rStyle w:val="1029"/>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30"/>
              <w:pBdr/>
              <w:spacing w:after="60"/>
              <w:ind w:right="-56"/>
              <w:rPr>
                <w:rStyle w:val="1029"/>
                <w:rFonts w:ascii="Times New Roman" w:hAnsi="Times New Roman"/>
                <w:i/>
                <w:color w:val="auto"/>
              </w:rPr>
            </w:pPr>
            <w:r>
              <w:rPr>
                <w:rFonts w:ascii="Times New Roman" w:hAnsi="Times New Roman"/>
                <w:i/>
                <w:color w:val="auto"/>
              </w:rPr>
            </w:r>
            <w:r>
              <w:rPr>
                <w:rStyle w:val="1029"/>
                <w:rFonts w:ascii="Times New Roman" w:hAnsi="Times New Roman"/>
                <w:i/>
                <w:color w:val="auto"/>
              </w:rPr>
            </w:r>
            <w:r>
              <w:rPr>
                <w:rStyle w:val="1029"/>
                <w:rFonts w:ascii="Times New Roman" w:hAnsi="Times New Roman"/>
                <w:i/>
                <w:color w:val="auto"/>
              </w:rPr>
            </w:r>
          </w:p>
        </w:tc>
      </w:tr>
    </w:tbl>
    <w:p>
      <w:pPr>
        <w:pStyle w:val="1030"/>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275/2026/1382/VFI-CT.39.A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7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rFonts w:ascii="Times New Roman" w:hAnsi="Times New Roman" w:eastAsia="Times New Roman" w:cs="Times New Roman"/>
                <w:b/>
                <w:bCs/>
                <w:color w:val="000000"/>
                <w:sz w:val="24"/>
                <w:szCs w:val="24"/>
                <w14:ligatures w14:val="none"/>
              </w:rPr>
            </w:pP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t xml:space="preserve">CÔNG TY TNHH THƯƠNG MẠI THỰC PHẨM PHƯƠNG HUYỀN</w:t>
            </w:r>
            <w:r>
              <w:rPr>
                <w:rFonts w:ascii="Times New Roman" w:hAnsi="Times New Roman" w:eastAsia="Times New Roman" w:cs="Times New Roman"/>
                <w:b/>
                <w:bCs/>
                <w:color w:val="000000"/>
                <w:sz w:val="24"/>
                <w:szCs w:val="24"/>
                <w14:ligatures w14:val="none"/>
              </w:rPr>
            </w:r>
            <w:r>
              <w:rPr>
                <w:rFonts w:ascii="Times New Roman" w:hAnsi="Times New Roman" w:eastAsia="Times New Roman" w:cs="Times New Roman"/>
                <w:b/>
                <w:bCs/>
                <w:color w:val="000000"/>
                <w:sz w:val="24"/>
                <w:szCs w:val="24"/>
                <w14:ligatures w14:val="non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rFonts w:ascii="Times New Roman" w:hAnsi="Times New Roman" w:eastAsia="Times New Roman" w:cs="Times New Roman"/>
                <w:color w:val="000000"/>
                <w:sz w:val="24"/>
                <w:szCs w:val="24"/>
                <w14:ligatures w14:val="none"/>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0108617849 </w:t>
            </w:r>
            <w:r>
              <w:rPr>
                <w:rFonts w:ascii="Times New Roman" w:hAnsi="Times New Roman" w:eastAsia="Times New Roman" w:cs="Times New Roman"/>
                <w:color w:val="000000"/>
                <w:sz w:val="24"/>
                <w:szCs w:val="24"/>
                <w14:ligatures w14:val="none"/>
              </w:rPr>
            </w:r>
            <w:r>
              <w:rPr>
                <w:rFonts w:ascii="Times New Roman" w:hAnsi="Times New Roman" w:eastAsia="Times New Roman" w:cs="Times New Roman"/>
                <w:color w:val="000000"/>
                <w:sz w:val="24"/>
                <w:szCs w:val="24"/>
                <w14:ligatures w14:val="non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rFonts w:ascii="Times New Roman" w:hAnsi="Times New Roman" w:eastAsia="Times New Roman" w:cs="Times New Roman"/>
                <w:color w:val="000000"/>
                <w:sz w:val="24"/>
                <w:szCs w:val="24"/>
                <w14:ligatures w14:val="none"/>
              </w:rPr>
            </w:pPr>
            <w:r>
              <w:rPr>
                <w:rFonts w:ascii="Times New Roman" w:hAnsi="Times New Roman" w:eastAsia="Times New Roman" w:cs="Times New Roman"/>
                <w:color w:val="000000"/>
                <w:sz w:val="24"/>
                <w:szCs w:val="24"/>
              </w:rPr>
              <w:t xml:space="preserve">Thôn</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Bắc  Kiên, xã Đoài Phương, Thành phố Hà Nội</w:t>
            </w:r>
            <w:r>
              <w:rPr>
                <w:rFonts w:ascii="Times New Roman" w:hAnsi="Times New Roman" w:eastAsia="Times New Roman" w:cs="Times New Roman"/>
                <w:color w:val="000000"/>
                <w:sz w:val="24"/>
                <w:szCs w:val="24"/>
                <w14:ligatures w14:val="none"/>
              </w:rPr>
            </w:r>
            <w:r>
              <w:rPr>
                <w:rFonts w:ascii="Times New Roman" w:hAnsi="Times New Roman" w:eastAsia="Times New Roman" w:cs="Times New Roman"/>
                <w:color w:val="000000"/>
                <w:sz w:val="24"/>
                <w:szCs w:val="24"/>
                <w14:ligatures w14:val="none"/>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02, tờ bản đồ số 55 có địa chỉ: Thôn Đại Quang, xã Sơn Đông, Thị xã Sơn Tây, Thành phố Hà Nội (Nay là</w:t>
            </w:r>
            <w:r>
              <w:rPr>
                <w:bCs/>
                <w:color w:val="000000" w:themeColor="text1"/>
                <w:lang w:val="pt-BR"/>
              </w:rPr>
              <w:t xml:space="preserve"> xã Đoài Phương, Thành phố Hà Nội) theo Giấy chứng nhận quyền sử dụng đất quyền sở hữu tài sản gắn liền với đất số: AA 00817008, số vào sổ cấp GCN: CN 772 do Chi nhánh Văn phòng đăng ký đất đai Hà Nội cấp ngày 17/4/2025; Chủ sử dụng đất là Bà Tạ Thị Huyền.</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Thôn Đại Quang, xã Sơn Đông, Thị xã Sơn Tây, Thành phố Hà Nội (Nay là xã Đoài Phương,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1"/>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21.081194444444, 105.51661111111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28/8/2026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1"/>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1"/>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1"/>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1"/>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1"/>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31"/>
        <w:numPr>
          <w:ilvl w:val="0"/>
          <w:numId w:val="1"/>
        </w:numPr>
        <w:pBdr/>
        <w:spacing w:after="120" w:before="120" w:line="276" w:lineRule="auto"/>
        <w:ind/>
        <w:jc w:val="both"/>
        <w:rPr>
          <w:spacing w:val="-4"/>
          <w:lang w:val="pt-BR"/>
        </w:rPr>
      </w:pPr>
      <w:r>
        <w:rPr>
          <w:bCs/>
          <w:spacing w:val="-4"/>
          <w:highlight w:val="none"/>
          <w:lang w:val="pt-BR" w:bidi="pt-BR"/>
        </w:rPr>
      </w:r>
      <w:r>
        <w:rPr>
          <w:rFonts w:ascii="Times New Roman" w:hAnsi="Times New Roman" w:eastAsia="Times New Roman" w:cs="Times New Roman"/>
          <w:color w:val="000000"/>
          <w:sz w:val="24"/>
        </w:rPr>
        <w:t xml:space="preserve">Quyết định số 425/QĐ-BXD ngày 30/3/2025 của Bộ Xây dựng về việc công bố suất vốn đầu tư xây dựng và giá xây dựng tổng hợp bộ phận kết cấu công trình năm 2025</w:t>
      </w:r>
      <w:r>
        <w:rPr>
          <w:spacing w:val="-4"/>
          <w:lang w:val="pt-BR"/>
        </w:rPr>
      </w:r>
      <w:r>
        <w:rPr>
          <w:spacing w:val="-4"/>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1"/>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1"/>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00817008, số vào sổ cấp GCN: CN 772 do Chi nhánh Văn phòng đăng ký đất đai Hà Nội cấp ngày 17/4/2025; Chủ sử dụng đất là Bà Tạ Thị Huyền.</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1"/>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275/2026/1382/VFI-HĐTĐ.39.A ngày 28/08/2026 giữa CÔNG TY TNHH THƯƠNG MẠI THỰC PHẨM PHƯƠNG HUYỀN với Công ty Cổ phần Thẩm định và Đầu tư Tài chính Hoa Sen.</w:t>
      </w:r>
      <w:r>
        <w:rPr>
          <w:b/>
          <w:lang w:val="pt-BR"/>
        </w:rPr>
      </w:r>
      <w:r>
        <w:rPr>
          <w:b/>
          <w:lang w:val="pt-BR"/>
        </w:rPr>
      </w:r>
    </w:p>
    <w:p>
      <w:pPr>
        <w:pStyle w:val="1031"/>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rFonts w:ascii="Times New Roman" w:hAnsi="Times New Roman" w:cs="Times New Roman"/>
          <w:i/>
          <w:iCs/>
          <w:sz w:val="24"/>
          <w:szCs w:val="24"/>
          <w:highlight w:val="none"/>
        </w:rPr>
      </w:pPr>
      <w:r>
        <w:rPr>
          <w:rFonts w:ascii="Times New Roman" w:hAnsi="Times New Roman" w:eastAsia="Times New Roman" w:cs="Times New Roman"/>
          <w:color w:val="212529"/>
          <w:sz w:val="24"/>
          <w:szCs w:val="24"/>
          <w:highlight w:val="none"/>
        </w:rPr>
        <w:t xml:space="preserve">C</w:t>
      </w:r>
      <w:r>
        <w:rPr>
          <w:rFonts w:ascii="Times New Roman" w:hAnsi="Times New Roman" w:eastAsia="Times New Roman" w:cs="Times New Roman"/>
          <w:color w:val="212529"/>
          <w:sz w:val="24"/>
          <w:szCs w:val="24"/>
          <w:highlight w:val="white"/>
        </w:rPr>
        <w:t xml:space="preserve">hu kỳ mới của thị trường Hà Nội sẽ không còn là giai đoạn tăng giá đồng loạt như trước, mà là giai đoạn phân hóa mạnh theo chất lượng hạ tầng, khả năng kết nối và năng lực hình thành hệ sinh thái kinh tế.</w:t>
      </w:r>
      <w:r>
        <w:rPr>
          <w:rFonts w:ascii="Times New Roman" w:hAnsi="Times New Roman" w:eastAsia="Times New Roman" w:cs="Times New Roman"/>
          <w:i/>
          <w:iCs/>
          <w:sz w:val="24"/>
          <w:szCs w:val="24"/>
          <w:lang w:val="pt-BR"/>
        </w:rPr>
      </w:r>
      <w:r>
        <w:rPr>
          <w:rFonts w:ascii="Times New Roman" w:hAnsi="Times New Roman" w:cs="Times New Roman"/>
          <w:i/>
          <w:iCs/>
          <w:sz w:val="24"/>
          <w:szCs w:val="24"/>
          <w:highlight w:val="none"/>
        </w:rPr>
      </w:r>
    </w:p>
    <w:p>
      <w:pPr>
        <w:pBdr>
          <w:top w:val="none" w:color="000000" w:sz="4" w:space="0"/>
          <w:left w:val="none" w:color="000000" w:sz="4" w:space="0"/>
          <w:bottom w:val="none" w:color="000000" w:sz="4" w:space="0"/>
          <w:right w:val="none" w:color="000000" w:sz="4" w:space="0"/>
        </w:pBdr>
        <w:shd w:val="clear" w:color="ffffff" w:fill="ffffff"/>
        <w:spacing w:after="240" w:before="0" w:line="276" w:lineRule="auto"/>
        <w:ind w:right="0" w:firstLine="0" w:left="0"/>
        <w:jc w:val="both"/>
        <w:rPr>
          <w:rFonts w:ascii="Times New Roman" w:hAnsi="Times New Roman" w:cs="Times New Roman"/>
          <w:sz w:val="24"/>
          <w:szCs w:val="24"/>
        </w:rPr>
      </w:pPr>
      <w:r>
        <w:rPr>
          <w:rFonts w:ascii="Times New Roman" w:hAnsi="Times New Roman" w:eastAsia="Times New Roman" w:cs="Times New Roman"/>
          <w:color w:val="212529"/>
          <w:sz w:val="24"/>
          <w:szCs w:val="24"/>
        </w:rPr>
        <w:t xml:space="preserve">Phân tích thị trường, Hội Môi giới Bất động sản Việt Nam chỉ ra, quá trình </w:t>
      </w:r>
      <w:hyperlink r:id="rId17" w:tooltip="https://nhandan.vn/chien-luoc-tai-cau-truc-do-thi-va-tac-dong-toi-thi-truong-bat-dong-san-post943240.html" w:history="1">
        <w:r>
          <w:rPr>
            <w:rStyle w:val="1021"/>
            <w:rFonts w:ascii="Times New Roman" w:hAnsi="Times New Roman" w:eastAsia="Times New Roman" w:cs="Times New Roman"/>
            <w:color w:val="bd1723"/>
            <w:sz w:val="24"/>
            <w:szCs w:val="24"/>
            <w:u w:val="none"/>
          </w:rPr>
          <w:t xml:space="preserve">tái cấu trúc đô thị</w:t>
        </w:r>
      </w:hyperlink>
      <w:r>
        <w:rPr>
          <w:rFonts w:ascii="Times New Roman" w:hAnsi="Times New Roman" w:eastAsia="Times New Roman" w:cs="Times New Roman"/>
          <w:color w:val="212529"/>
          <w:sz w:val="24"/>
          <w:szCs w:val="24"/>
        </w:rPr>
        <w:t xml:space="preserve"> đang kéo theo sự thay đổi rõ nét trong cấu trúc phát triển của thị trường bất động sản Hà Nội. Nếu trước đây, tăng trưởng thị trường chủ yếu dựa trên mở rộng đô thị đơn cực và kỳ vọng hạ tầng, thì chu kỳ hiện nay đang chuyển sang mô hình phát triển dựa tr</w:t>
      </w:r>
      <w:r>
        <w:rPr>
          <w:rFonts w:ascii="Times New Roman" w:hAnsi="Times New Roman" w:eastAsia="Times New Roman" w:cs="Times New Roman"/>
          <w:color w:val="212529"/>
          <w:sz w:val="24"/>
          <w:szCs w:val="24"/>
        </w:rPr>
        <w:t xml:space="preserve">ên chất lượng hạ tầng, hiệu quả vận hành đô thị và nhu cầu ở thực.</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40" w:before="0" w:line="276" w:lineRule="auto"/>
        <w:ind w:right="0" w:firstLine="0" w:left="0"/>
        <w:jc w:val="both"/>
        <w:rPr>
          <w:rFonts w:ascii="Times New Roman" w:hAnsi="Times New Roman" w:cs="Times New Roman"/>
          <w:sz w:val="24"/>
          <w:szCs w:val="24"/>
        </w:rPr>
      </w:pPr>
      <w:r>
        <w:rPr>
          <w:rFonts w:ascii="Times New Roman" w:hAnsi="Times New Roman" w:eastAsia="Times New Roman" w:cs="Times New Roman"/>
          <w:color w:val="212529"/>
          <w:sz w:val="24"/>
          <w:szCs w:val="24"/>
        </w:rPr>
        <w:t xml:space="preserve">Điều này thể hiện qua việc hàng loạt khu đô thị quy mô lớn đang được triển khai dọc các hành lang hạ tầng mới. Nguồn cung thị trường được kỳ vọng đa dạng hơn, bao gồm nhà ở cao cấp, trung cấp, nhà ở thương mại vừa túi tiền, nhà ở xã hội và nhà ở cho thuê.</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40" w:before="0" w:line="276" w:lineRule="auto"/>
        <w:ind w:right="0" w:firstLine="0" w:left="0"/>
        <w:jc w:val="both"/>
        <w:rPr>
          <w:rFonts w:ascii="Times New Roman" w:hAnsi="Times New Roman" w:cs="Times New Roman"/>
          <w:sz w:val="24"/>
          <w:szCs w:val="24"/>
        </w:rPr>
      </w:pPr>
      <w:r>
        <w:rPr>
          <w:rFonts w:ascii="Times New Roman" w:hAnsi="Times New Roman" w:eastAsia="Times New Roman" w:cs="Times New Roman"/>
          <w:color w:val="212529"/>
          <w:sz w:val="24"/>
          <w:szCs w:val="24"/>
        </w:rPr>
        <w:t xml:space="preserve">Đáng chú ý, nhà ở xã hội, trong đó có nhà ở cho thuê, đang dần trở thành một trụ cột quan trọng trong chính sách an sinh xã hội và chiến lược phát triển đô thị của Hà Nội. Khi thành phố chuyển sang mô hình đa trung tâm, bài toán không còn chỉ là phát triển</w:t>
      </w:r>
      <w:r>
        <w:rPr>
          <w:rFonts w:ascii="Times New Roman" w:hAnsi="Times New Roman" w:eastAsia="Times New Roman" w:cs="Times New Roman"/>
          <w:color w:val="212529"/>
          <w:sz w:val="24"/>
          <w:szCs w:val="24"/>
        </w:rPr>
        <w:t xml:space="preserve"> thêm nhà ở, mà là tái tổ chức không gian sống, khả năng tiếp cận hạ tầng và phân bổ dân cư hợp lý hơn.</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40" w:before="0" w:line="276" w:lineRule="auto"/>
        <w:ind w:right="0" w:firstLine="0" w:left="0"/>
        <w:jc w:val="both"/>
        <w:rPr>
          <w:rFonts w:ascii="Times New Roman" w:hAnsi="Times New Roman" w:cs="Times New Roman"/>
          <w:sz w:val="24"/>
          <w:szCs w:val="24"/>
        </w:rPr>
      </w:pPr>
      <w:r>
        <w:rPr>
          <w:rFonts w:ascii="Times New Roman" w:hAnsi="Times New Roman" w:eastAsia="Times New Roman" w:cs="Times New Roman"/>
          <w:color w:val="212529"/>
          <w:sz w:val="24"/>
          <w:szCs w:val="24"/>
        </w:rPr>
        <w:t xml:space="preserve">Trong mô hình mới này, các khu vực lõi trung tâm, ven hồ hoặc những vị trí có khả năng kết nối trực tiếp với metro, trung tâm tài chính và các trục thương mại lớn nhiều khả năng sẽ tập trung vào các sản phẩm cao cấp phục vụ nhóm cư dân có thu nhập cao, chu</w:t>
      </w:r>
      <w:r>
        <w:rPr>
          <w:rFonts w:ascii="Times New Roman" w:hAnsi="Times New Roman" w:eastAsia="Times New Roman" w:cs="Times New Roman"/>
          <w:color w:val="212529"/>
          <w:sz w:val="24"/>
          <w:szCs w:val="24"/>
        </w:rPr>
        <w:t xml:space="preserve">yên gia quốc tế và tầng lớp tinh hoa đô thị.</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40" w:before="0" w:line="276" w:lineRule="auto"/>
        <w:ind w:right="0" w:firstLine="0" w:left="0"/>
        <w:jc w:val="both"/>
        <w:rPr>
          <w:rFonts w:ascii="Times New Roman" w:hAnsi="Times New Roman" w:cs="Times New Roman"/>
          <w:sz w:val="24"/>
          <w:szCs w:val="24"/>
        </w:rPr>
      </w:pPr>
      <w:r>
        <w:rPr>
          <w:rFonts w:ascii="Times New Roman" w:hAnsi="Times New Roman" w:eastAsia="Times New Roman" w:cs="Times New Roman"/>
          <w:color w:val="212529"/>
          <w:sz w:val="24"/>
          <w:szCs w:val="24"/>
        </w:rPr>
        <w:t xml:space="preserve">Các tuyến vành đai, metro, cầu vượt sông Hồng, đường kết nối liên vùng và các hành lang logistics mới sẽ làm thay đổi hoàn toàn việc di chuyển trong đại đô thị Hà Nội. Khi hạ tầng được nâng cấp mạnh, việc sống ở khu vực xa trung tâm nhưng vẫn có thể kết nố</w:t>
      </w:r>
      <w:r>
        <w:rPr>
          <w:rFonts w:ascii="Times New Roman" w:hAnsi="Times New Roman" w:eastAsia="Times New Roman" w:cs="Times New Roman"/>
          <w:color w:val="212529"/>
          <w:sz w:val="24"/>
          <w:szCs w:val="24"/>
        </w:rPr>
        <w:t xml:space="preserve">i thuận tiện tới nơi làm việc, trung tâm thương mại, sân bay hoặc các khu dịch vụ sẽ dần trở thành trạng thái bình thường của một đại đô thị hiện đại.</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hd w:val="clear" w:color="ffffff" w:fill="ffffff"/>
        <w:spacing w:after="240" w:before="0" w:line="276" w:lineRule="auto"/>
        <w:ind w:right="0" w:firstLine="0" w:left="0"/>
        <w:jc w:val="both"/>
        <w:rPr>
          <w:rFonts w:ascii="Times New Roman" w:hAnsi="Times New Roman" w:cs="Times New Roman"/>
          <w:sz w:val="24"/>
          <w:szCs w:val="24"/>
        </w:rPr>
      </w:pPr>
      <w:r>
        <w:rPr>
          <w:rFonts w:ascii="Times New Roman" w:hAnsi="Times New Roman" w:eastAsia="Times New Roman" w:cs="Times New Roman"/>
          <w:color w:val="212529"/>
          <w:sz w:val="24"/>
          <w:szCs w:val="24"/>
        </w:rPr>
        <w:t xml:space="preserve">Điều này tạo tiền đề cho quá trình giãn dân và tái phân bổ dân cư theo hướng bền vững hơn, thay vì tiếp tục tập trung quá mức vào khu vực lõi nội đô. Quan trọng hơn, giá trị bất động sản trong chu kỳ mới được kỳ vọng tăng trưởng dựa nhiều hơn vào năng lực </w:t>
      </w:r>
      <w:r>
        <w:rPr>
          <w:rFonts w:ascii="Times New Roman" w:hAnsi="Times New Roman" w:eastAsia="Times New Roman" w:cs="Times New Roman"/>
          <w:color w:val="212529"/>
          <w:sz w:val="24"/>
          <w:szCs w:val="24"/>
        </w:rPr>
        <w:t xml:space="preserve">vận hành của đô thị, khả năng hình thành hệ sinh thái kinh tế và nhu cầu thực, thay vì chỉ dựa trên kỳ vọng tăng giá theo hạ tầng như các giai đoạn trước.</w:t>
      </w:r>
      <w:r>
        <w:rPr>
          <w:rFonts w:ascii="Times New Roman" w:hAnsi="Times New Roman" w:eastAsia="Times New Roman" w:cs="Times New Roman"/>
          <w:sz w:val="24"/>
          <w:szCs w:val="24"/>
        </w:rPr>
      </w:r>
      <w:r>
        <w:rPr>
          <w:rFonts w:ascii="Times New Roman" w:hAnsi="Times New Roman" w:cs="Times New Roman"/>
          <w:sz w:val="24"/>
          <w:szCs w:val="24"/>
        </w:rPr>
      </w:r>
    </w:p>
    <w:p>
      <w:pPr>
        <w:pBdr/>
        <w:tabs>
          <w:tab w:val="left" w:leader="none" w:pos="426"/>
        </w:tabs>
        <w:spacing w:after="120" w:before="120" w:line="276" w:lineRule="auto"/>
        <w:ind/>
        <w:rPr>
          <w:bCs/>
          <w:i/>
          <w:highlight w:val="none"/>
          <w:lang w:val="pt-BR" w:bidi="pt-BR"/>
        </w:rPr>
      </w:pPr>
      <w:r>
        <w:rPr>
          <w:i/>
          <w:iCs/>
          <w:highlight w:val="none"/>
          <w:lang w:val="pt-BR" w:bidi="pt-BR"/>
        </w:rPr>
        <w:t xml:space="preserve">(nguồn tham khảo: </w:t>
      </w:r>
      <w:r>
        <w:rPr>
          <w:i/>
          <w:iCs/>
          <w:highlight w:val="none"/>
          <w:lang w:val="pt-BR" w:bidi="pt-BR"/>
        </w:rPr>
      </w:r>
      <w:hyperlink r:id="rId18" w:tooltip="https://nhandan.vn/thi-truong-bat-dong-san-ha-noi-bat-dau-phan-hoa-manh-post967281.html)" w:history="1">
        <w:r>
          <w:rPr>
            <w:rStyle w:val="1021"/>
            <w:i/>
            <w:iCs/>
            <w:highlight w:val="none"/>
            <w:lang w:val="pt-BR" w:bidi="pt-BR"/>
          </w:rPr>
          <w:t xml:space="preserve">https://nhandan.vn/thi-truong-bat-dong-san-ha-noi-bat-dau-phan-hoa-manh-post967281.html</w:t>
        </w:r>
        <w:r>
          <w:rPr>
            <w:rStyle w:val="1021"/>
            <w:i/>
            <w:iCs/>
            <w:highlight w:val="none"/>
            <w:lang w:val="pt-BR" w:bidi="pt-BR"/>
          </w:rPr>
          <w:t xml:space="preserve">)</w:t>
        </w:r>
        <w:r>
          <w:rPr>
            <w:rStyle w:val="1021"/>
            <w:i/>
            <w:iCs/>
            <w:highlight w:val="none"/>
            <w:lang w:val="pt-BR" w:bidi="pt-BR"/>
          </w:rPr>
        </w:r>
        <w:r>
          <w:rPr>
            <w:rStyle w:val="1021"/>
            <w:bCs/>
            <w:i/>
            <w:lang w:val="pt-BR"/>
          </w:rPr>
        </w:r>
      </w:hyperlink>
      <w:r>
        <w:rPr>
          <w:bCs/>
          <w:i/>
          <w:highlight w:val="none"/>
          <w:lang w:val="pt-BR" w:bidi="pt-BR"/>
        </w:rPr>
      </w:r>
      <w:r>
        <w:rPr>
          <w:bCs/>
          <w:i/>
          <w:highlight w:val="none"/>
          <w:lang w:val="pt-BR" w:bidi="pt-BR"/>
        </w:rPr>
      </w:r>
    </w:p>
    <w:p>
      <w:pPr>
        <w:pStyle w:val="1031"/>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54"/>
        <w:gridCol w:w="2094"/>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02, tờ bản đồ số 55 có địa chỉ: Thôn Đại Quang, xã Sơn Đông, Thị xã Sơn Tây, Thành phố Hà Nội (Nay là</w:t>
            </w:r>
            <w:r>
              <w:rPr>
                <w:b/>
                <w:bCs/>
                <w:color w:val="000000"/>
              </w:rPr>
              <w:t xml:space="preserve"> xã Đoài Phương, Thành phố Hà Nội) theo Giấy chứng nhận quyền sử dụng đất quyền sở hữu tài sản gắn liền với đất số: AA 00817008, số vào sổ cấp GCN: CN 772 do Chi nhánh Văn phòng đăng ký đất đai Hà Nội cấp ngày 17/4/2025; Chủ sử dụng đất là Bà Tạ Thị Huyền.</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094" w:type="dxa"/>
            <w:vAlign w:val="center"/>
            <w:textDirection w:val="lrTb"/>
            <w:noWrap w:val="false"/>
          </w:tcPr>
          <w:p>
            <w:pPr>
              <w:pBdr/>
              <w:spacing/>
              <w:ind/>
              <w:jc w:val="center"/>
              <w:rPr>
                <w:color w:val="000000"/>
              </w:rPr>
            </w:pPr>
            <w:r>
              <w:rPr>
                <w:color w:val="000000" w:themeColor="text1"/>
              </w:rPr>
              <w:t xml:space="preserve">02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55</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27" w:type="dxa"/>
            <w:vAlign w:val="center"/>
            <w:textDirection w:val="lrTb"/>
            <w:noWrap w:val="false"/>
          </w:tcPr>
          <w:p>
            <w:pPr>
              <w:pBdr/>
              <w:spacing/>
              <w:ind/>
              <w:jc w:val="both"/>
              <w:rPr>
                <w:b w:val="0"/>
                <w:bCs w:val="0"/>
                <w:color w:val="000000"/>
              </w:rPr>
            </w:pPr>
            <w:r>
              <w:rPr>
                <w:b w:val="0"/>
                <w:bCs w:val="0"/>
                <w:color w:val="000000"/>
              </w:rPr>
            </w:r>
            <w:r>
              <w:rPr>
                <w:b w:val="0"/>
                <w:bCs w:val="0"/>
                <w:color w:val="000000"/>
              </w:rPr>
              <w:t xml:space="preserve">Thôn Đại Quang, xã Sơn Đông, Thị xã Sơn Tây, Thành phố Hà Nội (Nay là</w:t>
            </w:r>
            <w:r>
              <w:rPr>
                <w:b w:val="0"/>
                <w:bCs w:val="0"/>
                <w:color w:val="000000"/>
              </w:rPr>
              <w:t xml:space="preserve"> xã Đoài Phương, Thành phố Hà Nội)</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094" w:type="dxa"/>
            <w:vAlign w:val="center"/>
            <w:textDirection w:val="lrTb"/>
            <w:noWrap w:val="false"/>
          </w:tcPr>
          <w:p>
            <w:pPr>
              <w:pBdr/>
              <w:spacing/>
              <w:ind/>
              <w:jc w:val="center"/>
              <w:rPr>
                <w:color w:val="000000"/>
              </w:rPr>
            </w:pPr>
            <w:r>
              <w:rPr>
                <w:color w:val="000000"/>
              </w:rPr>
              <w:t xml:space="preserve">220,5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094" w:type="dxa"/>
            <w:vAlign w:val="center"/>
            <w:textDirection w:val="lrTb"/>
            <w:noWrap w:val="false"/>
          </w:tcPr>
          <w:p>
            <w:pPr>
              <w:pBdr/>
              <w:spacing/>
              <w:ind/>
              <w:jc w:val="center"/>
              <w:rPr>
                <w:color w:val="000000"/>
              </w:rPr>
            </w:pPr>
            <w:r>
              <w:rPr>
                <w:color w:val="000000" w:themeColor="text1"/>
              </w:rPr>
              <w:t xml:space="preserve">Đất ở tại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27" w:type="dxa"/>
            <w:vAlign w:val="center"/>
            <w:textDirection w:val="lrTb"/>
            <w:noWrap w:val="false"/>
          </w:tcPr>
          <w:p>
            <w:pPr>
              <w:pBdr/>
              <w:spacing/>
              <w:ind/>
              <w:rPr>
                <w:color w:val="000000"/>
                <w14:ligatures w14:val="none"/>
              </w:rPr>
            </w:pPr>
            <w:r>
              <w:rPr>
                <w:color w:val="000000"/>
              </w:rPr>
            </w:r>
            <w:r>
              <w:rPr>
                <w:color w:val="000000"/>
              </w:rPr>
              <w:t xml:space="preserve">Tại thời điểm thẩm định giá, t</w:t>
            </w:r>
            <w:r>
              <w:rPr>
                <w:b w:val="0"/>
                <w:bCs w:val="0"/>
                <w:color w:val="000000"/>
              </w:rPr>
              <w:t xml:space="preserve">heo thông tin tại </w:t>
            </w:r>
            <w:r>
              <w:rPr>
                <w:b w:val="0"/>
                <w:bCs w:val="0"/>
                <w:color w:val="000000"/>
              </w:rPr>
              <w:t xml:space="preserve">Giấy chứng nhận quyền sử dụng đất quyền sở hữu tài sản gắn liền với đất số: AA 00817008</w:t>
            </w:r>
            <w:r>
              <w:rPr>
                <w:b w:val="0"/>
                <w:bCs w:val="0"/>
                <w:color w:val="000000"/>
              </w:rPr>
              <w:t xml:space="preserve">; thửa đất có 30,5m2 đất ở tại nông thôn thuộc quy hoạch chỉ giới giao thông. </w:t>
            </w:r>
            <w:r>
              <w:rPr>
                <w:color w:val="000000"/>
              </w:rPr>
            </w:r>
            <w:r>
              <w:rPr>
                <w:color w:val="000000"/>
                <w14:ligatures w14:val="none"/>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094" w:type="dxa"/>
            <w:vAlign w:val="center"/>
            <w:textDirection w:val="lrTb"/>
            <w:noWrap w:val="false"/>
          </w:tcPr>
          <w:p>
            <w:pPr>
              <w:pBdr/>
              <w:spacing/>
              <w:ind/>
              <w:jc w:val="center"/>
              <w:rPr>
                <w:color w:val="000000"/>
              </w:rPr>
            </w:pPr>
            <w:r>
              <w:rPr>
                <w:color w:val="000000"/>
              </w:rPr>
              <w:t xml:space="preserve">Đường ĐT 418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094" w:type="dxa"/>
            <w:vAlign w:val="center"/>
            <w:textDirection w:val="lrTb"/>
            <w:noWrap w:val="false"/>
          </w:tcPr>
          <w:p>
            <w:pPr>
              <w:pBdr/>
              <w:spacing/>
              <w:ind/>
              <w:jc w:val="center"/>
              <w:rPr>
                <w:color w:val="000000"/>
              </w:rPr>
            </w:pPr>
            <w:r>
              <w:rPr>
                <w:color w:val="000000" w:themeColor="text1"/>
              </w:rPr>
              <w:t xml:space="preserve">8</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8</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27" w:type="dxa"/>
            <w:vAlign w:val="center"/>
            <w:textDirection w:val="lrTb"/>
            <w:noWrap w:val="false"/>
          </w:tcPr>
          <w:p>
            <w:pPr>
              <w:pBdr/>
              <w:spacing/>
              <w:ind/>
              <w:jc w:val="both"/>
              <w:rPr>
                <w:color w:val="000000"/>
              </w:rPr>
            </w:pPr>
            <w:r>
              <w:rPr>
                <w:color w:val="000000" w:themeColor="text1"/>
              </w:rPr>
              <w:t xml:space="preserve">Tài sản nằm tiếp giáp mặt tiền đường DT 418</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27" w:type="dxa"/>
            <w:vAlign w:val="center"/>
            <w:textDirection w:val="lrTb"/>
            <w:noWrap w:val="false"/>
          </w:tcPr>
          <w:p>
            <w:pPr>
              <w:pBdr/>
              <w:spacing/>
              <w:ind/>
              <w:rPr>
                <w:color w:val="000000" w:themeColor="text1"/>
                <w:highlight w:val="none"/>
              </w:rPr>
            </w:pPr>
            <w:r/>
            <w:bookmarkStart w:id="3" w:name="OLE_LINK1"/>
            <w:r>
              <w:rPr>
                <w:color w:val="000000" w:themeColor="text1"/>
              </w:rPr>
            </w:r>
            <w:bookmarkEnd w:id="3"/>
            <w:r>
              <w:rPr>
                <w:color w:val="000000" w:themeColor="text1"/>
              </w:rPr>
              <w:t xml:space="preserve">Hướng Tây Bắc: Tiếp giáp đường DT 418</w:t>
            </w:r>
            <w:r>
              <w:rPr>
                <w:color w:val="000000" w:themeColor="text1"/>
              </w:rPr>
            </w:r>
            <w:r>
              <w:rPr>
                <w:color w:val="000000" w:themeColor="text1"/>
                <w:highlight w:val="none"/>
              </w:rPr>
            </w:r>
          </w:p>
          <w:p>
            <w:pPr>
              <w:pBdr/>
              <w:spacing/>
              <w:ind/>
              <w:rPr>
                <w:color w:val="000000" w:themeColor="text1"/>
              </w:rPr>
            </w:pPr>
            <w:r>
              <w:rPr>
                <w:color w:val="000000" w:themeColor="text1"/>
                <w:highlight w:val="none"/>
              </w:rPr>
              <w:t xml:space="preserve">Các hướng khác: Tiếp giáp với các thửa đất khác</w:t>
            </w:r>
            <w:r>
              <w:rPr>
                <w:color w:val="000000" w:themeColor="text1"/>
                <w:highlight w:val="none"/>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21.081194444444</w:t>
            </w:r>
            <w:r>
              <w:rPr>
                <w:color w:val="000000"/>
              </w:rPr>
              <w:t xml:space="preserve">, </w:t>
            </w:r>
            <w:r>
              <w:rPr>
                <w:color w:val="000000"/>
              </w:rPr>
              <w:t xml:space="preserve">105.51661111111</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50pt;height:200.00pt;mso-wrap-distance-left:0.00pt;mso-wrap-distance-top:0.00pt;mso-wrap-distance-right:0.00pt;mso-wrap-distance-bottom:0.00pt;z-index:1;" stroked="false">
                      <v:imagedata r:id="rId19"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094" w:type="dxa"/>
            <w:vAlign w:val="center"/>
            <w:textDirection w:val="lrTb"/>
            <w:noWrap w:val="false"/>
          </w:tcPr>
          <w:p>
            <w:pPr>
              <w:pBdr/>
              <w:spacing/>
              <w:ind/>
              <w:jc w:val="center"/>
              <w:rPr>
                <w:color w:val="000000"/>
              </w:rPr>
            </w:pPr>
            <w:r>
              <w:rPr>
                <w:color w:val="000000" w:themeColor="text1"/>
              </w:rPr>
              <w:t xml:space="preserve">220,5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094" w:type="dxa"/>
            <w:vAlign w:val="center"/>
            <w:textDirection w:val="lrTb"/>
            <w:noWrap w:val="false"/>
          </w:tcPr>
          <w:p>
            <w:pPr>
              <w:pBdr/>
              <w:spacing/>
              <w:ind/>
              <w:jc w:val="center"/>
              <w:rPr>
                <w:color w:val="000000"/>
              </w:rPr>
            </w:pPr>
            <w:r>
              <w:rPr>
                <w:color w:val="000000" w:themeColor="text1"/>
              </w:rPr>
              <w:t xml:space="preserve">7,73</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26,2</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094" w:type="dxa"/>
            <w:vAlign w:val="center"/>
            <w:textDirection w:val="lrTb"/>
            <w:noWrap w:val="false"/>
          </w:tcPr>
          <w:p>
            <w:pPr>
              <w:pBdr/>
              <w:spacing/>
              <w:ind/>
              <w:jc w:val="center"/>
              <w:rPr>
                <w:color w:val="000000"/>
              </w:rPr>
            </w:pPr>
            <w:r>
              <w:rPr>
                <w:color w:val="000000"/>
              </w:rPr>
              <w:t xml:space="preserve">Nở hậu</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27"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27"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094"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54"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094"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Tại thời</w:t>
            </w:r>
            <w:r>
              <w:rPr>
                <w:color w:val="000000"/>
              </w:rPr>
              <w:t xml:space="preserve"> điểm khảo sát, trên đất có CTXD là nhà 2 tầng diện tích sản khoảng 50m2/sàn, phần còn lại lợp tôn. Công trình xây dựng chưa được chứng nhận trên GCN, ngoài ra tổ thẩm định không được khách hàng cung cấp thêm hồ sơ pháp lí nào liên quan đến CTXD nêu trên. </w:t>
            </w:r>
            <w:r>
              <w:rPr>
                <w:color w:val="000000"/>
              </w:rPr>
              <w:t xml:space="preserve"> 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5"/>
        <w:jc w:val="center"/>
        <w:tblW w:w="0" w:type="auto"/>
        <w:tblBorders/>
        <w:tblLayout w:type="fixed"/>
        <w:tblLook w:val="04A0" w:firstRow="1" w:lastRow="0" w:firstColumn="1" w:lastColumn="0" w:noHBand="0" w:noVBand="1"/>
      </w:tblPr>
      <w:tblGrid>
        <w:gridCol w:w="23"/>
        <w:gridCol w:w="709"/>
        <w:gridCol w:w="1843"/>
        <w:gridCol w:w="1816"/>
        <w:gridCol w:w="2011"/>
        <w:gridCol w:w="1276"/>
        <w:gridCol w:w="1838"/>
      </w:tblGrid>
      <w:tr>
        <w:trPr>
          <w:jc w:val="center"/>
        </w:trPr>
        <w:tc>
          <w:tcPr>
            <w:gridSpan w:val="2"/>
            <w:tcBorders/>
            <w:tcW w:w="732" w:type="dxa"/>
            <w:vAlign w:val="center"/>
            <w:textDirection w:val="lrTb"/>
            <w:noWrap w:val="false"/>
          </w:tcPr>
          <w:p>
            <w:pPr>
              <w:pBdr/>
              <w:spacing/>
              <w:ind/>
              <w:jc w:val="center"/>
              <w:rPr>
                <w:b/>
                <w:bCs/>
              </w:rPr>
            </w:pPr>
            <w:r>
              <w:rPr>
                <w:b/>
                <w:bCs/>
              </w:rPr>
              <w:t xml:space="preserve">STT</w:t>
            </w:r>
            <w:r>
              <w:rPr>
                <w:b/>
                <w:bCs/>
              </w:rPr>
            </w:r>
            <w:r>
              <w:rPr>
                <w:b/>
                <w:bCs/>
              </w:rPr>
            </w:r>
          </w:p>
        </w:tc>
        <w:tc>
          <w:tcPr>
            <w:tcBorders/>
            <w:tcW w:w="184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816"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2011"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276"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1838"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gridSpan w:val="2"/>
            <w:tcBorders/>
            <w:tcW w:w="732" w:type="dxa"/>
            <w:vAlign w:val="center"/>
            <w:textDirection w:val="lrTb"/>
            <w:noWrap w:val="false"/>
          </w:tcPr>
          <w:p>
            <w:pPr>
              <w:pBdr/>
              <w:spacing/>
              <w:ind/>
              <w:jc w:val="center"/>
              <w:rPr/>
            </w:pPr>
            <w:r>
              <w:t xml:space="preserve">1</w:t>
            </w:r>
            <w:r/>
          </w:p>
        </w:tc>
        <w:tc>
          <w:tcPr>
            <w:tcBorders/>
            <w:tcW w:w="1843" w:type="dxa"/>
            <w:vAlign w:val="center"/>
            <w:textDirection w:val="lrTb"/>
            <w:noWrap w:val="false"/>
          </w:tcPr>
          <w:p>
            <w:pPr>
              <w:pBdr/>
              <w:spacing/>
              <w:ind/>
              <w:jc w:val="center"/>
              <w:rPr/>
            </w:pPr>
            <w:r>
              <w:t xml:space="preserve">Địa chỉ trên sổ</w:t>
            </w:r>
            <w:r/>
          </w:p>
        </w:tc>
        <w:tc>
          <w:tcPr>
            <w:tcBorders/>
            <w:tcW w:w="1816" w:type="dxa"/>
            <w:vAlign w:val="center"/>
            <w:textDirection w:val="lrTb"/>
            <w:noWrap w:val="false"/>
          </w:tcPr>
          <w:p>
            <w:pPr>
              <w:pBdr/>
              <w:spacing/>
              <w:ind/>
              <w:jc w:val="center"/>
              <w:rPr/>
            </w:pPr>
            <w:r>
              <w:t xml:space="preserve">Thôn Đại Quang xã Sơn Đông thị xã Sơn Tây thành phố Hà Nội ✔</w:t>
            </w:r>
            <w:r/>
          </w:p>
        </w:tc>
        <w:tc>
          <w:tcPr>
            <w:tcBorders/>
            <w:tcW w:w="2011" w:type="dxa"/>
            <w:vAlign w:val="center"/>
            <w:textDirection w:val="lrTb"/>
            <w:noWrap w:val="false"/>
          </w:tcPr>
          <w:p>
            <w:pPr>
              <w:pBdr/>
              <w:spacing/>
              <w:ind/>
              <w:jc w:val="center"/>
              <w:rPr/>
            </w:pPr>
            <w:r>
              <w:rPr>
                <w:b w:val="0"/>
                <w:bCs w:val="0"/>
                <w:color w:val="000000"/>
              </w:rPr>
              <w:t xml:space="preserve"> xã Đoài Phương, Thành phố Hà Nội</w:t>
            </w:r>
            <w:r/>
          </w:p>
        </w:tc>
        <w:tc>
          <w:tcPr>
            <w:tcBorders/>
            <w:tcW w:w="1276" w:type="dxa"/>
            <w:vAlign w:val="center"/>
            <w:textDirection w:val="lrTb"/>
            <w:noWrap w:val="false"/>
          </w:tcPr>
          <w:p>
            <w:pPr>
              <w:pBdr/>
              <w:spacing/>
              <w:ind/>
              <w:jc w:val="center"/>
              <w:rPr/>
            </w:pPr>
            <w:r>
              <w:t xml:space="preserve">Có</w:t>
            </w:r>
            <w:r/>
          </w:p>
        </w:tc>
        <w:tc>
          <w:tcPr>
            <w:tcBorders/>
            <w:tcW w:w="1838" w:type="dxa"/>
            <w:vAlign w:val="center"/>
            <w:textDirection w:val="lrTb"/>
            <w:noWrap w:val="false"/>
          </w:tcPr>
          <w:p>
            <w:pPr>
              <w:pBdr/>
              <w:spacing/>
              <w:ind/>
              <w:jc w:val="center"/>
              <w:rPr/>
            </w:pPr>
            <w:r>
              <w:t xml:space="preserve">Sau sát nhập thay đổi địa giới hành chính</w:t>
            </w:r>
            <w:r/>
          </w:p>
        </w:tc>
      </w:tr>
      <w:tr>
        <w:trPr>
          <w:jc w:val="center"/>
        </w:trPr>
        <w:tc>
          <w:tcPr>
            <w:gridSpan w:val="2"/>
            <w:tcBorders/>
            <w:tcW w:w="732" w:type="dxa"/>
            <w:vAlign w:val="center"/>
            <w:textDirection w:val="lrTb"/>
            <w:noWrap w:val="false"/>
          </w:tcPr>
          <w:p>
            <w:pPr>
              <w:pBdr/>
              <w:spacing/>
              <w:ind/>
              <w:jc w:val="center"/>
              <w:rPr/>
            </w:pPr>
            <w:r>
              <w:t xml:space="preserve">2</w:t>
            </w:r>
            <w:r/>
          </w:p>
        </w:tc>
        <w:tc>
          <w:tcPr>
            <w:tcBorders/>
            <w:tcW w:w="1843" w:type="dxa"/>
            <w:vAlign w:val="center"/>
            <w:textDirection w:val="lrTb"/>
            <w:noWrap w:val="false"/>
          </w:tcPr>
          <w:p>
            <w:pPr>
              <w:pBdr/>
              <w:spacing/>
              <w:ind/>
              <w:jc w:val="center"/>
              <w:rPr/>
            </w:pPr>
            <w:r>
              <w:t xml:space="preserve">Pháp lý</w:t>
            </w:r>
            <w:r/>
          </w:p>
        </w:tc>
        <w:tc>
          <w:tcPr>
            <w:tcBorders/>
            <w:tcW w:w="1816" w:type="dxa"/>
            <w:vAlign w:val="center"/>
            <w:textDirection w:val="lrTb"/>
            <w:noWrap w:val="false"/>
          </w:tcPr>
          <w:p>
            <w:pPr>
              <w:pBdr/>
              <w:spacing/>
              <w:ind/>
              <w:jc w:val="center"/>
              <w:rPr/>
            </w:pPr>
            <w:r>
              <w:t xml:space="preserve">Giấy chứng nhận quyền sử dụng đất, quyền sở hữu tài sản gắn liền với đất</w:t>
            </w:r>
            <w:r/>
          </w:p>
        </w:tc>
        <w:tc>
          <w:tcPr>
            <w:tcBorders/>
            <w:tcW w:w="2011" w:type="dxa"/>
            <w:vAlign w:val="center"/>
            <w:textDirection w:val="lrTb"/>
            <w:noWrap w:val="false"/>
          </w:tcPr>
          <w:p>
            <w:pPr>
              <w:pBdr/>
              <w:spacing/>
              <w:ind/>
              <w:jc w:val="center"/>
              <w:rPr/>
            </w:pPr>
            <w:r>
              <w:t xml:space="preserve">Giấy chứng nhận quyền sử dụng đất, quyền sở hữu tài sản gắn liền với đất ✔</w:t>
            </w:r>
            <w:r/>
          </w:p>
        </w:tc>
        <w:tc>
          <w:tcPr>
            <w:tcBorders/>
            <w:tcW w:w="1276" w:type="dxa"/>
            <w:vAlign w:val="center"/>
            <w:textDirection w:val="lrTb"/>
            <w:noWrap w:val="false"/>
          </w:tcPr>
          <w:p>
            <w:pPr>
              <w:pBdr/>
              <w:spacing/>
              <w:ind/>
              <w:jc w:val="center"/>
              <w:rPr/>
            </w:pPr>
            <w:r>
              <w:t xml:space="preserve">Không</w:t>
            </w:r>
            <w:r/>
          </w:p>
        </w:tc>
        <w:tc>
          <w:tcPr>
            <w:tcBorders/>
            <w:tcW w:w="1838" w:type="dxa"/>
            <w:vAlign w:val="center"/>
            <w:textDirection w:val="lrTb"/>
            <w:noWrap w:val="false"/>
          </w:tcPr>
          <w:p>
            <w:pPr>
              <w:pBdr/>
              <w:spacing/>
              <w:ind/>
              <w:jc w:val="center"/>
              <w:rPr/>
            </w:pPr>
            <w:r/>
            <w:r/>
          </w:p>
        </w:tc>
      </w:tr>
      <w:tr>
        <w:trPr>
          <w:jc w:val="center"/>
        </w:trPr>
        <w:tc>
          <w:tcPr>
            <w:gridSpan w:val="2"/>
            <w:tcBorders/>
            <w:tcW w:w="732" w:type="dxa"/>
            <w:vAlign w:val="center"/>
            <w:textDirection w:val="lrTb"/>
            <w:noWrap w:val="false"/>
          </w:tcPr>
          <w:p>
            <w:pPr>
              <w:pBdr/>
              <w:spacing/>
              <w:ind/>
              <w:jc w:val="center"/>
              <w:rPr/>
            </w:pPr>
            <w:r>
              <w:t xml:space="preserve">3</w:t>
            </w:r>
            <w:r/>
          </w:p>
        </w:tc>
        <w:tc>
          <w:tcPr>
            <w:tcBorders/>
            <w:tcW w:w="1843" w:type="dxa"/>
            <w:vAlign w:val="center"/>
            <w:textDirection w:val="lrTb"/>
            <w:noWrap w:val="false"/>
          </w:tcPr>
          <w:p>
            <w:pPr>
              <w:pBdr/>
              <w:spacing/>
              <w:ind/>
              <w:jc w:val="center"/>
              <w:rPr/>
            </w:pPr>
            <w:r>
              <w:t xml:space="preserve">Loại đất</w:t>
            </w:r>
            <w:r/>
          </w:p>
        </w:tc>
        <w:tc>
          <w:tcPr>
            <w:tcBorders/>
            <w:tcW w:w="1816" w:type="dxa"/>
            <w:vAlign w:val="center"/>
            <w:textDirection w:val="lrTb"/>
            <w:noWrap w:val="false"/>
          </w:tcPr>
          <w:p>
            <w:pPr>
              <w:pBdr/>
              <w:spacing/>
              <w:ind/>
              <w:jc w:val="center"/>
              <w:rPr/>
            </w:pPr>
            <w:r>
              <w:t xml:space="preserve">Đất ở tại nông thôn</w:t>
            </w:r>
            <w:r/>
          </w:p>
        </w:tc>
        <w:tc>
          <w:tcPr>
            <w:tcBorders/>
            <w:tcW w:w="2011" w:type="dxa"/>
            <w:vAlign w:val="center"/>
            <w:textDirection w:val="lrTb"/>
            <w:noWrap w:val="false"/>
          </w:tcPr>
          <w:p>
            <w:pPr>
              <w:pBdr/>
              <w:spacing/>
              <w:ind/>
              <w:jc w:val="center"/>
              <w:rPr/>
            </w:pPr>
            <w:r>
              <w:t xml:space="preserve">Đất ở tại nông thôn ✔</w:t>
            </w:r>
            <w:r/>
          </w:p>
        </w:tc>
        <w:tc>
          <w:tcPr>
            <w:tcBorders/>
            <w:tcW w:w="1276" w:type="dxa"/>
            <w:vAlign w:val="center"/>
            <w:textDirection w:val="lrTb"/>
            <w:noWrap w:val="false"/>
          </w:tcPr>
          <w:p>
            <w:pPr>
              <w:pBdr/>
              <w:spacing/>
              <w:ind/>
              <w:jc w:val="center"/>
              <w:rPr/>
            </w:pPr>
            <w:r>
              <w:t xml:space="preserve">Không</w:t>
            </w:r>
            <w:r/>
          </w:p>
        </w:tc>
        <w:tc>
          <w:tcPr>
            <w:tcBorders/>
            <w:tcW w:w="1838" w:type="dxa"/>
            <w:vAlign w:val="center"/>
            <w:textDirection w:val="lrTb"/>
            <w:noWrap w:val="false"/>
          </w:tcPr>
          <w:p>
            <w:pPr>
              <w:pBdr/>
              <w:spacing/>
              <w:ind/>
              <w:jc w:val="center"/>
              <w:rPr/>
            </w:pPr>
            <w:r/>
            <w:r/>
          </w:p>
        </w:tc>
      </w:tr>
      <w:tr>
        <w:trPr>
          <w:jc w:val="center"/>
        </w:trPr>
        <w:tc>
          <w:tcPr>
            <w:gridSpan w:val="2"/>
            <w:tcBorders/>
            <w:tcW w:w="732" w:type="dxa"/>
            <w:vAlign w:val="center"/>
            <w:textDirection w:val="lrTb"/>
            <w:noWrap w:val="false"/>
          </w:tcPr>
          <w:p>
            <w:pPr>
              <w:pBdr/>
              <w:spacing/>
              <w:ind/>
              <w:jc w:val="center"/>
              <w:rPr/>
            </w:pPr>
            <w:r>
              <w:t xml:space="preserve">4</w:t>
            </w:r>
            <w:r/>
          </w:p>
        </w:tc>
        <w:tc>
          <w:tcPr>
            <w:tcBorders/>
            <w:tcW w:w="1843" w:type="dxa"/>
            <w:vAlign w:val="center"/>
            <w:textDirection w:val="lrTb"/>
            <w:noWrap w:val="false"/>
          </w:tcPr>
          <w:p>
            <w:pPr>
              <w:pBdr/>
              <w:spacing/>
              <w:ind/>
              <w:jc w:val="center"/>
              <w:rPr/>
            </w:pPr>
            <w:r>
              <w:t xml:space="preserve">Thời hạn sử dụng</w:t>
            </w:r>
            <w:r/>
          </w:p>
        </w:tc>
        <w:tc>
          <w:tcPr>
            <w:tcBorders/>
            <w:tcW w:w="1816" w:type="dxa"/>
            <w:vAlign w:val="center"/>
            <w:textDirection w:val="lrTb"/>
            <w:noWrap w:val="false"/>
          </w:tcPr>
          <w:p>
            <w:pPr>
              <w:pBdr/>
              <w:spacing/>
              <w:ind/>
              <w:jc w:val="center"/>
              <w:rPr/>
            </w:pPr>
            <w:r>
              <w:t xml:space="preserve">Lâu dài</w:t>
            </w:r>
            <w:r/>
          </w:p>
        </w:tc>
        <w:tc>
          <w:tcPr>
            <w:tcBorders/>
            <w:tcW w:w="2011" w:type="dxa"/>
            <w:vAlign w:val="center"/>
            <w:textDirection w:val="lrTb"/>
            <w:noWrap w:val="false"/>
          </w:tcPr>
          <w:p>
            <w:pPr>
              <w:pBdr/>
              <w:spacing/>
              <w:ind/>
              <w:jc w:val="center"/>
              <w:rPr/>
            </w:pPr>
            <w:r>
              <w:t xml:space="preserve">Lâu dài ✔</w:t>
            </w:r>
            <w:r/>
          </w:p>
        </w:tc>
        <w:tc>
          <w:tcPr>
            <w:tcBorders/>
            <w:tcW w:w="1276" w:type="dxa"/>
            <w:vAlign w:val="center"/>
            <w:textDirection w:val="lrTb"/>
            <w:noWrap w:val="false"/>
          </w:tcPr>
          <w:p>
            <w:pPr>
              <w:pBdr/>
              <w:spacing/>
              <w:ind/>
              <w:jc w:val="center"/>
              <w:rPr/>
            </w:pPr>
            <w:r>
              <w:t xml:space="preserve">Không</w:t>
            </w:r>
            <w:r/>
          </w:p>
        </w:tc>
        <w:tc>
          <w:tcPr>
            <w:tcBorders/>
            <w:tcW w:w="1838" w:type="dxa"/>
            <w:vAlign w:val="center"/>
            <w:textDirection w:val="lrTb"/>
            <w:noWrap w:val="false"/>
          </w:tcPr>
          <w:p>
            <w:pPr>
              <w:pBdr/>
              <w:spacing/>
              <w:ind/>
              <w:jc w:val="center"/>
              <w:rPr/>
            </w:pPr>
            <w:r/>
            <w:r/>
          </w:p>
        </w:tc>
      </w:tr>
      <w:tr>
        <w:trPr>
          <w:gridBefore w:val="1"/>
          <w:jc w:val="center"/>
        </w:trPr>
        <w:tc>
          <w:tcPr>
            <w:tcBorders/>
            <w:tcW w:w="709" w:type="dxa"/>
            <w:vAlign w:val="center"/>
            <w:textDirection w:val="lrTb"/>
            <w:noWrap w:val="false"/>
          </w:tcPr>
          <w:p>
            <w:pPr>
              <w:pBdr/>
              <w:spacing/>
              <w:ind/>
              <w:jc w:val="center"/>
              <w:rPr/>
            </w:pPr>
            <w:r>
              <w:t xml:space="preserve">5</w:t>
            </w:r>
            <w:r/>
          </w:p>
        </w:tc>
        <w:tc>
          <w:tcPr>
            <w:tcBorders/>
            <w:tcW w:w="1843" w:type="dxa"/>
            <w:vAlign w:val="center"/>
            <w:textDirection w:val="lrTb"/>
            <w:noWrap w:val="false"/>
          </w:tcPr>
          <w:p>
            <w:pPr>
              <w:pBdr/>
              <w:spacing/>
              <w:ind/>
              <w:jc w:val="center"/>
              <w:rPr/>
            </w:pPr>
            <w:r>
              <w:t xml:space="preserve">Diện tích</w:t>
            </w:r>
            <w:r/>
          </w:p>
        </w:tc>
        <w:tc>
          <w:tcPr>
            <w:tcBorders/>
            <w:tcW w:w="1816" w:type="dxa"/>
            <w:vAlign w:val="center"/>
            <w:textDirection w:val="lrTb"/>
            <w:noWrap w:val="false"/>
          </w:tcPr>
          <w:p>
            <w:pPr>
              <w:pBdr/>
              <w:spacing/>
              <w:ind/>
              <w:jc w:val="center"/>
              <w:rPr/>
            </w:pPr>
            <w:r>
              <w:t xml:space="preserve">220,5 </w:t>
            </w:r>
            <w:r/>
          </w:p>
        </w:tc>
        <w:tc>
          <w:tcPr>
            <w:tcBorders/>
            <w:tcW w:w="2011" w:type="dxa"/>
            <w:vAlign w:val="center"/>
            <w:textDirection w:val="lrTb"/>
            <w:noWrap w:val="false"/>
          </w:tcPr>
          <w:p>
            <w:pPr>
              <w:pBdr/>
              <w:spacing/>
              <w:ind/>
              <w:jc w:val="center"/>
              <w:rPr/>
            </w:pPr>
            <w:r>
              <w:t xml:space="preserve">220,5 ✔</w:t>
            </w:r>
            <w:r/>
          </w:p>
        </w:tc>
        <w:tc>
          <w:tcPr>
            <w:tcBorders/>
            <w:tcW w:w="1276" w:type="dxa"/>
            <w:vAlign w:val="center"/>
            <w:textDirection w:val="lrTb"/>
            <w:noWrap w:val="false"/>
          </w:tcPr>
          <w:p>
            <w:pPr>
              <w:pBdr/>
              <w:spacing/>
              <w:ind/>
              <w:jc w:val="center"/>
              <w:rPr/>
            </w:pPr>
            <w:r>
              <w:t xml:space="preserve">0</w:t>
            </w:r>
            <w:r/>
          </w:p>
        </w:tc>
        <w:tc>
          <w:tcPr>
            <w:tcBorders/>
            <w:tcW w:w="1838" w:type="dxa"/>
            <w:vAlign w:val="center"/>
            <w:textDirection w:val="lrTb"/>
            <w:noWrap w:val="false"/>
          </w:tcPr>
          <w:p>
            <w:pPr>
              <w:pBdr/>
              <w:spacing/>
              <w:ind/>
              <w:jc w:val="center"/>
              <w:rPr/>
            </w:pPr>
            <w:r/>
            <w:r/>
          </w:p>
        </w:tc>
      </w:tr>
      <w:tr>
        <w:trPr>
          <w:jc w:val="center"/>
        </w:trPr>
        <w:tc>
          <w:tcPr>
            <w:gridSpan w:val="2"/>
            <w:tcBorders/>
            <w:tcW w:w="732" w:type="dxa"/>
            <w:vAlign w:val="center"/>
            <w:textDirection w:val="lrTb"/>
            <w:noWrap w:val="false"/>
          </w:tcPr>
          <w:p>
            <w:pPr>
              <w:pBdr/>
              <w:spacing/>
              <w:ind/>
              <w:jc w:val="center"/>
              <w:rPr/>
            </w:pPr>
            <w:r>
              <w:t xml:space="preserve">6</w:t>
            </w:r>
            <w:r/>
          </w:p>
        </w:tc>
        <w:tc>
          <w:tcPr>
            <w:tcBorders/>
            <w:tcW w:w="1843" w:type="dxa"/>
            <w:vAlign w:val="center"/>
            <w:textDirection w:val="lrTb"/>
            <w:noWrap w:val="false"/>
          </w:tcPr>
          <w:p>
            <w:pPr>
              <w:pBdr/>
              <w:spacing/>
              <w:ind/>
              <w:jc w:val="center"/>
              <w:rPr/>
            </w:pPr>
            <w:r>
              <w:t xml:space="preserve">Mặt tiền</w:t>
            </w:r>
            <w:r/>
          </w:p>
        </w:tc>
        <w:tc>
          <w:tcPr>
            <w:tcBorders/>
            <w:tcW w:w="1816" w:type="dxa"/>
            <w:vAlign w:val="center"/>
            <w:textDirection w:val="lrTb"/>
            <w:noWrap w:val="false"/>
          </w:tcPr>
          <w:p>
            <w:pPr>
              <w:pBdr/>
              <w:spacing/>
              <w:ind/>
              <w:jc w:val="center"/>
              <w:rPr/>
            </w:pPr>
            <w:r>
              <w:t xml:space="preserve">7.73</w:t>
            </w:r>
            <w:r/>
          </w:p>
        </w:tc>
        <w:tc>
          <w:tcPr>
            <w:tcBorders/>
            <w:tcW w:w="2011" w:type="dxa"/>
            <w:vAlign w:val="center"/>
            <w:textDirection w:val="lrTb"/>
            <w:noWrap w:val="false"/>
          </w:tcPr>
          <w:p>
            <w:pPr>
              <w:pBdr/>
              <w:spacing/>
              <w:ind/>
              <w:jc w:val="center"/>
              <w:rPr/>
            </w:pPr>
            <w:r>
              <w:t xml:space="preserve">7.73 ✔</w:t>
            </w:r>
            <w:r/>
          </w:p>
        </w:tc>
        <w:tc>
          <w:tcPr>
            <w:tcBorders/>
            <w:tcW w:w="1276" w:type="dxa"/>
            <w:vAlign w:val="center"/>
            <w:textDirection w:val="lrTb"/>
            <w:noWrap w:val="false"/>
          </w:tcPr>
          <w:p>
            <w:pPr>
              <w:pBdr/>
              <w:spacing/>
              <w:ind/>
              <w:jc w:val="center"/>
              <w:rPr/>
            </w:pPr>
            <w:r>
              <w:t xml:space="preserve">0</w:t>
            </w:r>
            <w:r/>
          </w:p>
        </w:tc>
        <w:tc>
          <w:tcPr>
            <w:tcBorders/>
            <w:tcW w:w="1838" w:type="dxa"/>
            <w:vAlign w:val="center"/>
            <w:textDirection w:val="lrTb"/>
            <w:noWrap w:val="false"/>
          </w:tcPr>
          <w:p>
            <w:pPr>
              <w:pBdr/>
              <w:spacing/>
              <w:ind/>
              <w:jc w:val="center"/>
              <w:rPr/>
            </w:pPr>
            <w:r/>
            <w:r/>
          </w:p>
        </w:tc>
      </w:tr>
      <w:tr>
        <w:trPr>
          <w:jc w:val="center"/>
        </w:trPr>
        <w:tc>
          <w:tcPr>
            <w:gridSpan w:val="2"/>
            <w:tcBorders/>
            <w:tcW w:w="732" w:type="dxa"/>
            <w:vAlign w:val="center"/>
            <w:textDirection w:val="lrTb"/>
            <w:noWrap w:val="false"/>
          </w:tcPr>
          <w:p>
            <w:pPr>
              <w:pBdr/>
              <w:spacing/>
              <w:ind/>
              <w:jc w:val="center"/>
              <w:rPr/>
            </w:pPr>
            <w:r>
              <w:t xml:space="preserve">7</w:t>
            </w:r>
            <w:r/>
          </w:p>
        </w:tc>
        <w:tc>
          <w:tcPr>
            <w:tcBorders/>
            <w:tcW w:w="1843" w:type="dxa"/>
            <w:vAlign w:val="center"/>
            <w:textDirection w:val="lrTb"/>
            <w:noWrap w:val="false"/>
          </w:tcPr>
          <w:p>
            <w:pPr>
              <w:pBdr/>
              <w:spacing/>
              <w:ind/>
              <w:jc w:val="center"/>
              <w:rPr/>
            </w:pPr>
            <w:r>
              <w:t xml:space="preserve">Chiều sâu</w:t>
            </w:r>
            <w:r/>
          </w:p>
        </w:tc>
        <w:tc>
          <w:tcPr>
            <w:tcBorders/>
            <w:tcW w:w="1816" w:type="dxa"/>
            <w:vAlign w:val="center"/>
            <w:textDirection w:val="lrTb"/>
            <w:noWrap w:val="false"/>
          </w:tcPr>
          <w:p>
            <w:pPr>
              <w:pBdr/>
              <w:spacing/>
              <w:ind/>
              <w:jc w:val="center"/>
              <w:rPr/>
            </w:pPr>
            <w:r>
              <w:t xml:space="preserve">25,4 và 26,2</w:t>
            </w:r>
            <w:r/>
          </w:p>
        </w:tc>
        <w:tc>
          <w:tcPr>
            <w:tcBorders/>
            <w:tcW w:w="2011" w:type="dxa"/>
            <w:vAlign w:val="center"/>
            <w:textDirection w:val="lrTb"/>
            <w:noWrap w:val="false"/>
          </w:tcPr>
          <w:p>
            <w:pPr>
              <w:pBdr/>
              <w:spacing/>
              <w:ind/>
              <w:jc w:val="center"/>
              <w:rPr/>
            </w:pPr>
            <w:r>
              <w:t xml:space="preserve">25,4 và 26,2</w:t>
            </w:r>
            <w:r/>
          </w:p>
        </w:tc>
        <w:tc>
          <w:tcPr>
            <w:tcBorders/>
            <w:tcW w:w="1276" w:type="dxa"/>
            <w:vAlign w:val="center"/>
            <w:textDirection w:val="lrTb"/>
            <w:noWrap w:val="false"/>
          </w:tcPr>
          <w:p>
            <w:pPr>
              <w:pBdr/>
              <w:spacing/>
              <w:ind/>
              <w:jc w:val="center"/>
              <w:rPr/>
            </w:pPr>
            <w:r>
              <w:t xml:space="preserve">1.2</w:t>
            </w:r>
            <w:r/>
          </w:p>
        </w:tc>
        <w:tc>
          <w:tcPr>
            <w:tcBorders/>
            <w:tcW w:w="1838" w:type="dxa"/>
            <w:vAlign w:val="center"/>
            <w:textDirection w:val="lrTb"/>
            <w:noWrap w:val="false"/>
          </w:tcPr>
          <w:p>
            <w:pPr>
              <w:pBdr/>
              <w:spacing/>
              <w:ind/>
              <w:jc w:val="center"/>
              <w:rPr/>
            </w:pPr>
            <w:r/>
            <w:r/>
          </w:p>
        </w:tc>
      </w:tr>
      <w:tr>
        <w:trPr>
          <w:jc w:val="center"/>
        </w:trPr>
        <w:tc>
          <w:tcPr>
            <w:gridSpan w:val="2"/>
            <w:tcBorders/>
            <w:tcW w:w="732" w:type="dxa"/>
            <w:vAlign w:val="center"/>
            <w:textDirection w:val="lrTb"/>
            <w:noWrap w:val="false"/>
          </w:tcPr>
          <w:p>
            <w:pPr>
              <w:pBdr/>
              <w:spacing/>
              <w:ind/>
              <w:jc w:val="center"/>
              <w:rPr/>
            </w:pPr>
            <w:r>
              <w:t xml:space="preserve">8</w:t>
            </w:r>
            <w:r/>
          </w:p>
        </w:tc>
        <w:tc>
          <w:tcPr>
            <w:tcBorders/>
            <w:tcW w:w="1843" w:type="dxa"/>
            <w:vAlign w:val="center"/>
            <w:textDirection w:val="lrTb"/>
            <w:noWrap w:val="false"/>
          </w:tcPr>
          <w:p>
            <w:pPr>
              <w:pBdr/>
              <w:spacing/>
              <w:ind/>
              <w:jc w:val="center"/>
              <w:rPr/>
            </w:pPr>
            <w:r>
              <w:t xml:space="preserve">Mặt tiếp giáp</w:t>
            </w:r>
            <w:r/>
          </w:p>
        </w:tc>
        <w:tc>
          <w:tcPr>
            <w:tcBorders/>
            <w:tcW w:w="1816" w:type="dxa"/>
            <w:vAlign w:val="center"/>
            <w:textDirection w:val="lrTb"/>
            <w:noWrap w:val="false"/>
          </w:tcPr>
          <w:p>
            <w:pPr>
              <w:pBdr/>
              <w:spacing/>
              <w:ind/>
              <w:jc w:val="center"/>
              <w:rPr/>
            </w:pPr>
            <w:r>
              <w:t xml:space="preserve">Tiếp giáp 1 mặt tiền</w:t>
            </w:r>
            <w:r/>
          </w:p>
        </w:tc>
        <w:tc>
          <w:tcPr>
            <w:tcBorders/>
            <w:tcW w:w="2011" w:type="dxa"/>
            <w:vAlign w:val="center"/>
            <w:textDirection w:val="lrTb"/>
            <w:noWrap w:val="false"/>
          </w:tcPr>
          <w:p>
            <w:pPr>
              <w:pBdr/>
              <w:spacing/>
              <w:ind/>
              <w:jc w:val="center"/>
              <w:rPr/>
            </w:pPr>
            <w:r>
              <w:t xml:space="preserve">Tiếp giáp 1 mặt tiền ✔</w:t>
            </w:r>
            <w:r/>
          </w:p>
        </w:tc>
        <w:tc>
          <w:tcPr>
            <w:tcBorders/>
            <w:tcW w:w="1276" w:type="dxa"/>
            <w:vAlign w:val="center"/>
            <w:textDirection w:val="lrTb"/>
            <w:noWrap w:val="false"/>
          </w:tcPr>
          <w:p>
            <w:pPr>
              <w:pBdr/>
              <w:spacing/>
              <w:ind/>
              <w:jc w:val="center"/>
              <w:rPr/>
            </w:pPr>
            <w:r>
              <w:t xml:space="preserve">Không</w:t>
            </w:r>
            <w:r/>
          </w:p>
        </w:tc>
        <w:tc>
          <w:tcPr>
            <w:tcBorders/>
            <w:tcW w:w="1838" w:type="dxa"/>
            <w:vAlign w:val="center"/>
            <w:textDirection w:val="lrTb"/>
            <w:noWrap w:val="false"/>
          </w:tcPr>
          <w:p>
            <w:pPr>
              <w:pBdr/>
              <w:spacing/>
              <w:ind/>
              <w:jc w:val="center"/>
              <w:rPr/>
            </w:pPr>
            <w:r/>
            <w:r/>
          </w:p>
        </w:tc>
      </w:tr>
      <w:tr>
        <w:trPr>
          <w:jc w:val="center"/>
        </w:trPr>
        <w:tc>
          <w:tcPr>
            <w:gridSpan w:val="2"/>
            <w:tcBorders/>
            <w:tcW w:w="732" w:type="dxa"/>
            <w:vAlign w:val="center"/>
            <w:textDirection w:val="lrTb"/>
            <w:noWrap w:val="false"/>
          </w:tcPr>
          <w:p>
            <w:pPr>
              <w:pBdr/>
              <w:spacing/>
              <w:ind/>
              <w:jc w:val="center"/>
              <w:rPr/>
            </w:pPr>
            <w:r>
              <w:t xml:space="preserve">9</w:t>
            </w:r>
            <w:r/>
          </w:p>
        </w:tc>
        <w:tc>
          <w:tcPr>
            <w:tcBorders/>
            <w:tcW w:w="1843" w:type="dxa"/>
            <w:vAlign w:val="center"/>
            <w:textDirection w:val="lrTb"/>
            <w:noWrap w:val="false"/>
          </w:tcPr>
          <w:p>
            <w:pPr>
              <w:pBdr/>
              <w:spacing/>
              <w:ind/>
              <w:jc w:val="center"/>
              <w:rPr/>
            </w:pPr>
            <w:r>
              <w:t xml:space="preserve">Hình dạng thửa đất</w:t>
            </w:r>
            <w:r/>
          </w:p>
        </w:tc>
        <w:tc>
          <w:tcPr>
            <w:tcBorders/>
            <w:tcW w:w="1816" w:type="dxa"/>
            <w:vAlign w:val="center"/>
            <w:textDirection w:val="lrTb"/>
            <w:noWrap w:val="false"/>
          </w:tcPr>
          <w:p>
            <w:pPr>
              <w:pBdr/>
              <w:spacing/>
              <w:ind/>
              <w:jc w:val="center"/>
              <w:rPr/>
            </w:pPr>
            <w:r>
              <w:t xml:space="preserve">Nở hậu</w:t>
            </w:r>
            <w:r/>
          </w:p>
        </w:tc>
        <w:tc>
          <w:tcPr>
            <w:tcBorders/>
            <w:tcW w:w="2011" w:type="dxa"/>
            <w:vAlign w:val="center"/>
            <w:textDirection w:val="lrTb"/>
            <w:noWrap w:val="false"/>
          </w:tcPr>
          <w:p>
            <w:pPr>
              <w:pBdr/>
              <w:spacing/>
              <w:ind/>
              <w:jc w:val="center"/>
              <w:rPr/>
            </w:pPr>
            <w:r>
              <w:t xml:space="preserve">Nở hậu ✔</w:t>
            </w:r>
            <w:r/>
          </w:p>
        </w:tc>
        <w:tc>
          <w:tcPr>
            <w:tcBorders/>
            <w:tcW w:w="1276" w:type="dxa"/>
            <w:vAlign w:val="center"/>
            <w:textDirection w:val="lrTb"/>
            <w:noWrap w:val="false"/>
          </w:tcPr>
          <w:p>
            <w:pPr>
              <w:pBdr/>
              <w:spacing/>
              <w:ind/>
              <w:jc w:val="center"/>
              <w:rPr/>
            </w:pPr>
            <w:r>
              <w:t xml:space="preserve">Không</w:t>
            </w:r>
            <w:r/>
          </w:p>
        </w:tc>
        <w:tc>
          <w:tcPr>
            <w:tcBorders/>
            <w:tcW w:w="1838" w:type="dxa"/>
            <w:vAlign w:val="center"/>
            <w:textDirection w:val="lrTb"/>
            <w:noWrap w:val="false"/>
          </w:tcPr>
          <w:p>
            <w:pPr>
              <w:pBdr/>
              <w:spacing/>
              <w:ind/>
              <w:jc w:val="center"/>
              <w:rPr/>
            </w:pPr>
            <w:r/>
            <w:r/>
          </w:p>
        </w:tc>
      </w:tr>
      <w:tr>
        <w:trPr>
          <w:jc w:val="center"/>
        </w:trPr>
        <w:tc>
          <w:tcPr>
            <w:gridSpan w:val="2"/>
            <w:tcBorders/>
            <w:tcW w:w="732" w:type="dxa"/>
            <w:vAlign w:val="center"/>
            <w:textDirection w:val="lrTb"/>
            <w:noWrap w:val="false"/>
          </w:tcPr>
          <w:p>
            <w:pPr>
              <w:pBdr/>
              <w:spacing/>
              <w:ind/>
              <w:jc w:val="center"/>
              <w:rPr/>
            </w:pPr>
            <w:r>
              <w:t xml:space="preserve">10</w:t>
            </w:r>
            <w:r/>
          </w:p>
        </w:tc>
        <w:tc>
          <w:tcPr>
            <w:tcBorders/>
            <w:tcW w:w="1843" w:type="dxa"/>
            <w:vAlign w:val="center"/>
            <w:textDirection w:val="lrTb"/>
            <w:noWrap w:val="false"/>
          </w:tcPr>
          <w:p>
            <w:pPr>
              <w:pBdr/>
              <w:spacing/>
              <w:ind/>
              <w:jc w:val="center"/>
              <w:rPr/>
            </w:pPr>
            <w:r>
              <w:t xml:space="preserve">Hướng</w:t>
            </w:r>
            <w:r/>
          </w:p>
        </w:tc>
        <w:tc>
          <w:tcPr>
            <w:tcBorders/>
            <w:tcW w:w="1816" w:type="dxa"/>
            <w:vAlign w:val="center"/>
            <w:textDirection w:val="lrTb"/>
            <w:noWrap w:val="false"/>
          </w:tcPr>
          <w:p>
            <w:pPr>
              <w:pBdr/>
              <w:spacing/>
              <w:ind/>
              <w:jc w:val="center"/>
              <w:rPr/>
            </w:pPr>
            <w:r>
              <w:t xml:space="preserve">Tây Bắc</w:t>
            </w:r>
            <w:r/>
          </w:p>
        </w:tc>
        <w:tc>
          <w:tcPr>
            <w:tcBorders/>
            <w:tcW w:w="2011" w:type="dxa"/>
            <w:vAlign w:val="center"/>
            <w:textDirection w:val="lrTb"/>
            <w:noWrap w:val="false"/>
          </w:tcPr>
          <w:p>
            <w:pPr>
              <w:pBdr/>
              <w:spacing/>
              <w:ind/>
              <w:jc w:val="center"/>
              <w:rPr/>
            </w:pPr>
            <w:r>
              <w:t xml:space="preserve">Tây Bắc ✔</w:t>
            </w:r>
            <w:r/>
          </w:p>
        </w:tc>
        <w:tc>
          <w:tcPr>
            <w:tcBorders/>
            <w:tcW w:w="1276" w:type="dxa"/>
            <w:vAlign w:val="center"/>
            <w:textDirection w:val="lrTb"/>
            <w:noWrap w:val="false"/>
          </w:tcPr>
          <w:p>
            <w:pPr>
              <w:pBdr/>
              <w:spacing/>
              <w:ind/>
              <w:jc w:val="center"/>
              <w:rPr/>
            </w:pPr>
            <w:r>
              <w:t xml:space="preserve">Không</w:t>
            </w:r>
            <w:r/>
          </w:p>
        </w:tc>
        <w:tc>
          <w:tcPr>
            <w:tcBorders/>
            <w:tcW w:w="1838"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5840"/>
        <w:gridCol w:w="1276"/>
        <w:gridCol w:w="1843"/>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276"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43"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5840"/>
        <w:gridCol w:w="1276"/>
        <w:gridCol w:w="1843"/>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276"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43"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5840" w:type="dxa"/>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843"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1"/>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1"/>
        <w:numPr>
          <w:ilvl w:val="0"/>
          <w:numId w:val="3"/>
        </w:numPr>
        <w:pBdr/>
        <w:tabs>
          <w:tab w:val="left" w:leader="none" w:pos="993"/>
        </w:tabs>
        <w:spacing w:after="120" w:before="120" w:line="264" w:lineRule="auto"/>
        <w:ind/>
        <w:jc w:val="both"/>
        <w:rPr>
          <w:spacing w:val="-2"/>
          <w:lang w:val="pt-BR"/>
        </w:rPr>
      </w:pPr>
      <w:r>
        <w:rPr>
          <w:spacing w:val="-2"/>
          <w:lang w:val="pt-BR"/>
        </w:rPr>
      </w:r>
      <w:r>
        <w:rPr>
          <w:color w:val="000000"/>
        </w:rPr>
        <w:t xml:space="preserve">Tại thời điểm thẩm định giá, t</w:t>
      </w:r>
      <w:r>
        <w:rPr>
          <w:b w:val="0"/>
          <w:bCs w:val="0"/>
          <w:color w:val="000000"/>
        </w:rPr>
        <w:t xml:space="preserve">heo thông tin tại </w:t>
      </w:r>
      <w:r>
        <w:rPr>
          <w:b w:val="0"/>
          <w:bCs w:val="0"/>
          <w:color w:val="000000"/>
        </w:rPr>
        <w:t xml:space="preserve">Giấy chứng nhận quyền sử dụng đất quyền sở hữu tài sản gắn liền với đất số: AA 00817008</w:t>
      </w:r>
      <w:r>
        <w:rPr>
          <w:b w:val="0"/>
          <w:bCs w:val="0"/>
          <w:color w:val="000000"/>
        </w:rPr>
        <w:t xml:space="preserve">; thửa đất có 30,5m2 đất ở tại nông thôn thuộc quy hoạch chỉ giới giao thông. </w:t>
      </w:r>
      <w:r>
        <w:rPr>
          <w:b w:val="0"/>
          <w:bCs w:val="0"/>
          <w:color w:val="000000"/>
        </w:rPr>
        <w:t xml:space="preserve">H</w:t>
      </w:r>
      <w:r>
        <w:rPr>
          <w:b w:val="0"/>
          <w:bCs w:val="0"/>
          <w:color w:val="000000"/>
        </w:rPr>
        <w:t xml:space="preserve">iện nay chưa có thông báo thu hồi đất/quyết định thu hồi đất/phương án giải tỏa bồi thường. Theo đề nghị của Ngân hàng/Khách hàng, tổ thẩm định xác định giá trị tài sản theo thông tin quy hoạch nêu trên, đối với diện tích nằm ngoài quy hoạch tổ thẩm định đ</w:t>
      </w:r>
      <w:r>
        <w:rPr>
          <w:b w:val="0"/>
          <w:bCs w:val="0"/>
          <w:color w:val="000000"/>
        </w:rPr>
        <w:t xml:space="preserve">á</w:t>
      </w:r>
      <w:r>
        <w:rPr>
          <w:b w:val="0"/>
          <w:bCs w:val="0"/>
          <w:color w:val="000000"/>
        </w:rPr>
        <w:t xml:space="preserve">nh giá theo giá trị thị trường, đối với phần nằm trong quy hoạch tổ thẩm định đánh giá theo giá khung UBND từng thời kỳ, giá trị đền bù thực tế còn phụ thuộc vào thỏa thuận các bên tại thời điểm Nhà nước giải phóng mặt bằng thực hiện quy hoạch. Đề nghị đơn</w:t>
      </w:r>
      <w:r>
        <w:rPr>
          <w:b w:val="0"/>
          <w:bCs w:val="0"/>
          <w:color w:val="000000"/>
        </w:rPr>
        <w:t xml:space="preserve"> </w:t>
      </w:r>
      <w:r>
        <w:rPr>
          <w:b w:val="0"/>
          <w:bCs w:val="0"/>
          <w:color w:val="000000"/>
        </w:rPr>
        <w:t xml:space="preserve">vị sử dụng kết quả lưu ý kiểm tra xác minh thêm thông tin quy hoạch nếu thấy cần thiết. Trong trường hợp Khách hàng/Ngân hàng cung cấp được Văn bản xác nhận rõ phần diện tích thuộc quy hoạch mà có sự sai khác so với số liệu nêu trên thì kết quả thẩm định g</w:t>
      </w:r>
      <w:r>
        <w:rPr>
          <w:b w:val="0"/>
          <w:bCs w:val="0"/>
          <w:color w:val="000000"/>
        </w:rPr>
        <w:t xml:space="preserve">iá cần được xem xét, điều chỉnh phù hợp, chúng tôi bảo lưu quyền xem xét lại kết quả thẩm định giá.</w:t>
      </w:r>
      <w:r>
        <w:rPr>
          <w:spacing w:val="-2"/>
          <w:lang w:val="pt-BR"/>
        </w:rPr>
      </w:r>
      <w:r>
        <w:rPr>
          <w:spacing w:val="-2"/>
          <w:lang w:val="pt-BR"/>
        </w:rPr>
      </w:r>
    </w:p>
    <w:p>
      <w:pPr>
        <w:pStyle w:val="1031"/>
        <w:numPr>
          <w:ilvl w:val="0"/>
          <w:numId w:val="3"/>
        </w:numPr>
        <w:pBdr/>
        <w:tabs>
          <w:tab w:val="left" w:leader="none" w:pos="993"/>
        </w:tabs>
        <w:spacing w:after="120" w:before="120" w:line="264" w:lineRule="auto"/>
        <w:ind/>
        <w:jc w:val="both"/>
        <w:rPr>
          <w:spacing w:val="-2"/>
          <w:lang w:val="pt-BR"/>
        </w:rPr>
      </w:pPr>
      <w:r>
        <w:rPr>
          <w:spacing w:val="-2"/>
          <w:lang w:val="pt-BR"/>
        </w:rPr>
      </w:r>
      <w:r>
        <w:rPr>
          <w:color w:val="000000"/>
        </w:rPr>
        <w:t xml:space="preserve">Tại thời</w:t>
      </w:r>
      <w:r>
        <w:rPr>
          <w:color w:val="000000"/>
        </w:rPr>
        <w:t xml:space="preserve"> điểm khảo sát, trên đất có CTXD là nhà 2 tầng diện tích sản khoảng 50m2/sàn, phần còn lại lợp tôn. Công trình xây dựng chưa được chứng nhận trên GCN, ngoài ra tổ thẩm định không được khách hàng cung cấp thêm hồ sơ pháp lí nào liên quan đến CTXD nêu trên. </w:t>
      </w:r>
      <w:r>
        <w:rPr>
          <w:color w:val="000000"/>
        </w:rPr>
        <w:t xml:space="preserve"> 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spacing w:val="-2"/>
          <w:lang w:val="pt-BR"/>
        </w:rPr>
      </w:r>
      <w:r>
        <w:rPr>
          <w:spacing w:val="-2"/>
          <w:lang w:val="pt-BR"/>
        </w:rPr>
      </w:r>
    </w:p>
    <w:p>
      <w:pPr>
        <w:pStyle w:val="1031"/>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1"/>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1"/>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1"/>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1"/>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1"/>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 nằm ngoài quy hoạch</w:t>
      </w:r>
      <w:r>
        <w:rPr>
          <w:b/>
          <w:lang w:val="pt-BR"/>
        </w:rPr>
      </w:r>
      <w:r>
        <w:rPr>
          <w:b/>
          <w:lang w:val="pt-BR"/>
        </w:rPr>
      </w:r>
    </w:p>
    <w:p>
      <w:pPr>
        <w:pStyle w:val="1031"/>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1"/>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Đoài Phương,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Đoài Phương,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Đoài Phương,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Đoài Phương, Thành phố Hà Nội</w:t>
            </w:r>
            <w:r>
              <w:rPr>
                <w:sz w:val="22"/>
                <w:szCs w:val="22"/>
              </w:rPr>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https://www.facebook.com/groups/1886684784704800/posts/28349240771355841/</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https://www.facebook.com/groups/1931508300473887/permalink/4254195511538476/</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0972900346</w:t>
            </w:r>
            <w:r>
              <w:rPr>
                <w:sz w:val="22"/>
                <w:szCs w:val="22"/>
              </w:rPr>
              <w:t xml:space="preserve"> </w:t>
            </w:r>
            <w:r>
              <w:rPr>
                <w:sz w:val="22"/>
                <w:szCs w:val="22"/>
              </w:rPr>
              <w:br/>
              <w:t xml:space="preserve">(</w:t>
            </w:r>
            <w:r>
              <w:rPr>
                <w:sz w:val="22"/>
                <w:szCs w:val="22"/>
              </w:rPr>
              <w:t xml:space="preserve">Bích Ngọc</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0972900346</w:t>
            </w:r>
            <w:r>
              <w:rPr>
                <w:sz w:val="22"/>
                <w:szCs w:val="22"/>
              </w:rPr>
              <w:br/>
            </w:r>
            <w:r>
              <w:rPr>
                <w:sz w:val="22"/>
                <w:szCs w:val="22"/>
              </w:rPr>
              <w:t xml:space="preserve">(</w:t>
            </w:r>
            <w:r>
              <w:rPr>
                <w:sz w:val="22"/>
                <w:szCs w:val="22"/>
              </w:rPr>
              <w:t xml:space="preserve">Bích Ngọc</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0984725523</w:t>
            </w:r>
            <w:r>
              <w:rPr>
                <w:sz w:val="22"/>
                <w:szCs w:val="22"/>
              </w:rPr>
              <w:br/>
            </w:r>
            <w:r>
              <w:rPr>
                <w:sz w:val="22"/>
                <w:szCs w:val="22"/>
              </w:rPr>
              <w:t xml:space="preserve">(</w:t>
            </w:r>
            <w:r>
              <w:rPr>
                <w:sz w:val="22"/>
                <w:szCs w:val="22"/>
              </w:rPr>
              <w:t xml:space="preserve">Thanh Huyền</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giao dịch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giao dịch </w:t>
            </w:r>
            <w:r>
              <w:rPr>
                <w:color w:val="000000"/>
                <w:sz w:val="22"/>
                <w:szCs w:val="22"/>
              </w:rPr>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Đất ở tại nông thôn</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Đất ở tại nông thôn</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Đất ở tại nông thôn</w:t>
            </w:r>
            <w:r>
              <w:rPr>
                <w:color w:val="000000"/>
                <w:sz w:val="22"/>
                <w:szCs w:val="22"/>
              </w:rPr>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Đoài Phương, Thành phố Hà Nội, Mặt tiền đường DT418 21.081194444444446, 105.51661111111112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Đoài Phương, Thành phố Hà Nội, đường Mặt tiền đường 418. Cách QL21 khoảng 1,4km, 21.079104920344953, 105.51226736953821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Sơn Đông, Thị xã Sơn Tây, Thành phố Hà Nội, đường Mặt tiền đường 418. Cách đường QL21 khoảng 1,4km, độ rộng  21.079104920344953, 105.51233576586809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Đoài Phương, Thành phố Hà Nội, khoảng cách ra đường chính Đường Tân Phú. Cách QL21 khoảng 400m 21.082768015560205, 105.50576916088</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220,5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220,6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109</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Diện tích đất nằm ngoài quy hoạch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190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199,9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114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109</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Diện tích đất nằm trong quy hoạch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30,5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20,7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41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7.73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11.37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Nở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Thóp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Thóp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2,5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rPr/>
            </w:pPr>
            <w:r>
              <w:rPr>
                <w:color w:val="000000" w:themeColor="text1"/>
                <w:sz w:val="22"/>
                <w:szCs w:val="22"/>
              </w:rPr>
              <w:t xml:space="preserve">Nhà cấp 4</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rPr/>
            </w:pPr>
            <w:r>
              <w:rPr>
                <w:color w:val="000000" w:themeColor="text1"/>
                <w:sz w:val="22"/>
                <w:szCs w:val="22"/>
              </w:rPr>
              <w:t xml:space="preserve">Đất trống</w:t>
            </w:r>
            <w:r>
              <w:rPr>
                <w:color w:val="000000" w:themeColor="text1"/>
                <w:sz w:val="22"/>
                <w:szCs w:val="22"/>
              </w:rPr>
            </w: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Diện tích sàn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237,5</w:t>
            </w:r>
            <w:r>
              <w:rPr>
                <w:color w:val="000000" w:themeColor="text1"/>
                <w:sz w:val="22"/>
                <w:szCs w:val="22"/>
              </w:rPr>
            </w:r>
            <w:r>
              <w:rPr>
                <w:color w:val="000000" w:themeColor="text1"/>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114</w:t>
            </w:r>
            <w:r>
              <w:rPr>
                <w:color w:val="000000" w:themeColor="text1"/>
                <w:sz w:val="22"/>
                <w:szCs w:val="22"/>
              </w:rPr>
            </w:r>
            <w:r>
              <w:rPr>
                <w:color w:val="000000" w:themeColor="text1"/>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9.485.800.000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6.665.000.000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4.905.000.000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8.537.220.000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5.998.500.000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4.414.500.000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rFonts w:ascii="Times New Roman" w:hAnsi="Times New Roman" w:eastAsia="Times New Roman" w:cs="Times New Roman"/>
                <w:color w:val="000000"/>
                <w:sz w:val="24"/>
                <w:szCs w:val="24"/>
                <w14:ligatures w14:val="none"/>
              </w:rPr>
            </w:pP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rFonts w:ascii="Times New Roman" w:hAnsi="Times New Roman" w:eastAsia="Times New Roman" w:cs="Times New Roman"/>
                <w:color w:val="000000"/>
                <w:sz w:val="24"/>
                <w:szCs w:val="24"/>
                <w14:ligatures w14:val="none"/>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946.228.560</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rFonts w:ascii="Times New Roman" w:hAnsi="Times New Roman" w:eastAsia="Times New Roman" w:cs="Times New Roman"/>
                <w:color w:val="000000"/>
                <w:sz w:val="24"/>
                <w:szCs w:val="24"/>
                <w14:ligatures w14:val="none"/>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493.072.344</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Đơn giá xây dựng theo Quyết định số 425/QĐ-BXD ngày 30/3/2026 của Bộ Xây Dựng (đồng/m²)</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color w:val="000000"/>
                <w:sz w:val="24"/>
                <w:szCs w:val="24"/>
                <w14:ligatures w14:val="none"/>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color w:val="000000"/>
                <w:sz w:val="24"/>
                <w:szCs w:val="24"/>
                <w14:ligatures w14:val="none"/>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7.243.855</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color w:val="000000"/>
                <w:sz w:val="24"/>
                <w:szCs w:val="24"/>
                <w14:ligatures w14:val="none"/>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5.406.495</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 Tỷ lệ % hao mòn</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45</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20</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
                <w:bCs/>
                <w:color w:val="000000"/>
                <w:sz w:val="22"/>
                <w:szCs w:val="22"/>
              </w:rPr>
            </w:pPr>
            <w:r>
              <w:rPr>
                <w:b/>
                <w:bCs/>
                <w:color w:val="000000"/>
                <w:sz w:val="22"/>
                <w:szCs w:val="22"/>
              </w:rPr>
              <w:t xml:space="preserve">Giá trị đất nằm trong quy hoạch</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228.134.700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451.861.000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 w:val="0"/>
                <w:bCs w:val="0"/>
                <w:color w:val="000000"/>
                <w:sz w:val="22"/>
                <w:szCs w:val="22"/>
              </w:rPr>
            </w:pPr>
            <w:r>
              <w:rPr>
                <w:b w:val="0"/>
                <w:bCs w:val="0"/>
                <w:color w:val="000000"/>
                <w:sz w:val="22"/>
                <w:szCs w:val="22"/>
              </w:rPr>
              <w:t xml:space="preserve">Đơn giá đất nằm trong quy hoạch</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11.021.000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11.021.000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11.021.000</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7.362.856.740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5.053.566.656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4.414.500.000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4</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36.832.700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44.329.532</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40.500.000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1"/>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7.362.856.740</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5.053.566.656</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4.414.500.000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36.832.700</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44.329.532</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40.500.000</w:t>
            </w:r>
            <w:r>
              <w:rPr>
                <w:color w:val="000000" w:themeColor="text1"/>
                <w:sz w:val="22"/>
                <w:szCs w:val="22"/>
              </w:rPr>
            </w:r>
            <w:r>
              <w:rPr>
                <w:color w:val="000000" w:themeColor="text1"/>
                <w:sz w:val="22"/>
                <w:szCs w:val="22"/>
                <w14:ligatures w14:val="non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36.832.700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44.329.532</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36.832.700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44.329.532</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36.832.700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44.329.532</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Đoài Phương, Thành phố Hà Nội, Mặt tiền đường DT418 21.081194444444446, 105.51661111111112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Đoài Phương, Thành phố Hà Nội, đường Mặt tiền đường 418. Cách QL21 khoảng 1,4km, 21.079104920344953, 105.51226736953821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Sơn Đông, Thị xã Sơn Tây, Thành phố Hà Nội, đường Mặt tiền đường 418. Cách đường QL21 khoảng 1,4km, độ rộng  21.079104920344953, 105.51233576586809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Đoài Phương, Thành phố Hà Nội, khoảng cách ra đường chính Đường Tân Phú. Cách QL21 khoảng 400m 21.082768015560205, 105.50576916088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3.240.000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36.832.700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44.329.532</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43.740.000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36.832.700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44.329.532</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43.740.000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1.215.000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36.832.700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44.329.532</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44.955.000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nằm ngoài quy hoạchk(m²)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190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199.9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114 (QH: 41)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109</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-4.432.953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-4.050.000 </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36.832.700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39.896.579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40.905.000 </w:t>
            </w: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7,73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11,37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7,12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-1.104.981 </w:t>
            </w: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35.727.719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39.896.579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42.525.000 </w:t>
            </w: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35.740.629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42.649.620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42.525.000 </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Nở hậu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Thóp hậu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Thóp hậu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6,00%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6,00%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2.209.962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2.659.772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37.937.681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42.556.351 </w:t>
            </w: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42.525.000 </w:t>
            </w:r>
            <w:r>
              <w:rPr>
                <w:rFonts w:ascii="Times New Roman" w:hAnsi="Times New Roman" w:eastAsia="Times New Roman" w:cs="Times New Roman"/>
                <w:color w:val="000000"/>
                <w:sz w:val="22"/>
              </w:rPr>
              <w:t xml:space="preserve"> </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37.582.264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45.158.421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14:ligatures w14:val="none"/>
              </w:rPr>
            </w:pPr>
            <w:r>
              <w:rPr>
                <w:b/>
                <w:bCs/>
                <w:color w:val="000000" w:themeColor="text1"/>
                <w:sz w:val="22"/>
                <w:szCs w:val="22"/>
              </w:rPr>
              <w:t xml:space="preserve">42.525.000 </w:t>
            </w:r>
            <w:r>
              <w:rPr>
                <w:b/>
                <w:bCs/>
                <w:color w:val="000000" w:themeColor="text1"/>
                <w:sz w:val="22"/>
                <w:szCs w:val="22"/>
                <w14:ligatures w14:val="none"/>
              </w:rPr>
            </w:r>
            <w:r>
              <w:rPr>
                <w:b/>
                <w:bCs/>
                <w:color w:val="000000" w:themeColor="text1"/>
                <w:sz w:val="22"/>
                <w:szCs w:val="22"/>
                <w14:ligatures w14:val="none"/>
              </w:rPr>
            </w:r>
          </w:p>
        </w:tc>
      </w:tr>
      <w:tr>
        <w:trPr>
          <w:trHeight w:val="265"/>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41.006.344 </w:t>
            </w: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-7,5%</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3,8%</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3,7%</w:t>
            </w: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3.314.943 </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7.092.725 </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10.125.000 </w:t>
            </w: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 - 6%</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 - 10%</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 - 10%</w:t>
            </w: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1.104.981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1.773.181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2.025.000 </w:t>
            </w: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-7,5</w:t>
      </w:r>
      <w:r>
        <w:t xml:space="preserve">% đến</w:t>
      </w:r>
      <w:r>
        <w:t xml:space="preserve"> </w:t>
      </w:r>
      <w:r>
        <w:t xml:space="preserve"> 3,8</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Style w:val="1035"/>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913"/>
        <w:gridCol w:w="2219"/>
        <w:gridCol w:w="2226"/>
        <w:gridCol w:w="2223"/>
        <w:gridCol w:w="2227"/>
      </w:tblGrid>
      <w:tr>
        <w:trPr>
          <w:trHeight w:val="936"/>
        </w:trPr>
        <w:tc>
          <w:tcPr>
            <w:shd w:val="clear" w:color="ffffff" w:themeColor="background1" w:fill="ffffff" w:themeFill="background1"/>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91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TT</w:t>
            </w:r>
            <w:r>
              <w:rPr>
                <w:highlight w:val="white"/>
              </w:rPr>
            </w:r>
            <w:r>
              <w:rPr>
                <w:highlight w:val="white"/>
              </w:rPr>
            </w:r>
          </w:p>
        </w:tc>
        <w:tc>
          <w:tcPr>
            <w:shd w:val="clear" w:color="ffffff" w:themeColor="background1" w:fill="ffffff" w:themeFill="background1"/>
            <w:tcBorders>
              <w:top w:val="single" w:color="000000" w:sz="5" w:space="0"/>
              <w:bottom w:val="single" w:color="000000" w:sz="5" w:space="0"/>
              <w:right w:val="single" w:color="000000" w:sz="5" w:space="0"/>
            </w:tcBorders>
            <w:tcMar>
              <w:left w:w="0" w:type="dxa"/>
              <w:top w:w="0" w:type="dxa"/>
              <w:right w:w="0" w:type="dxa"/>
              <w:bottom w:w="0" w:type="dxa"/>
            </w:tcMar>
            <w:tcW w:w="221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Tài sản</w:t>
            </w:r>
            <w:r>
              <w:rPr>
                <w:highlight w:val="white"/>
              </w:rPr>
            </w:r>
            <w:r>
              <w:rPr>
                <w:highlight w:val="white"/>
              </w:rPr>
            </w:r>
          </w:p>
        </w:tc>
        <w:tc>
          <w:tcPr>
            <w:shd w:val="clear" w:color="ffffff" w:themeColor="background1" w:fill="ffffff" w:themeFill="background1"/>
            <w:tcBorders>
              <w:top w:val="single" w:color="000000" w:sz="5" w:space="0"/>
              <w:bottom w:val="single" w:color="000000" w:sz="5" w:space="0"/>
              <w:right w:val="single" w:color="000000" w:sz="5" w:space="0"/>
            </w:tcBorders>
            <w:tcMar>
              <w:left w:w="0" w:type="dxa"/>
              <w:top w:w="0" w:type="dxa"/>
              <w:right w:w="0" w:type="dxa"/>
              <w:bottom w:w="0" w:type="dxa"/>
            </w:tcMar>
            <w:tcW w:w="222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Mức giá chỉ dẫn của các TSSS</w:t>
            </w:r>
            <w:r>
              <w:rPr>
                <w:highlight w:val="white"/>
              </w:rPr>
            </w:r>
            <w:r>
              <w:rPr>
                <w:highlight w:val="white"/>
              </w:rPr>
            </w:r>
          </w:p>
        </w:tc>
        <w:tc>
          <w:tcPr>
            <w:shd w:val="clear" w:color="ffffff" w:themeColor="background1" w:fill="ffffff" w:themeFill="background1"/>
            <w:tcBorders>
              <w:top w:val="single" w:color="000000" w:sz="5" w:space="0"/>
              <w:bottom w:val="single" w:color="000000" w:sz="5" w:space="0"/>
              <w:right w:val="single" w:color="000000" w:sz="5" w:space="0"/>
            </w:tcBorders>
            <w:tcMar>
              <w:left w:w="0" w:type="dxa"/>
              <w:top w:w="0" w:type="dxa"/>
              <w:right w:w="0" w:type="dxa"/>
              <w:bottom w:w="0" w:type="dxa"/>
            </w:tcMar>
            <w:tcW w:w="222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Trọng số của các TSSS sau điều chỉnh</w:t>
            </w:r>
            <w:r>
              <w:rPr>
                <w:highlight w:val="white"/>
              </w:rPr>
            </w:r>
            <w:r>
              <w:rPr>
                <w:highlight w:val="white"/>
              </w:rPr>
            </w:r>
          </w:p>
        </w:tc>
        <w:tc>
          <w:tcPr>
            <w:shd w:val="clear" w:color="ffffff" w:themeColor="background1" w:fill="ffffff" w:themeFill="background1"/>
            <w:tcBorders>
              <w:top w:val="single" w:color="000000" w:sz="5" w:space="0"/>
              <w:bottom w:val="single" w:color="000000" w:sz="5" w:space="0"/>
              <w:right w:val="single" w:color="000000" w:sz="5" w:space="0"/>
            </w:tcBorders>
            <w:tcMar>
              <w:left w:w="0" w:type="dxa"/>
              <w:top w:w="0" w:type="dxa"/>
              <w:right w:w="0" w:type="dxa"/>
              <w:bottom w:w="0" w:type="dxa"/>
            </w:tcMar>
            <w:tcW w:w="222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Giá trị trung bình của mức giá chỉ dẫn sau điều chỉnh</w:t>
            </w:r>
            <w:r>
              <w:rPr>
                <w:highlight w:val="white"/>
              </w:rPr>
            </w:r>
            <w:r>
              <w:rPr>
                <w:highlight w:val="white"/>
              </w:rPr>
            </w:r>
          </w:p>
        </w:tc>
      </w:tr>
      <w:tr>
        <w:trPr>
          <w:trHeight w:val="312"/>
        </w:trPr>
        <w:tc>
          <w:tcPr>
            <w:shd w:val="clear" w:color="ffffff" w:themeColor="background1" w:fill="ffffff" w:themeFill="background1"/>
            <w:tcBorders>
              <w:left w:val="single" w:color="000000" w:sz="5" w:space="0"/>
              <w:bottom w:val="single" w:color="000000" w:sz="5" w:space="0"/>
              <w:right w:val="single" w:color="000000" w:sz="5" w:space="0"/>
            </w:tcBorders>
            <w:tcMar>
              <w:left w:w="0" w:type="dxa"/>
              <w:top w:w="0" w:type="dxa"/>
              <w:right w:w="0" w:type="dxa"/>
              <w:bottom w:w="0" w:type="dxa"/>
            </w:tcMar>
            <w:tcW w:w="91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w:t>
            </w:r>
            <w:r>
              <w:rPr>
                <w:highlight w:val="white"/>
              </w:rPr>
            </w:r>
            <w:r>
              <w:rPr>
                <w:highlight w:val="white"/>
              </w:rPr>
            </w:r>
          </w:p>
        </w:tc>
        <w:tc>
          <w:tcPr>
            <w:shd w:val="clear" w:color="ffffff" w:themeColor="background1" w:fill="ffffff" w:themeFill="background1"/>
            <w:tcBorders>
              <w:bottom w:val="single" w:color="000000" w:sz="5" w:space="0"/>
              <w:right w:val="single" w:color="000000" w:sz="5" w:space="0"/>
            </w:tcBorders>
            <w:tcMar>
              <w:left w:w="0" w:type="dxa"/>
              <w:top w:w="0" w:type="dxa"/>
              <w:right w:w="0" w:type="dxa"/>
              <w:bottom w:w="0" w:type="dxa"/>
            </w:tcMar>
            <w:tcW w:w="2219" w:type="dxa"/>
            <w:vAlign w:val="center"/>
            <w:textDirection w:val="lrTb"/>
            <w:noWrap w:val="false"/>
          </w:tcPr>
          <w:p>
            <w:pPr>
              <w:pBdr/>
              <w:spacing w:after="0" w:before="0" w:line="240" w:lineRule="auto"/>
              <w:ind/>
              <w:jc w:val="both"/>
              <w:rPr>
                <w:highlight w:val="white"/>
              </w:rPr>
            </w:pPr>
            <w:r>
              <w:rPr>
                <w:rFonts w:ascii="Times New Roman" w:hAnsi="Times New Roman" w:eastAsia="Times New Roman" w:cs="Times New Roman"/>
                <w:color w:val="000000"/>
                <w:sz w:val="24"/>
                <w:highlight w:val="white"/>
              </w:rPr>
              <w:t xml:space="preserve">Tài sản so sánh 1</w:t>
            </w:r>
            <w:r>
              <w:rPr>
                <w:highlight w:val="white"/>
              </w:rPr>
            </w:r>
            <w:r>
              <w:rPr>
                <w:highlight w:val="white"/>
              </w:rPr>
            </w:r>
          </w:p>
        </w:tc>
        <w:tc>
          <w:tcPr>
            <w:shd w:val="clear" w:color="ffffff" w:themeColor="background1" w:fill="ffffff" w:themeFill="background1"/>
            <w:tcBorders>
              <w:bottom w:val="single" w:color="000000" w:sz="5" w:space="0"/>
              <w:right w:val="single" w:color="000000" w:sz="5" w:space="0"/>
            </w:tcBorders>
            <w:tcMar>
              <w:left w:w="0" w:type="dxa"/>
              <w:top w:w="0" w:type="dxa"/>
              <w:right w:w="0" w:type="dxa"/>
              <w:bottom w:w="0" w:type="dxa"/>
            </w:tcMar>
            <w:tcW w:w="222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37.937.681</w:t>
            </w:r>
            <w:r>
              <w:rPr>
                <w:highlight w:val="white"/>
              </w:rPr>
            </w:r>
            <w:r>
              <w:rPr>
                <w:highlight w:val="white"/>
              </w:rPr>
            </w:r>
          </w:p>
        </w:tc>
        <w:tc>
          <w:tcPr>
            <w:shd w:val="clear" w:color="ffffff" w:themeColor="background1" w:fill="ffffff" w:themeFill="background1"/>
            <w:tcBorders>
              <w:bottom w:val="single" w:color="000000" w:sz="5" w:space="0"/>
              <w:right w:val="single" w:color="000000" w:sz="5" w:space="0"/>
            </w:tcBorders>
            <w:tcMar>
              <w:left w:w="0" w:type="dxa"/>
              <w:top w:w="0" w:type="dxa"/>
              <w:right w:w="0" w:type="dxa"/>
              <w:bottom w:w="0" w:type="dxa"/>
            </w:tcMar>
            <w:tcW w:w="222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33,33%</w:t>
            </w:r>
            <w:r>
              <w:rPr>
                <w:highlight w:val="white"/>
              </w:rPr>
            </w:r>
            <w:r>
              <w:rPr>
                <w:highlight w:val="white"/>
              </w:rPr>
            </w:r>
          </w:p>
        </w:tc>
        <w:tc>
          <w:tcPr>
            <w:shd w:val="clear" w:color="ffffff" w:themeColor="background1" w:fill="ffffff" w:themeFill="background1"/>
            <w:tcBorders>
              <w:bottom w:val="single" w:color="000000" w:sz="5" w:space="0"/>
              <w:right w:val="single" w:color="000000" w:sz="5" w:space="0"/>
            </w:tcBorders>
            <w:tcMar>
              <w:left w:w="0" w:type="dxa"/>
              <w:top w:w="0" w:type="dxa"/>
              <w:right w:w="0" w:type="dxa"/>
              <w:bottom w:w="0" w:type="dxa"/>
            </w:tcMar>
            <w:tcW w:w="222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12.644.629</w:t>
            </w:r>
            <w:r>
              <w:rPr>
                <w:highlight w:val="white"/>
              </w:rPr>
            </w:r>
            <w:r>
              <w:rPr>
                <w:highlight w:val="white"/>
              </w:rPr>
            </w:r>
          </w:p>
        </w:tc>
      </w:tr>
      <w:tr>
        <w:trPr>
          <w:trHeight w:val="312"/>
        </w:trPr>
        <w:tc>
          <w:tcPr>
            <w:shd w:val="clear" w:color="ffffff" w:themeColor="background1" w:fill="ffffff" w:themeFill="background1"/>
            <w:tcBorders>
              <w:left w:val="single" w:color="000000" w:sz="5" w:space="0"/>
              <w:bottom w:val="single" w:color="000000" w:sz="5" w:space="0"/>
              <w:right w:val="single" w:color="000000" w:sz="5" w:space="0"/>
            </w:tcBorders>
            <w:tcMar>
              <w:left w:w="0" w:type="dxa"/>
              <w:top w:w="0" w:type="dxa"/>
              <w:right w:w="0" w:type="dxa"/>
              <w:bottom w:w="0" w:type="dxa"/>
            </w:tcMar>
            <w:tcW w:w="91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2</w:t>
            </w:r>
            <w:r>
              <w:rPr>
                <w:highlight w:val="white"/>
              </w:rPr>
            </w:r>
            <w:r>
              <w:rPr>
                <w:highlight w:val="white"/>
              </w:rPr>
            </w:r>
          </w:p>
        </w:tc>
        <w:tc>
          <w:tcPr>
            <w:shd w:val="clear" w:color="ffffff" w:themeColor="background1" w:fill="ffffff" w:themeFill="background1"/>
            <w:tcBorders>
              <w:bottom w:val="single" w:color="000000" w:sz="5" w:space="0"/>
              <w:right w:val="single" w:color="000000" w:sz="5" w:space="0"/>
            </w:tcBorders>
            <w:tcMar>
              <w:left w:w="0" w:type="dxa"/>
              <w:top w:w="0" w:type="dxa"/>
              <w:right w:w="0" w:type="dxa"/>
              <w:bottom w:w="0" w:type="dxa"/>
            </w:tcMar>
            <w:tcW w:w="2219" w:type="dxa"/>
            <w:vAlign w:val="center"/>
            <w:textDirection w:val="lrTb"/>
            <w:noWrap w:val="false"/>
          </w:tcPr>
          <w:p>
            <w:pPr>
              <w:pBdr/>
              <w:spacing w:after="0" w:before="0" w:line="240" w:lineRule="auto"/>
              <w:ind/>
              <w:jc w:val="both"/>
              <w:rPr>
                <w:highlight w:val="white"/>
              </w:rPr>
            </w:pPr>
            <w:r>
              <w:rPr>
                <w:rFonts w:ascii="Times New Roman" w:hAnsi="Times New Roman" w:eastAsia="Times New Roman" w:cs="Times New Roman"/>
                <w:color w:val="000000"/>
                <w:sz w:val="24"/>
                <w:highlight w:val="white"/>
              </w:rPr>
              <w:t xml:space="preserve">Tài sản so sánh 2</w:t>
            </w:r>
            <w:r>
              <w:rPr>
                <w:highlight w:val="white"/>
              </w:rPr>
            </w:r>
            <w:r>
              <w:rPr>
                <w:highlight w:val="white"/>
              </w:rPr>
            </w:r>
          </w:p>
        </w:tc>
        <w:tc>
          <w:tcPr>
            <w:shd w:val="clear" w:color="ffffff" w:themeColor="background1" w:fill="ffffff" w:themeFill="background1"/>
            <w:tcBorders>
              <w:bottom w:val="single" w:color="000000" w:sz="5" w:space="0"/>
              <w:right w:val="single" w:color="000000" w:sz="5" w:space="0"/>
            </w:tcBorders>
            <w:tcMar>
              <w:left w:w="0" w:type="dxa"/>
              <w:top w:w="0" w:type="dxa"/>
              <w:right w:w="0" w:type="dxa"/>
              <w:bottom w:w="0" w:type="dxa"/>
            </w:tcMar>
            <w:tcW w:w="222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42.556.351</w:t>
            </w:r>
            <w:r>
              <w:rPr>
                <w:highlight w:val="white"/>
              </w:rPr>
            </w:r>
            <w:r>
              <w:rPr>
                <w:highlight w:val="white"/>
              </w:rPr>
            </w:r>
          </w:p>
        </w:tc>
        <w:tc>
          <w:tcPr>
            <w:shd w:val="clear" w:color="ffffff" w:themeColor="background1" w:fill="ffffff" w:themeFill="background1"/>
            <w:tcBorders>
              <w:bottom w:val="single" w:color="000000" w:sz="5" w:space="0"/>
              <w:right w:val="single" w:color="000000" w:sz="5" w:space="0"/>
            </w:tcBorders>
            <w:tcMar>
              <w:left w:w="0" w:type="dxa"/>
              <w:top w:w="0" w:type="dxa"/>
              <w:right w:w="0" w:type="dxa"/>
              <w:bottom w:w="0" w:type="dxa"/>
            </w:tcMar>
            <w:tcW w:w="222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33,33%</w:t>
            </w:r>
            <w:r>
              <w:rPr>
                <w:highlight w:val="white"/>
              </w:rPr>
            </w:r>
            <w:r>
              <w:rPr>
                <w:highlight w:val="white"/>
              </w:rPr>
            </w:r>
          </w:p>
        </w:tc>
        <w:tc>
          <w:tcPr>
            <w:shd w:val="clear" w:color="ffffff" w:themeColor="background1" w:fill="ffffff" w:themeFill="background1"/>
            <w:tcBorders>
              <w:bottom w:val="single" w:color="000000" w:sz="5" w:space="0"/>
              <w:right w:val="single" w:color="000000" w:sz="5" w:space="0"/>
            </w:tcBorders>
            <w:tcMar>
              <w:left w:w="0" w:type="dxa"/>
              <w:top w:w="0" w:type="dxa"/>
              <w:right w:w="0" w:type="dxa"/>
              <w:bottom w:w="0" w:type="dxa"/>
            </w:tcMar>
            <w:tcW w:w="222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14.184.032</w:t>
            </w:r>
            <w:r>
              <w:rPr>
                <w:highlight w:val="white"/>
              </w:rPr>
            </w:r>
            <w:r>
              <w:rPr>
                <w:highlight w:val="white"/>
              </w:rPr>
            </w:r>
          </w:p>
        </w:tc>
      </w:tr>
      <w:tr>
        <w:trPr>
          <w:trHeight w:val="312"/>
        </w:trPr>
        <w:tc>
          <w:tcPr>
            <w:shd w:val="clear" w:color="ffffff" w:themeColor="background1" w:fill="ffffff" w:themeFill="background1"/>
            <w:tcBorders>
              <w:left w:val="single" w:color="000000" w:sz="5" w:space="0"/>
              <w:bottom w:val="single" w:color="000000" w:sz="5" w:space="0"/>
              <w:right w:val="single" w:color="000000" w:sz="5" w:space="0"/>
            </w:tcBorders>
            <w:tcMar>
              <w:left w:w="0" w:type="dxa"/>
              <w:top w:w="0" w:type="dxa"/>
              <w:right w:w="0" w:type="dxa"/>
              <w:bottom w:w="0" w:type="dxa"/>
            </w:tcMar>
            <w:tcW w:w="91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w:t>
            </w:r>
            <w:r>
              <w:rPr>
                <w:highlight w:val="white"/>
              </w:rPr>
            </w:r>
            <w:r>
              <w:rPr>
                <w:highlight w:val="white"/>
              </w:rPr>
            </w:r>
          </w:p>
        </w:tc>
        <w:tc>
          <w:tcPr>
            <w:shd w:val="clear" w:color="ffffff" w:themeColor="background1" w:fill="ffffff" w:themeFill="background1"/>
            <w:tcBorders>
              <w:bottom w:val="single" w:color="000000" w:sz="5" w:space="0"/>
              <w:right w:val="single" w:color="000000" w:sz="5" w:space="0"/>
            </w:tcBorders>
            <w:tcMar>
              <w:left w:w="0" w:type="dxa"/>
              <w:top w:w="0" w:type="dxa"/>
              <w:right w:w="0" w:type="dxa"/>
              <w:bottom w:w="0" w:type="dxa"/>
            </w:tcMar>
            <w:tcW w:w="2219" w:type="dxa"/>
            <w:vAlign w:val="center"/>
            <w:textDirection w:val="lrTb"/>
            <w:noWrap w:val="false"/>
          </w:tcPr>
          <w:p>
            <w:pPr>
              <w:pBdr/>
              <w:spacing w:after="0" w:before="0" w:line="240" w:lineRule="auto"/>
              <w:ind/>
              <w:jc w:val="both"/>
              <w:rPr>
                <w:highlight w:val="white"/>
              </w:rPr>
            </w:pPr>
            <w:r>
              <w:rPr>
                <w:rFonts w:ascii="Times New Roman" w:hAnsi="Times New Roman" w:eastAsia="Times New Roman" w:cs="Times New Roman"/>
                <w:color w:val="000000"/>
                <w:sz w:val="24"/>
                <w:highlight w:val="white"/>
              </w:rPr>
              <w:t xml:space="preserve">Tài sản so sánh 3</w:t>
            </w:r>
            <w:r>
              <w:rPr>
                <w:highlight w:val="white"/>
              </w:rPr>
            </w:r>
            <w:r>
              <w:rPr>
                <w:highlight w:val="white"/>
              </w:rPr>
            </w:r>
          </w:p>
        </w:tc>
        <w:tc>
          <w:tcPr>
            <w:shd w:val="clear" w:color="ffffff" w:themeColor="background1" w:fill="ffffff" w:themeFill="background1"/>
            <w:tcBorders>
              <w:bottom w:val="single" w:color="000000" w:sz="5" w:space="0"/>
              <w:right w:val="single" w:color="000000" w:sz="5" w:space="0"/>
            </w:tcBorders>
            <w:tcMar>
              <w:left w:w="0" w:type="dxa"/>
              <w:top w:w="0" w:type="dxa"/>
              <w:right w:w="0" w:type="dxa"/>
              <w:bottom w:w="0" w:type="dxa"/>
            </w:tcMar>
            <w:tcW w:w="222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42.525.000</w:t>
            </w:r>
            <w:r>
              <w:rPr>
                <w:highlight w:val="white"/>
              </w:rPr>
            </w:r>
            <w:r>
              <w:rPr>
                <w:highlight w:val="white"/>
              </w:rPr>
            </w:r>
          </w:p>
        </w:tc>
        <w:tc>
          <w:tcPr>
            <w:shd w:val="clear" w:color="ffffff" w:themeColor="background1" w:fill="ffffff" w:themeFill="background1"/>
            <w:tcBorders>
              <w:bottom w:val="single" w:color="000000" w:sz="5" w:space="0"/>
              <w:right w:val="single" w:color="000000" w:sz="5" w:space="0"/>
            </w:tcBorders>
            <w:tcMar>
              <w:left w:w="0" w:type="dxa"/>
              <w:top w:w="0" w:type="dxa"/>
              <w:right w:w="0" w:type="dxa"/>
              <w:bottom w:w="0" w:type="dxa"/>
            </w:tcMar>
            <w:tcW w:w="2223"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33,34%</w:t>
            </w:r>
            <w:r>
              <w:rPr>
                <w:highlight w:val="white"/>
              </w:rPr>
            </w:r>
            <w:r>
              <w:rPr>
                <w:highlight w:val="white"/>
              </w:rPr>
            </w:r>
          </w:p>
        </w:tc>
        <w:tc>
          <w:tcPr>
            <w:shd w:val="clear" w:color="ffffff" w:themeColor="background1" w:fill="ffffff" w:themeFill="background1"/>
            <w:tcBorders>
              <w:bottom w:val="single" w:color="000000" w:sz="5" w:space="0"/>
              <w:right w:val="single" w:color="000000" w:sz="5" w:space="0"/>
            </w:tcBorders>
            <w:tcMar>
              <w:left w:w="0" w:type="dxa"/>
              <w:top w:w="0" w:type="dxa"/>
              <w:right w:w="0" w:type="dxa"/>
              <w:bottom w:w="0" w:type="dxa"/>
            </w:tcMar>
            <w:tcW w:w="222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14.177.835</w:t>
            </w:r>
            <w:r>
              <w:rPr>
                <w:highlight w:val="white"/>
              </w:rPr>
            </w:r>
            <w:r>
              <w:rPr>
                <w:highlight w:val="white"/>
              </w:rPr>
            </w:r>
          </w:p>
        </w:tc>
      </w:tr>
      <w:tr>
        <w:trPr>
          <w:trHeight w:val="312"/>
        </w:trPr>
        <w:tc>
          <w:tcPr>
            <w:gridSpan w:val="4"/>
            <w:shd w:val="clear" w:color="ffffff" w:themeColor="background1" w:fill="ffffff" w:themeFill="background1"/>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758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Giá trị bình quân theo trọng số:</w:t>
            </w:r>
            <w:r>
              <w:rPr>
                <w:highlight w:val="white"/>
              </w:rPr>
            </w:r>
            <w:r>
              <w:rPr>
                <w:highlight w:val="white"/>
              </w:rPr>
            </w:r>
          </w:p>
        </w:tc>
        <w:tc>
          <w:tcPr>
            <w:shd w:val="clear" w:color="ffffff" w:themeColor="background1" w:fill="ffffff" w:themeFill="background1"/>
            <w:tcBorders>
              <w:bottom w:val="single" w:color="000000" w:sz="5" w:space="0"/>
              <w:right w:val="single" w:color="000000" w:sz="5" w:space="0"/>
            </w:tcBorders>
            <w:tcMar>
              <w:left w:w="0" w:type="dxa"/>
              <w:top w:w="0" w:type="dxa"/>
              <w:right w:w="0" w:type="dxa"/>
              <w:bottom w:w="0" w:type="dxa"/>
            </w:tcMar>
            <w:tcW w:w="222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41.006.496</w:t>
            </w:r>
            <w:r>
              <w:rPr>
                <w:highlight w:val="white"/>
              </w:rPr>
            </w:r>
            <w:r>
              <w:rPr>
                <w:highlight w:val="white"/>
              </w:rPr>
            </w:r>
          </w:p>
        </w:tc>
      </w:tr>
      <w:tr>
        <w:trPr>
          <w:trHeight w:val="312"/>
        </w:trPr>
        <w:tc>
          <w:tcPr>
            <w:gridSpan w:val="4"/>
            <w:shd w:val="clear" w:color="ffffff" w:themeColor="background1" w:fill="ffffff" w:themeFill="background1"/>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758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Làm tròn:</w:t>
            </w:r>
            <w:r>
              <w:rPr>
                <w:highlight w:val="white"/>
              </w:rPr>
            </w:r>
            <w:r>
              <w:rPr>
                <w:highlight w:val="white"/>
              </w:rPr>
            </w:r>
          </w:p>
        </w:tc>
        <w:tc>
          <w:tcPr>
            <w:shd w:val="clear" w:color="ffffff" w:themeColor="background1" w:fill="ffffff" w:themeFill="background1"/>
            <w:tcBorders>
              <w:bottom w:val="single" w:color="000000" w:sz="5" w:space="0"/>
              <w:right w:val="single" w:color="000000" w:sz="5" w:space="0"/>
            </w:tcBorders>
            <w:tcMar>
              <w:left w:w="0" w:type="dxa"/>
              <w:top w:w="0" w:type="dxa"/>
              <w:right w:w="0" w:type="dxa"/>
              <w:bottom w:w="0" w:type="dxa"/>
            </w:tcMar>
            <w:tcW w:w="2227"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41.000.000</w:t>
            </w:r>
            <w:r>
              <w:rPr>
                <w:highlight w:val="white"/>
              </w:rPr>
            </w:r>
            <w:r>
              <w:rPr>
                <w:highlight w:val="white"/>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41.000.000</w:t>
      </w:r>
      <w:r>
        <w:rPr>
          <w:b/>
          <w:bCs/>
          <w:color w:val="000000" w:themeColor="text1"/>
        </w:rPr>
        <w:t xml:space="preserve"> </w:t>
      </w:r>
      <w:r>
        <w:rPr>
          <w:b/>
          <w:bCs/>
        </w:rPr>
        <w:t xml:space="preserve">đồng/m².</w:t>
      </w:r>
      <w:r>
        <w:rPr>
          <w:b/>
          <w:bCs/>
        </w:rPr>
      </w:r>
      <w:r>
        <w:rPr>
          <w:b/>
          <w:bCs/>
        </w:rPr>
      </w:r>
    </w:p>
    <w:p>
      <w:pPr>
        <w:pStyle w:val="1031"/>
        <w:numPr>
          <w:ilvl w:val="0"/>
          <w:numId w:val="26"/>
        </w:numPr>
        <w:pBdr/>
        <w:spacing w:after="120" w:before="120" w:line="276" w:lineRule="auto"/>
        <w:ind w:hanging="357" w:left="357"/>
        <w:jc w:val="both"/>
        <w:rPr>
          <w:b/>
          <w:bCs/>
        </w:rPr>
      </w:pPr>
      <w:r>
        <w:rPr>
          <w:b/>
          <w:bCs/>
        </w:rPr>
        <w:t xml:space="preserve">Xác định giá trị quyền sử dụng đất nằm trong quy hoạch</w:t>
      </w:r>
      <w:r>
        <w:rPr>
          <w:b/>
          <w:bCs/>
        </w:rPr>
      </w:r>
      <w:r>
        <w:rPr>
          <w:b/>
          <w:bCs/>
        </w:rPr>
      </w:r>
    </w:p>
    <w:p>
      <w:pPr>
        <w:pStyle w:val="1031"/>
        <w:pBdr/>
        <w:spacing w:after="120" w:before="120" w:line="276" w:lineRule="auto"/>
        <w:ind w:left="357"/>
        <w:jc w:val="both"/>
        <w:rPr>
          <w:b w:val="0"/>
          <w:bCs w:val="0"/>
          <w:lang w:val="pt-BR"/>
          <w14:ligatures w14:val="none"/>
        </w:rPr>
      </w:pPr>
      <w:r>
        <w:rPr>
          <w:b/>
          <w:lang w:val="pt-BR"/>
        </w:rPr>
      </w:r>
      <w:r>
        <w:rPr>
          <w:b w:val="0"/>
          <w:bCs w:val="0"/>
          <w:lang w:val="pt-BR"/>
        </w:rPr>
        <w:t xml:space="preserve">Căn cứ Quyết</w:t>
      </w:r>
      <w:r>
        <w:rPr>
          <w:b w:val="0"/>
          <w:bCs w:val="0"/>
          <w:lang w:val="pt-BR"/>
        </w:rPr>
        <w:t xml:space="preserve"> định số </w:t>
      </w:r>
      <w:r>
        <w:rPr>
          <w:b w:val="0"/>
          <w:bCs w:val="0"/>
          <w:lang w:val="pt-BR"/>
        </w:rPr>
        <w:t xml:space="preserve">52/2025/NQ-HĐND</w:t>
      </w:r>
      <w:r>
        <w:rPr>
          <w:b w:val="0"/>
          <w:bCs w:val="0"/>
          <w:lang w:val="pt-BR"/>
        </w:rPr>
        <w:t xml:space="preserve"> của hội đồng nhân dân thành phố Hà Nội ngày </w:t>
      </w:r>
      <w:r>
        <w:rPr>
          <w:b w:val="0"/>
          <w:bCs w:val="0"/>
          <w:lang w:val="pt-BR"/>
        </w:rPr>
        <w:t xml:space="preserve">26 tháng 11 năm 2025</w:t>
      </w:r>
      <w:r>
        <w:rPr>
          <w:b w:val="0"/>
          <w:bCs w:val="0"/>
          <w:lang w:val="pt-BR"/>
        </w:rPr>
        <w:t xml:space="preserve"> về việc quy định về bảng giá đất lần đầu để công bố và áp dụng từ ngày 01 tháng 11 năm 2026 trên địa bàn địa bàn thành phố Hà Nội. Đơn giá đất thuộc quy hoạch chỉ giới giao thông tại </w:t>
      </w:r>
      <w:r>
        <w:rPr>
          <w:b w:val="0"/>
          <w:bCs w:val="0"/>
          <w:lang w:val="pt-BR"/>
        </w:rPr>
        <w:t xml:space="preserve">mặt tiền tỉnh lộ 418 </w:t>
      </w:r>
      <w:r>
        <w:rPr>
          <w:b w:val="0"/>
          <w:bCs w:val="0"/>
          <w:lang w:val="pt-BR"/>
        </w:rPr>
        <w:t xml:space="preserve">Đoạn từ ngã ba giao Quốc lộ 21 đến hết địa phận xã Đoài Phương</w:t>
      </w:r>
      <w:r>
        <w:rPr>
          <w:b w:val="0"/>
          <w:bCs w:val="0"/>
          <w:lang w:val="pt-BR"/>
        </w:rPr>
        <w:t xml:space="preserve"> là 11.021.000 đồng/m2</w:t>
      </w:r>
      <w:r>
        <w:rPr>
          <w:b w:val="0"/>
          <w:bCs w:val="0"/>
          <w:lang w:val="pt-BR"/>
        </w:rPr>
      </w:r>
      <w:r>
        <w:rPr>
          <w:b w:val="0"/>
          <w:bCs w:val="0"/>
          <w:lang w:val="pt-BR"/>
          <w14:ligatures w14:val="none"/>
        </w:rPr>
      </w:r>
    </w:p>
    <w:p>
      <w:pPr>
        <w:pStyle w:val="1031"/>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1"/>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92"/>
        <w:gridCol w:w="2738"/>
        <w:gridCol w:w="1843"/>
        <w:gridCol w:w="2268"/>
        <w:gridCol w:w="1985"/>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738"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43"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268"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985"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848" w:type="dxa"/>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02, tờ bản đồ số 55 có địa chỉ: Thôn Đại Quang, xã Sơn Đông, Thị xã Sơn Tây, Thành phố Hà Nội (Nay là</w:t>
            </w:r>
            <w:r>
              <w:rPr>
                <w:b/>
                <w:bCs/>
                <w:color w:val="000000"/>
              </w:rPr>
              <w:t xml:space="preserve"> xã Đoài Phương, Thành phố Hà Nội) theo Giấy chứng nhận quyền sử dụng đất quyền sở hữu tài sản gắn liền với đất số: AA 00817008, số vào sổ cấp GCN: CN 772 do Chi nhánh Văn phòng đăng ký đất đai Hà Nội cấp ngày 17/4/2025; Chủ sử dụng đất là Bà Tạ Thị Huyền.</w:t>
            </w:r>
            <w:r>
              <w:rPr>
                <w:b/>
                <w:bCs/>
              </w:rPr>
              <w:t xml:space="preserve">.</w:t>
            </w:r>
            <w:r>
              <w:rPr>
                <w:b/>
                <w:bCs/>
              </w:rPr>
            </w:r>
            <w:r>
              <w:rPr>
                <w:b/>
                <w:bCs/>
              </w:rPr>
            </w:r>
          </w:p>
        </w:tc>
        <w:tc>
          <w:tcPr>
            <w:shd w:val="clear" w:color="000000" w:fill="ffffff"/>
            <w:tcBorders/>
            <w:tcW w:w="1985"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2738" w:type="dxa"/>
            <w:vAlign w:val="center"/>
            <w:textDirection w:val="lrTb"/>
            <w:noWrap w:val="false"/>
          </w:tcPr>
          <w:p>
            <w:pPr>
              <w:pBdr/>
              <w:spacing w:after="40" w:before="40" w:line="288" w:lineRule="auto"/>
              <w:ind/>
              <w:rPr>
                <w:b w:val="0"/>
                <w:bCs w:val="0"/>
              </w:rPr>
            </w:pPr>
            <w:r>
              <w:rPr>
                <w:b w:val="0"/>
                <w:bCs w:val="0"/>
              </w:rPr>
              <w:t xml:space="preserve">Quyền sử dụng đất nằm ngoài quy hoạch</w:t>
            </w:r>
            <w:r>
              <w:rPr>
                <w:b w:val="0"/>
                <w:bCs w:val="0"/>
              </w:rPr>
            </w:r>
            <w:r>
              <w:rPr>
                <w:b w:val="0"/>
                <w:bCs w:val="0"/>
              </w:rPr>
            </w:r>
          </w:p>
        </w:tc>
        <w:tc>
          <w:tcPr>
            <w:tcBorders/>
            <w:tcW w:w="1843" w:type="dxa"/>
            <w:vAlign w:val="center"/>
            <w:textDirection w:val="lrTb"/>
            <w:noWrap/>
          </w:tcPr>
          <w:p>
            <w:pPr>
              <w:pBdr/>
              <w:spacing w:after="40" w:before="40" w:line="288" w:lineRule="auto"/>
              <w:ind/>
              <w:jc w:val="center"/>
              <w:rPr>
                <w:color w:val="000000"/>
              </w:rPr>
            </w:pPr>
            <w:r>
              <w:rPr>
                <w:color w:val="000000" w:themeColor="text1"/>
              </w:rPr>
              <w:t xml:space="preserve">190</w:t>
            </w:r>
            <w:r>
              <w:rPr>
                <w:color w:val="000000"/>
              </w:rPr>
            </w:r>
            <w:r>
              <w:rPr>
                <w:color w:val="000000"/>
              </w:rPr>
            </w:r>
          </w:p>
        </w:tc>
        <w:tc>
          <w:tcPr>
            <w:shd w:val="clear" w:color="000000" w:fill="ffffff"/>
            <w:tcBorders/>
            <w:tcW w:w="2268" w:type="dxa"/>
            <w:vAlign w:val="center"/>
            <w:textDirection w:val="lrTb"/>
            <w:noWrap w:val="false"/>
          </w:tcPr>
          <w:p>
            <w:pPr>
              <w:pBdr/>
              <w:spacing w:after="40" w:before="40" w:line="288" w:lineRule="auto"/>
              <w:ind/>
              <w:jc w:val="center"/>
              <w:rPr/>
            </w:pPr>
            <w:r>
              <w:rPr>
                <w:color w:val="000000" w:themeColor="text1"/>
              </w:rPr>
              <w:t xml:space="preserve">41.000.000</w:t>
            </w:r>
            <w:r/>
          </w:p>
        </w:tc>
        <w:tc>
          <w:tcPr>
            <w:shd w:val="clear" w:color="000000" w:fill="ffffff"/>
            <w:tcBorders/>
            <w:tcW w:w="1985" w:type="dxa"/>
            <w:vAlign w:val="center"/>
            <w:textDirection w:val="lrTb"/>
            <w:noWrap w:val="false"/>
          </w:tcPr>
          <w:p>
            <w:pPr>
              <w:pBdr/>
              <w:spacing w:after="40" w:before="40" w:line="288" w:lineRule="auto"/>
              <w:ind/>
              <w:jc w:val="center"/>
              <w:rPr>
                <w:color w:val="000000" w:themeColor="text1"/>
                <w14:ligatures w14:val="none"/>
              </w:rPr>
            </w:pPr>
            <w:r>
              <w:rPr>
                <w:color w:val="000000" w:themeColor="text1"/>
              </w:rPr>
              <w:t xml:space="preserve">7.790.000.000</w:t>
            </w:r>
            <w:r>
              <w:rPr>
                <w:color w:val="000000" w:themeColor="text1"/>
              </w:rPr>
            </w:r>
            <w:r>
              <w:rPr>
                <w:color w:val="000000" w:themeColor="text1"/>
                <w14:ligatures w14:val="none"/>
              </w:rPr>
            </w:r>
          </w:p>
        </w:tc>
      </w:tr>
      <w:tr>
        <w:trPr>
          <w:trHeight w:val="20"/>
        </w:trPr>
        <w:tc>
          <w:tcPr>
            <w:shd w:val="clear" w:color="000000" w:fill="ffffff"/>
            <w:tcBorders/>
            <w:tcW w:w="692" w:type="dxa"/>
            <w:vAlign w:val="center"/>
            <w:vMerge w:val="restart"/>
            <w:textDirection w:val="lrTb"/>
            <w:noWrap w:val="false"/>
          </w:tcPr>
          <w:p>
            <w:pPr>
              <w:pBdr/>
              <w:spacing w:after="40" w:before="40" w:line="288" w:lineRule="auto"/>
              <w:ind/>
              <w:jc w:val="center"/>
              <w:rPr>
                <w:b/>
                <w:bCs/>
              </w:rPr>
            </w:pPr>
            <w:r>
              <w:rPr>
                <w:b/>
                <w:bCs/>
              </w:rPr>
              <w:t xml:space="preserve">2</w:t>
            </w:r>
            <w:r>
              <w:rPr>
                <w:b/>
                <w:bCs/>
              </w:rPr>
            </w:r>
            <w:r>
              <w:rPr>
                <w:b/>
                <w:bCs/>
              </w:rPr>
            </w:r>
          </w:p>
        </w:tc>
        <w:tc>
          <w:tcPr>
            <w:shd w:val="clear" w:color="000000" w:fill="ffffff"/>
            <w:tcBorders/>
            <w:tcW w:w="2738" w:type="dxa"/>
            <w:vAlign w:val="center"/>
            <w:vMerge w:val="restart"/>
            <w:textDirection w:val="lrTb"/>
            <w:noWrap w:val="false"/>
          </w:tcPr>
          <w:p>
            <w:pPr>
              <w:pBdr/>
              <w:spacing w:after="40" w:before="40" w:line="288" w:lineRule="auto"/>
              <w:ind/>
              <w:rPr>
                <w:b w:val="0"/>
                <w:bCs w:val="0"/>
              </w:rPr>
            </w:pPr>
            <w:r>
              <w:rPr>
                <w:b w:val="0"/>
                <w:bCs w:val="0"/>
              </w:rPr>
              <w:t xml:space="preserve">Quyền sử dụng đất nằm trong quy hoạch</w:t>
            </w:r>
            <w:r>
              <w:rPr>
                <w:b w:val="0"/>
                <w:bCs w:val="0"/>
              </w:rPr>
            </w:r>
            <w:r>
              <w:rPr>
                <w:b w:val="0"/>
                <w:bCs w:val="0"/>
              </w:rPr>
            </w:r>
          </w:p>
        </w:tc>
        <w:tc>
          <w:tcPr>
            <w:tcBorders/>
            <w:tcW w:w="1843" w:type="dxa"/>
            <w:vAlign w:val="center"/>
            <w:vMerge w:val="restart"/>
            <w:textDirection w:val="lrTb"/>
            <w:noWrap/>
          </w:tcPr>
          <w:p>
            <w:pPr>
              <w:pBdr/>
              <w:spacing w:after="40" w:before="40" w:line="288" w:lineRule="auto"/>
              <w:ind/>
              <w:jc w:val="center"/>
              <w:rPr>
                <w:color w:val="000000" w:themeColor="text1"/>
              </w:rPr>
            </w:pPr>
            <w:r>
              <w:rPr>
                <w:color w:val="000000" w:themeColor="text1"/>
              </w:rPr>
              <w:t xml:space="preserve">30,5</w:t>
            </w:r>
            <w:r>
              <w:rPr>
                <w:color w:val="000000" w:themeColor="text1"/>
              </w:rPr>
            </w:r>
            <w:r>
              <w:rPr>
                <w:color w:val="000000" w:themeColor="text1"/>
              </w:rPr>
            </w:r>
          </w:p>
        </w:tc>
        <w:tc>
          <w:tcPr>
            <w:shd w:val="clear" w:color="000000" w:fill="ffffff"/>
            <w:tcBorders/>
            <w:tcW w:w="2268"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b w:val="0"/>
                <w:bCs w:val="0"/>
                <w:lang w:val="pt-BR"/>
              </w:rPr>
              <w:t xml:space="preserve">11.021.000</w:t>
            </w:r>
            <w:r>
              <w:rPr>
                <w:color w:val="000000" w:themeColor="text1"/>
              </w:rPr>
            </w:r>
            <w:r>
              <w:rPr>
                <w:color w:val="000000" w:themeColor="text1"/>
              </w:rPr>
            </w:r>
          </w:p>
        </w:tc>
        <w:tc>
          <w:tcPr>
            <w:shd w:val="clear" w:color="000000" w:fill="ffffff"/>
            <w:tcBorders/>
            <w:tcW w:w="1985" w:type="dxa"/>
            <w:vAlign w:val="center"/>
            <w:vMerge w:val="restart"/>
            <w:textDirection w:val="lrTb"/>
            <w:noWrap w:val="false"/>
          </w:tcPr>
          <w:p>
            <w:pPr>
              <w:pBdr/>
              <w:spacing w:after="40" w:before="40" w:line="288" w:lineRule="auto"/>
              <w:ind/>
              <w:jc w:val="center"/>
              <w:rPr>
                <w:color w:val="000000" w:themeColor="text1"/>
                <w14:ligatures w14:val="none"/>
              </w:rPr>
            </w:pPr>
            <w:r>
              <w:rPr>
                <w:color w:val="000000" w:themeColor="text1"/>
              </w:rPr>
              <w:t xml:space="preserve">336.140.500</w:t>
            </w:r>
            <w:r>
              <w:rPr>
                <w:color w:val="000000" w:themeColor="text1"/>
              </w:rPr>
            </w:r>
            <w:r>
              <w:rPr>
                <w:color w:val="000000" w:themeColor="text1"/>
                <w14:ligatures w14:val="none"/>
              </w:rPr>
            </w:r>
          </w:p>
        </w:tc>
      </w:tr>
      <w:tr>
        <w:trPr>
          <w:trHeight w:val="20"/>
        </w:trPr>
        <w:tc>
          <w:tcPr>
            <w:gridSpan w:val="4"/>
            <w:tcBorders/>
            <w:tcW w:w="7540"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985" w:type="dxa"/>
            <w:vAlign w:val="center"/>
            <w:textDirection w:val="lrTb"/>
            <w:noWrap/>
          </w:tcPr>
          <w:p>
            <w:pPr>
              <w:pBdr/>
              <w:spacing w:after="0" w:before="0" w:line="240" w:lineRule="auto"/>
              <w:ind/>
              <w:jc w:val="center"/>
              <w:rPr>
                <w:b/>
                <w:bCs/>
              </w:rPr>
            </w:pPr>
            <w:r>
              <w:rPr>
                <w:rFonts w:ascii="Times New Roman" w:hAnsi="Times New Roman" w:eastAsia="Times New Roman" w:cs="Times New Roman"/>
                <w:b/>
                <w:bCs/>
                <w:color w:val="000000"/>
                <w:sz w:val="24"/>
              </w:rPr>
              <w:t xml:space="preserve">8.126.140.500</w:t>
            </w:r>
            <w:r>
              <w:rPr>
                <w:b/>
                <w:bCs/>
              </w:rPr>
            </w:r>
            <w:r>
              <w:rPr>
                <w:b/>
                <w:bCs/>
              </w:rPr>
            </w:r>
          </w:p>
        </w:tc>
      </w:tr>
      <w:tr>
        <w:trPr>
          <w:trHeight w:val="20"/>
        </w:trPr>
        <w:tc>
          <w:tcPr>
            <w:gridSpan w:val="4"/>
            <w:tcBorders/>
            <w:tcW w:w="7540"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985" w:type="dxa"/>
            <w:vAlign w:val="center"/>
            <w:textDirection w:val="lrTb"/>
            <w:noWrap/>
          </w:tcPr>
          <w:p>
            <w:pPr>
              <w:pBdr/>
              <w:spacing w:after="0" w:before="0" w:line="240" w:lineRule="auto"/>
              <w:ind/>
              <w:jc w:val="center"/>
              <w:rPr>
                <w:b/>
                <w:bCs/>
              </w:rPr>
            </w:pPr>
            <w:r>
              <w:rPr>
                <w:rFonts w:ascii="Times New Roman" w:hAnsi="Times New Roman" w:eastAsia="Times New Roman" w:cs="Times New Roman"/>
                <w:b/>
                <w:bCs/>
                <w:color w:val="000000"/>
                <w:sz w:val="24"/>
              </w:rPr>
              <w:t xml:space="preserve">8.126.000.000</w:t>
            </w:r>
            <w:r>
              <w:rPr>
                <w:b/>
                <w:bCs/>
              </w:rPr>
            </w:r>
            <w:r>
              <w:rPr>
                <w:b/>
                <w:bCs/>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Tám tỷ, một trăm hai mươi sáu triệu đồng</w:t>
            </w:r>
            <w:r>
              <w:rPr>
                <w:b/>
                <w:bCs/>
                <w:i/>
                <w:iCs/>
                <w:color w:val="000000"/>
              </w:rPr>
              <w:t xml:space="preserve">./.)</w:t>
            </w:r>
            <w:r>
              <w:rPr>
                <w:b/>
                <w:bCs/>
                <w:i/>
                <w:iCs/>
                <w:color w:val="000000"/>
              </w:rPr>
            </w:r>
            <w:r>
              <w:rPr>
                <w:b/>
                <w:bCs/>
                <w:i/>
                <w:iCs/>
                <w:color w:val="000000"/>
              </w:rPr>
            </w:r>
          </w:p>
        </w:tc>
      </w:tr>
    </w:tbl>
    <w:p>
      <w:pPr>
        <w:pStyle w:val="1031"/>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1"/>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1"/>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1"/>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1"/>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1"/>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1"/>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1"/>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1"/>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1"/>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1"/>
        <w:numPr>
          <w:ilvl w:val="0"/>
          <w:numId w:val="41"/>
        </w:numPr>
        <w:pBdr/>
        <w:tabs>
          <w:tab w:val="left" w:leader="none" w:pos="993"/>
        </w:tabs>
        <w:spacing w:after="120" w:before="120" w:line="264" w:lineRule="auto"/>
        <w:ind/>
        <w:jc w:val="both"/>
        <w:rPr>
          <w:spacing w:val="-2"/>
          <w:lang w:val="pt-BR"/>
        </w:rPr>
      </w:pPr>
      <w:r>
        <w:rPr>
          <w:spacing w:val="-2"/>
          <w:lang w:val="pt-BR"/>
        </w:rPr>
      </w:r>
      <w:r>
        <w:rPr>
          <w:color w:val="000000"/>
        </w:rPr>
        <w:t xml:space="preserve">Tại thời điểm thẩm định giá, t</w:t>
      </w:r>
      <w:r>
        <w:rPr>
          <w:b w:val="0"/>
          <w:bCs w:val="0"/>
          <w:color w:val="000000"/>
        </w:rPr>
        <w:t xml:space="preserve">heo thông tin tại </w:t>
      </w:r>
      <w:r>
        <w:rPr>
          <w:b w:val="0"/>
          <w:bCs w:val="0"/>
          <w:color w:val="000000"/>
        </w:rPr>
        <w:t xml:space="preserve">Giấy chứng nhận quyền sử dụng đất quyền sở hữu tài sản gắn liền với đất số: AA 00817008</w:t>
      </w:r>
      <w:r>
        <w:rPr>
          <w:b w:val="0"/>
          <w:bCs w:val="0"/>
          <w:color w:val="000000"/>
        </w:rPr>
        <w:t xml:space="preserve">; thửa đất có 30,5m2 đất ở tại nông thôn thuộc quy hoạch chỉ giới giao thông. </w:t>
      </w:r>
      <w:r>
        <w:rPr>
          <w:b w:val="0"/>
          <w:bCs w:val="0"/>
          <w:color w:val="000000"/>
        </w:rPr>
        <w:t xml:space="preserve">H</w:t>
      </w:r>
      <w:r>
        <w:rPr>
          <w:b w:val="0"/>
          <w:bCs w:val="0"/>
          <w:color w:val="000000"/>
        </w:rPr>
        <w:t xml:space="preserve">iện nay chưa có thông báo thu hồi đất/quyết định thu hồi đất/phương án giải tỏa bồi thường. Theo đề nghị của Ngân hàng/Khách hàng, tổ thẩm định xác định giá trị tài sản theo thông tin quy hoạch nêu trên, đối với diện tích nằm ngoài quy hoạch tổ thẩm định đ</w:t>
      </w:r>
      <w:r>
        <w:rPr>
          <w:b w:val="0"/>
          <w:bCs w:val="0"/>
          <w:color w:val="000000"/>
        </w:rPr>
        <w:t xml:space="preserve">á</w:t>
      </w:r>
      <w:r>
        <w:rPr>
          <w:b w:val="0"/>
          <w:bCs w:val="0"/>
          <w:color w:val="000000"/>
        </w:rPr>
        <w:t xml:space="preserve">nh giá theo giá trị thị trường, đối với phần nằm trong quy hoạch tổ thẩm định đánh giá theo giá khung UBND từng thời kỳ, giá trị đền bù thực tế còn phụ thuộc vào thỏa thuận các bên tại thời điểm Nhà nước giải phóng mặt bằng thực hiện quy hoạch. Đề nghị đơn</w:t>
      </w:r>
      <w:r>
        <w:rPr>
          <w:b w:val="0"/>
          <w:bCs w:val="0"/>
          <w:color w:val="000000"/>
        </w:rPr>
        <w:t xml:space="preserve"> </w:t>
      </w:r>
      <w:r>
        <w:rPr>
          <w:b w:val="0"/>
          <w:bCs w:val="0"/>
          <w:color w:val="000000"/>
        </w:rPr>
        <w:t xml:space="preserve">vị sử dụng kết quả lưu ý kiểm tra xác minh thêm thông tin quy hoạch nếu thấy cần thiết. Trong trường hợp Khách hàng/Ngân hàng cung cấp được Văn bản xác nhận rõ phần diện tích thuộc quy hoạch mà có sự sai khác so với số liệu nêu trên thì kết quả thẩm định g</w:t>
      </w:r>
      <w:r>
        <w:rPr>
          <w:b w:val="0"/>
          <w:bCs w:val="0"/>
          <w:color w:val="000000"/>
        </w:rPr>
        <w:t xml:space="preserve">iá cần được xem xét, điều chỉnh phù hợp, chúng tôi bảo lưu quyền xem xét lại kết quả thẩm định giá.</w:t>
      </w:r>
      <w:r>
        <w:rPr>
          <w:spacing w:val="-2"/>
          <w:lang w:val="pt-BR"/>
        </w:rPr>
      </w:r>
      <w:r>
        <w:rPr>
          <w:spacing w:val="-2"/>
          <w:lang w:val="pt-BR"/>
        </w:rPr>
      </w:r>
    </w:p>
    <w:p>
      <w:pPr>
        <w:pStyle w:val="1031"/>
        <w:numPr>
          <w:ilvl w:val="0"/>
          <w:numId w:val="41"/>
        </w:numPr>
        <w:pBdr/>
        <w:tabs>
          <w:tab w:val="left" w:leader="none" w:pos="993"/>
        </w:tabs>
        <w:spacing w:after="120" w:before="120" w:line="264" w:lineRule="auto"/>
        <w:ind/>
        <w:jc w:val="both"/>
        <w:rPr>
          <w:spacing w:val="-2"/>
          <w:lang w:val="pt-BR"/>
        </w:rPr>
      </w:pPr>
      <w:r>
        <w:rPr>
          <w:spacing w:val="-2"/>
          <w:lang w:val="pt-BR"/>
        </w:rPr>
      </w:r>
      <w:r>
        <w:rPr>
          <w:color w:val="000000"/>
        </w:rPr>
        <w:t xml:space="preserve">Tại thời</w:t>
      </w:r>
      <w:r>
        <w:rPr>
          <w:color w:val="000000"/>
        </w:rPr>
        <w:t xml:space="preserve"> điểm khảo sát, trên đất có CTXD là nhà 2 tầng diện tích sản khoảng 50m2/sàn, phần còn lại lợp tôn. Công trình xây dựng chưa được chứng nhận trên GCN, ngoài ra tổ thẩm định không được khách hàng cung cấp thêm hồ sơ pháp lí nào liên quan đến CTXD nêu trên. </w:t>
      </w:r>
      <w:r>
        <w:rPr>
          <w:color w:val="000000"/>
        </w:rPr>
        <w:t xml:space="preserve"> 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spacing w:val="-2"/>
          <w:lang w:val="pt-BR"/>
        </w:rPr>
      </w:r>
      <w:r>
        <w:rPr>
          <w:spacing w:val="-2"/>
          <w:lang w:val="pt-BR"/>
        </w:rPr>
      </w:r>
    </w:p>
    <w:p>
      <w:pPr>
        <w:pStyle w:val="1031"/>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1"/>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1"/>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1"/>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1"/>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1"/>
        <w:pBdr/>
        <w:tabs>
          <w:tab w:val="left" w:leader="none" w:pos="993"/>
        </w:tabs>
        <w:spacing w:after="120" w:before="120" w:line="288" w:lineRule="auto"/>
        <w:ind w:left="0"/>
        <w:jc w:val="both"/>
        <w:rPr>
          <w:lang w:val="vi-VN"/>
        </w:rPr>
      </w:pPr>
      <w:r>
        <w:rPr>
          <w:highlight w:val="none"/>
          <w:lang w:val="vi-VN"/>
        </w:rPr>
      </w:r>
      <w:r>
        <w:rPr>
          <w:highlight w:val="none"/>
          <w:lang w:val="vi-VN"/>
        </w:rPr>
      </w:r>
      <w:r>
        <w:rPr>
          <w:lang w:val="vi-VN"/>
        </w:rPr>
      </w:r>
    </w:p>
    <w:p>
      <w:pPr>
        <w:pStyle w:val="103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31"/>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275/2026/1382/VFI-CT.39.A</w:t>
      </w:r>
      <w:r>
        <w:rPr>
          <w:color w:val="ff0000"/>
          <w:lang w:val="vi-VN"/>
        </w:rPr>
        <w:t xml:space="preserve"> </w:t>
      </w:r>
      <w:r>
        <w:rPr>
          <w:color w:val="000000" w:themeColor="text1"/>
        </w:rPr>
        <w:t xml:space="preserve">ngày 7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Đinh Thị Lan Hương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275/2026/1382/VFI-BC.39.A</w:t>
      </w:r>
      <w:r>
        <w:rPr>
          <w:i/>
          <w:lang w:val="pt-BR"/>
        </w:rPr>
        <w:t xml:space="preserve"> ngày 0</w:t>
      </w:r>
      <w:r>
        <w:rPr>
          <w:i/>
          <w:lang w:val="pt-BR"/>
        </w:rPr>
        <w:t xml:space="preserve">7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191736" cy="2586509"/>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327085" name=""/>
                              <pic:cNvPicPr>
                                <a:picLocks noChangeAspect="1"/>
                              </pic:cNvPicPr>
                              <pic:nvPr/>
                            </pic:nvPicPr>
                            <pic:blipFill rotWithShape="1">
                              <a:blip r:embed="rId20"/>
                              <a:stretch/>
                            </pic:blipFill>
                            <pic:spPr bwMode="auto">
                              <a:xfrm flipH="0" flipV="0">
                                <a:off x="0" y="0"/>
                                <a:ext cx="1191736" cy="25865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93.84pt;height:203.66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935146" cy="220136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648542" name=""/>
                              <pic:cNvPicPr>
                                <a:picLocks noChangeAspect="1"/>
                              </pic:cNvPicPr>
                              <pic:nvPr/>
                            </pic:nvPicPr>
                            <pic:blipFill rotWithShape="1">
                              <a:blip r:embed="rId21"/>
                              <a:stretch/>
                            </pic:blipFill>
                            <pic:spPr bwMode="auto">
                              <a:xfrm flipH="0" flipV="0">
                                <a:off x="0" y="0"/>
                                <a:ext cx="2935146" cy="22013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31.11pt;height:173.34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2695733" cy="20218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43977" name=""/>
                              <pic:cNvPicPr>
                                <a:picLocks noChangeAspect="1"/>
                              </pic:cNvPicPr>
                              <pic:nvPr/>
                            </pic:nvPicPr>
                            <pic:blipFill rotWithShape="1">
                              <a:blip r:embed="rId22"/>
                              <a:stretch/>
                            </pic:blipFill>
                            <pic:spPr bwMode="auto">
                              <a:xfrm flipH="0" flipV="0">
                                <a:off x="0" y="0"/>
                                <a:ext cx="2695733" cy="20217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2.26pt;height:159.2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883621" cy="216271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252795" name=""/>
                              <pic:cNvPicPr>
                                <a:picLocks noChangeAspect="1"/>
                              </pic:cNvPicPr>
                              <pic:nvPr/>
                            </pic:nvPicPr>
                            <pic:blipFill rotWithShape="1">
                              <a:blip r:embed="rId23"/>
                              <a:stretch/>
                            </pic:blipFill>
                            <pic:spPr bwMode="auto">
                              <a:xfrm flipH="0" flipV="0">
                                <a:off x="0" y="0"/>
                                <a:ext cx="2883621" cy="21627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7.06pt;height:170.29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703535" cy="202765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577011" name=""/>
                              <pic:cNvPicPr>
                                <a:picLocks noChangeAspect="1"/>
                              </pic:cNvPicPr>
                              <pic:nvPr/>
                            </pic:nvPicPr>
                            <pic:blipFill rotWithShape="1">
                              <a:blip r:embed="rId24"/>
                              <a:stretch/>
                            </pic:blipFill>
                            <pic:spPr bwMode="auto">
                              <a:xfrm flipH="0" flipV="0">
                                <a:off x="0" y="0"/>
                                <a:ext cx="2703534" cy="20276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2.88pt;height:159.66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944889" cy="2208667"/>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941831" name=""/>
                              <pic:cNvPicPr>
                                <a:picLocks noChangeAspect="1"/>
                              </pic:cNvPicPr>
                              <pic:nvPr/>
                            </pic:nvPicPr>
                            <pic:blipFill rotWithShape="1">
                              <a:blip r:embed="rId25"/>
                              <a:stretch/>
                            </pic:blipFill>
                            <pic:spPr bwMode="auto">
                              <a:xfrm flipH="0" flipV="0">
                                <a:off x="0" y="0"/>
                                <a:ext cx="2944888" cy="22086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1.88pt;height:173.91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275/2026/1382/VFI-BC.39.A</w:t>
      </w:r>
      <w:r>
        <w:rPr>
          <w:i/>
          <w:lang w:val="pt-BR"/>
        </w:rPr>
        <w:t xml:space="preserve"> </w:t>
      </w:r>
      <w:r>
        <w:rPr>
          <w:i/>
          <w:lang w:val="pt-BR"/>
        </w:rPr>
        <w:t xml:space="preserve">ngày 07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081"/>
        <w:gridCol w:w="590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0972900346</w:t>
            </w:r>
            <w:r>
              <w:rPr>
                <w:sz w:val="22"/>
                <w:szCs w:val="22"/>
              </w:rPr>
              <w:t xml:space="preserve"> </w:t>
            </w:r>
            <w:r>
              <w:rPr>
                <w:sz w:val="22"/>
                <w:szCs w:val="22"/>
              </w:rPr>
              <w:br/>
              <w:t xml:space="preserve">(Bích Ngọc</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9.485.800.000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8.309.085.300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(199.9m², QH: 20.7m²)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Đoài Phương, Thành phố Hà Nội, đường Mặt tiền đường 418. Cách QL21 khoảng 1,4km 21.079104920344953, 105.51226736953821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199.9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11.37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Thóp hậu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006940" cy="2739030"/>
                      <wp:effectExtent l="0" t="0" r="0" b="0"/>
                      <wp:docPr id="12" name=""/>
                      <wp:cNvGraphicFramePr/>
                      <a:graphic xmlns:a="http://schemas.openxmlformats.org/drawingml/2006/main">
                        <a:graphicData uri="http://schemas.openxmlformats.org/drawingml/2006/picture">
                          <pic:pic xmlns:pic="http://schemas.openxmlformats.org/drawingml/2006/picture">
                            <pic:nvPicPr>
                              <pic:cNvPr id="65952682" name="" descr=""/>
                              <pic:cNvPicPr/>
                              <pic:nvPr/>
                            </pic:nvPicPr>
                            <pic:blipFill rotWithShape="1">
                              <a:blip r:embed="rId26"/>
                              <a:stretch/>
                            </pic:blipFill>
                            <pic:spPr bwMode="auto">
                              <a:xfrm flipH="0" flipV="0">
                                <a:off x="0" y="0"/>
                                <a:ext cx="2006939" cy="273903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58.03pt;height:215.67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016590" cy="1955260"/>
                      <wp:effectExtent l="0" t="0" r="0" b="0"/>
                      <wp:docPr id="13" name=""/>
                      <wp:cNvGraphicFramePr/>
                      <a:graphic xmlns:a="http://schemas.openxmlformats.org/drawingml/2006/main">
                        <a:graphicData uri="http://schemas.openxmlformats.org/drawingml/2006/picture">
                          <pic:pic xmlns:pic="http://schemas.openxmlformats.org/drawingml/2006/picture">
                            <pic:nvPicPr>
                              <pic:cNvPr id="1452525392" name="" descr=""/>
                              <pic:cNvPicPr/>
                              <pic:nvPr/>
                            </pic:nvPicPr>
                            <pic:blipFill rotWithShape="1">
                              <a:blip r:embed="rId27"/>
                              <a:stretch/>
                            </pic:blipFill>
                            <pic:spPr bwMode="auto">
                              <a:xfrm flipH="0" flipV="0">
                                <a:off x="0" y="0"/>
                                <a:ext cx="3016589" cy="19552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37.53pt;height:153.96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11790" cy="2164810"/>
                      <wp:effectExtent l="0" t="0" r="0" b="0"/>
                      <wp:docPr id="14" name=""/>
                      <wp:cNvGraphicFramePr/>
                      <a:graphic xmlns:a="http://schemas.openxmlformats.org/drawingml/2006/main">
                        <a:graphicData uri="http://schemas.openxmlformats.org/drawingml/2006/picture">
                          <pic:pic xmlns:pic="http://schemas.openxmlformats.org/drawingml/2006/picture">
                            <pic:nvPicPr>
                              <pic:cNvPr id="756362468" name="" descr=""/>
                              <pic:cNvPicPr/>
                              <pic:nvPr/>
                            </pic:nvPicPr>
                            <pic:blipFill rotWithShape="1">
                              <a:blip r:embed="rId28"/>
                              <a:stretch/>
                            </pic:blipFill>
                            <pic:spPr bwMode="auto">
                              <a:xfrm flipH="0" flipV="0">
                                <a:off x="0" y="0"/>
                                <a:ext cx="2711789" cy="21648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13.53pt;height:170.46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59078" cy="2305050"/>
                      <wp:effectExtent l="0" t="0" r="0" b="0"/>
                      <wp:docPr id="15" name=""/>
                      <wp:cNvGraphicFramePr/>
                      <a:graphic xmlns:a="http://schemas.openxmlformats.org/drawingml/2006/main">
                        <a:graphicData uri="http://schemas.openxmlformats.org/drawingml/2006/picture">
                          <pic:pic xmlns:pic="http://schemas.openxmlformats.org/drawingml/2006/picture">
                            <pic:nvPicPr>
                              <pic:cNvPr id="145905897" name="" descr=""/>
                              <pic:cNvPicPr/>
                              <pic:nvPr/>
                            </pic:nvPicPr>
                            <pic:blipFill rotWithShape="1">
                              <a:blip r:embed="rId29"/>
                              <a:stretch/>
                            </pic:blipFill>
                            <pic:spPr bwMode="auto">
                              <a:xfrm flipH="0" flipV="0">
                                <a:off x="0" y="0"/>
                                <a:ext cx="2759078" cy="230504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17.25pt;height:181.5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788120" cy="1931163"/>
                      <wp:effectExtent l="0" t="0" r="0" b="0"/>
                      <wp:docPr id="16" name=""/>
                      <wp:cNvGraphicFramePr/>
                      <a:graphic xmlns:a="http://schemas.openxmlformats.org/drawingml/2006/main">
                        <a:graphicData uri="http://schemas.openxmlformats.org/drawingml/2006/picture">
                          <pic:pic xmlns:pic="http://schemas.openxmlformats.org/drawingml/2006/picture">
                            <pic:nvPicPr>
                              <pic:cNvPr id="1326562417" name="" descr=""/>
                              <pic:cNvPicPr/>
                              <pic:nvPr/>
                            </pic:nvPicPr>
                            <pic:blipFill rotWithShape="1">
                              <a:blip r:embed="rId30"/>
                              <a:stretch/>
                            </pic:blipFill>
                            <pic:spPr bwMode="auto">
                              <a:xfrm flipH="0" flipV="0">
                                <a:off x="0" y="0"/>
                                <a:ext cx="3788119" cy="193116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98.28pt;height:152.06pt;mso-wrap-distance-left:0.00pt;mso-wrap-distance-top:0.00pt;mso-wrap-distance-right:0.00pt;mso-wrap-distance-bottom:0.00pt;z-index:1;" stroked="false">
                      <v:imagedata r:id="rId30" o:title=""/>
                      <o:lock v:ext="edit" rotation="t"/>
                    </v:shape>
                  </w:pict>
                </mc:Fallback>
              </mc:AlternateConten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Đinh Thị Lan Hương</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https://www.facebook.com/groups/1886684784704800/posts/28349240771355841/</w:t>
            </w:r>
            <w:r>
              <w:rPr>
                <w:color w:val="000000" w:themeColor="text1"/>
                <w:sz w:val="22"/>
                <w:szCs w:val="22"/>
              </w:rPr>
              <w:br/>
              <w:t xml:space="preserve">0972900346</w:t>
            </w:r>
            <w:r>
              <w:rPr>
                <w:sz w:val="22"/>
                <w:szCs w:val="22"/>
              </w:rPr>
              <w:t xml:space="preserve"> </w:t>
            </w:r>
            <w:r>
              <w:rPr>
                <w:sz w:val="22"/>
                <w:szCs w:val="22"/>
              </w:rPr>
              <w:br/>
              <w:t xml:space="preserve">(Bích Ngọc</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6.665.000.000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6.213.139.000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(114m², QH: 41m²)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Đoài Phương, Thành phố Hà Nội, đường Mặt tiền đường 418. Cách đường QL21 khoảng 1,4km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7.12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Thóp hậu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02215" cy="2841903"/>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2302214" cy="284190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1.28pt;height:223.77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168990" cy="2460085"/>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3168990" cy="24600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49.53pt;height:193.71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635715" cy="2707735"/>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3635714" cy="27077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86.28pt;height:213.21pt;mso-wrap-distance-left:0.00pt;mso-wrap-distance-top:0.00pt;mso-wrap-distance-right:0.00pt;mso-wrap-distance-bottom:0.00pt;z-index:1;" stroked="false">
                      <v:imagedata r:id="rId33"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4835865" cy="2829641"/>
                      <wp:effectExtent l="0" t="0" r="0" b="0"/>
                      <wp:docPr id="20" name=""/>
                      <wp:cNvGraphicFramePr/>
                      <a:graphic xmlns:a="http://schemas.openxmlformats.org/drawingml/2006/main">
                        <a:graphicData uri="http://schemas.openxmlformats.org/drawingml/2006/picture">
                          <pic:pic xmlns:pic="http://schemas.openxmlformats.org/drawingml/2006/picture">
                            <pic:nvPicPr>
                              <pic:cNvPr id="216001896" name="" descr=""/>
                              <pic:cNvPicPr/>
                              <pic:nvPr/>
                            </pic:nvPicPr>
                            <pic:blipFill rotWithShape="1">
                              <a:blip r:embed="rId34"/>
                              <a:stretch/>
                            </pic:blipFill>
                            <pic:spPr bwMode="auto">
                              <a:xfrm flipH="0" flipV="0">
                                <a:off x="0" y="0"/>
                                <a:ext cx="4835864" cy="282964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80.78pt;height:222.81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Đinh Thị Lan Hương</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790"/>
        <w:gridCol w:w="5197"/>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https://www.facebook.com/groups/1931508300473887/permalink/4254195511538476/</w:t>
            </w:r>
            <w:r>
              <w:rPr>
                <w:color w:val="000000" w:themeColor="text1"/>
                <w:sz w:val="22"/>
                <w:szCs w:val="22"/>
              </w:rPr>
              <w:br/>
            </w:r>
            <w:r>
              <w:rPr>
                <w:sz w:val="22"/>
                <w:szCs w:val="22"/>
              </w:rPr>
              <w:t xml:space="preserve">SĐT: </w:t>
            </w:r>
            <w:r>
              <w:rPr>
                <w:color w:val="000000" w:themeColor="text1"/>
                <w:sz w:val="22"/>
                <w:szCs w:val="22"/>
              </w:rPr>
              <w:t xml:space="preserve">0984725523</w:t>
            </w:r>
            <w:r>
              <w:rPr>
                <w:sz w:val="22"/>
                <w:szCs w:val="22"/>
              </w:rPr>
              <w:t xml:space="preserve"> </w:t>
            </w:r>
            <w:r>
              <w:rPr>
                <w:sz w:val="22"/>
                <w:szCs w:val="22"/>
              </w:rPr>
              <w:br/>
              <w:t xml:space="preserve">(Thanh Huyền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4.905.000.000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4.414.500.000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(109m²)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ind/>
              <w:jc w:val="center"/>
              <w:rPr>
                <w:sz w:val="22"/>
                <w:szCs w:val="22"/>
              </w:rPr>
            </w:pPr>
            <w:r>
              <w:rPr>
                <w:color w:val="000000" w:themeColor="text1"/>
                <w:sz w:val="22"/>
                <w:szCs w:val="22"/>
              </w:rPr>
              <w:t xml:space="preserve">Đất ở tại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Đoài Phương, Thành phố Hà Nội, khoảng cách ra đường chính Đường Tân Phú. Cách QL21 khoảng 400m 21.082768015560205, 105.50576916088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109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140290" cy="2895291"/>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2140289" cy="289529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68.53pt;height:227.98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349965" cy="2383885"/>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3349964" cy="23838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63.78pt;height:187.71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216615" cy="2479135"/>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flipH="0" flipV="0">
                                <a:off x="0" y="0"/>
                                <a:ext cx="3216614" cy="24791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53.28pt;height:195.21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978615" cy="2447925"/>
                      <wp:effectExtent l="0" t="0" r="0" b="0"/>
                      <wp:docPr id="24" name=""/>
                      <wp:cNvGraphicFramePr/>
                      <a:graphic xmlns:a="http://schemas.openxmlformats.org/drawingml/2006/main">
                        <a:graphicData uri="http://schemas.openxmlformats.org/drawingml/2006/picture">
                          <pic:pic xmlns:pic="http://schemas.openxmlformats.org/drawingml/2006/picture">
                            <pic:nvPicPr>
                              <pic:cNvPr id="663210404" name="" descr=""/>
                              <pic:cNvPicPr/>
                              <pic:nvPr/>
                            </pic:nvPicPr>
                            <pic:blipFill rotWithShape="1">
                              <a:blip r:embed="rId38"/>
                              <a:stretch/>
                            </pic:blipFill>
                            <pic:spPr bwMode="auto">
                              <a:xfrm flipH="0" flipV="0">
                                <a:off x="0" y="0"/>
                                <a:ext cx="3978614" cy="244792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313.28pt;height:192.75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778590" cy="238125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flipH="0" flipV="0">
                                <a:off x="0" y="0"/>
                                <a:ext cx="3778589" cy="238124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97.53pt;height:187.5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left"/>
              <w:rPr/>
            </w:pPr>
            <w:r>
              <w:rPr>
                <w:highlight w:val="none"/>
              </w:rPr>
            </w:r>
            <w:r>
              <w:rPr>
                <w:highlight w:val="none"/>
              </w:rPr>
            </w:r>
            <w:r/>
          </w:p>
          <w:p>
            <w:pPr>
              <w:pBdr/>
              <w:spacing/>
              <w:ind/>
              <w:jc w:val="left"/>
              <w:rPr>
                <w:highlight w:val="none"/>
              </w:rPr>
            </w:pPr>
            <w:r>
              <w:rPr>
                <w:highlight w:val="none"/>
              </w:rPr>
            </w:r>
            <w:r>
              <w:rPr>
                <w:highlight w:val="none"/>
              </w:rPr>
            </w:r>
            <w:r>
              <w:rPr>
                <w:highlight w:val="none"/>
              </w:rPr>
            </w:r>
          </w:p>
          <w:p>
            <w:pPr>
              <w:pBdr/>
              <w:spacing/>
              <w:ind/>
              <w:jc w:val="left"/>
              <w:rPr>
                <w:highlight w:val="none"/>
              </w:rPr>
            </w:pPr>
            <w:r>
              <w:rPr>
                <w:highlight w:val="none"/>
              </w:rPr>
            </w:r>
            <w:r>
              <w:rPr>
                <w:highlight w:val="none"/>
              </w:rPr>
            </w:r>
            <w:r>
              <w:rPr>
                <w:highlight w:val="none"/>
              </w:rPr>
            </w:r>
          </w:p>
          <w:p>
            <w:pPr>
              <w:pBdr/>
              <w:spacing/>
              <w:ind/>
              <w:jc w:val="left"/>
              <w:rPr>
                <w:highlight w:val="none"/>
              </w:rPr>
            </w:pPr>
            <w:r>
              <w:rPr>
                <w:highlight w:val="none"/>
              </w:rPr>
            </w:r>
            <w:r>
              <w:rPr>
                <w:highlight w:val="none"/>
              </w:rPr>
            </w:r>
            <w:r>
              <w:rPr>
                <w:highlight w:val="none"/>
              </w:rPr>
            </w:r>
          </w:p>
          <w:p>
            <w:pPr>
              <w:pBdr/>
              <w:spacing/>
              <w:ind/>
              <w:jc w:val="left"/>
              <w:rPr>
                <w:highlight w:val="none"/>
              </w:rPr>
            </w:pPr>
            <w:r>
              <w:rPr>
                <w:highlight w:val="none"/>
              </w:rPr>
            </w:r>
            <w:r>
              <w:rPr>
                <w:highlight w:val="none"/>
              </w:rPr>
            </w:r>
            <w:r>
              <w:rPr>
                <w:highlight w:val="none"/>
              </w:rPr>
            </w:r>
          </w:p>
          <w:p>
            <w:pPr>
              <w:pBdr/>
              <w:spacing/>
              <w:ind/>
              <w:jc w:val="center"/>
              <w:rPr>
                <w:highlight w:val="none"/>
              </w:rPr>
            </w:pPr>
            <w:r>
              <w:t xml:space="preserve">Đinh Thị Lan Hương</w:t>
            </w:r>
            <w:r>
              <w:rPr>
                <w:highlight w:val="none"/>
              </w:rP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730AE4A9"/>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71DBFFFE"/>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nhandan.vn/chien-luoc-tai-cau-truc-do-thi-va-tac-dong-toi-thi-truong-bat-dong-san-post943240.html" TargetMode="External"/><Relationship Id="rId18" Type="http://schemas.openxmlformats.org/officeDocument/2006/relationships/hyperlink" Target="https://nhandan.vn/thi-truong-bat-dong-san-ha-noi-bat-dau-phan-hoa-manh-post967281.html)" TargetMode="External"/><Relationship Id="rId19" Type="http://schemas.openxmlformats.org/officeDocument/2006/relationships/image" Target="media/image3.png"/><Relationship Id="rId20" Type="http://schemas.openxmlformats.org/officeDocument/2006/relationships/image" Target="media/image4.jpg"/><Relationship Id="rId21" Type="http://schemas.openxmlformats.org/officeDocument/2006/relationships/image" Target="media/image5.jpg"/><Relationship Id="rId22" Type="http://schemas.openxmlformats.org/officeDocument/2006/relationships/image" Target="media/image6.jpg"/><Relationship Id="rId23" Type="http://schemas.openxmlformats.org/officeDocument/2006/relationships/image" Target="media/image7.jpg"/><Relationship Id="rId24" Type="http://schemas.openxmlformats.org/officeDocument/2006/relationships/image" Target="media/image8.jpg"/><Relationship Id="rId25" Type="http://schemas.openxmlformats.org/officeDocument/2006/relationships/image" Target="media/image9.jpg"/><Relationship Id="rId26" Type="http://schemas.openxmlformats.org/officeDocument/2006/relationships/image" Target="media/image10.png"/><Relationship Id="rId27" Type="http://schemas.openxmlformats.org/officeDocument/2006/relationships/image" Target="media/image11.png"/><Relationship Id="rId28" Type="http://schemas.openxmlformats.org/officeDocument/2006/relationships/image" Target="media/image12.png"/><Relationship Id="rId29" Type="http://schemas.openxmlformats.org/officeDocument/2006/relationships/image" Target="media/image13.png"/><Relationship Id="rId30" Type="http://schemas.openxmlformats.org/officeDocument/2006/relationships/image" Target="media/image14.png"/><Relationship Id="rId31" Type="http://schemas.openxmlformats.org/officeDocument/2006/relationships/image" Target="media/image15.png"/><Relationship Id="rId32" Type="http://schemas.openxmlformats.org/officeDocument/2006/relationships/image" Target="media/image16.png"/><Relationship Id="rId33" Type="http://schemas.openxmlformats.org/officeDocument/2006/relationships/image" Target="media/image17.png"/><Relationship Id="rId34" Type="http://schemas.openxmlformats.org/officeDocument/2006/relationships/image" Target="media/image18.png"/><Relationship Id="rId35" Type="http://schemas.openxmlformats.org/officeDocument/2006/relationships/image" Target="media/image19.png"/><Relationship Id="rId36" Type="http://schemas.openxmlformats.org/officeDocument/2006/relationships/image" Target="media/image20.png"/><Relationship Id="rId37" Type="http://schemas.openxmlformats.org/officeDocument/2006/relationships/image" Target="media/image21.png"/><Relationship Id="rId38" Type="http://schemas.openxmlformats.org/officeDocument/2006/relationships/image" Target="media/image22.png"/><Relationship Id="rId39" Type="http://schemas.openxmlformats.org/officeDocument/2006/relationships/image" Target="media/image23.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Đỗ Thanh Thảo</cp:lastModifiedBy>
  <cp:revision>281</cp:revision>
  <dcterms:created xsi:type="dcterms:W3CDTF">2025-09-15T09:58:00Z</dcterms:created>
  <dcterms:modified xsi:type="dcterms:W3CDTF">2026-09-08T07:47:10Z</dcterms:modified>
</cp:coreProperties>
</file>