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t xml:space="preserve"> </w:t>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03017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03017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275/2026/1396/VFI-CT.T003.A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color w:val="000000" w:themeColor="text1"/>
                                <w:lang w:val="pt-BR"/>
                              </w:rPr>
                              <w:t xml:space="preserve">Khách hàng yêu cầu: Ông </w:t>
                            </w:r>
                            <w:r>
                              <w:rPr>
                                <w:rFonts w:ascii="Times New Roman Bold" w:hAnsi="Times New Roman Bold"/>
                                <w:b/>
                                <w:color w:val="000000" w:themeColor="text1"/>
                                <w:lang w:val="pt-BR"/>
                              </w:rPr>
                              <w:t xml:space="preserve">Trần Hoài L</w:t>
                            </w:r>
                            <w:r>
                              <w:rPr>
                                <w:rFonts w:ascii="Times New Roman Bold" w:hAnsi="Times New Roman Bold"/>
                                <w:b/>
                                <w:color w:val="000000" w:themeColor="text1"/>
                                <w:lang w:val="pt-BR"/>
                              </w:rPr>
                              <w:t xml:space="preserve">ong</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color w:val="000000" w:themeColor="text1"/>
                              </w:rPr>
                            </w:pPr>
                            <w:r>
                              <w:rPr>
                                <w:b/>
                              </w:rPr>
                              <w:t xml:space="preserve">Tài sản thẩm </w:t>
                            </w:r>
                            <w:r>
                              <w:rPr>
                                <w:b/>
                              </w:rPr>
                              <w:t xml:space="preserve">định:</w:t>
                            </w:r>
                            <w:r>
                              <w:rPr>
                                <w:rFonts w:ascii="Times New Roman" w:hAnsi="Times New Roman" w:eastAsia="Times New Roman" w:cs="Times New Roman"/>
                                <w:color w:val="000000" w:themeColor="text1"/>
                                <w:spacing w:val="3"/>
                                <w:sz w:val="24"/>
                                <w:szCs w:val="24"/>
                                <w:highlight w:val="none"/>
                              </w:rPr>
                              <w:t xml:space="preserve"> </w:t>
                            </w:r>
                            <w:r>
                              <w:rPr>
                                <w:rFonts w:ascii="Times New Roman" w:hAnsi="Times New Roman" w:eastAsia="Times New Roman" w:cs="Times New Roman"/>
                                <w:color w:val="000000" w:themeColor="text1"/>
                                <w:spacing w:val="3"/>
                                <w:sz w:val="24"/>
                                <w:szCs w:val="24"/>
                                <w:highlight w:val="white"/>
                              </w:rPr>
                              <w:t xml:space="preserve">Quyền sử dụng đất tại thửa đất số: 105, tờ bản đồ số: 24, có địa chỉ: Phường</w:t>
                            </w:r>
                            <w:r>
                              <w:rPr>
                                <w:rFonts w:ascii="Times New Roman" w:hAnsi="Times New Roman" w:eastAsia="Times New Roman" w:cs="Times New Roman"/>
                                <w:color w:val="000000" w:themeColor="text1"/>
                                <w:sz w:val="24"/>
                                <w:szCs w:val="24"/>
                              </w:rPr>
                              <w:t xml:space="preserve"> Vinh Phú, tỉnh Nghệ An</w:t>
                            </w:r>
                            <w:r>
                              <w:rPr>
                                <w:rFonts w:ascii="Times New Roman" w:hAnsi="Times New Roman" w:eastAsia="Times New Roman" w:cs="Times New Roman"/>
                                <w:b/>
                                <w:color w:val="000000" w:themeColor="text1"/>
                                <w:sz w:val="24"/>
                                <w:szCs w:val="24"/>
                              </w:rPr>
                              <w:t xml:space="preserve"> </w:t>
                            </w:r>
                            <w:r>
                              <w:rPr>
                                <w:rFonts w:ascii="Times New Roman" w:hAnsi="Times New Roman" w:eastAsia="Times New Roman" w:cs="Times New Roman"/>
                                <w:b w:val="0"/>
                                <w:bCs w:val="0"/>
                                <w:color w:val="000000" w:themeColor="text1"/>
                                <w:sz w:val="24"/>
                                <w:szCs w:val="24"/>
                              </w:rPr>
                              <w:t xml:space="preserve">theo</w:t>
                            </w:r>
                            <w:r>
                              <w:rPr>
                                <w:rFonts w:ascii="Times New Roman" w:hAnsi="Times New Roman" w:eastAsia="Times New Roman" w:cs="Times New Roman"/>
                                <w:b/>
                                <w:color w:val="000000" w:themeColor="text1"/>
                                <w:sz w:val="24"/>
                                <w:szCs w:val="24"/>
                              </w:rPr>
                              <w:t xml:space="preserve"> </w:t>
                            </w:r>
                            <w:r>
                              <w:rPr>
                                <w:rFonts w:ascii="Times New Roman" w:hAnsi="Times New Roman" w:eastAsia="Times New Roman" w:cs="Times New Roman"/>
                                <w:color w:val="000000" w:themeColor="text1"/>
                                <w:sz w:val="24"/>
                                <w:szCs w:val="24"/>
                              </w:rPr>
                              <w:t xml:space="preserve">Giấy chứng nhận quyền sử dụng đất, quyền sở hữu tài sản gắn liền với đất số: AA 09676288, số vào sổ cấp GCN: CN </w:t>
                            </w:r>
                            <w:r>
                              <w:rPr>
                                <w:bCs/>
                                <w:i w:val="0"/>
                                <w:iCs w:val="0"/>
                                <w:color w:val="000000" w:themeColor="text1"/>
                              </w:rPr>
                              <w:t xml:space="preserve">76235 do Chi nhánh văn phòng đăng kí đất đai Thành phố Vinh cấp ngày 07/07/2026, Chủ sử dụng đất là Ông Trần Hoài Long.</w:t>
                            </w:r>
                            <w:r>
                              <w:rPr>
                                <w:bCs/>
                                <w:i/>
                                <w:iCs/>
                                <w:color w:val="000000" w:themeColor="text1"/>
                              </w:rPr>
                            </w:r>
                            <w:r>
                              <w:rPr>
                                <w:bCs/>
                                <w:i/>
                                <w:iCs/>
                                <w:color w:val="000000" w:themeColor="text1"/>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38.6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275/2026/1396/VFI-CT.T003.A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color w:val="000000" w:themeColor="text1"/>
                          <w:lang w:val="pt-BR"/>
                        </w:rPr>
                        <w:t xml:space="preserve">Khách hàng yêu cầu: Ông </w:t>
                      </w:r>
                      <w:r>
                        <w:rPr>
                          <w:rFonts w:ascii="Times New Roman Bold" w:hAnsi="Times New Roman Bold"/>
                          <w:b/>
                          <w:color w:val="000000" w:themeColor="text1"/>
                          <w:lang w:val="pt-BR"/>
                        </w:rPr>
                        <w:t xml:space="preserve">Trần Hoài L</w:t>
                      </w:r>
                      <w:r>
                        <w:rPr>
                          <w:rFonts w:ascii="Times New Roman Bold" w:hAnsi="Times New Roman Bold"/>
                          <w:b/>
                          <w:color w:val="000000" w:themeColor="text1"/>
                          <w:lang w:val="pt-BR"/>
                        </w:rPr>
                        <w:t xml:space="preserve">ong</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color w:val="000000" w:themeColor="text1"/>
                        </w:rPr>
                      </w:pPr>
                      <w:r>
                        <w:rPr>
                          <w:b/>
                        </w:rPr>
                        <w:t xml:space="preserve">Tài sản thẩm </w:t>
                      </w:r>
                      <w:r>
                        <w:rPr>
                          <w:b/>
                        </w:rPr>
                        <w:t xml:space="preserve">định:</w:t>
                      </w:r>
                      <w:r>
                        <w:rPr>
                          <w:rFonts w:ascii="Times New Roman" w:hAnsi="Times New Roman" w:eastAsia="Times New Roman" w:cs="Times New Roman"/>
                          <w:color w:val="000000" w:themeColor="text1"/>
                          <w:spacing w:val="3"/>
                          <w:sz w:val="24"/>
                          <w:szCs w:val="24"/>
                          <w:highlight w:val="none"/>
                        </w:rPr>
                        <w:t xml:space="preserve"> </w:t>
                      </w:r>
                      <w:r>
                        <w:rPr>
                          <w:rFonts w:ascii="Times New Roman" w:hAnsi="Times New Roman" w:eastAsia="Times New Roman" w:cs="Times New Roman"/>
                          <w:color w:val="000000" w:themeColor="text1"/>
                          <w:spacing w:val="3"/>
                          <w:sz w:val="24"/>
                          <w:szCs w:val="24"/>
                          <w:highlight w:val="white"/>
                        </w:rPr>
                        <w:t xml:space="preserve">Quyền sử dụng đất tại thửa đất số: 105, tờ bản đồ số: 24, có địa chỉ: Phường</w:t>
                      </w:r>
                      <w:r>
                        <w:rPr>
                          <w:rFonts w:ascii="Times New Roman" w:hAnsi="Times New Roman" w:eastAsia="Times New Roman" w:cs="Times New Roman"/>
                          <w:color w:val="000000" w:themeColor="text1"/>
                          <w:sz w:val="24"/>
                          <w:szCs w:val="24"/>
                        </w:rPr>
                        <w:t xml:space="preserve"> Vinh Phú, tỉnh Nghệ An</w:t>
                      </w:r>
                      <w:r>
                        <w:rPr>
                          <w:rFonts w:ascii="Times New Roman" w:hAnsi="Times New Roman" w:eastAsia="Times New Roman" w:cs="Times New Roman"/>
                          <w:b/>
                          <w:color w:val="000000" w:themeColor="text1"/>
                          <w:sz w:val="24"/>
                          <w:szCs w:val="24"/>
                        </w:rPr>
                        <w:t xml:space="preserve"> </w:t>
                      </w:r>
                      <w:r>
                        <w:rPr>
                          <w:rFonts w:ascii="Times New Roman" w:hAnsi="Times New Roman" w:eastAsia="Times New Roman" w:cs="Times New Roman"/>
                          <w:b w:val="0"/>
                          <w:bCs w:val="0"/>
                          <w:color w:val="000000" w:themeColor="text1"/>
                          <w:sz w:val="24"/>
                          <w:szCs w:val="24"/>
                        </w:rPr>
                        <w:t xml:space="preserve">theo</w:t>
                      </w:r>
                      <w:r>
                        <w:rPr>
                          <w:rFonts w:ascii="Times New Roman" w:hAnsi="Times New Roman" w:eastAsia="Times New Roman" w:cs="Times New Roman"/>
                          <w:b/>
                          <w:color w:val="000000" w:themeColor="text1"/>
                          <w:sz w:val="24"/>
                          <w:szCs w:val="24"/>
                        </w:rPr>
                        <w:t xml:space="preserve"> </w:t>
                      </w:r>
                      <w:r>
                        <w:rPr>
                          <w:rFonts w:ascii="Times New Roman" w:hAnsi="Times New Roman" w:eastAsia="Times New Roman" w:cs="Times New Roman"/>
                          <w:color w:val="000000" w:themeColor="text1"/>
                          <w:sz w:val="24"/>
                          <w:szCs w:val="24"/>
                        </w:rPr>
                        <w:t xml:space="preserve">Giấy chứng nhận quyền sử dụng đất, quyền sở hữu tài sản gắn liền với đất số: AA 09676288, số vào sổ cấp GCN: CN </w:t>
                      </w:r>
                      <w:r>
                        <w:rPr>
                          <w:bCs/>
                          <w:i w:val="0"/>
                          <w:iCs w:val="0"/>
                          <w:color w:val="000000" w:themeColor="text1"/>
                        </w:rPr>
                        <w:t xml:space="preserve">76235 do Chi nhánh văn phòng đăng kí đất đai Thành phố Vinh cấp ngày 07/07/2026, Chủ sử dụng đất là Ông Trần Hoài Long.</w:t>
                      </w:r>
                      <w:r>
                        <w:rPr>
                          <w:bCs/>
                          <w:i/>
                          <w:iCs/>
                          <w:color w:val="000000" w:themeColor="text1"/>
                        </w:rPr>
                      </w:r>
                      <w:r>
                        <w:rPr>
                          <w:bCs/>
                          <w:i/>
                          <w:iCs/>
                          <w:color w:val="000000" w:themeColor="text1"/>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color w:val="000000" w:themeColor="text1"/>
                <w:highlight w:val="white"/>
              </w:rPr>
              <w:t xml:space="preserve">1-3</w:t>
            </w:r>
            <w:r>
              <w:rPr>
                <w:b/>
                <w:highlight w:val="white"/>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color w:val="000000" w:themeColor="text1"/>
                <w:highlight w:val="white"/>
              </w:rPr>
              <w:t xml:space="preserve">4-</w:t>
            </w:r>
            <w:r>
              <w:rPr>
                <w:b/>
                <w:color w:val="000000" w:themeColor="text1"/>
                <w:highlight w:val="white"/>
              </w:rPr>
              <w:t xml:space="preserve">20</w:t>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highlight w:val="white"/>
              </w:rPr>
            </w:pPr>
            <w:r>
              <w:rPr>
                <w:b/>
                <w:bCs/>
                <w:highlight w:val="white"/>
              </w:rPr>
            </w:r>
            <w:r>
              <w:rPr>
                <w:b/>
                <w:bCs/>
                <w:highlight w:val="white"/>
              </w:rPr>
            </w:r>
            <w:r>
              <w:rPr>
                <w:b/>
                <w:bCs/>
                <w:highlight w:val="white"/>
              </w:rPr>
            </w:r>
          </w:p>
        </w:tc>
      </w:tr>
      <w:tr>
        <w:trPr/>
        <w:tc>
          <w:tcPr>
            <w:tcBorders/>
            <w:tcMar>
              <w:left w:w="108" w:type="dxa"/>
              <w:right w:w="108" w:type="dxa"/>
            </w:tcMar>
            <w:tcW w:w="7280" w:type="dxa"/>
            <w:vAlign w:val="center"/>
            <w:textDirection w:val="lrTb"/>
            <w:noWrap w:val="false"/>
          </w:tcPr>
          <w:p>
            <w:pPr>
              <w:pStyle w:val="1033"/>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white"/>
              </w:rPr>
            </w:pPr>
            <w:r>
              <w:rPr>
                <w:b/>
                <w:bCs/>
                <w:highlight w:val="white"/>
              </w:rPr>
              <w:t xml:space="preserve">21</w:t>
            </w:r>
            <w:r>
              <w:rPr>
                <w:b/>
                <w:bCs/>
                <w:highlight w:val="white"/>
              </w:rPr>
            </w:r>
            <w:r>
              <w:rPr>
                <w:b/>
                <w:bCs/>
                <w:highlight w:val="white"/>
              </w:rPr>
            </w:r>
          </w:p>
        </w:tc>
      </w:tr>
      <w:tr>
        <w:trPr/>
        <w:tc>
          <w:tcPr>
            <w:tcBorders/>
            <w:tcMar>
              <w:left w:w="108" w:type="dxa"/>
              <w:right w:w="108" w:type="dxa"/>
            </w:tcMar>
            <w:tcW w:w="7280" w:type="dxa"/>
            <w:vAlign w:val="center"/>
            <w:textDirection w:val="lrTb"/>
            <w:noWrap w:val="false"/>
          </w:tcPr>
          <w:p>
            <w:pPr>
              <w:pStyle w:val="1033"/>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white"/>
              </w:rPr>
            </w:pPr>
            <w:r>
              <w:rPr>
                <w:b/>
                <w:bCs/>
                <w:highlight w:val="white"/>
              </w:rPr>
              <w:t xml:space="preserve">22</w:t>
            </w:r>
            <w:r>
              <w:rPr>
                <w:b/>
                <w:bCs/>
                <w:highlight w:val="white"/>
              </w:rPr>
              <w:t xml:space="preserve">-</w:t>
            </w:r>
            <w:r>
              <w:rPr>
                <w:b/>
                <w:bCs/>
                <w:highlight w:val="white"/>
              </w:rPr>
              <w:t xml:space="preserve">30</w:t>
            </w:r>
            <w:r>
              <w:rPr>
                <w:b/>
                <w:bCs/>
                <w:highlight w:val="white"/>
              </w:rPr>
            </w:r>
          </w:p>
        </w:tc>
      </w:tr>
    </w:tbl>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303" w:type="dxa"/>
        <w:tblBorders/>
        <w:tblLayout w:type="fixed"/>
        <w:tblLook w:val="04A0" w:firstRow="1" w:lastRow="0" w:firstColumn="1" w:lastColumn="0" w:noHBand="0" w:noVBand="1"/>
      </w:tblPr>
      <w:tblGrid>
        <w:gridCol w:w="29"/>
        <w:gridCol w:w="1701"/>
        <w:gridCol w:w="8574"/>
      </w:tblGrid>
      <w:tr>
        <w:trPr>
          <w:trHeight w:val="1559"/>
        </w:trPr>
        <w:tc>
          <w:tcPr>
            <w:gridSpan w:val="2"/>
            <w:tcBorders/>
            <w:tcW w:w="1729"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8574"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23"/>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48"/>
        </w:trPr>
        <w:tc>
          <w:tcPr>
            <w:gridSpan w:val="2"/>
            <w:shd w:val="clear" w:color="auto" w:fill="auto"/>
            <w:tcBorders/>
            <w:tcMar>
              <w:left w:w="108" w:type="dxa"/>
              <w:top w:w="0" w:type="dxa"/>
              <w:right w:w="108" w:type="dxa"/>
              <w:bottom w:w="0" w:type="dxa"/>
            </w:tcMar>
            <w:tcW w:w="10274" w:type="dxa"/>
            <w:textDirection w:val="lrTb"/>
            <w:noWrap w:val="false"/>
          </w:tcPr>
          <w:p>
            <w:pPr>
              <w:pStyle w:val="1032"/>
              <w:pBdr/>
              <w:spacing w:after="60"/>
              <w:ind/>
              <w:rPr>
                <w:color w:val="000000" w:themeColor="text1"/>
                <w:sz w:val="24"/>
                <w:szCs w:val="24"/>
              </w:rPr>
            </w:pPr>
            <w:r>
              <w:rPr>
                <w:rStyle w:val="1031"/>
                <w:rFonts w:ascii="Times New Roman" w:hAnsi="Times New Roman"/>
                <w:color w:val="000000" w:themeColor="text1"/>
                <w:lang w:val="pt-BR"/>
              </w:rPr>
              <w:t xml:space="preserve">Số: </w:t>
            </w:r>
            <w:r>
              <w:rPr>
                <w:rStyle w:val="1031"/>
                <w:rFonts w:ascii="Times New Roman" w:hAnsi="Times New Roman"/>
                <w:color w:val="000000" w:themeColor="text1"/>
                <w:lang w:val="pt-BR"/>
              </w:rPr>
              <w:t xml:space="preserve">275/2026/1396/VFI-CT.T003.A</w:t>
            </w:r>
            <w:r>
              <w:rPr>
                <w:color w:val="000000" w:themeColor="text1"/>
                <w:sz w:val="24"/>
                <w:szCs w:val="24"/>
              </w:rPr>
            </w:r>
            <w:r>
              <w:rPr>
                <w:color w:val="000000" w:themeColor="text1"/>
                <w:sz w:val="24"/>
                <w:szCs w:val="24"/>
              </w:rPr>
            </w:r>
          </w:p>
          <w:p>
            <w:pPr>
              <w:pStyle w:val="1032"/>
              <w:pBdr/>
              <w:spacing w:after="60"/>
              <w:ind w:right="-56"/>
              <w:jc w:val="right"/>
              <w:rPr>
                <w:color w:val="000000" w:themeColor="text1"/>
                <w:sz w:val="24"/>
                <w:szCs w:val="24"/>
                <w:lang w:val="vi-VN"/>
              </w:rPr>
            </w:pPr>
            <w:r>
              <w:rPr>
                <w:rStyle w:val="1031"/>
                <w:rFonts w:ascii="Times New Roman" w:hAnsi="Times New Roman"/>
                <w:i/>
                <w:color w:val="auto"/>
              </w:rPr>
              <w:t xml:space="preserve">TP. Hà Nội</w:t>
            </w:r>
            <w:r>
              <w:rPr>
                <w:rStyle w:val="1031"/>
                <w:rFonts w:ascii="Times New Roman" w:hAnsi="Times New Roman"/>
                <w:i/>
                <w:color w:val="auto"/>
                <w:lang w:val="vi-VN"/>
              </w:rPr>
              <w:t xml:space="preserve">, </w:t>
            </w:r>
            <w:r>
              <w:rPr>
                <w:rStyle w:val="1031"/>
                <w:rFonts w:ascii="Times New Roman" w:hAnsi="Times New Roman"/>
                <w:i/>
                <w:color w:val="000000" w:themeColor="text1"/>
                <w:lang w:val="vi-VN"/>
              </w:rPr>
              <w:t xml:space="preserve">ngày 09 tháng 9 năm 2026</w:t>
            </w:r>
            <w:r>
              <w:rPr>
                <w:color w:val="000000" w:themeColor="text1"/>
                <w:sz w:val="24"/>
                <w:szCs w:val="24"/>
                <w:lang w:val="vi-VN"/>
              </w:rPr>
            </w:r>
            <w:r>
              <w:rPr>
                <w:color w:val="000000" w:themeColor="text1"/>
                <w:sz w:val="24"/>
                <w:szCs w:val="24"/>
                <w:lang w:val="vi-VN"/>
              </w:rPr>
            </w:r>
          </w:p>
        </w:tc>
      </w:tr>
    </w:tbl>
    <w:p>
      <w:pPr>
        <w:pStyle w:val="1032"/>
        <w:pBdr/>
        <w:spacing w:after="120" w:before="200" w:line="288" w:lineRule="auto"/>
        <w:ind/>
        <w:jc w:val="center"/>
        <w:rPr>
          <w:rStyle w:val="1031"/>
          <w:rFonts w:ascii="Times New Roman" w:hAnsi="Times New Roman"/>
          <w:b/>
          <w:bCs/>
          <w:color w:val="auto"/>
          <w:sz w:val="30"/>
          <w:szCs w:val="30"/>
          <w:lang w:val="vi-VN"/>
        </w:rPr>
      </w:pPr>
      <w:r>
        <w:rPr>
          <w:rStyle w:val="1031"/>
          <w:rFonts w:ascii="Times New Roman" w:hAnsi="Times New Roman"/>
          <w:b/>
          <w:bCs/>
          <w:color w:val="auto"/>
          <w:sz w:val="30"/>
          <w:szCs w:val="30"/>
          <w:lang w:val="vi-VN"/>
        </w:rPr>
        <w:t xml:space="preserve">CHỨNG THƯ THẨM ĐỊNH GIÁ</w:t>
      </w:r>
      <w:r>
        <w:rPr>
          <w:rStyle w:val="1031"/>
          <w:rFonts w:ascii="Times New Roman" w:hAnsi="Times New Roman"/>
          <w:b/>
          <w:bCs/>
          <w:color w:val="auto"/>
          <w:sz w:val="30"/>
          <w:szCs w:val="30"/>
          <w:lang w:val="vi-VN"/>
        </w:rPr>
      </w:r>
      <w:r>
        <w:rPr>
          <w:rStyle w:val="1031"/>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 </w:t>
      </w:r>
      <w:r>
        <w:rPr>
          <w:b/>
          <w:lang w:val="pt-BR"/>
        </w:rPr>
        <w:t xml:space="preserve">Ông </w:t>
      </w:r>
      <w:r>
        <w:rPr>
          <w:rFonts w:ascii="Times New Roman Bold" w:hAnsi="Times New Roman Bold"/>
          <w:b/>
          <w:color w:val="000000" w:themeColor="text1"/>
          <w:lang w:val="pt-BR"/>
        </w:rPr>
        <w:t xml:space="preserve">Trần Hoài Long</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rFonts w:ascii="Times New Roman" w:hAnsi="Times New Roman" w:eastAsia="Times New Roman" w:cs="Times New Roman"/>
          <w:color w:val="081b3a"/>
          <w:spacing w:val="3"/>
          <w:sz w:val="24"/>
          <w:szCs w:val="24"/>
          <w:highlight w:val="white"/>
        </w:rPr>
        <w:t xml:space="preserve">275/2026/1396/VFI-HĐTĐ.T003.A</w:t>
      </w:r>
      <w:r>
        <w:rPr>
          <w:spacing w:val="-4"/>
          <w:lang w:val="vi-VN"/>
        </w:rPr>
        <w:t xml:space="preserve"> ký ngày </w:t>
      </w:r>
      <w:r>
        <w:rPr>
          <w:color w:val="000000" w:themeColor="text1"/>
          <w:spacing w:val="-4"/>
        </w:rPr>
        <w:t xml:space="preserve">8 tháng 9 năm 2026</w:t>
      </w:r>
      <w:r>
        <w:rPr>
          <w:spacing w:val="-4"/>
          <w:lang w:val="vi-VN"/>
        </w:rPr>
        <w:t xml:space="preserve"> </w:t>
      </w:r>
      <w:r>
        <w:rPr>
          <w:spacing w:val="-4"/>
          <w:lang w:val="vi-VN"/>
        </w:rPr>
        <w:t xml:space="preserve">giữa </w:t>
      </w:r>
      <w:r>
        <w:rPr>
          <w:b w:val="0"/>
          <w:bCs w:val="0"/>
          <w:lang w:val="pt-BR"/>
        </w:rPr>
        <w:t xml:space="preserve">Ông</w:t>
      </w:r>
      <w:r>
        <w:rPr>
          <w:color w:val="000000" w:themeColor="text1"/>
          <w:spacing w:val="-4"/>
        </w:rPr>
        <w:t xml:space="preserve"> Trần Hoài Long</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275/2026/1396/VFI-BC.T003.A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9 tháng 9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Trần Hoài Long</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0" w:line="288" w:lineRule="auto"/>
              <w:ind w:right="0" w:firstLine="0" w:left="0"/>
              <w:rPr/>
            </w:pPr>
            <w:r>
              <w:rPr>
                <w:rFonts w:ascii="Times New Roman" w:hAnsi="Times New Roman" w:eastAsia="Times New Roman" w:cs="Times New Roman"/>
                <w:color w:val="000000"/>
                <w:sz w:val="24"/>
              </w:rPr>
              <w:t xml:space="preserve">040076000271</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color w:val="000000"/>
                <w:sz w:val="24"/>
              </w:rPr>
              <w:t xml:space="preserve">1976</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Khu TĐC X2A, TDP Hưng Phúc,Phường Yên Sở,TP Hà Nội</w:t>
            </w:r>
            <w:r>
              <w:rPr>
                <w:rFonts w:ascii="Times New Roman" w:hAnsi="Times New Roman" w:eastAsia="Times New Roman" w:cs="Times New Roman"/>
                <w:sz w:val="24"/>
              </w:rPr>
            </w:r>
            <w:r>
              <w:rPr>
                <w:rFonts w:ascii="Times New Roman" w:hAnsi="Times New Roman" w:eastAsia="Times New Roman" w:cs="Times New Roman"/>
                <w:sz w:val="24"/>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rFonts w:ascii="Times New Roman" w:hAnsi="Times New Roman" w:eastAsia="Times New Roman" w:cs="Times New Roman"/>
          <w:color w:val="000000" w:themeColor="text1"/>
          <w:spacing w:val="3"/>
          <w:sz w:val="24"/>
          <w:szCs w:val="24"/>
          <w:highlight w:val="white"/>
        </w:rPr>
        <w:t xml:space="preserve">Quyền sử dụng đất tại thửa đất số: 105, tờ bản đồ số: 24, có địa chỉ: Phường</w:t>
      </w:r>
      <w:r>
        <w:rPr>
          <w:rFonts w:ascii="Times New Roman" w:hAnsi="Times New Roman" w:eastAsia="Times New Roman" w:cs="Times New Roman"/>
          <w:color w:val="000000" w:themeColor="text1"/>
          <w:sz w:val="24"/>
          <w:szCs w:val="24"/>
        </w:rPr>
        <w:t xml:space="preserve"> Vinh Phú, tỉnh Nghệ An</w:t>
      </w:r>
      <w:r>
        <w:rPr>
          <w:rFonts w:ascii="Times New Roman" w:hAnsi="Times New Roman" w:eastAsia="Times New Roman" w:cs="Times New Roman"/>
          <w:b/>
          <w:color w:val="000000" w:themeColor="text1"/>
          <w:sz w:val="24"/>
          <w:szCs w:val="24"/>
        </w:rPr>
        <w:t xml:space="preserve"> </w:t>
      </w:r>
      <w:r>
        <w:rPr>
          <w:rFonts w:ascii="Times New Roman" w:hAnsi="Times New Roman" w:eastAsia="Times New Roman" w:cs="Times New Roman"/>
          <w:b w:val="0"/>
          <w:bCs w:val="0"/>
          <w:color w:val="000000" w:themeColor="text1"/>
          <w:sz w:val="24"/>
          <w:szCs w:val="24"/>
        </w:rPr>
        <w:t xml:space="preserve">theo</w:t>
      </w:r>
      <w:r>
        <w:rPr>
          <w:rFonts w:ascii="Times New Roman" w:hAnsi="Times New Roman" w:eastAsia="Times New Roman" w:cs="Times New Roman"/>
          <w:b/>
          <w:color w:val="000000" w:themeColor="text1"/>
          <w:sz w:val="24"/>
          <w:szCs w:val="24"/>
        </w:rPr>
        <w:t xml:space="preserve"> </w:t>
      </w:r>
      <w:r>
        <w:rPr>
          <w:rFonts w:ascii="Times New Roman" w:hAnsi="Times New Roman" w:eastAsia="Times New Roman" w:cs="Times New Roman"/>
          <w:color w:val="000000" w:themeColor="text1"/>
          <w:sz w:val="24"/>
          <w:szCs w:val="24"/>
        </w:rPr>
        <w:t xml:space="preserve">Giấy chứng nhận quyền sử dụng đất, quyền sở hữu tài sản gắn liền với đất số: AA 09676288, số vào sổ cấp GCN: CN </w:t>
      </w:r>
      <w:r>
        <w:rPr>
          <w:bCs/>
          <w:i w:val="0"/>
          <w:iCs w:val="0"/>
          <w:color w:val="000000" w:themeColor="text1"/>
        </w:rPr>
        <w:t xml:space="preserve">76235 do Chi nhánh văn phòng đăng kí đất đai Thành phố Vinh cấp ngày 07/07/2026, Chủ sử dụng đất là Ông Trần Hoài Long.</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09/2026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09/2026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color w:val="000000"/>
              </w:rPr>
            </w:r>
            <w:r>
              <w:rPr>
                <w:rFonts w:ascii="Times New Roman" w:hAnsi="Times New Roman" w:eastAsia="Times New Roman" w:cs="Times New Roman"/>
                <w:color w:val="000000" w:themeColor="text1"/>
                <w:spacing w:val="3"/>
                <w:sz w:val="24"/>
                <w:szCs w:val="24"/>
                <w:highlight w:val="white"/>
              </w:rPr>
              <w:t xml:space="preserve">Quyền sử dụng đất tại thửa đất số: 105, tờ bản đồ số: 24, có địa chỉ: Phường</w:t>
            </w:r>
            <w:r>
              <w:rPr>
                <w:rFonts w:ascii="Times New Roman" w:hAnsi="Times New Roman" w:eastAsia="Times New Roman" w:cs="Times New Roman"/>
                <w:color w:val="000000" w:themeColor="text1"/>
                <w:sz w:val="24"/>
                <w:szCs w:val="24"/>
              </w:rPr>
              <w:t xml:space="preserve"> Vinh Phú, tỉnh Nghệ An</w:t>
            </w:r>
            <w:r>
              <w:rPr>
                <w:rFonts w:ascii="Times New Roman" w:hAnsi="Times New Roman" w:eastAsia="Times New Roman" w:cs="Times New Roman"/>
                <w:b/>
                <w:color w:val="000000" w:themeColor="text1"/>
                <w:sz w:val="24"/>
                <w:szCs w:val="24"/>
              </w:rPr>
              <w:t xml:space="preserve"> </w:t>
            </w:r>
            <w:r>
              <w:rPr>
                <w:rFonts w:ascii="Times New Roman" w:hAnsi="Times New Roman" w:eastAsia="Times New Roman" w:cs="Times New Roman"/>
                <w:b w:val="0"/>
                <w:bCs w:val="0"/>
                <w:color w:val="000000" w:themeColor="text1"/>
                <w:sz w:val="24"/>
                <w:szCs w:val="24"/>
              </w:rPr>
              <w:t xml:space="preserve">theo</w:t>
            </w:r>
            <w:r>
              <w:rPr>
                <w:rFonts w:ascii="Times New Roman" w:hAnsi="Times New Roman" w:eastAsia="Times New Roman" w:cs="Times New Roman"/>
                <w:b/>
                <w:color w:val="000000" w:themeColor="text1"/>
                <w:sz w:val="24"/>
                <w:szCs w:val="24"/>
              </w:rPr>
              <w:t xml:space="preserve"> </w:t>
            </w:r>
            <w:r>
              <w:rPr>
                <w:rFonts w:ascii="Times New Roman" w:hAnsi="Times New Roman" w:eastAsia="Times New Roman" w:cs="Times New Roman"/>
                <w:color w:val="000000" w:themeColor="text1"/>
                <w:sz w:val="24"/>
                <w:szCs w:val="24"/>
              </w:rPr>
              <w:t xml:space="preserve">Giấy chứng nhận quyền sử dụng đất, quyền sở hữu tài sản gắn liền với đất số: AA 09676288, số vào sổ cấp GCN: CN </w:t>
            </w:r>
            <w:r>
              <w:rPr>
                <w:bCs/>
                <w:i w:val="0"/>
                <w:iCs w:val="0"/>
                <w:color w:val="000000" w:themeColor="text1"/>
              </w:rPr>
              <w:t xml:space="preserve">76235 do Chi nhánh văn phòng đăng kí đất đai Thành phố Vinh cấp ngày 07/07/2026, Chủ sử dụng đất là Ông Trần Hoài Long.</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1063" w:type="pct"/>
            <w:vAlign w:val="center"/>
            <w:textDirection w:val="lrTb"/>
            <w:noWrap w:val="false"/>
          </w:tcPr>
          <w:p>
            <w:pPr>
              <w:pBdr/>
              <w:spacing w:after="40" w:before="40" w:line="288" w:lineRule="auto"/>
              <w:ind/>
              <w:rPr>
                <w:b w:val="0"/>
                <w:bCs w:val="0"/>
                <w:color w:val="ff0000"/>
              </w:rPr>
            </w:pPr>
            <w:r>
              <w:rPr>
                <w:b w:val="0"/>
                <w:bCs w:val="0"/>
                <w:color w:val="ff0000"/>
              </w:rPr>
              <w:t xml:space="preserve">Đất ở tại đô thị</w:t>
            </w:r>
            <w:r>
              <w:rPr>
                <w:b w:val="0"/>
                <w:bCs w:val="0"/>
                <w:color w:val="ff0000"/>
              </w:rPr>
            </w:r>
            <w:r>
              <w:rPr>
                <w:b w:val="0"/>
                <w:bCs w:val="0"/>
                <w:color w:val="ff0000"/>
              </w:rP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150</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42.000.000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6.300.000.000</w:t>
            </w:r>
            <w:r/>
          </w:p>
        </w:tc>
      </w:tr>
      <w:tr>
        <w:trPr>
          <w:trHeight w:val="20"/>
        </w:trPr>
        <w:tc>
          <w:tcPr>
            <w:shd w:val="clear" w:color="000000" w:fill="ffffff"/>
            <w:tcBorders/>
            <w:tcW w:w="500" w:type="pct"/>
            <w:vAlign w:val="center"/>
            <w:vMerge w:val="restart"/>
            <w:textDirection w:val="lrTb"/>
            <w:noWrap w:val="false"/>
          </w:tcPr>
          <w:p>
            <w:pPr>
              <w:pBdr/>
              <w:spacing w:after="40" w:before="40" w:line="288" w:lineRule="auto"/>
              <w:ind/>
              <w:jc w:val="center"/>
              <w:rPr>
                <w:b w:val="0"/>
                <w:bCs w:val="0"/>
                <w:color w:val="ff0000"/>
              </w:rPr>
            </w:pPr>
            <w:r>
              <w:rPr>
                <w:b w:val="0"/>
                <w:bCs w:val="0"/>
                <w:color w:val="ff0000"/>
              </w:rPr>
              <w:t xml:space="preserve">2</w:t>
            </w:r>
            <w:r>
              <w:rPr>
                <w:b w:val="0"/>
                <w:bCs w:val="0"/>
                <w:color w:val="ff0000"/>
              </w:rPr>
            </w:r>
            <w:r>
              <w:rPr>
                <w:b w:val="0"/>
                <w:bCs w:val="0"/>
                <w:color w:val="ff0000"/>
              </w:rPr>
            </w:r>
          </w:p>
        </w:tc>
        <w:tc>
          <w:tcPr>
            <w:shd w:val="clear" w:color="000000" w:fill="ffffff"/>
            <w:tcBorders/>
            <w:tcW w:w="1063" w:type="pct"/>
            <w:vAlign w:val="center"/>
            <w:vMerge w:val="restart"/>
            <w:textDirection w:val="lrTb"/>
            <w:noWrap w:val="false"/>
          </w:tcPr>
          <w:p>
            <w:pPr>
              <w:pBdr/>
              <w:spacing/>
              <w:ind/>
              <w:jc w:val="left"/>
              <w:rPr>
                <w:color w:val="ff0000"/>
              </w:rPr>
            </w:pPr>
            <w:r>
              <w:rPr>
                <w:color w:val="ff0000"/>
              </w:rPr>
              <w:t xml:space="preserve">Đất trồng cây lâu năm</w:t>
            </w:r>
            <w:r>
              <w:rPr>
                <w:color w:val="ff0000"/>
              </w:rPr>
            </w:r>
            <w:r>
              <w:rPr>
                <w:color w:val="ff0000"/>
              </w:rPr>
            </w:r>
          </w:p>
        </w:tc>
        <w:tc>
          <w:tcPr>
            <w:tcBorders/>
            <w:tcW w:w="946" w:type="pct"/>
            <w:vAlign w:val="center"/>
            <w:vMerge w:val="restart"/>
            <w:textDirection w:val="lrTb"/>
            <w:noWrap/>
          </w:tcPr>
          <w:p>
            <w:pPr>
              <w:pBdr/>
              <w:spacing w:after="40" w:before="40" w:line="288" w:lineRule="auto"/>
              <w:ind/>
              <w:jc w:val="center"/>
              <w:rPr>
                <w:color w:val="000000" w:themeColor="text1"/>
              </w:rPr>
            </w:pPr>
            <w:r>
              <w:rPr>
                <w:color w:val="000000" w:themeColor="text1"/>
              </w:rPr>
            </w:r>
            <w:r>
              <w:rPr>
                <w:color w:val="000000" w:themeColor="text1"/>
              </w:rPr>
              <w:t xml:space="preserve">48,8</w:t>
            </w:r>
            <w:r>
              <w:rPr>
                <w:color w:val="000000" w:themeColor="text1"/>
              </w:rPr>
            </w:r>
            <w:r>
              <w:rPr>
                <w:color w:val="000000" w:themeColor="text1"/>
              </w:rPr>
            </w:r>
          </w:p>
        </w:tc>
        <w:tc>
          <w:tcPr>
            <w:shd w:val="clear" w:color="000000" w:fill="ffffff"/>
            <w:tcBorders/>
            <w:tcW w:w="1355" w:type="pct"/>
            <w:vAlign w:val="center"/>
            <w:vMerge w:val="restart"/>
            <w:textDirection w:val="lrTb"/>
            <w:noWrap w:val="false"/>
          </w:tcPr>
          <w:p>
            <w:pPr>
              <w:pBdr/>
              <w:spacing w:after="40" w:before="40" w:line="288" w:lineRule="auto"/>
              <w:ind/>
              <w:jc w:val="center"/>
              <w:rPr>
                <w:color w:val="000000" w:themeColor="text1"/>
              </w:rPr>
            </w:pPr>
            <w:r>
              <w:rPr>
                <w:color w:val="000000" w:themeColor="text1"/>
              </w:rPr>
            </w:r>
            <w:r>
              <w:rPr>
                <w:color w:val="000000" w:themeColor="text1"/>
              </w:rPr>
              <w:t xml:space="preserve">100.000</w:t>
            </w:r>
            <w:r>
              <w:rPr>
                <w:color w:val="000000" w:themeColor="text1"/>
              </w:rPr>
            </w:r>
            <w:r>
              <w:rPr>
                <w:color w:val="000000" w:themeColor="text1"/>
              </w:rPr>
            </w:r>
          </w:p>
        </w:tc>
        <w:tc>
          <w:tcPr>
            <w:shd w:val="clear" w:color="000000" w:fill="ffffff"/>
            <w:tcBorders/>
            <w:tcW w:w="1136" w:type="pct"/>
            <w:vAlign w:val="center"/>
            <w:vMerge w:val="restart"/>
            <w:textDirection w:val="lrTb"/>
            <w:noWrap w:val="false"/>
          </w:tcPr>
          <w:p>
            <w:pPr>
              <w:pBdr/>
              <w:spacing w:after="40" w:before="40" w:line="288" w:lineRule="auto"/>
              <w:ind/>
              <w:jc w:val="center"/>
              <w:rPr>
                <w:color w:val="000000" w:themeColor="text1"/>
              </w:rPr>
            </w:pPr>
            <w:r>
              <w:rPr>
                <w:color w:val="000000" w:themeColor="text1"/>
              </w:rPr>
            </w:r>
            <w:r>
              <w:rPr>
                <w:color w:val="000000" w:themeColor="text1"/>
              </w:rPr>
              <w:t xml:space="preserve">4.880.000</w:t>
            </w:r>
            <w:r>
              <w:rPr>
                <w:color w:val="000000" w:themeColor="text1"/>
              </w:rPr>
            </w:r>
            <w:r>
              <w:rPr>
                <w:color w:val="000000" w:themeColor="text1"/>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t xml:space="preserve">6.304.880.000</w:t>
            </w:r>
            <w:r>
              <w:rPr>
                <w:b/>
                <w:bCs/>
                <w:color w:val="000000"/>
              </w:rPr>
            </w:r>
            <w:r>
              <w:rPr>
                <w:b/>
                <w:bCs/>
                <w:color w:val="000000"/>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color w:val="000000"/>
              </w:rPr>
              <w:t xml:space="preserve">6.304.900.000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Sáu tỷ ba trăm lẻ bốn triệu chín trăm nghìn 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9873" w:type="dxa"/>
        <w:tblBorders/>
        <w:tblLayout w:type="fixed"/>
        <w:tblLook w:val="04A0" w:firstRow="1" w:lastRow="0" w:firstColumn="1" w:lastColumn="0" w:noHBand="0" w:noVBand="1"/>
      </w:tblPr>
      <w:tblGrid>
        <w:gridCol w:w="29"/>
        <w:gridCol w:w="1787"/>
        <w:gridCol w:w="7992"/>
        <w:gridCol w:w="65"/>
      </w:tblGrid>
      <w:tr>
        <w:trPr>
          <w:trHeight w:val="1843"/>
        </w:trPr>
        <w:tc>
          <w:tcPr>
            <w:gridSpan w:val="2"/>
            <w:tcBorders/>
            <w:tcW w:w="1816"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8057"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23"/>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84"/>
        </w:trPr>
        <w:tc>
          <w:tcPr>
            <w:gridSpan w:val="2"/>
            <w:shd w:val="clear" w:color="auto" w:fill="auto"/>
            <w:tcBorders/>
            <w:tcMar>
              <w:left w:w="108" w:type="dxa"/>
              <w:top w:w="0" w:type="dxa"/>
              <w:right w:w="108" w:type="dxa"/>
              <w:bottom w:w="0" w:type="dxa"/>
            </w:tcMar>
            <w:tcW w:w="9779" w:type="dxa"/>
            <w:textDirection w:val="lrTb"/>
            <w:noWrap w:val="false"/>
          </w:tcPr>
          <w:p>
            <w:pPr>
              <w:pStyle w:val="1032"/>
              <w:pBdr/>
              <w:spacing w:after="60"/>
              <w:ind/>
              <w:rPr>
                <w:color w:val="000000" w:themeColor="text1"/>
                <w:sz w:val="24"/>
                <w:szCs w:val="24"/>
              </w:rPr>
            </w:pPr>
            <w:r>
              <w:rPr>
                <w:rStyle w:val="1031"/>
                <w:rFonts w:ascii="Times New Roman" w:hAnsi="Times New Roman"/>
                <w:color w:val="000000" w:themeColor="text1"/>
                <w:lang w:val="pt-BR"/>
              </w:rPr>
              <w:t xml:space="preserve">Số: </w:t>
            </w:r>
            <w:r>
              <w:rPr>
                <w:rStyle w:val="1031"/>
                <w:rFonts w:ascii="Times New Roman" w:hAnsi="Times New Roman"/>
                <w:color w:val="000000" w:themeColor="text1"/>
                <w:lang w:val="pt-BR"/>
              </w:rPr>
              <w:t xml:space="preserve">275/2026/1396/VFI-BC.T003.A</w:t>
            </w:r>
            <w:r>
              <w:rPr>
                <w:color w:val="000000" w:themeColor="text1"/>
                <w:sz w:val="24"/>
                <w:szCs w:val="24"/>
              </w:rPr>
            </w:r>
            <w:r>
              <w:rPr>
                <w:color w:val="000000" w:themeColor="text1"/>
                <w:sz w:val="24"/>
                <w:szCs w:val="24"/>
              </w:rPr>
            </w:r>
          </w:p>
          <w:p>
            <w:pPr>
              <w:pStyle w:val="1032"/>
              <w:pBdr/>
              <w:spacing w:after="60"/>
              <w:ind w:right="-56"/>
              <w:jc w:val="right"/>
              <w:rPr>
                <w:color w:val="000000" w:themeColor="text1"/>
                <w:sz w:val="24"/>
                <w:szCs w:val="24"/>
                <w:lang w:val="vi-VN"/>
              </w:rPr>
            </w:pPr>
            <w:r>
              <w:rPr>
                <w:rStyle w:val="1031"/>
                <w:rFonts w:ascii="Times New Roman" w:hAnsi="Times New Roman"/>
                <w:i/>
                <w:color w:val="auto"/>
              </w:rPr>
              <w:t xml:space="preserve">TP. Hà Nội</w:t>
            </w:r>
            <w:r>
              <w:rPr>
                <w:rStyle w:val="1031"/>
                <w:rFonts w:ascii="Times New Roman" w:hAnsi="Times New Roman"/>
                <w:i/>
                <w:color w:val="auto"/>
                <w:lang w:val="vi-VN"/>
              </w:rPr>
              <w:t xml:space="preserve">, </w:t>
            </w:r>
            <w:r>
              <w:rPr>
                <w:rStyle w:val="1031"/>
                <w:rFonts w:ascii="Times New Roman" w:hAnsi="Times New Roman"/>
                <w:i/>
                <w:color w:val="000000" w:themeColor="text1"/>
                <w:lang w:val="vi-VN"/>
              </w:rPr>
              <w:t xml:space="preserve">ngày 09 tháng 9 năm 2026</w:t>
            </w:r>
            <w:r>
              <w:rPr>
                <w:color w:val="000000" w:themeColor="text1"/>
                <w:sz w:val="24"/>
                <w:szCs w:val="24"/>
                <w:lang w:val="vi-VN"/>
              </w:rPr>
            </w:r>
            <w:r>
              <w:rPr>
                <w:color w:val="000000" w:themeColor="text1"/>
                <w:sz w:val="24"/>
                <w:szCs w:val="24"/>
                <w:lang w:val="vi-VN"/>
              </w:rPr>
            </w:r>
          </w:p>
        </w:tc>
      </w:tr>
    </w:tbl>
    <w:p>
      <w:pPr>
        <w:pStyle w:val="1032"/>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12"/>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275/2026/1396/VFI-CT.T003.A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09 tháng 9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12"/>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33"/>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ind/>
              <w:rPr/>
            </w:pPr>
            <w:r>
              <w:rPr>
                <w:b/>
                <w:bCs/>
              </w:rPr>
              <w:t xml:space="preserve">Trần Hoài Long</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MST/CMTND/CCCD:</w:t>
            </w:r>
            <w:r>
              <w:rPr>
                <w:bCs/>
                <w:lang w:val="pt-BR"/>
              </w:rPr>
            </w:r>
            <w:r>
              <w:rPr>
                <w:bCs/>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0" w:line="288"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040076000271</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Năm sinh:</w:t>
            </w:r>
            <w:r>
              <w:rPr>
                <w:bCs/>
                <w:lang w:val="pt-BR"/>
              </w:rPr>
            </w:r>
            <w:r>
              <w:rPr>
                <w:bCs/>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1976</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w:t>
            </w:r>
            <w:r>
              <w:rPr>
                <w:bCs/>
                <w:lang w:val="pt-BR"/>
              </w:rPr>
            </w:r>
            <w:r>
              <w:rPr>
                <w:bCs/>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Khu TĐC X2A, TDP </w:t>
            </w:r>
            <w:r>
              <w:rPr>
                <w:rFonts w:ascii="Times New Roman" w:hAnsi="Times New Roman" w:eastAsia="Times New Roman" w:cs="Times New Roman"/>
                <w:color w:val="000000"/>
                <w:sz w:val="24"/>
              </w:rPr>
              <w:t xml:space="preserve">Hưng Phúc, Phường Yên Sở, TP Hà Nội</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r>
            <w:r>
              <w:rPr>
                <w:rFonts w:ascii="Times New Roman" w:hAnsi="Times New Roman" w:eastAsia="Times New Roman" w:cs="Times New Roman"/>
                <w:color w:val="000000" w:themeColor="text1"/>
                <w:spacing w:val="3"/>
                <w:sz w:val="24"/>
                <w:szCs w:val="24"/>
                <w:highlight w:val="white"/>
              </w:rPr>
              <w:t xml:space="preserve">Quyền sử dụng đất tại thửa đất số: 105, tờ bản đồ số: 24, có địa chỉ: Phường</w:t>
            </w:r>
            <w:r>
              <w:rPr>
                <w:rFonts w:ascii="Times New Roman" w:hAnsi="Times New Roman" w:eastAsia="Times New Roman" w:cs="Times New Roman"/>
                <w:color w:val="000000" w:themeColor="text1"/>
                <w:sz w:val="24"/>
                <w:szCs w:val="24"/>
              </w:rPr>
              <w:t xml:space="preserve"> Vinh Phú, tỉnh Nghệ An</w:t>
            </w:r>
            <w:r>
              <w:rPr>
                <w:rFonts w:ascii="Times New Roman" w:hAnsi="Times New Roman" w:eastAsia="Times New Roman" w:cs="Times New Roman"/>
                <w:b/>
                <w:color w:val="000000" w:themeColor="text1"/>
                <w:sz w:val="24"/>
                <w:szCs w:val="24"/>
              </w:rPr>
              <w:t xml:space="preserve"> </w:t>
            </w:r>
            <w:r>
              <w:rPr>
                <w:rFonts w:ascii="Times New Roman" w:hAnsi="Times New Roman" w:eastAsia="Times New Roman" w:cs="Times New Roman"/>
                <w:b w:val="0"/>
                <w:bCs w:val="0"/>
                <w:color w:val="000000" w:themeColor="text1"/>
                <w:sz w:val="24"/>
                <w:szCs w:val="24"/>
              </w:rPr>
              <w:t xml:space="preserve">theo</w:t>
            </w:r>
            <w:r>
              <w:rPr>
                <w:rFonts w:ascii="Times New Roman" w:hAnsi="Times New Roman" w:eastAsia="Times New Roman" w:cs="Times New Roman"/>
                <w:b/>
                <w:color w:val="000000" w:themeColor="text1"/>
                <w:sz w:val="24"/>
                <w:szCs w:val="24"/>
              </w:rPr>
              <w:t xml:space="preserve"> </w:t>
            </w:r>
            <w:r>
              <w:rPr>
                <w:rFonts w:ascii="Times New Roman" w:hAnsi="Times New Roman" w:eastAsia="Times New Roman" w:cs="Times New Roman"/>
                <w:color w:val="000000" w:themeColor="text1"/>
                <w:sz w:val="24"/>
                <w:szCs w:val="24"/>
              </w:rPr>
              <w:t xml:space="preserve">Giấy chứng nhận quyền sử dụng đất, quyền sở hữu tài sản gắn liền với đất số: AA 09676288, số vào sổ cấp GCN: CN </w:t>
            </w:r>
            <w:r>
              <w:rPr>
                <w:bCs/>
                <w:i w:val="0"/>
                <w:iCs w:val="0"/>
                <w:color w:val="000000" w:themeColor="text1"/>
              </w:rPr>
              <w:t xml:space="preserve">76235 do Chi nhánh văn phòng đăng kí đất đai Thành phố Vinh cấp ngày 07/07/2026, Chủ sử dụng đất là Ông Trần Hoài Long.</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09/2026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Phường Vinh Phú, tỉnh Nghệ An</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13"/>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18.706138888889, 105.67555555556</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09/ 09/2026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33"/>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33"/>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33"/>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33"/>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33"/>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33"/>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33"/>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33"/>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33"/>
        <w:numPr>
          <w:ilvl w:val="0"/>
          <w:numId w:val="1"/>
        </w:numPr>
        <w:pBdr/>
        <w:spacing w:after="120" w:before="120" w:line="276" w:lineRule="auto"/>
        <w:ind/>
        <w:jc w:val="both"/>
        <w:rPr>
          <w:bCs/>
          <w:spacing w:val="-4"/>
          <w:highlight w:val="white"/>
        </w:rPr>
      </w:pPr>
      <w:r>
        <w:rPr>
          <w:bCs/>
          <w:spacing w:val="-4"/>
          <w:highlight w:val="white"/>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highlight w:val="white"/>
        </w:rPr>
      </w:r>
      <w:r>
        <w:rPr>
          <w:bCs/>
          <w:spacing w:val="-4"/>
          <w:highlight w:val="white"/>
        </w:rPr>
      </w:r>
    </w:p>
    <w:p>
      <w:pPr>
        <w:pStyle w:val="1033"/>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33"/>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33"/>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33"/>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33"/>
        <w:numPr>
          <w:ilvl w:val="0"/>
          <w:numId w:val="2"/>
        </w:numPr>
        <w:pBdr/>
        <w:tabs>
          <w:tab w:val="left" w:leader="none" w:pos="993"/>
        </w:tabs>
        <w:spacing w:after="120" w:before="120" w:line="276" w:lineRule="auto"/>
        <w:ind/>
        <w:jc w:val="both"/>
        <w:rPr>
          <w:iCs/>
          <w:color w:val="000000" w:themeColor="text1"/>
          <w:lang w:val="pt-BR"/>
          <w14:ligatures w14:val="none"/>
        </w:rPr>
      </w:pPr>
      <w:r>
        <w:rPr>
          <w:color w:val="000000" w:themeColor="text1"/>
          <w:lang w:val="pt-BR" w:bidi="pt-BR"/>
        </w:rPr>
      </w:r>
      <w:r>
        <w:rPr>
          <w:color w:val="000000" w:themeColor="text1"/>
          <w:lang w:val="pt-BR"/>
        </w:rPr>
        <w:t xml:space="preserve">Giấy chứng nhận quyền sử dụng đất, quyền sở hữu tài sản gắn liền với đất số: AA 09676288, số vào sổ cấp GCN: CN </w:t>
      </w:r>
      <w:r>
        <w:rPr>
          <w:color w:val="000000" w:themeColor="text1"/>
          <w:lang w:val="pt-BR"/>
        </w:rPr>
        <w:t xml:space="preserve">76235 do Chi nhánh văn phòng đăng kí đất đai Thành phố Vinh cấp ngày 07/07/2026, Chủ sử dụng đất là Ông Trần Hoài Long.</w:t>
      </w:r>
      <w:r>
        <w:rPr>
          <w:iCs/>
          <w:color w:val="000000" w:themeColor="text1"/>
          <w:lang w:val="pt-BR"/>
          <w14:ligatures w14:val="none"/>
        </w:rPr>
      </w:r>
      <w:r>
        <w:rPr>
          <w:iCs/>
          <w:color w:val="000000" w:themeColor="text1"/>
          <w:lang w:val="pt-BR"/>
          <w14:ligatures w14:val="none"/>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33"/>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275/2026/1396/VFI-HĐTĐ.T003.A ngày 08/09/2026 giữa Ông Trần Hoài Long với Công ty Cổ phần Thẩm định và Đầu tư Tài chính Hoa Sen.</w:t>
      </w:r>
      <w:r>
        <w:rPr>
          <w:b/>
          <w:lang w:val="pt-BR"/>
        </w:rPr>
      </w:r>
      <w:r>
        <w:rPr>
          <w:b/>
          <w:lang w:val="pt-BR"/>
        </w:rPr>
      </w:r>
    </w:p>
    <w:p>
      <w:pPr>
        <w:pStyle w:val="1033"/>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highlight w:val="white"/>
        </w:rPr>
      </w:pPr>
      <w:r>
        <w:rPr>
          <w:b/>
          <w:bCs/>
          <w:highlight w:val="white"/>
          <w:lang w:val="pt-BR"/>
        </w:rPr>
        <w:t xml:space="preserve">III</w:t>
      </w:r>
      <w:r>
        <w:rPr>
          <w:b/>
          <w:bCs/>
          <w:highlight w:val="white"/>
          <w:lang w:val="pt-BR"/>
        </w:rPr>
        <w:t xml:space="preserve">. TỔNG QUAN VỀ THỊ TRƯỜNG CỦA TÀI SẢN THẨM ĐỊNH GIÁ</w:t>
      </w:r>
      <w:r>
        <w:rPr>
          <w:b/>
          <w:bCs/>
          <w:highlight w:val="white"/>
        </w:rPr>
      </w:r>
      <w:r>
        <w:rPr>
          <w:b/>
          <w:bCs/>
          <w:highlight w:val="white"/>
        </w:rPr>
      </w:r>
    </w:p>
    <w:p>
      <w:pPr>
        <w:pBdr>
          <w:top w:val="none" w:color="000000" w:sz="4" w:space="0"/>
          <w:left w:val="none" w:color="000000" w:sz="4" w:space="0"/>
          <w:bottom w:val="none" w:color="000000" w:sz="4" w:space="0"/>
          <w:right w:val="none" w:color="000000" w:sz="4" w:space="0"/>
        </w:pBdr>
        <w:spacing/>
        <w:ind w:right="0" w:firstLine="0" w:left="0"/>
        <w:rPr>
          <w:b w:val="0"/>
          <w:bCs w:val="0"/>
        </w:rPr>
      </w:pPr>
      <w:r>
        <w:rPr>
          <w:lang w:val="pt-BR"/>
        </w:rPr>
        <w:tab/>
      </w:r>
      <w:r>
        <w:rPr>
          <w:rFonts w:ascii="Times New Roman" w:hAnsi="Times New Roman" w:eastAsia="Times New Roman" w:cs="Times New Roman"/>
          <w:b w:val="0"/>
          <w:bCs w:val="0"/>
          <w:color w:val="000000"/>
          <w:sz w:val="24"/>
        </w:rPr>
        <w:t xml:space="preserve">Năm 2026, thị trường bất động sản trên địa bàn phường Vinh Phú, tỉnh Nghệ An tiếp tục nằm trong xu hướng phát triển của khu vực đô thị Vinh mở rộng. Sau quá trình sắp xếp đơn vị hành chính, phường Vinh Phú có không gian đô thị tương đối rộng, bao gồm các k</w:t>
      </w:r>
      <w:r>
        <w:rPr>
          <w:rFonts w:ascii="Times New Roman" w:hAnsi="Times New Roman" w:eastAsia="Times New Roman" w:cs="Times New Roman"/>
          <w:b w:val="0"/>
          <w:bCs w:val="0"/>
          <w:color w:val="000000"/>
          <w:sz w:val="24"/>
        </w:rPr>
        <w:t xml:space="preserve">hu vực dân cư hiện hữu và các khu vực đang tiếp tục được đầu tư, hoàn thiện về hạ tầng. Đây là yếu tố tạo nền tảng cho sự phát triển của thị trường bất động sản, đặc biệt đối với phân khúc đất ở, nhà ở riêng lẻ và bất động sản có khả năng khai thác kinh do</w:t>
      </w:r>
      <w:r>
        <w:rPr>
          <w:rFonts w:ascii="Times New Roman" w:hAnsi="Times New Roman" w:eastAsia="Times New Roman" w:cs="Times New Roman"/>
          <w:b w:val="0"/>
          <w:bCs w:val="0"/>
          <w:color w:val="000000"/>
          <w:sz w:val="24"/>
        </w:rPr>
        <w:t xml:space="preserve">anh.</w:t>
      </w:r>
      <w:r>
        <w:rPr>
          <w:b w:val="0"/>
          <w:bCs w:val="0"/>
        </w:rPr>
      </w:r>
      <w:r>
        <w:rPr>
          <w:b w:val="0"/>
          <w:bCs w:val="0"/>
        </w:rPr>
      </w:r>
    </w:p>
    <w:p>
      <w:pPr>
        <w:pBdr>
          <w:top w:val="none" w:color="000000" w:sz="4" w:space="0"/>
          <w:left w:val="none" w:color="000000" w:sz="4" w:space="0"/>
          <w:bottom w:val="none" w:color="000000" w:sz="4" w:space="0"/>
          <w:right w:val="none" w:color="000000" w:sz="4" w:space="0"/>
        </w:pBdr>
        <w:spacing/>
        <w:ind w:right="0" w:firstLine="0" w:left="0"/>
        <w:rPr>
          <w:b w:val="0"/>
          <w:bCs w:val="0"/>
        </w:rPr>
      </w:pPr>
      <w:r>
        <w:rPr>
          <w:rFonts w:ascii="Times New Roman" w:hAnsi="Times New Roman" w:eastAsia="Times New Roman" w:cs="Times New Roman"/>
          <w:b w:val="0"/>
          <w:bCs w:val="0"/>
          <w:color w:val="000000"/>
          <w:sz w:val="24"/>
        </w:rPr>
        <w:t xml:space="preserve">Theo đánh giá của VnEconomy tháng 2/2026, thị trường bất động sản Vinh đang có xu hướng phục hồi và tăng trưởng dựa trên nhu cầu ở thực, quá trình phát triển kinh tế, công nghiệp và đầu tư hạ tầng. Thị trường được đánh giá không phát triển theo hướng tăng </w:t>
      </w:r>
      <w:r>
        <w:rPr>
          <w:rFonts w:ascii="Times New Roman" w:hAnsi="Times New Roman" w:eastAsia="Times New Roman" w:cs="Times New Roman"/>
          <w:b w:val="0"/>
          <w:bCs w:val="0"/>
          <w:color w:val="000000"/>
          <w:sz w:val="24"/>
        </w:rPr>
        <w:t xml:space="preserve">nóng trong ngắn hạn mà có xu hướng hình thành chu kỳ tăng trưởng ổn định hơn, gắn với nhu cầu sử dụng thực tế và khả năng tích lũy dài hạn. </w:t>
      </w:r>
      <w:r>
        <w:rPr>
          <w:b w:val="0"/>
          <w:bCs w:val="0"/>
        </w:rPr>
      </w:r>
      <w:r>
        <w:rPr>
          <w:b w:val="0"/>
          <w:bCs w:val="0"/>
        </w:rPr>
      </w:r>
    </w:p>
    <w:p>
      <w:pPr>
        <w:pBdr>
          <w:top w:val="none" w:color="000000" w:sz="4" w:space="0"/>
          <w:left w:val="none" w:color="000000" w:sz="4" w:space="0"/>
          <w:bottom w:val="none" w:color="000000" w:sz="4" w:space="0"/>
          <w:right w:val="none" w:color="000000" w:sz="4" w:space="0"/>
        </w:pBdr>
        <w:spacing/>
        <w:ind w:right="0" w:firstLine="0" w:left="0"/>
        <w:rPr>
          <w:b w:val="0"/>
          <w:bCs w:val="0"/>
        </w:rPr>
      </w:pPr>
      <w:r>
        <w:rPr>
          <w:rFonts w:ascii="Times New Roman" w:hAnsi="Times New Roman" w:eastAsia="Times New Roman" w:cs="Times New Roman"/>
          <w:b w:val="0"/>
          <w:bCs w:val="0"/>
          <w:color w:val="000000"/>
          <w:sz w:val="24"/>
        </w:rPr>
        <w:t xml:space="preserve">Đối với phường Vinh Phú, thị trường bất động sản năm 2026 có sự phân hóa tương đối rõ giữa các khu vực và vị trí. Những bất động sản nằm trên các tuyến đường lớn, đường có mặt cắt rộng, khả năng kết nối giao thông thuận lợi, gần khu dân cư đông đúc, trường</w:t>
      </w:r>
      <w:r>
        <w:rPr>
          <w:rFonts w:ascii="Times New Roman" w:hAnsi="Times New Roman" w:eastAsia="Times New Roman" w:cs="Times New Roman"/>
          <w:b w:val="0"/>
          <w:bCs w:val="0"/>
          <w:color w:val="000000"/>
          <w:sz w:val="24"/>
        </w:rPr>
        <w:t xml:space="preserve"> học, trung tâm thương mại và các công trình dịch vụ có khả năng giao dịch và khai thác tốt hơn. Ngược lại, các thửa đất nằm sâu trong khu dân cư, đường giao thông nhỏ hoặc ở những khu vực đang trong quá trình hoàn thiện hạ tầng thường có mức giá và tính t</w:t>
      </w:r>
      <w:r>
        <w:rPr>
          <w:rFonts w:ascii="Times New Roman" w:hAnsi="Times New Roman" w:eastAsia="Times New Roman" w:cs="Times New Roman"/>
          <w:b w:val="0"/>
          <w:bCs w:val="0"/>
          <w:color w:val="000000"/>
          <w:sz w:val="24"/>
        </w:rPr>
        <w:t xml:space="preserve">hanh khoản thấp hơn.</w:t>
      </w:r>
      <w:r>
        <w:rPr>
          <w:b w:val="0"/>
          <w:bCs w:val="0"/>
        </w:rPr>
      </w:r>
      <w:r>
        <w:rPr>
          <w:b w:val="0"/>
          <w:bCs w:val="0"/>
        </w:rPr>
      </w:r>
    </w:p>
    <w:p>
      <w:pPr>
        <w:pBdr>
          <w:top w:val="none" w:color="000000" w:sz="4" w:space="0"/>
          <w:left w:val="none" w:color="000000" w:sz="4" w:space="0"/>
          <w:bottom w:val="none" w:color="000000" w:sz="4" w:space="0"/>
          <w:right w:val="none" w:color="000000" w:sz="4" w:space="0"/>
        </w:pBdr>
        <w:spacing/>
        <w:ind w:right="0" w:firstLine="0" w:left="0"/>
        <w:rPr>
          <w:b w:val="0"/>
          <w:bCs w:val="0"/>
        </w:rPr>
      </w:pPr>
      <w:r>
        <w:rPr>
          <w:rFonts w:ascii="Times New Roman" w:hAnsi="Times New Roman" w:eastAsia="Times New Roman" w:cs="Times New Roman"/>
          <w:b w:val="0"/>
          <w:bCs w:val="0"/>
          <w:color w:val="000000"/>
          <w:sz w:val="24"/>
        </w:rPr>
        <w:t xml:space="preserve">Mặt bằng giá đất tại phường Vinh Phú trong năm 2026 cũng có sự chênh lệch đáng kể theo từng tuyến đường và vị trí. Theo bảng giá đất được áp dụng từ ngày 01/01/2026 theo Nghị quyết số 35/2025/NQ-HĐND của HĐND tỉnh Nghệ An, một số tuyến đường có vị trí thuậ</w:t>
      </w:r>
      <w:r>
        <w:rPr>
          <w:rFonts w:ascii="Times New Roman" w:hAnsi="Times New Roman" w:eastAsia="Times New Roman" w:cs="Times New Roman"/>
          <w:b w:val="0"/>
          <w:bCs w:val="0"/>
          <w:color w:val="000000"/>
          <w:sz w:val="24"/>
        </w:rPr>
        <w:t xml:space="preserve">n lợi trên địa bàn phường Vinh Phú có mức giá đất ở trong bảng giá Nhà nước tương đối cao. Trong đó, mức giá cao nhất được ghi nhận tại một đoạn đường Lê Nin thuộc phường Vinh Phú là </w:t>
      </w:r>
      <w:r>
        <w:rPr>
          <w:rFonts w:ascii="Times New Roman" w:hAnsi="Times New Roman" w:eastAsia="Times New Roman" w:cs="Times New Roman"/>
          <w:b w:val="0"/>
          <w:bCs w:val="0"/>
          <w:color w:val="000000"/>
          <w:sz w:val="24"/>
        </w:rPr>
        <w:t xml:space="preserve">120 triệu đồng/m²</w:t>
      </w:r>
      <w:r>
        <w:rPr>
          <w:rFonts w:ascii="Times New Roman" w:hAnsi="Times New Roman" w:eastAsia="Times New Roman" w:cs="Times New Roman"/>
          <w:b w:val="0"/>
          <w:bCs w:val="0"/>
          <w:color w:val="000000"/>
          <w:sz w:val="24"/>
        </w:rPr>
        <w:t xml:space="preserve"> đối với vị trí tương ứng trong bảng giá đất năm 2026. Tuy nhiên, đây là mức giá trong bảng giá đất của Nhà nước, không đồng nhất với giá giao dịch thực tế trên thị trường. </w:t>
      </w:r>
      <w:r>
        <w:rPr>
          <w:b w:val="0"/>
          <w:bCs w:val="0"/>
        </w:rPr>
      </w:r>
      <w:r>
        <w:rPr>
          <w:b w:val="0"/>
          <w:bCs w:val="0"/>
        </w:rPr>
      </w:r>
    </w:p>
    <w:p>
      <w:pPr>
        <w:pBdr>
          <w:top w:val="none" w:color="000000" w:sz="4" w:space="0"/>
          <w:left w:val="none" w:color="000000" w:sz="4" w:space="0"/>
          <w:bottom w:val="none" w:color="000000" w:sz="4" w:space="0"/>
          <w:right w:val="none" w:color="000000" w:sz="4" w:space="0"/>
        </w:pBdr>
        <w:spacing/>
        <w:ind w:right="0" w:firstLine="0" w:left="0"/>
        <w:rPr>
          <w:b w:val="0"/>
          <w:bCs w:val="0"/>
        </w:rPr>
      </w:pPr>
      <w:r>
        <w:rPr>
          <w:rFonts w:ascii="Times New Roman" w:hAnsi="Times New Roman" w:eastAsia="Times New Roman" w:cs="Times New Roman"/>
          <w:b w:val="0"/>
          <w:bCs w:val="0"/>
          <w:color w:val="000000"/>
          <w:sz w:val="24"/>
        </w:rPr>
        <w:t xml:space="preserve">Thực tế thị trường năm 2026 cho thấy giá chào bán bất động sản tại phường Vinh Phú khá đa dạng tùy thuộc vào vị trí, diện tích, mặt tiền, chiều rộng đường giao thông và khả năng kinh doanh. Theo dữ liệu tin đăng trên Batdongsan.com.vn trong tháng 9/2026, t</w:t>
      </w:r>
      <w:r>
        <w:rPr>
          <w:rFonts w:ascii="Times New Roman" w:hAnsi="Times New Roman" w:eastAsia="Times New Roman" w:cs="Times New Roman"/>
          <w:b w:val="0"/>
          <w:bCs w:val="0"/>
          <w:color w:val="000000"/>
          <w:sz w:val="24"/>
        </w:rPr>
        <w:t xml:space="preserve">ại phường Vinh Phú xuất hiện các tài sản đất ở có giá chào bán khoảng </w:t>
      </w:r>
      <w:r>
        <w:rPr>
          <w:rFonts w:ascii="Times New Roman" w:hAnsi="Times New Roman" w:eastAsia="Times New Roman" w:cs="Times New Roman"/>
          <w:b w:val="0"/>
          <w:bCs w:val="0"/>
          <w:color w:val="000000"/>
          <w:sz w:val="24"/>
        </w:rPr>
        <w:t xml:space="preserve">19,6 triệu đồng/m² đến trên 80 triệu đồng/m²</w:t>
      </w:r>
      <w:r>
        <w:rPr>
          <w:rFonts w:ascii="Times New Roman" w:hAnsi="Times New Roman" w:eastAsia="Times New Roman" w:cs="Times New Roman"/>
          <w:b w:val="0"/>
          <w:bCs w:val="0"/>
          <w:color w:val="000000"/>
          <w:sz w:val="24"/>
        </w:rPr>
        <w:t xml:space="preserve">, chẳng hạn lô đất diện tích 357 m² có giá chào khoảng 7 tỷ đồng, trong khi một số lô đất mặt đường tại khu vực có lợi thế kinh doanh được chào ở mức trên 80 triệu đồng/m². Dữ liệu này cho thấy sự phân hóa rõ rệt của giá bất động sản theo vị trí và đặc điể</w:t>
      </w:r>
      <w:r>
        <w:rPr>
          <w:rFonts w:ascii="Times New Roman" w:hAnsi="Times New Roman" w:eastAsia="Times New Roman" w:cs="Times New Roman"/>
          <w:b w:val="0"/>
          <w:bCs w:val="0"/>
          <w:color w:val="000000"/>
          <w:sz w:val="24"/>
        </w:rPr>
        <w:t xml:space="preserve">m tài sản. </w:t>
      </w:r>
      <w:r>
        <w:rPr>
          <w:b w:val="0"/>
          <w:bCs w:val="0"/>
        </w:rPr>
      </w:r>
      <w:r>
        <w:rPr>
          <w:b w:val="0"/>
          <w:bCs w:val="0"/>
        </w:rPr>
      </w:r>
    </w:p>
    <w:p>
      <w:pPr>
        <w:pBdr>
          <w:top w:val="none" w:color="000000" w:sz="4" w:space="0"/>
          <w:left w:val="none" w:color="000000" w:sz="4" w:space="0"/>
          <w:bottom w:val="none" w:color="000000" w:sz="4" w:space="0"/>
          <w:right w:val="none" w:color="000000" w:sz="4" w:space="0"/>
        </w:pBdr>
        <w:spacing/>
        <w:ind w:right="0" w:firstLine="0" w:left="0"/>
        <w:rPr>
          <w:b w:val="0"/>
          <w:bCs w:val="0"/>
        </w:rPr>
      </w:pPr>
      <w:r>
        <w:rPr>
          <w:rFonts w:ascii="Times New Roman" w:hAnsi="Times New Roman" w:eastAsia="Times New Roman" w:cs="Times New Roman"/>
          <w:b w:val="0"/>
          <w:bCs w:val="0"/>
          <w:color w:val="000000"/>
          <w:sz w:val="24"/>
        </w:rPr>
        <w:t xml:space="preserve">Một yếu tố đáng chú ý trong năm 2026 là việc tiếp tục triển khai các dự án nhà ở và phát triển đô thị trên địa bàn. Tháng 2/2026, tỉnh Nghệ An đã thống nhất chủ trương đầu tư </w:t>
      </w:r>
      <w:r>
        <w:rPr>
          <w:rFonts w:ascii="Times New Roman" w:hAnsi="Times New Roman" w:eastAsia="Times New Roman" w:cs="Times New Roman"/>
          <w:b w:val="0"/>
          <w:bCs w:val="0"/>
          <w:color w:val="000000"/>
          <w:sz w:val="24"/>
        </w:rPr>
        <w:t xml:space="preserve">Dự án Tổ hợp chung cư, nhà ở xã hội tại phường Vinh Phú và phường Vinh Lộc</w:t>
      </w:r>
      <w:r>
        <w:rPr>
          <w:rFonts w:ascii="Times New Roman" w:hAnsi="Times New Roman" w:eastAsia="Times New Roman" w:cs="Times New Roman"/>
          <w:b w:val="0"/>
          <w:bCs w:val="0"/>
          <w:color w:val="000000"/>
          <w:sz w:val="24"/>
        </w:rPr>
        <w:t xml:space="preserve">, nhằm đáp ứng nhu cầu nhà ở của công nhân, người lao động có thu nhập thấp và góp phần thực hiện mục tiêu phát triển nhà ở xã hội. Việc xuất hiện các dự án nhà ở mới có thể góp phần thúc đẩy quá trình hoàn thiện hạ tầng, gia tăng dân cư và tạo thêm nhu cầ</w:t>
      </w:r>
      <w:r>
        <w:rPr>
          <w:rFonts w:ascii="Times New Roman" w:hAnsi="Times New Roman" w:eastAsia="Times New Roman" w:cs="Times New Roman"/>
          <w:b w:val="0"/>
          <w:bCs w:val="0"/>
          <w:color w:val="000000"/>
          <w:sz w:val="24"/>
        </w:rPr>
        <w:t xml:space="preserve">u đối với các loại hình bất động sản trong khu vực. </w:t>
      </w:r>
      <w:r>
        <w:rPr>
          <w:b w:val="0"/>
          <w:bCs w:val="0"/>
        </w:rPr>
      </w:r>
      <w:r>
        <w:rPr>
          <w:b w:val="0"/>
          <w:bCs w:val="0"/>
        </w:rPr>
      </w:r>
    </w:p>
    <w:p>
      <w:pPr>
        <w:pBdr>
          <w:top w:val="none" w:color="000000" w:sz="4" w:space="0"/>
          <w:left w:val="none" w:color="000000" w:sz="4" w:space="0"/>
          <w:bottom w:val="none" w:color="000000" w:sz="4" w:space="0"/>
          <w:right w:val="none" w:color="000000" w:sz="4" w:space="0"/>
        </w:pBdr>
        <w:spacing/>
        <w:ind w:right="0" w:firstLine="0" w:left="0"/>
        <w:rPr>
          <w:b w:val="0"/>
          <w:bCs w:val="0"/>
        </w:rPr>
      </w:pPr>
      <w:r>
        <w:rPr>
          <w:rFonts w:ascii="Times New Roman" w:hAnsi="Times New Roman" w:eastAsia="Times New Roman" w:cs="Times New Roman"/>
          <w:b w:val="0"/>
          <w:bCs w:val="0"/>
          <w:color w:val="000000"/>
          <w:sz w:val="24"/>
        </w:rPr>
        <w:t xml:space="preserve">Nhìn chung, </w:t>
      </w:r>
      <w:r>
        <w:rPr>
          <w:rFonts w:ascii="Times New Roman" w:hAnsi="Times New Roman" w:eastAsia="Times New Roman" w:cs="Times New Roman"/>
          <w:b w:val="0"/>
          <w:bCs w:val="0"/>
          <w:color w:val="000000"/>
          <w:sz w:val="24"/>
        </w:rPr>
        <w:t xml:space="preserve">thị trường bất động sản phường Vinh Phú năm 2026 đang trong giai đoạn phát triển theo hướng ổn định, với động lực chủ yếu đến từ quá trình đô thị hóa, hoàn thiện hạ tầng, gia tăng nhu cầu nhà ở thực và định hướng phát triển đô thị Vinh mở rộng</w:t>
      </w:r>
      <w:r>
        <w:rPr>
          <w:rFonts w:ascii="Times New Roman" w:hAnsi="Times New Roman" w:eastAsia="Times New Roman" w:cs="Times New Roman"/>
          <w:b w:val="0"/>
          <w:bCs w:val="0"/>
          <w:color w:val="000000"/>
          <w:sz w:val="24"/>
        </w:rPr>
        <w:t xml:space="preserve">. Tuy nhiên, thị trường vẫn có sự phân hóa lớn giữa các khu vực. Những tài sản có vị trí thuận lợi, pháp lý rõ ràng, đất ở lâu dài, hình thể thửa đất đẹp, mặt tiền rộng, đường giao thông tốt và có khả năng khai thác kinh doanh thường có tính thanh khoản ca</w:t>
      </w:r>
      <w:r>
        <w:rPr>
          <w:rFonts w:ascii="Times New Roman" w:hAnsi="Times New Roman" w:eastAsia="Times New Roman" w:cs="Times New Roman"/>
          <w:b w:val="0"/>
          <w:bCs w:val="0"/>
          <w:color w:val="000000"/>
          <w:sz w:val="24"/>
        </w:rPr>
        <w:t xml:space="preserve">o hơn.</w:t>
      </w:r>
      <w:r>
        <w:rPr>
          <w:b w:val="0"/>
          <w:bCs w:val="0"/>
        </w:rPr>
      </w:r>
      <w:r>
        <w:rPr>
          <w:b w:val="0"/>
          <w:bCs w:val="0"/>
        </w:rPr>
      </w:r>
    </w:p>
    <w:p>
      <w:pPr>
        <w:pBdr>
          <w:top w:val="none" w:color="000000" w:sz="4" w:space="0"/>
          <w:left w:val="none" w:color="000000" w:sz="4" w:space="0"/>
          <w:bottom w:val="none" w:color="000000" w:sz="4" w:space="0"/>
          <w:right w:val="none" w:color="000000" w:sz="4" w:space="0"/>
        </w:pBdr>
        <w:spacing/>
        <w:ind w:right="0" w:firstLine="0" w:left="0"/>
        <w:rPr>
          <w:b w:val="0"/>
          <w:bCs w:val="0"/>
        </w:rPr>
      </w:pPr>
      <w:r>
        <w:rPr>
          <w:rFonts w:ascii="Times New Roman" w:hAnsi="Times New Roman" w:eastAsia="Times New Roman" w:cs="Times New Roman"/>
          <w:b w:val="0"/>
          <w:bCs w:val="0"/>
          <w:color w:val="000000"/>
          <w:sz w:val="24"/>
        </w:rPr>
        <w:t xml:space="preserve">Đối với tài sản thẩm định giá tại phường Vinh Phú, việc xác định giá trị thị trường tại thời điểm năm 2026 cần xem xét đồng thời các yếu tố như </w:t>
      </w:r>
      <w:r>
        <w:rPr>
          <w:rFonts w:ascii="Times New Roman" w:hAnsi="Times New Roman" w:eastAsia="Times New Roman" w:cs="Times New Roman"/>
          <w:b w:val="0"/>
          <w:bCs w:val="0"/>
          <w:color w:val="000000"/>
          <w:sz w:val="24"/>
        </w:rPr>
        <w:t xml:space="preserve">vị trí, diện tích, kích thước và hình dạng thửa đất, chiều rộng mặt tiền, hiện trạng và chất lượng đường giao thông, khả năng kết nối với các tuyến đường chính, mục đích sử dụng đất, thời hạn sử dụng, tình trạng pháp lý, quy hoạch, khả năng xây dựng và kha</w:t>
      </w:r>
      <w:r>
        <w:rPr>
          <w:rFonts w:ascii="Times New Roman" w:hAnsi="Times New Roman" w:eastAsia="Times New Roman" w:cs="Times New Roman"/>
          <w:b w:val="0"/>
          <w:bCs w:val="0"/>
          <w:color w:val="000000"/>
          <w:sz w:val="24"/>
        </w:rPr>
        <w:t xml:space="preserve">i thác kinh doanh</w:t>
      </w:r>
      <w:r>
        <w:rPr>
          <w:rFonts w:ascii="Times New Roman" w:hAnsi="Times New Roman" w:eastAsia="Times New Roman" w:cs="Times New Roman"/>
          <w:b w:val="0"/>
          <w:bCs w:val="0"/>
          <w:color w:val="000000"/>
          <w:sz w:val="24"/>
        </w:rPr>
        <w:t xml:space="preserve">, đồng thời cần ưu tiên khảo sát các giao dịch hoặc tài sản chào bán có đặc điểm tương đồng trong khu vực để bảo đảm mức giá thẩm định phản ánh sát nhất điều kiện thị trường tại thời điểm định giá.</w:t>
      </w:r>
      <w:r>
        <w:rPr>
          <w:b w:val="0"/>
          <w:bCs w:val="0"/>
        </w:rPr>
      </w:r>
      <w:r>
        <w:rPr>
          <w:b w:val="0"/>
          <w:bCs w:val="0"/>
        </w:rPr>
      </w:r>
    </w:p>
    <w:p>
      <w:pPr>
        <w:pBdr/>
        <w:tabs>
          <w:tab w:val="left" w:leader="none" w:pos="426"/>
        </w:tabs>
        <w:spacing w:after="120" w:before="120" w:line="276" w:lineRule="auto"/>
        <w:ind/>
        <w:rPr>
          <w:bCs/>
          <w:i/>
          <w:highlight w:val="none"/>
          <w:lang w:val="pt-BR"/>
        </w:rPr>
      </w:pPr>
      <w:r>
        <w:rPr>
          <w:i/>
          <w:iCs/>
          <w:lang w:val="pt-BR"/>
        </w:rPr>
        <w:t xml:space="preserve">(</w:t>
      </w:r>
      <w:r>
        <w:rPr>
          <w:i/>
          <w:iCs/>
          <w:lang w:val="pt-BR"/>
        </w:rPr>
        <w:t xml:space="preserve">https://vneconomy.vn/thi-truong-bat-dong-san-vinh-nghe-an-am-tham-tang-truong-ben-nhung-ga-hang-xom-lon.htm?utm_source)</w:t>
      </w:r>
      <w:r>
        <w:rPr>
          <w:bCs/>
          <w:i/>
          <w:highlight w:val="none"/>
          <w:lang w:val="pt-BR"/>
        </w:rPr>
      </w:r>
      <w:r>
        <w:rPr>
          <w:bCs/>
          <w:i/>
          <w:highlight w:val="none"/>
          <w:lang w:val="pt-BR"/>
        </w:rPr>
      </w:r>
    </w:p>
    <w:p>
      <w:pPr>
        <w:pBdr/>
        <w:tabs>
          <w:tab w:val="left" w:leader="none" w:pos="426"/>
        </w:tabs>
        <w:spacing w:after="120" w:before="120" w:line="276" w:lineRule="auto"/>
        <w:ind/>
        <w:rPr>
          <w:bCs/>
          <w:i/>
        </w:rPr>
      </w:pPr>
      <w:r>
        <w:rPr>
          <w:bCs/>
          <w:i/>
        </w:rPr>
      </w:r>
      <w:r>
        <w:rPr>
          <w:bCs/>
          <w:i/>
        </w:rPr>
      </w:r>
      <w:r>
        <w:rPr>
          <w:bCs/>
          <w:i/>
        </w:rPr>
      </w:r>
    </w:p>
    <w:p>
      <w:pPr>
        <w:pBdr/>
        <w:tabs>
          <w:tab w:val="left" w:leader="none" w:pos="426"/>
        </w:tabs>
        <w:spacing w:after="120" w:before="120" w:line="276" w:lineRule="auto"/>
        <w:ind/>
        <w:rPr>
          <w:bCs/>
          <w:i/>
        </w:rPr>
      </w:pPr>
      <w:r>
        <w:rPr>
          <w:bCs/>
          <w:i/>
        </w:rPr>
      </w:r>
      <w:r>
        <w:rPr>
          <w:bCs/>
          <w:i/>
        </w:rPr>
      </w:r>
      <w:r>
        <w:rPr>
          <w:bCs/>
          <w:i/>
        </w:rPr>
      </w:r>
    </w:p>
    <w:p>
      <w:pPr>
        <w:pBdr/>
        <w:tabs>
          <w:tab w:val="left" w:leader="none" w:pos="426"/>
        </w:tabs>
        <w:spacing w:after="120" w:before="120" w:line="276" w:lineRule="auto"/>
        <w:ind/>
        <w:rPr>
          <w:bCs/>
          <w:i/>
        </w:rPr>
      </w:pPr>
      <w:r>
        <w:rPr>
          <w:bCs/>
          <w:i/>
        </w:rPr>
      </w:r>
      <w:r>
        <w:rPr>
          <w:bCs/>
          <w:i/>
        </w:rPr>
      </w:r>
      <w:r>
        <w:rPr>
          <w:bCs/>
          <w:i/>
        </w:rPr>
      </w:r>
    </w:p>
    <w:p>
      <w:pPr>
        <w:pBdr/>
        <w:tabs>
          <w:tab w:val="left" w:leader="none" w:pos="426"/>
        </w:tabs>
        <w:spacing w:after="120" w:before="120" w:line="276" w:lineRule="auto"/>
        <w:ind/>
        <w:rPr>
          <w:bCs/>
          <w:i/>
        </w:rPr>
      </w:pPr>
      <w:r>
        <w:rPr>
          <w:bCs/>
          <w:i/>
        </w:rPr>
      </w:r>
      <w:r>
        <w:rPr>
          <w:bCs/>
          <w:i/>
        </w:rPr>
      </w:r>
      <w:r>
        <w:rPr>
          <w:bCs/>
          <w:i/>
        </w:rPr>
      </w:r>
    </w:p>
    <w:p>
      <w:pPr>
        <w:pBdr/>
        <w:tabs>
          <w:tab w:val="left" w:leader="none" w:pos="426"/>
        </w:tabs>
        <w:spacing w:after="120" w:before="120" w:line="276" w:lineRule="auto"/>
        <w:ind/>
        <w:rPr>
          <w:bCs/>
          <w:i/>
        </w:rPr>
      </w:pPr>
      <w:r>
        <w:rPr>
          <w:bCs/>
          <w:i/>
        </w:rPr>
      </w:r>
      <w:r>
        <w:rPr>
          <w:bCs/>
          <w:i/>
        </w:rPr>
      </w:r>
      <w:r>
        <w:rPr>
          <w:bCs/>
          <w:i/>
        </w:rPr>
      </w:r>
    </w:p>
    <w:p>
      <w:pPr>
        <w:pBdr/>
        <w:tabs>
          <w:tab w:val="left" w:leader="none" w:pos="426"/>
        </w:tabs>
        <w:spacing w:after="120" w:before="120" w:line="276" w:lineRule="auto"/>
        <w:ind/>
        <w:rPr>
          <w:bCs/>
          <w:i/>
        </w:rPr>
      </w:pPr>
      <w:r>
        <w:rPr>
          <w:bCs/>
          <w:i/>
        </w:rPr>
      </w:r>
      <w:r>
        <w:rPr>
          <w:bCs/>
          <w:i/>
        </w:rPr>
      </w:r>
      <w:r>
        <w:rPr>
          <w:bCs/>
          <w:i/>
        </w:rPr>
      </w:r>
    </w:p>
    <w:p>
      <w:pPr>
        <w:pBdr/>
        <w:tabs>
          <w:tab w:val="left" w:leader="none" w:pos="426"/>
        </w:tabs>
        <w:spacing w:after="120" w:before="120" w:line="276" w:lineRule="auto"/>
        <w:ind/>
        <w:rPr>
          <w:bCs/>
          <w:i/>
        </w:rPr>
      </w:pPr>
      <w:r>
        <w:rPr>
          <w:bCs/>
          <w:i/>
        </w:rPr>
      </w:r>
      <w:r>
        <w:rPr>
          <w:bCs/>
          <w:i/>
        </w:rPr>
      </w:r>
      <w:r>
        <w:rPr>
          <w:bCs/>
          <w:i/>
        </w:rPr>
      </w:r>
    </w:p>
    <w:p>
      <w:pPr>
        <w:pBdr/>
        <w:tabs>
          <w:tab w:val="left" w:leader="none" w:pos="426"/>
        </w:tabs>
        <w:spacing w:after="120" w:before="120" w:line="276" w:lineRule="auto"/>
        <w:ind/>
        <w:rPr>
          <w:bCs/>
          <w:i/>
        </w:rPr>
      </w:pPr>
      <w:r>
        <w:rPr>
          <w:bCs/>
          <w:i/>
        </w:rPr>
      </w:r>
      <w:r>
        <w:rPr>
          <w:bCs/>
          <w:i/>
        </w:rPr>
      </w:r>
      <w:r>
        <w:rPr>
          <w:bCs/>
          <w:i/>
        </w:rPr>
      </w:r>
    </w:p>
    <w:p>
      <w:pPr>
        <w:pBdr/>
        <w:tabs>
          <w:tab w:val="left" w:leader="none" w:pos="426"/>
        </w:tabs>
        <w:spacing w:after="120" w:before="120" w:line="276" w:lineRule="auto"/>
        <w:ind/>
        <w:rPr>
          <w:bCs/>
          <w:i/>
        </w:rPr>
      </w:pPr>
      <w:r>
        <w:rPr>
          <w:i/>
          <w:iCs/>
          <w:highlight w:val="none"/>
          <w:lang w:val="pt-BR"/>
        </w:rPr>
      </w:r>
      <w:r>
        <w:rPr>
          <w:bCs/>
          <w:i/>
        </w:rPr>
      </w:r>
      <w:r>
        <w:rPr>
          <w:bCs/>
          <w:i/>
        </w:rPr>
      </w:r>
    </w:p>
    <w:p>
      <w:pPr>
        <w:pStyle w:val="1033"/>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r>
            <w:r>
              <w:rPr>
                <w:rFonts w:ascii="Times New Roman" w:hAnsi="Times New Roman" w:eastAsia="Times New Roman" w:cs="Times New Roman"/>
                <w:b/>
                <w:bCs/>
                <w:color w:val="000000" w:themeColor="text1"/>
                <w:spacing w:val="3"/>
                <w:sz w:val="24"/>
                <w:szCs w:val="24"/>
                <w:highlight w:val="white"/>
              </w:rPr>
              <w:t xml:space="preserve">Quyền sử dụng đất tại thửa đất số: 105, tờ bản đồ số: 24, có địa chỉ: Phường</w:t>
            </w:r>
            <w:r>
              <w:rPr>
                <w:rFonts w:ascii="Times New Roman" w:hAnsi="Times New Roman" w:eastAsia="Times New Roman" w:cs="Times New Roman"/>
                <w:b/>
                <w:bCs/>
                <w:color w:val="000000" w:themeColor="text1"/>
                <w:sz w:val="24"/>
                <w:szCs w:val="24"/>
              </w:rPr>
              <w:t xml:space="preserve"> Vinh Phú, tỉnh Nghệ An</w:t>
            </w:r>
            <w:r>
              <w:rPr>
                <w:rFonts w:ascii="Times New Roman" w:hAnsi="Times New Roman" w:eastAsia="Times New Roman" w:cs="Times New Roman"/>
                <w:b/>
                <w:bCs/>
                <w:color w:val="000000" w:themeColor="text1"/>
                <w:sz w:val="24"/>
                <w:szCs w:val="24"/>
              </w:rPr>
              <w:t xml:space="preserve"> </w:t>
            </w:r>
            <w:r>
              <w:rPr>
                <w:rFonts w:ascii="Times New Roman" w:hAnsi="Times New Roman" w:eastAsia="Times New Roman" w:cs="Times New Roman"/>
                <w:b/>
                <w:bCs/>
                <w:color w:val="000000" w:themeColor="text1"/>
                <w:sz w:val="24"/>
                <w:szCs w:val="24"/>
              </w:rPr>
              <w:t xml:space="preserve">theo</w:t>
            </w:r>
            <w:r>
              <w:rPr>
                <w:rFonts w:ascii="Times New Roman" w:hAnsi="Times New Roman" w:eastAsia="Times New Roman" w:cs="Times New Roman"/>
                <w:b/>
                <w:bCs/>
                <w:color w:val="000000" w:themeColor="text1"/>
                <w:sz w:val="24"/>
                <w:szCs w:val="24"/>
              </w:rPr>
              <w:t xml:space="preserve"> </w:t>
            </w:r>
            <w:r>
              <w:rPr>
                <w:rFonts w:ascii="Times New Roman" w:hAnsi="Times New Roman" w:eastAsia="Times New Roman" w:cs="Times New Roman"/>
                <w:b/>
                <w:bCs/>
                <w:color w:val="000000" w:themeColor="text1"/>
                <w:sz w:val="24"/>
                <w:szCs w:val="24"/>
              </w:rPr>
              <w:t xml:space="preserve">Giấy chứng nhận quyền sử dụng đất, quyền sở hữu tài sản gắn liền với đất số: AA 09676288, số vào sổ cấp GCN: CN </w:t>
            </w:r>
            <w:r>
              <w:rPr>
                <w:b/>
                <w:bCs/>
                <w:i w:val="0"/>
                <w:iCs w:val="0"/>
                <w:color w:val="000000" w:themeColor="text1"/>
              </w:rPr>
              <w:t xml:space="preserve">76235 do Chi nhánh văn phòng đăng kí đất đai Thành phố Vinh cấp ngày 07/07/2026, Chủ sử dụng đất là Ông Trần Hoài Long.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105</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24</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Phường Vinh Phú ,tỉnh Nghệ An</w:t>
            </w:r>
            <w:r>
              <w:rPr>
                <w:color w:val="000000"/>
              </w:rPr>
            </w:r>
            <w:r>
              <w:rPr>
                <w:color w:val="000000"/>
              </w:rPr>
            </w:r>
          </w:p>
        </w:tc>
      </w:tr>
      <w:tr>
        <w:trPr>
          <w:trHeight w:val="20"/>
        </w:trPr>
        <w:tc>
          <w:tcPr>
            <w:tcBorders/>
            <w:tcW w:w="734" w:type="dxa"/>
            <w:vAlign w:val="center"/>
            <w:vMerge w:val="restart"/>
            <w:textDirection w:val="lrTb"/>
            <w:noWrap w:val="false"/>
          </w:tcPr>
          <w:p>
            <w:pPr>
              <w:pBdr/>
              <w:spacing/>
              <w:ind/>
              <w:jc w:val="center"/>
              <w:rPr>
                <w:color w:val="000000"/>
              </w:rPr>
            </w:pPr>
            <w:r>
              <w:rPr>
                <w:color w:val="000000"/>
              </w:rPr>
              <w:t xml:space="preserve">-</w:t>
            </w:r>
            <w:r>
              <w:rPr>
                <w:color w:val="000000"/>
              </w:rPr>
            </w:r>
            <w:r>
              <w:rPr>
                <w:color w:val="000000"/>
              </w:rPr>
            </w:r>
          </w:p>
          <w:p>
            <w:pPr>
              <w:pBdr/>
              <w:spacing/>
              <w:ind/>
              <w:jc w:val="center"/>
              <w:rPr>
                <w:color w:val="000000"/>
              </w:rPr>
            </w:pPr>
            <w:r>
              <w:rPr>
                <w:color w:val="000000"/>
              </w:rPr>
            </w:r>
            <w:r>
              <w:rPr>
                <w:color w:val="000000"/>
              </w:rPr>
            </w:r>
            <w:r>
              <w:rPr>
                <w:color w:val="000000"/>
              </w:rPr>
            </w:r>
          </w:p>
        </w:tc>
        <w:tc>
          <w:tcPr>
            <w:tcBorders/>
            <w:tcW w:w="2522" w:type="dxa"/>
            <w:vAlign w:val="center"/>
            <w:vMerge w:val="restart"/>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after="40" w:before="40" w:line="288" w:lineRule="auto"/>
              <w:ind/>
              <w:rPr>
                <w:b w:val="0"/>
                <w:bCs w:val="0"/>
              </w:rPr>
            </w:pPr>
            <w:r>
              <w:rPr>
                <w:b w:val="0"/>
                <w:bCs w:val="0"/>
              </w:rPr>
              <w:t xml:space="preserve">Đất </w:t>
            </w:r>
            <w:r>
              <w:rPr>
                <w:b w:val="0"/>
                <w:bCs w:val="0"/>
              </w:rPr>
              <w:t xml:space="preserve">ODT</w:t>
            </w:r>
            <w:r>
              <w:rPr>
                <w:b w:val="0"/>
                <w:bCs w:val="0"/>
              </w:rPr>
              <w:t xml:space="preserve"> :150 </w:t>
            </w:r>
            <w:r>
              <w:rPr>
                <w:color w:val="000000"/>
              </w:rPr>
              <w:t xml:space="preserve">m²</w:t>
            </w:r>
            <w:r>
              <w:rPr>
                <w:b w:val="0"/>
                <w:bCs w:val="0"/>
              </w:rPr>
            </w:r>
            <w:r>
              <w:rPr>
                <w:b w:val="0"/>
                <w:bCs w:val="0"/>
              </w:rPr>
            </w:r>
          </w:p>
        </w:tc>
        <w:tc>
          <w:tcPr>
            <w:tcBorders/>
            <w:tcW w:w="2126" w:type="dxa"/>
            <w:vAlign w:val="center"/>
            <w:vMerge w:val="restart"/>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vMerge w:val="restart"/>
            <w:textDirection w:val="lrTb"/>
            <w:noWrap w:val="false"/>
          </w:tcPr>
          <w:p>
            <w:pPr>
              <w:pBdr/>
              <w:spacing/>
              <w:ind/>
              <w:jc w:val="center"/>
              <w:rPr>
                <w:color w:val="000000"/>
              </w:rPr>
            </w:pPr>
            <w:r>
              <w:rPr>
                <w:color w:val="000000"/>
              </w:rPr>
              <w:t xml:space="preserve">Sử dụng riêng</w:t>
            </w:r>
            <w:r>
              <w:rPr>
                <w:color w:val="000000"/>
              </w:rPr>
            </w:r>
            <w:r>
              <w:rPr>
                <w:color w:val="000000"/>
              </w:rPr>
            </w:r>
          </w:p>
        </w:tc>
      </w:tr>
      <w:tr>
        <w:trPr>
          <w:trHeight w:val="20"/>
        </w:trPr>
        <w:tc>
          <w:tcPr>
            <w:tcBorders/>
            <w:tcW w:w="734" w:type="dxa"/>
            <w:vAlign w:val="center"/>
            <w:vMerge w:val="continue"/>
            <w:textDirection w:val="lrTb"/>
            <w:noWrap w:val="false"/>
          </w:tcPr>
          <w:p>
            <w:pPr>
              <w:pBdr/>
              <w:spacing/>
              <w:ind/>
              <w:rPr/>
            </w:pPr>
            <w:r/>
            <w:r/>
          </w:p>
        </w:tc>
        <w:tc>
          <w:tcPr>
            <w:tcBorders/>
            <w:tcW w:w="2522" w:type="dxa"/>
            <w:vAlign w:val="center"/>
            <w:vMerge w:val="continue"/>
            <w:textDirection w:val="lrTb"/>
            <w:noWrap w:val="false"/>
          </w:tcPr>
          <w:p>
            <w:pPr>
              <w:pBdr/>
              <w:spacing/>
              <w:ind/>
              <w:rPr/>
            </w:pPr>
            <w:r/>
            <w:r/>
          </w:p>
        </w:tc>
        <w:tc>
          <w:tcPr>
            <w:tcBorders/>
            <w:tcW w:w="2126" w:type="dxa"/>
            <w:vAlign w:val="center"/>
            <w:vMerge w:val="restart"/>
            <w:textDirection w:val="lrTb"/>
            <w:noWrap w:val="false"/>
          </w:tcPr>
          <w:p>
            <w:pPr>
              <w:pBdr/>
              <w:spacing/>
              <w:ind/>
              <w:jc w:val="left"/>
              <w:rPr>
                <w:color w:val="000000"/>
              </w:rPr>
            </w:pPr>
            <w:r>
              <w:rPr>
                <w:color w:val="000000"/>
              </w:rPr>
              <w:t xml:space="preserve">Đất CLN : 48,8</w:t>
            </w:r>
            <w:r>
              <w:rPr>
                <w:b w:val="0"/>
                <w:bCs w:val="0"/>
              </w:rPr>
              <w:t xml:space="preserve"> </w:t>
            </w:r>
            <w:r>
              <w:rPr>
                <w:color w:val="000000"/>
              </w:rPr>
              <w:t xml:space="preserve">m²</w:t>
            </w:r>
            <w:r>
              <w:rPr>
                <w:color w:val="000000"/>
              </w:rPr>
            </w:r>
            <w:r>
              <w:rPr>
                <w:color w:val="000000"/>
              </w:rPr>
            </w:r>
          </w:p>
        </w:tc>
        <w:tc>
          <w:tcPr>
            <w:tcBorders/>
            <w:tcW w:w="2126" w:type="dxa"/>
            <w:vAlign w:val="center"/>
            <w:vMerge w:val="continue"/>
            <w:textDirection w:val="lrTb"/>
            <w:noWrap w:val="false"/>
          </w:tcPr>
          <w:p>
            <w:pPr>
              <w:pBdr/>
              <w:spacing/>
              <w:ind/>
              <w:rPr/>
            </w:pPr>
            <w:r/>
            <w:r/>
          </w:p>
        </w:tc>
        <w:tc>
          <w:tcPr>
            <w:tcBorders/>
            <w:tcW w:w="2007" w:type="dxa"/>
            <w:vAlign w:val="center"/>
            <w:vMerge w:val="continue"/>
            <w:textDirection w:val="lrTb"/>
            <w:noWrap w:val="false"/>
          </w:tcPr>
          <w:p>
            <w:pPr>
              <w:pBdr/>
              <w:spacing/>
              <w:ind/>
              <w:rPr/>
            </w:pPr>
            <w:r/>
            <w:r/>
          </w:p>
        </w:tc>
      </w:tr>
      <w:tr>
        <w:trPr>
          <w:trHeight w:val="20"/>
        </w:trPr>
        <w:tc>
          <w:tcPr>
            <w:tcBorders/>
            <w:tcW w:w="734" w:type="dxa"/>
            <w:vAlign w:val="center"/>
            <w:vMerge w:val="restart"/>
            <w:textDirection w:val="lrTb"/>
            <w:noWrap w:val="false"/>
          </w:tcPr>
          <w:p>
            <w:pPr>
              <w:pBdr/>
              <w:spacing/>
              <w:ind/>
              <w:jc w:val="center"/>
              <w:rPr>
                <w:color w:val="000000"/>
              </w:rPr>
            </w:pPr>
            <w:r>
              <w:rPr>
                <w:color w:val="000000"/>
              </w:rPr>
              <w:t xml:space="preserve">-</w:t>
            </w:r>
            <w:r>
              <w:rPr>
                <w:color w:val="000000"/>
              </w:rPr>
            </w:r>
            <w:r>
              <w:rPr>
                <w:color w:val="000000"/>
              </w:rPr>
            </w:r>
          </w:p>
          <w:p>
            <w:pPr>
              <w:pBdr/>
              <w:spacing/>
              <w:ind/>
              <w:jc w:val="center"/>
              <w:rPr>
                <w:color w:val="000000"/>
              </w:rPr>
            </w:pPr>
            <w:r>
              <w:rPr>
                <w:color w:val="000000"/>
              </w:rPr>
            </w:r>
            <w:r>
              <w:rPr>
                <w:color w:val="000000"/>
              </w:rPr>
            </w:r>
            <w:r>
              <w:rPr>
                <w:color w:val="000000"/>
              </w:rPr>
            </w:r>
          </w:p>
        </w:tc>
        <w:tc>
          <w:tcPr>
            <w:tcBorders/>
            <w:tcW w:w="2522" w:type="dxa"/>
            <w:vAlign w:val="center"/>
            <w:vMerge w:val="restart"/>
            <w:textDirection w:val="lrTb"/>
            <w:noWrap w:val="false"/>
          </w:tcPr>
          <w:p>
            <w:pPr>
              <w:pBdr/>
              <w:spacing/>
              <w:ind/>
              <w:rPr>
                <w:color w:val="000000"/>
              </w:rPr>
            </w:pPr>
            <w:r>
              <w:rPr>
                <w:color w:val="000000"/>
              </w:rPr>
              <w:t xml:space="preserve">Mục đích sử dụng:</w:t>
            </w:r>
            <w:r>
              <w:rPr>
                <w:color w:val="000000"/>
              </w:rPr>
            </w:r>
            <w:r>
              <w:rPr>
                <w:color w:val="000000"/>
              </w:rPr>
            </w:r>
          </w:p>
          <w:p>
            <w:pPr>
              <w:pBdr/>
              <w:spacing/>
              <w:ind/>
              <w:rPr>
                <w:color w:val="000000"/>
              </w:rPr>
            </w:pPr>
            <w:r>
              <w:rPr>
                <w:color w:val="000000"/>
              </w:rPr>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tại đô thị (ODT)</w:t>
            </w:r>
            <w:r>
              <w:rPr>
                <w:color w:val="000000"/>
              </w:rPr>
            </w:r>
            <w:r>
              <w:rPr>
                <w:color w:val="000000"/>
              </w:rPr>
            </w:r>
          </w:p>
        </w:tc>
        <w:tc>
          <w:tcPr>
            <w:tcBorders/>
            <w:tcW w:w="2126" w:type="dxa"/>
            <w:vAlign w:val="center"/>
            <w:vMerge w:val="restart"/>
            <w:textDirection w:val="lrTb"/>
            <w:noWrap w:val="false"/>
          </w:tcPr>
          <w:p>
            <w:pPr>
              <w:pBdr/>
              <w:spacing/>
              <w:ind/>
              <w:rPr>
                <w:color w:val="000000"/>
              </w:rPr>
            </w:pPr>
            <w:r>
              <w:rPr>
                <w:color w:val="000000"/>
              </w:rPr>
              <w:t xml:space="preserve">Thời hạn sử dụng:</w:t>
            </w:r>
            <w:r>
              <w:rPr>
                <w:color w:val="000000"/>
              </w:rPr>
            </w:r>
            <w:r>
              <w:rPr>
                <w:color w:val="000000"/>
              </w:rPr>
            </w:r>
          </w:p>
          <w:p>
            <w:pPr>
              <w:pBdr/>
              <w:spacing/>
              <w:ind/>
              <w:rPr>
                <w:color w:val="000000"/>
              </w:rPr>
            </w:pPr>
            <w:r>
              <w:rPr>
                <w:color w:val="000000"/>
              </w:rPr>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vMerge w:val="continue"/>
            <w:textDirection w:val="lrTb"/>
            <w:noWrap w:val="false"/>
          </w:tcPr>
          <w:p>
            <w:pPr>
              <w:pBdr/>
              <w:spacing/>
              <w:ind/>
              <w:rPr/>
            </w:pPr>
            <w:r/>
            <w:r/>
          </w:p>
        </w:tc>
        <w:tc>
          <w:tcPr>
            <w:tcBorders/>
            <w:tcW w:w="2522" w:type="dxa"/>
            <w:vAlign w:val="center"/>
            <w:vMerge w:val="continue"/>
            <w:textDirection w:val="lrTb"/>
            <w:noWrap w:val="false"/>
          </w:tcPr>
          <w:p>
            <w:pPr>
              <w:pBdr/>
              <w:spacing/>
              <w:ind/>
              <w:rPr/>
            </w:pPr>
            <w:r/>
            <w:r/>
          </w:p>
        </w:tc>
        <w:tc>
          <w:tcPr>
            <w:tcBorders/>
            <w:tcW w:w="2126" w:type="dxa"/>
            <w:vAlign w:val="center"/>
            <w:vMerge w:val="restart"/>
            <w:textDirection w:val="lrTb"/>
            <w:noWrap w:val="false"/>
          </w:tcPr>
          <w:p>
            <w:pPr>
              <w:pBdr/>
              <w:spacing/>
              <w:ind/>
              <w:jc w:val="center"/>
              <w:rPr>
                <w:color w:val="000000" w:themeColor="text1"/>
              </w:rPr>
            </w:pPr>
            <w:r>
              <w:rPr>
                <w:color w:val="000000" w:themeColor="text1"/>
              </w:rPr>
              <w:t xml:space="preserve">Đất trồng cây lâu năm (CLN)</w:t>
            </w:r>
            <w:r>
              <w:rPr>
                <w:color w:val="000000" w:themeColor="text1"/>
              </w:rPr>
            </w:r>
            <w:r>
              <w:rPr>
                <w:color w:val="000000" w:themeColor="text1"/>
              </w:rPr>
            </w:r>
          </w:p>
        </w:tc>
        <w:tc>
          <w:tcPr>
            <w:tcBorders/>
            <w:tcW w:w="2126" w:type="dxa"/>
            <w:vAlign w:val="center"/>
            <w:vMerge w:val="continue"/>
            <w:textDirection w:val="lrTb"/>
            <w:noWrap w:val="false"/>
          </w:tcPr>
          <w:p>
            <w:pPr>
              <w:pBdr/>
              <w:spacing/>
              <w:ind/>
              <w:rPr/>
            </w:pPr>
            <w:r/>
            <w:r/>
          </w:p>
        </w:tc>
        <w:tc>
          <w:tcPr>
            <w:tcBorders/>
            <w:tcW w:w="2007" w:type="dxa"/>
            <w:vAlign w:val="center"/>
            <w:vMerge w:val="restart"/>
            <w:textDirection w:val="lrTb"/>
            <w:noWrap w:val="false"/>
          </w:tcPr>
          <w:p>
            <w:pPr>
              <w:pBdr/>
              <w:spacing/>
              <w:ind/>
              <w:jc w:val="center"/>
              <w:rPr>
                <w:color w:val="000000" w:themeColor="text1"/>
              </w:rPr>
            </w:pPr>
            <w:r>
              <w:rPr>
                <w:color w:val="000000" w:themeColor="text1"/>
              </w:rPr>
              <w:t xml:space="preserve">Đến ngày: 28/01/2005</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r>
            <w:r>
              <w:rPr>
                <w:rFonts w:ascii="Times New Roman" w:hAnsi="Times New Roman" w:eastAsia="Times New Roman" w:cs="Times New Roman"/>
                <w:color w:val="000000"/>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Guland xác định vị t</w:t>
            </w:r>
            <w:r>
              <w:rPr>
                <w:rFonts w:ascii="Times New Roman" w:hAnsi="Times New Roman" w:eastAsia="Times New Roman" w:cs="Times New Roman"/>
                <w:color w:val="000000"/>
                <w:sz w:val="24"/>
              </w:rPr>
              <w:t xml:space="preserve">rí tài sản thuộc quy hoạch đất ở.</w:t>
            </w:r>
            <w:r>
              <w:rPr>
                <w:color w:val="000000"/>
              </w:rPr>
            </w:r>
            <w:r>
              <w:rPr>
                <w:color w:val="000000"/>
              </w:rPr>
            </w:r>
          </w:p>
        </w:tc>
      </w:tr>
      <w:tr>
        <w:trPr>
          <w:trHeight w:val="20"/>
        </w:trPr>
        <w:tc>
          <w:tcPr>
            <w:gridSpan w:val="5"/>
            <w:tcBorders/>
            <w:tcW w:w="9515" w:type="dxa"/>
            <w:vAlign w:val="center"/>
            <w:vMerge w:val="restart"/>
            <w:textDirection w:val="lrTb"/>
            <w:noWrap w:val="false"/>
          </w:tcPr>
          <w:p>
            <w:pPr>
              <w:pBdr/>
              <w:spacing/>
              <w:ind/>
              <w:jc w:val="both"/>
              <w:rPr>
                <w:color w:val="000000"/>
              </w:rPr>
            </w:pPr>
            <w:r>
              <w:rPr>
                <w:color w:val="000000"/>
              </w:rPr>
            </w:r>
            <w:r>
              <mc:AlternateContent>
                <mc:Choice Requires="wpg">
                  <w:drawing>
                    <wp:inline xmlns:wp="http://schemas.openxmlformats.org/drawingml/2006/wordprocessingDrawing" distT="0" distB="0" distL="0" distR="0">
                      <wp:extent cx="5956667" cy="2644052"/>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972419" name=""/>
                              <pic:cNvPicPr>
                                <a:picLocks noChangeAspect="1"/>
                              </pic:cNvPicPr>
                              <pic:nvPr/>
                            </pic:nvPicPr>
                            <pic:blipFill rotWithShape="1">
                              <a:blip r:embed="rId17"/>
                              <a:stretch/>
                            </pic:blipFill>
                            <pic:spPr bwMode="auto">
                              <a:xfrm flipH="0" flipV="0">
                                <a:off x="0" y="0"/>
                                <a:ext cx="5956666" cy="264405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69.03pt;height:208.19pt;mso-wrap-distance-left:0.00pt;mso-wrap-distance-top:0.00pt;mso-wrap-distance-right:0.00pt;mso-wrap-distance-bottom:0.00pt;z-index:1;" stroked="false">
                      <v:imagedata r:id="rId17"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Hồ Tông Thốc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r>
            <w:r>
              <w:rPr>
                <w:rFonts w:ascii="Times New Roman" w:hAnsi="Times New Roman" w:eastAsia="Times New Roman" w:cs="Times New Roman"/>
                <w:color w:val="000000"/>
                <w:sz w:val="24"/>
              </w:rPr>
              <w:t xml:space="preserve">Khoảng 10m + vỉa hè mỗi bên 3,5m</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r>
            <w:r>
              <w:rPr>
                <w:rFonts w:ascii="Times New Roman" w:hAnsi="Times New Roman" w:eastAsia="Times New Roman" w:cs="Times New Roman"/>
                <w:color w:val="000000"/>
                <w:sz w:val="24"/>
              </w:rPr>
              <w:t xml:space="preserve">Khoảng 10m + vỉa hè mỗi bên 3,5m</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Tài sản nằm tiếp giáp với mặt đường Hồ Tông Thốc </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w:t>
            </w:r>
            <w:r>
              <w:rPr>
                <w:color w:val="000000"/>
              </w:rPr>
            </w:r>
            <w:r>
              <w:rPr>
                <w:color w:val="000000"/>
              </w:rPr>
            </w:r>
          </w:p>
        </w:tc>
        <w:tc>
          <w:tcPr>
            <w:gridSpan w:val="3"/>
            <w:tcBorders/>
            <w:tcW w:w="6259" w:type="dxa"/>
            <w:vAlign w:val="center"/>
            <w:textDirection w:val="lrTb"/>
            <w:noWrap w:val="false"/>
          </w:tcPr>
          <w:p>
            <w:pPr>
              <w:pBdr/>
              <w:spacing/>
              <w:ind/>
              <w:rPr>
                <w:highlight w:val="none"/>
              </w:rPr>
            </w:pPr>
            <w:r/>
            <w:bookmarkStart w:id="3" w:name="OLE_LINK1"/>
            <w:r>
              <w:rPr>
                <w:color w:val="000000" w:themeColor="text1"/>
              </w:rPr>
            </w:r>
            <w:bookmarkEnd w:id="3"/>
            <w:r>
              <w:t xml:space="preserve">+ Hướng Nam: Tiếp giáp đường </w:t>
            </w:r>
            <w:r>
              <w:rPr>
                <w:color w:val="000000" w:themeColor="text1"/>
              </w:rPr>
              <w:t xml:space="preserve">Hồ Tông Thốc</w:t>
            </w:r>
            <w:r>
              <w:rPr>
                <w:highlight w:val="none"/>
              </w:rPr>
            </w:r>
            <w:r>
              <w:rPr>
                <w:highlight w:val="none"/>
              </w:rPr>
            </w:r>
          </w:p>
          <w:p>
            <w:pPr>
              <w:pBdr/>
              <w:spacing/>
              <w:ind/>
              <w:rPr>
                <w:color w:val="000000" w:themeColor="text1"/>
              </w:rPr>
            </w:pPr>
            <w:r>
              <w:rPr>
                <w:highlight w:val="none"/>
              </w:rPr>
              <w:t xml:space="preserve">+ Các hướng còn lại: Tiếp giáp các thửa đất khác </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18.706138888889</w:t>
            </w:r>
            <w:r>
              <w:rPr>
                <w:color w:val="000000"/>
              </w:rPr>
              <w:t xml:space="preserve">, </w:t>
            </w:r>
            <w:r>
              <w:rPr>
                <w:color w:val="000000"/>
              </w:rPr>
              <w:t xml:space="preserve">105.67555555556</w:t>
            </w:r>
            <w:r>
              <w:rPr>
                <w:color w:val="000000"/>
              </w:rPr>
              <w:t xml:space="preserve">)</w:t>
            </w:r>
            <w:r>
              <w:rPr>
                <w:color w:val="000000"/>
              </w:rPr>
            </w:r>
            <w:r>
              <w:rPr>
                <w:color w:val="000000"/>
              </w:rPr>
            </w:r>
          </w:p>
        </w:tc>
      </w:tr>
      <w:tr>
        <w:trPr>
          <w:trHeight w:val="20"/>
        </w:trPr>
        <w:tc>
          <w:tcPr>
            <w:gridSpan w:val="5"/>
            <w:tcBorders/>
            <w:tcW w:w="9515" w:type="dxa"/>
            <w:vAlign w:val="center"/>
            <w:textDirection w:val="lrTb"/>
            <w:noWrap w:val="false"/>
          </w:tcPr>
          <w:p>
            <w:pPr>
              <w:pBdr/>
              <w:spacing/>
              <w:ind/>
              <w:jc w:val="left"/>
              <w:rPr>
                <w:color w:val="000000"/>
              </w:rPr>
            </w:pPr>
            <w:r>
              <w:rPr>
                <w:color w:val="000000"/>
              </w:rPr>
            </w:r>
            <w:r>
              <w:rPr>
                <w:color w:val="000000"/>
              </w:rPr>
            </w:r>
            <w:r>
              <w:rPr>
                <w:color w:val="000000"/>
              </w:rPr>
            </w:r>
          </w:p>
          <w:p>
            <w:pPr>
              <w:pBdr/>
              <w:spacing/>
              <w:ind/>
              <w:rPr>
                <w:color w:val="000000"/>
              </w:rPr>
            </w:pPr>
            <w:r>
              <w:rPr>
                <w:color w:val="000000"/>
              </w:rPr>
            </w:r>
            <w:r>
              <mc:AlternateContent>
                <mc:Choice Requires="wpg">
                  <w:drawing>
                    <wp:inline xmlns:wp="http://schemas.openxmlformats.org/drawingml/2006/wordprocessingDrawing" distT="0" distB="0" distL="0" distR="0">
                      <wp:extent cx="5956667" cy="2974842"/>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130060" name=""/>
                              <pic:cNvPicPr>
                                <a:picLocks noChangeAspect="1"/>
                              </pic:cNvPicPr>
                              <pic:nvPr/>
                            </pic:nvPicPr>
                            <pic:blipFill rotWithShape="1">
                              <a:blip r:embed="rId18"/>
                              <a:stretch/>
                            </pic:blipFill>
                            <pic:spPr bwMode="auto">
                              <a:xfrm flipH="0" flipV="0">
                                <a:off x="0" y="0"/>
                                <a:ext cx="5956666" cy="297484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69.03pt;height:234.24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highlight w:val="white"/>
              </w:rPr>
            </w:pPr>
            <w:r>
              <w:rPr>
                <w:color w:val="000000" w:themeColor="text1"/>
                <w:highlight w:val="white"/>
              </w:rPr>
              <w:t xml:space="preserve">198,8</w:t>
            </w:r>
            <w:r>
              <w:rPr>
                <w:color w:val="000000"/>
                <w:highlight w:val="white"/>
              </w:rPr>
            </w:r>
            <w:r>
              <w:rPr>
                <w:color w:val="000000"/>
                <w:highlight w:val="white"/>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6,9</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27,46</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Hình chữ nhật</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Nam</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Tự nhiên, Hạ tầng cấp điện: Điện lưới, Hạ tầng thông tin liên lạc: Điện thoại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Khá </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Trung bình</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Ổn định</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ind/>
              <w:jc w:val="center"/>
              <w:rPr>
                <w:color w:val="ff0000"/>
              </w:rPr>
            </w:pPr>
            <w:r>
              <w:rPr>
                <w:color w:val="ff0000"/>
              </w:rPr>
              <w:t xml:space="preserve">Phù hợp để ở/ Kinh doanh</w:t>
            </w:r>
            <w:r>
              <w:rPr>
                <w:color w:val="ff0000"/>
              </w:rPr>
            </w:r>
            <w:r>
              <w:rPr>
                <w:color w:val="ff0000"/>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Khá</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tabs>
                <w:tab w:val="left" w:leader="none" w:pos="1874"/>
              </w:tabs>
              <w:spacing/>
              <w:ind w:firstLine="0" w:left="0"/>
              <w:jc w:val="both"/>
              <w:rPr/>
            </w:pPr>
            <w:r>
              <w:rPr>
                <w:color w:val="000000"/>
              </w:rPr>
              <w:t xml:space="preserve">+ </w:t>
            </w:r>
            <w:r>
              <w:rPr>
                <w:color w:val="000000"/>
              </w:rPr>
              <w:t xml:space="preserve">Nhà cấp 4</w:t>
            </w:r>
            <w:r>
              <w:t xml:space="preserve"> mái ngói diện tích xây dựng khoảng 40 </w:t>
            </w:r>
            <w:r>
              <w:rPr>
                <w:color w:val="000000"/>
              </w:rPr>
              <w:t xml:space="preserve">m²</w:t>
            </w:r>
            <w:r>
              <w:rPr>
                <w:color w:val="000000"/>
              </w:rPr>
            </w:r>
            <w:r/>
          </w:p>
          <w:p>
            <w:pPr>
              <w:pBdr/>
              <w:tabs>
                <w:tab w:val="left" w:leader="none" w:pos="1874"/>
              </w:tabs>
              <w:spacing/>
              <w:ind w:firstLine="0" w:left="0"/>
              <w:jc w:val="both"/>
              <w:rPr>
                <w:color w:val="000000"/>
              </w:rPr>
            </w:pPr>
            <w:r>
              <w:t xml:space="preserve">+ Nhà mái </w:t>
            </w:r>
            <w:r>
              <w:t xml:space="preserve">tấm lợp fibro xi măng</w:t>
            </w:r>
            <w:r>
              <w:rPr>
                <w:color w:val="000000"/>
              </w:rPr>
              <w:t xml:space="preserve">, xây tường gạch khoảng 35 </w:t>
            </w:r>
            <w:r>
              <w:rPr>
                <w:color w:val="000000"/>
              </w:rPr>
              <w:t xml:space="preserve">m²</w:t>
            </w:r>
            <w:r>
              <w:rPr>
                <w:color w:val="000000"/>
              </w:rPr>
              <w:tab/>
            </w:r>
            <w:r>
              <w:rPr>
                <w:color w:val="000000"/>
              </w:rPr>
            </w:r>
            <w:r>
              <w:rPr>
                <w:color w:val="000000"/>
              </w:rPr>
            </w:r>
          </w:p>
        </w:tc>
      </w:tr>
    </w:tbl>
    <w:p>
      <w:pPr>
        <w:pBdr/>
        <w:spacing w:line="235" w:lineRule="auto"/>
        <w:ind w:left="646"/>
        <w:jc w:val="both"/>
        <w:rPr>
          <w:u w:val="single"/>
        </w:rPr>
      </w:pPr>
      <w:r>
        <w:rPr>
          <w:u w:val="single"/>
        </w:rPr>
      </w:r>
      <w:r>
        <w:rPr>
          <w:u w:val="single"/>
        </w:rPr>
      </w:r>
      <w:r>
        <w:rPr>
          <w:u w:val="single"/>
        </w:rPr>
      </w:r>
    </w:p>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33"/>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33"/>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33"/>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33"/>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33"/>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33"/>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33"/>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33"/>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33"/>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33"/>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33"/>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w:t>
      </w:r>
      <w:r>
        <w:rPr>
          <w:b/>
          <w:lang w:val="pt-BR"/>
        </w:rPr>
        <w:t xml:space="preserve">sử dụng đấ</w:t>
      </w:r>
      <w:r>
        <w:rPr>
          <w:b/>
          <w:lang w:val="pt-BR"/>
        </w:rPr>
        <w:t xml:space="preserve">t ở </w:t>
      </w:r>
      <w:r>
        <w:rPr>
          <w:b/>
          <w:lang w:val="pt-BR"/>
        </w:rPr>
        <w:t xml:space="preserve">:</w:t>
      </w:r>
      <w:r>
        <w:rPr>
          <w:b/>
          <w:lang w:val="pt-BR"/>
        </w:rPr>
      </w:r>
      <w:r>
        <w:rPr>
          <w:b/>
          <w:lang w:val="pt-BR"/>
        </w:rPr>
      </w:r>
    </w:p>
    <w:p>
      <w:pPr>
        <w:pStyle w:val="1033"/>
        <w:pBdr/>
        <w:spacing w:after="120" w:before="120" w:line="276" w:lineRule="auto"/>
        <w:ind w:firstLine="357" w:left="0"/>
        <w:jc w:val="both"/>
        <w:rPr>
          <w:highlight w:val="none"/>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highlight w:val="none"/>
          <w:lang w:val="pt-BR"/>
        </w:rPr>
      </w:r>
      <w:r>
        <w:rPr>
          <w:highlight w:val="none"/>
          <w:lang w:val="pt-BR"/>
        </w:rPr>
      </w:r>
    </w:p>
    <w:p>
      <w:pPr>
        <w:pStyle w:val="1033"/>
        <w:pBdr/>
        <w:spacing w:after="120" w:before="120" w:line="276" w:lineRule="auto"/>
        <w:ind w:firstLine="357" w:left="0"/>
        <w:jc w:val="both"/>
        <w:rPr>
          <w:lang w:val="pt-BR"/>
        </w:rPr>
      </w:pPr>
      <w:r>
        <w:rPr>
          <w:lang w:val="pt-BR"/>
        </w:rPr>
      </w:r>
      <w:r>
        <w:rPr>
          <w:lang w:val="pt-BR"/>
        </w:rPr>
      </w:r>
      <w:r>
        <w:rPr>
          <w:lang w:val="pt-BR"/>
        </w:rPr>
      </w:r>
    </w:p>
    <w:p>
      <w:pPr>
        <w:pStyle w:val="1033"/>
        <w:pBdr/>
        <w:spacing w:after="120" w:before="120" w:line="276" w:lineRule="auto"/>
        <w:ind w:firstLine="357" w:left="0"/>
        <w:jc w:val="both"/>
        <w:rPr>
          <w:lang w:val="pt-BR"/>
        </w:rPr>
      </w:pPr>
      <w:r>
        <w:rPr>
          <w:lang w:val="pt-BR"/>
        </w:rPr>
      </w:r>
      <w:r>
        <w:rPr>
          <w:lang w:val="pt-BR"/>
        </w:rPr>
      </w:r>
      <w:r>
        <w:rPr>
          <w:lang w:val="pt-BR"/>
        </w:rPr>
      </w:r>
    </w:p>
    <w:p>
      <w:pPr>
        <w:pStyle w:val="1033"/>
        <w:pBdr/>
        <w:spacing w:after="120" w:before="120" w:line="276" w:lineRule="auto"/>
        <w:ind w:firstLine="357" w:left="0"/>
        <w:jc w:val="both"/>
        <w:rPr>
          <w:lang w:val="pt-BR"/>
        </w:rPr>
      </w:pPr>
      <w:r>
        <w:rPr>
          <w:bCs/>
          <w:highlight w:val="none"/>
          <w:lang w:val="pt-BR" w:bidi="pt-BR"/>
        </w:rPr>
      </w:r>
      <w:r>
        <w:rPr>
          <w:lang w:val="pt-BR"/>
        </w:rPr>
      </w:r>
      <w:r>
        <w:rPr>
          <w:lang w:val="pt-BR"/>
        </w:rPr>
      </w:r>
    </w:p>
    <w:p>
      <w:pPr>
        <w:pStyle w:val="1033"/>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4"/>
                <w:szCs w:val="24"/>
                <w:highlight w:val="white"/>
              </w:rPr>
            </w:pPr>
            <w:r>
              <w:rPr>
                <w:color w:val="000000" w:themeColor="text1"/>
                <w:sz w:val="24"/>
                <w:szCs w:val="24"/>
                <w:highlight w:val="white"/>
              </w:rPr>
              <w:t xml:space="preserve"> Phường Vinh Phú, Tỉnh Nghệ An</w:t>
            </w:r>
            <w:r>
              <w:rPr>
                <w:sz w:val="24"/>
                <w:szCs w:val="24"/>
                <w:highlight w:val="white"/>
              </w:rPr>
            </w:r>
            <w:r>
              <w:rPr>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4"/>
                <w:szCs w:val="24"/>
                <w:highlight w:val="white"/>
              </w:rPr>
            </w:pPr>
            <w:r>
              <w:rPr>
                <w:color w:val="000000" w:themeColor="text1"/>
                <w:sz w:val="24"/>
                <w:szCs w:val="24"/>
                <w:highlight w:val="white"/>
              </w:rPr>
            </w:r>
            <w:r>
              <w:rPr>
                <w:color w:val="000000" w:themeColor="text1"/>
                <w:sz w:val="24"/>
                <w:szCs w:val="24"/>
                <w:highlight w:val="white"/>
              </w:rPr>
              <w:t xml:space="preserve"> Phường Vinh Phú, Tỉnh Nghệ An</w:t>
            </w:r>
            <w:r>
              <w:rPr>
                <w:sz w:val="24"/>
                <w:szCs w:val="24"/>
                <w:highlight w:val="white"/>
              </w:rPr>
            </w:r>
            <w:r>
              <w:rPr>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4"/>
                <w:szCs w:val="24"/>
                <w:highlight w:val="white"/>
              </w:rPr>
            </w:pPr>
            <w:r>
              <w:rPr>
                <w:color w:val="000000" w:themeColor="text1"/>
                <w:sz w:val="24"/>
                <w:szCs w:val="24"/>
                <w:highlight w:val="white"/>
              </w:rPr>
            </w:r>
            <w:r>
              <w:rPr>
                <w:color w:val="000000" w:themeColor="text1"/>
                <w:sz w:val="24"/>
                <w:szCs w:val="24"/>
                <w:highlight w:val="white"/>
              </w:rPr>
              <w:t xml:space="preserve"> Phường Vinh Phú, Tỉnh Nghệ An</w:t>
            </w:r>
            <w:r>
              <w:rPr>
                <w:sz w:val="24"/>
                <w:szCs w:val="24"/>
                <w:highlight w:val="white"/>
              </w:rPr>
            </w:r>
            <w:r>
              <w:rPr>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4"/>
                <w:szCs w:val="24"/>
                <w:highlight w:val="white"/>
              </w:rPr>
            </w:pPr>
            <w:r>
              <w:rPr>
                <w:color w:val="000000" w:themeColor="text1"/>
                <w:sz w:val="24"/>
                <w:szCs w:val="24"/>
                <w:highlight w:val="white"/>
              </w:rPr>
            </w:r>
            <w:r>
              <w:rPr>
                <w:color w:val="000000" w:themeColor="text1"/>
                <w:sz w:val="24"/>
                <w:szCs w:val="24"/>
                <w:highlight w:val="white"/>
              </w:rPr>
              <w:t xml:space="preserve"> Phường Vinh Phú, Tỉnh Nghệ An</w:t>
            </w:r>
            <w:r>
              <w:rPr>
                <w:sz w:val="24"/>
                <w:szCs w:val="24"/>
                <w:highlight w:val="white"/>
              </w:rPr>
            </w:r>
            <w:r>
              <w:rPr>
                <w:sz w:val="24"/>
                <w:szCs w:val="24"/>
                <w:highlight w:val="white"/>
              </w:rPr>
            </w:r>
          </w:p>
        </w:tc>
      </w:tr>
      <w:tr>
        <w:trPr>
          <w:trHeight w:val="7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0355814093</w:t>
            </w:r>
            <w:r>
              <w:rPr>
                <w:sz w:val="22"/>
                <w:szCs w:val="22"/>
              </w:rPr>
              <w:t xml:space="preserve"> </w:t>
            </w:r>
            <w:r>
              <w:rPr>
                <w:sz w:val="22"/>
                <w:szCs w:val="22"/>
              </w:rPr>
              <w:br/>
              <w:t xml:space="preserve">(</w:t>
            </w:r>
            <w:r>
              <w:rPr>
                <w:sz w:val="22"/>
                <w:szCs w:val="22"/>
              </w:rPr>
              <w:t xml:space="preserve">Quang Hưng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0338960630</w:t>
            </w:r>
            <w:r>
              <w:rPr>
                <w:sz w:val="22"/>
                <w:szCs w:val="22"/>
              </w:rPr>
              <w:br/>
            </w:r>
            <w:r>
              <w:rPr>
                <w:sz w:val="22"/>
                <w:szCs w:val="22"/>
              </w:rPr>
              <w:t xml:space="preserve">(</w:t>
            </w:r>
            <w:r>
              <w:rPr>
                <w:sz w:val="22"/>
                <w:szCs w:val="22"/>
              </w:rPr>
              <w:t xml:space="preserve">Anh Dũng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0975791877</w:t>
            </w:r>
            <w:r>
              <w:rPr>
                <w:sz w:val="22"/>
                <w:szCs w:val="22"/>
              </w:rPr>
              <w:br/>
            </w:r>
            <w:r>
              <w:rPr>
                <w:sz w:val="22"/>
                <w:szCs w:val="22"/>
              </w:rPr>
              <w:t xml:space="preserve">(</w:t>
            </w:r>
            <w:r>
              <w:rPr>
                <w:sz w:val="22"/>
                <w:szCs w:val="22"/>
              </w:rPr>
              <w:t xml:space="preserve">Văn Đông</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Đang giao dịch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t xml:space="preserve">Đang giao dịch </w:t>
            </w: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t xml:space="preserve">Đang giao dịch </w:t>
            </w: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Pr>
                <w:color w:val="000000" w:themeColor="text1"/>
                <w:sz w:val="22"/>
                <w:szCs w:val="22"/>
              </w:rPr>
              <w:t xml:space="preserve">Tháng 09/2026</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Pr>
                <w:color w:val="000000" w:themeColor="text1"/>
                <w:sz w:val="22"/>
                <w:szCs w:val="22"/>
              </w:rPr>
              <w:t xml:space="preserve">Tháng 09/2026</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abs>
                <w:tab w:val="center" w:leader="none" w:pos="763"/>
              </w:tabs>
              <w:spacing/>
              <w:ind/>
              <w:rPr/>
            </w:pPr>
            <w:r>
              <w:rPr>
                <w:color w:val="000000" w:themeColor="text1"/>
                <w:sz w:val="22"/>
                <w:szCs w:val="22"/>
                <w:highlight w:val="yellow"/>
              </w:rPr>
            </w:r>
            <w:r>
              <w:rPr>
                <w:rFonts w:ascii="Times New Roman" w:hAnsi="Times New Roman" w:eastAsia="Times New Roman" w:cs="Times New Roman"/>
                <w:color w:val="000000"/>
                <w:sz w:val="22"/>
                <w:szCs w:val="22"/>
              </w:rPr>
              <w:t xml:space="preserve">Có Giấy chứng nhận QSDĐ</w:t>
            </w:r>
            <w:r>
              <w:tab/>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Pr>
                <w:color w:val="000000" w:themeColor="text1"/>
                <w:sz w:val="22"/>
                <w:szCs w:val="22"/>
                <w:highlight w:val="yellow"/>
              </w:rPr>
            </w:r>
            <w:r>
              <w:rPr>
                <w:rFonts w:ascii="Times New Roman" w:hAnsi="Times New Roman" w:eastAsia="Times New Roman" w:cs="Times New Roman"/>
                <w:color w:val="000000"/>
                <w:sz w:val="22"/>
                <w:szCs w:val="22"/>
              </w:rPr>
              <w:t xml:space="preserve">Có Giấy chứng nhận QSDĐ</w:t>
            </w:r>
            <w:r>
              <w:rPr>
                <w:color w:val="000000"/>
                <w:sz w:val="22"/>
                <w:szCs w:val="22"/>
                <w:highlight w:val="yellow"/>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Pr>
                <w:color w:val="000000" w:themeColor="text1"/>
                <w:sz w:val="22"/>
                <w:szCs w:val="22"/>
                <w:highlight w:val="yellow"/>
              </w:rPr>
            </w:r>
            <w:r>
              <w:rPr>
                <w:rFonts w:ascii="Times New Roman" w:hAnsi="Times New Roman" w:eastAsia="Times New Roman" w:cs="Times New Roman"/>
                <w:color w:val="000000"/>
                <w:sz w:val="22"/>
                <w:szCs w:val="22"/>
              </w:rPr>
              <w:t xml:space="preserve">Có Giấy chứng nhận QSDĐ</w:t>
            </w:r>
            <w:r>
              <w:rPr>
                <w:color w:val="000000"/>
                <w:sz w:val="22"/>
                <w:szCs w:val="22"/>
                <w:highlight w:val="yellow"/>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Pr>
                <w:color w:val="000000" w:themeColor="text1"/>
                <w:sz w:val="22"/>
                <w:szCs w:val="22"/>
                <w:highlight w:val="yellow"/>
              </w:rPr>
            </w:r>
            <w:r>
              <w:rPr>
                <w:rFonts w:ascii="Times New Roman" w:hAnsi="Times New Roman" w:eastAsia="Times New Roman" w:cs="Times New Roman"/>
                <w:color w:val="000000"/>
                <w:sz w:val="22"/>
                <w:szCs w:val="22"/>
              </w:rPr>
              <w:t xml:space="preserve">Có Giấy chứng nhận QSDĐ</w:t>
            </w:r>
            <w:r>
              <w:rPr>
                <w:color w:val="000000"/>
                <w:sz w:val="22"/>
                <w:szCs w:val="22"/>
                <w:highlight w:val="yellow"/>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thị,Đất trồng cây lâu năm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thị,Đất trồng cây lâu năm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Lâu dài</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 Có thời hạn (đến 26/11/2053)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 Có thời hạn (đến 01/07/2054)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Nằm trên mặt đường Hồ Tông Thốc, Phường Vinh Phú, Tỉnh Nghệ An,18.706138888889, 105.67555555556</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w:t>
            </w:r>
            <w:r>
              <w:rPr>
                <w:color w:val="000000" w:themeColor="text1"/>
                <w:sz w:val="22"/>
                <w:szCs w:val="22"/>
                <w:highlight w:val="white"/>
              </w:rPr>
              <w:t xml:space="preserve"> Phường Vinh Phú, Tỉnh Nghệ An,cách đường </w:t>
            </w:r>
            <w:r>
              <w:rPr>
                <w:color w:val="000000" w:themeColor="text1"/>
                <w:sz w:val="22"/>
                <w:szCs w:val="22"/>
                <w:highlight w:val="white"/>
              </w:rPr>
              <w:t xml:space="preserve">Hồ Tông Thốc</w:t>
            </w:r>
            <w:r>
              <w:rPr>
                <w:color w:val="000000" w:themeColor="text1"/>
                <w:sz w:val="22"/>
                <w:szCs w:val="22"/>
                <w:highlight w:val="white"/>
              </w:rPr>
              <w:t xml:space="preserve"> khoảng 150m </w:t>
            </w:r>
            <w:r>
              <w:rPr>
                <w:color w:val="000000" w:themeColor="text1"/>
                <w:sz w:val="22"/>
                <w:szCs w:val="22"/>
                <w:highlight w:val="white"/>
              </w:rPr>
              <w:t xml:space="preserve"> 18.7067243, 105.6747718</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w:t>
            </w:r>
            <w:r>
              <w:rPr>
                <w:color w:val="000000" w:themeColor="text1"/>
                <w:sz w:val="22"/>
                <w:szCs w:val="22"/>
                <w:highlight w:val="white"/>
              </w:rPr>
              <w:t xml:space="preserve">Nằm trên mặt đường Hồ Tông Thốc</w:t>
            </w:r>
            <w:r>
              <w:rPr>
                <w:color w:val="000000" w:themeColor="text1"/>
                <w:sz w:val="22"/>
                <w:szCs w:val="22"/>
                <w:highlight w:val="white"/>
              </w:rPr>
              <w:t xml:space="preserve">, Phường Vinh Phú, Tỉnh Nghệ An,18.708, 105.68205555555556</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w:t>
            </w:r>
            <w:r>
              <w:rPr>
                <w:color w:val="000000" w:themeColor="text1"/>
                <w:sz w:val="22"/>
                <w:szCs w:val="22"/>
                <w:highlight w:val="white"/>
              </w:rPr>
              <w:t xml:space="preserve">Phường Vinh Phú, Tỉnh Nghệ An,cách đường </w:t>
            </w:r>
            <w:r>
              <w:rPr>
                <w:color w:val="000000" w:themeColor="text1"/>
                <w:sz w:val="22"/>
                <w:szCs w:val="22"/>
                <w:highlight w:val="white"/>
              </w:rPr>
              <w:t xml:space="preserve">Đường</w:t>
            </w:r>
            <w:r>
              <w:rPr>
                <w:color w:val="000000" w:themeColor="text1"/>
                <w:sz w:val="22"/>
                <w:szCs w:val="22"/>
                <w:highlight w:val="white"/>
              </w:rPr>
              <w:t xml:space="preserve"> </w:t>
            </w:r>
            <w:r>
              <w:rPr>
                <w:color w:val="000000" w:themeColor="text1"/>
                <w:sz w:val="22"/>
                <w:szCs w:val="22"/>
                <w:highlight w:val="white"/>
              </w:rPr>
              <w:t xml:space="preserve">Nguyễn Chí Thanh </w:t>
            </w:r>
            <w:r>
              <w:rPr>
                <w:color w:val="000000" w:themeColor="text1"/>
                <w:sz w:val="22"/>
                <w:szCs w:val="22"/>
                <w:highlight w:val="white"/>
              </w:rPr>
              <w:t xml:space="preserve">khoảng 150m</w:t>
            </w:r>
            <w:r>
              <w:rPr>
                <w:color w:val="000000" w:themeColor="text1"/>
                <w:sz w:val="22"/>
                <w:szCs w:val="22"/>
                <w:highlight w:val="white"/>
              </w:rPr>
              <w:t xml:space="preserve">, 18.705526, 105.662898</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r>
            <w:r>
              <w:rPr>
                <w:color w:val="000000" w:themeColor="text1"/>
                <w:sz w:val="22"/>
                <w:szCs w:val="22"/>
              </w:rPr>
              <w:t xml:space="preserve">Vị trí tương quan giữa TSTĐ và các TSS</w:t>
            </w:r>
            <w:r>
              <w:rPr>
                <w:color w:val="000000" w:themeColor="text1"/>
                <w:sz w:val="22"/>
                <w:szCs w:val="22"/>
              </w:rPr>
              <w:t xml:space="preserve">S</w:t>
            </w:r>
            <w:r>
              <w:rPr>
                <w:color w:val="000000" w:themeColor="text1"/>
                <w:sz w:val="22"/>
                <w:szCs w:val="22"/>
              </w:rPr>
            </w:r>
            <w:r>
              <w:rPr>
                <w:color w:val="000000" w:themeColor="text1"/>
                <w:sz w:val="22"/>
                <w:szCs w:val="22"/>
              </w:rPr>
            </w:r>
          </w:p>
        </w:tc>
        <w:tc>
          <w:tcPr>
            <w:gridSpan w:val="4"/>
            <w:tcBorders>
              <w:top w:val="none" w:color="000000" w:sz="4" w:space="0"/>
              <w:left w:val="none" w:color="000000" w:sz="4" w:space="0"/>
              <w:bottom w:val="single" w:color="000000" w:sz="4" w:space="0"/>
              <w:right w:val="single" w:color="000000" w:sz="4" w:space="0"/>
            </w:tcBorders>
            <w:tcW w:w="6968" w:type="dxa"/>
            <w:vAlign w:val="center"/>
            <w:vMerge w:val="restart"/>
            <w:textDirection w:val="lrTb"/>
            <w:noWrap w:val="false"/>
          </w:tcPr>
          <w:p>
            <w:pPr>
              <w:pBdr/>
              <w:spacing/>
              <w:ind/>
              <w:jc w:val="center"/>
              <w:rPr>
                <w:color w:val="000000" w:themeColor="text1"/>
                <w:sz w:val="22"/>
                <w:szCs w:val="22"/>
                <w:highlight w:val="yellow"/>
              </w:rPr>
            </w:pPr>
            <w:r>
              <w:rPr>
                <w:color w:val="000000" w:themeColor="text1"/>
                <w:sz w:val="22"/>
                <w:szCs w:val="22"/>
                <w:highlight w:val="yellow"/>
              </w:rPr>
            </w:r>
            <w:r>
              <mc:AlternateContent>
                <mc:Choice Requires="wpg">
                  <w:drawing>
                    <wp:inline xmlns:wp="http://schemas.openxmlformats.org/drawingml/2006/wordprocessingDrawing" distT="0" distB="0" distL="0" distR="0">
                      <wp:extent cx="4292352" cy="1352550"/>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961000" name=""/>
                              <pic:cNvPicPr>
                                <a:picLocks noChangeAspect="1"/>
                              </pic:cNvPicPr>
                              <pic:nvPr/>
                            </pic:nvPicPr>
                            <pic:blipFill rotWithShape="1">
                              <a:blip r:embed="rId19"/>
                              <a:stretch/>
                            </pic:blipFill>
                            <pic:spPr bwMode="auto">
                              <a:xfrm flipH="0" flipV="0">
                                <a:off x="0" y="0"/>
                                <a:ext cx="4292350" cy="135254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337.98pt;height:106.50pt;mso-wrap-distance-left:0.00pt;mso-wrap-distance-top:0.00pt;mso-wrap-distance-right:0.00pt;mso-wrap-distance-bottom:0.00pt;z-index:1;" stroked="false">
                      <v:imagedata r:id="rId19" o:title=""/>
                      <o:lock v:ext="edit" rotation="t"/>
                    </v:shape>
                  </w:pict>
                </mc:Fallback>
              </mc:AlternateContent>
            </w:r>
            <w:r>
              <w:rPr>
                <w:color w:val="000000" w:themeColor="text1"/>
                <w:sz w:val="22"/>
                <w:szCs w:val="22"/>
                <w:highlight w:val="yellow"/>
              </w:rPr>
            </w:r>
            <w:r>
              <w:rPr>
                <w:color w:val="000000" w:themeColor="text1"/>
                <w:sz w:val="22"/>
                <w:szCs w:val="22"/>
                <w:highlight w:val="yellow"/>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r>
            <w:r>
              <w:rPr>
                <w:color w:val="000000" w:themeColor="text1"/>
                <w:sz w:val="22"/>
                <w:szCs w:val="22"/>
                <w:highlight w:val="white"/>
              </w:rPr>
              <w:t xml:space="preserve">1</w:t>
            </w:r>
            <w:r>
              <w:rPr>
                <w:color w:val="000000" w:themeColor="text1"/>
                <w:sz w:val="22"/>
                <w:szCs w:val="22"/>
                <w:highlight w:val="white"/>
              </w:rPr>
              <w:t xml:space="preserve">50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133,9</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227,9</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6,9</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7,5</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17</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Tài sản trên đất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Đất trống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Đất trống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Đất trống</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18</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Giá rao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4.800.000.000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11.856.000.000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8.100.000.000</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19</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Giá thương lượng/bán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4.224.000.000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10.077.600.000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6.885.000.000</w:t>
            </w:r>
            <w:r>
              <w:rPr>
                <w:color w:val="000000"/>
                <w:sz w:val="22"/>
                <w:szCs w:val="22"/>
                <w:highlight w:val="white"/>
              </w:rPr>
            </w:r>
            <w:r>
              <w:rPr>
                <w:color w:val="000000"/>
                <w:sz w:val="22"/>
                <w:szCs w:val="22"/>
                <w:highlight w:val="white"/>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4.224.000.000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10.077.600.000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6.885.000.000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31.545.930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44.219.394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43.031.250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cho sử dụng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33"/>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4.224.000.000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10.077.600.000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6.885.000.000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31.545.930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44.219.394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43.031.250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highlight w:val="yellow"/>
              </w:rPr>
            </w:r>
            <w:r>
              <w:rPr>
                <w:rFonts w:ascii="Times New Roman" w:hAnsi="Times New Roman" w:eastAsia="Times New Roman" w:cs="Times New Roman"/>
                <w:color w:val="000000"/>
                <w:sz w:val="22"/>
                <w:szCs w:val="22"/>
              </w:rPr>
              <w:t xml:space="preserve">Có Giấy chứng nhận QSDĐ</w:t>
            </w:r>
            <w:r/>
          </w:p>
        </w:tc>
        <w:tc>
          <w:tcPr>
            <w:shd w:val="clear" w:color="000000" w:fill="ffffff"/>
            <w:tcBorders/>
            <w:tcW w:w="1522" w:type="dxa"/>
            <w:vAlign w:val="center"/>
            <w:textDirection w:val="lrTb"/>
            <w:noWrap w:val="false"/>
          </w:tcPr>
          <w:p>
            <w:pPr>
              <w:pBdr/>
              <w:tabs>
                <w:tab w:val="center" w:leader="none" w:pos="763"/>
              </w:tabs>
              <w:spacing/>
              <w:ind/>
              <w:jc w:val="center"/>
              <w:rPr/>
            </w:pPr>
            <w:r>
              <w:rPr>
                <w:color w:val="000000" w:themeColor="text1"/>
                <w:sz w:val="22"/>
                <w:szCs w:val="22"/>
                <w:highlight w:val="yellow"/>
              </w:rPr>
            </w:r>
            <w:r>
              <w:rPr>
                <w:rFonts w:ascii="Times New Roman" w:hAnsi="Times New Roman" w:eastAsia="Times New Roman" w:cs="Times New Roman"/>
                <w:color w:val="000000"/>
                <w:sz w:val="22"/>
                <w:szCs w:val="22"/>
              </w:rPr>
              <w:t xml:space="preserve">Có Giấy chứng nhận QSDĐ</w:t>
            </w:r>
            <w:r>
              <w:tab/>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highlight w:val="yellow"/>
              </w:rPr>
            </w:r>
            <w:r>
              <w:rPr>
                <w:rFonts w:ascii="Times New Roman" w:hAnsi="Times New Roman" w:eastAsia="Times New Roman" w:cs="Times New Roman"/>
                <w:color w:val="000000"/>
                <w:sz w:val="22"/>
                <w:szCs w:val="22"/>
              </w:rPr>
              <w:t xml:space="preserve">Có Giấy chứng nhận QSDĐ</w:t>
            </w:r>
            <w:r/>
          </w:p>
        </w:tc>
        <w:tc>
          <w:tcPr>
            <w:shd w:val="clear" w:color="000000" w:fill="ffffff"/>
            <w:tcBorders/>
            <w:tcW w:w="1522" w:type="dxa"/>
            <w:vAlign w:val="center"/>
            <w:textDirection w:val="lrTb"/>
            <w:noWrap w:val="false"/>
          </w:tcPr>
          <w:p>
            <w:pPr>
              <w:pBdr/>
              <w:tabs>
                <w:tab w:val="center" w:leader="none" w:pos="763"/>
              </w:tabs>
              <w:spacing/>
              <w:ind/>
              <w:jc w:val="center"/>
              <w:rPr/>
            </w:pPr>
            <w:r>
              <w:rPr>
                <w:color w:val="000000" w:themeColor="text1"/>
                <w:sz w:val="22"/>
                <w:szCs w:val="22"/>
                <w:highlight w:val="yellow"/>
              </w:rPr>
            </w:r>
            <w:r>
              <w:rPr>
                <w:rFonts w:ascii="Times New Roman" w:hAnsi="Times New Roman" w:eastAsia="Times New Roman" w:cs="Times New Roman"/>
                <w:color w:val="000000"/>
                <w:sz w:val="22"/>
                <w:szCs w:val="22"/>
              </w:rPr>
              <w:t xml:space="preserve">Có Giấy chứng nhận QSDĐ</w:t>
            </w:r>
            <w:r>
              <w:tab/>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31.545.930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44.219.394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43.031.250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Đất ở tại đô thị</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thị,Đất trồng cây lâu năm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thị,Đất trồng cây lâu năm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31.545.930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44.219.394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43.031.250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 – Lâu dài, Đất trồng cây lâu năm – Có thời hạn (đến 26/11/2053, 27 năm)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 – Lâu dài, Đất trồng cây lâu năm – Có thời hạn (đến 01/07/2054, 28 năm)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 – Lâu dài</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31.545.930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44.219.394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43.031.250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Nằm trên mặt đường Hồ Tông Thốc, Phường Vinh Phú, Tỉnh Nghệ An,18.706138888889, 105.67555555556</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w:t>
            </w:r>
            <w:r>
              <w:rPr>
                <w:color w:val="000000" w:themeColor="text1"/>
                <w:sz w:val="22"/>
                <w:szCs w:val="22"/>
                <w:highlight w:val="white"/>
              </w:rPr>
              <w:t xml:space="preserve"> Phường Vinh Phú, Tỉnh Nghệ An,cách đường </w:t>
            </w:r>
            <w:r>
              <w:rPr>
                <w:color w:val="000000" w:themeColor="text1"/>
                <w:sz w:val="22"/>
                <w:szCs w:val="22"/>
                <w:highlight w:val="white"/>
              </w:rPr>
              <w:t xml:space="preserve">Hồ Tông Thốc</w:t>
            </w:r>
            <w:r>
              <w:rPr>
                <w:color w:val="000000" w:themeColor="text1"/>
                <w:sz w:val="22"/>
                <w:szCs w:val="22"/>
                <w:highlight w:val="white"/>
              </w:rPr>
              <w:t xml:space="preserve"> khoảng 150m, </w:t>
            </w:r>
            <w:r>
              <w:rPr>
                <w:color w:val="000000" w:themeColor="text1"/>
                <w:sz w:val="22"/>
                <w:szCs w:val="22"/>
                <w:highlight w:val="white"/>
              </w:rPr>
              <w:t xml:space="preserve"> 18.7067243, 105.6747718</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w:t>
            </w:r>
            <w:r>
              <w:rPr>
                <w:color w:val="000000" w:themeColor="text1"/>
                <w:sz w:val="22"/>
                <w:szCs w:val="22"/>
                <w:highlight w:val="white"/>
              </w:rPr>
              <w:t xml:space="preserve">Nằm trên mặt đường Hồ Tông Thốc</w:t>
            </w:r>
            <w:r>
              <w:rPr>
                <w:color w:val="000000" w:themeColor="text1"/>
                <w:sz w:val="22"/>
                <w:szCs w:val="22"/>
                <w:highlight w:val="white"/>
              </w:rPr>
              <w:t xml:space="preserve">, Phường Vinh Phú, Tỉnh Nghệ An,18.708, 105.68205555555556</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w:t>
            </w:r>
            <w:r>
              <w:rPr>
                <w:color w:val="000000" w:themeColor="text1"/>
                <w:sz w:val="22"/>
                <w:szCs w:val="22"/>
                <w:highlight w:val="white"/>
              </w:rPr>
              <w:t xml:space="preserve">Phường Vinh Phú, Tỉnh Nghệ An,cách đường </w:t>
            </w:r>
            <w:r>
              <w:rPr>
                <w:color w:val="000000" w:themeColor="text1"/>
                <w:sz w:val="22"/>
                <w:szCs w:val="22"/>
                <w:highlight w:val="white"/>
              </w:rPr>
              <w:t xml:space="preserve">Đường</w:t>
            </w:r>
            <w:r>
              <w:rPr>
                <w:color w:val="000000" w:themeColor="text1"/>
                <w:sz w:val="22"/>
                <w:szCs w:val="22"/>
                <w:highlight w:val="white"/>
              </w:rPr>
              <w:t xml:space="preserve"> </w:t>
            </w:r>
            <w:r>
              <w:rPr>
                <w:color w:val="000000" w:themeColor="text1"/>
                <w:sz w:val="22"/>
                <w:szCs w:val="22"/>
                <w:highlight w:val="white"/>
              </w:rPr>
              <w:t xml:space="preserve">Nguyễn Chí Thanh </w:t>
            </w:r>
            <w:r>
              <w:rPr>
                <w:color w:val="000000" w:themeColor="text1"/>
                <w:sz w:val="22"/>
                <w:szCs w:val="22"/>
                <w:highlight w:val="white"/>
              </w:rPr>
              <w:t xml:space="preserve">khoảng 150m</w:t>
            </w:r>
            <w:r>
              <w:rPr>
                <w:color w:val="000000" w:themeColor="text1"/>
                <w:sz w:val="22"/>
                <w:szCs w:val="22"/>
                <w:highlight w:val="white"/>
              </w:rPr>
              <w:t xml:space="preserve">, 18.705526, 105.662898</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3.154.593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1.290.938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34.700.523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44.219.394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44.322.188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946.378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35.646.901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44.219.394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44.322.188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1.892.756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1.290.938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37.539.657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44.219.394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45.613.126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highlight w:val="yellow"/>
              </w:rPr>
            </w:pPr>
            <w:r>
              <w:rPr>
                <w:color w:val="000000" w:themeColor="text1"/>
                <w:sz w:val="22"/>
                <w:szCs w:val="22"/>
                <w:highlight w:val="none"/>
              </w:rPr>
              <w:t xml:space="preserve">150</w:t>
            </w:r>
            <w:r>
              <w:rPr>
                <w:b/>
                <w:bCs/>
                <w:color w:val="000000"/>
                <w:sz w:val="22"/>
                <w:szCs w:val="22"/>
                <w:highlight w:val="yellow"/>
              </w:rPr>
            </w:r>
            <w:r>
              <w:rPr>
                <w:b/>
                <w:bCs/>
                <w:color w:val="000000"/>
                <w:sz w:val="22"/>
                <w:szCs w:val="22"/>
                <w:highlight w:val="yellow"/>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133,9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227,9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160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-946.378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884.388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537"/>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36.593.279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45.103.782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45.613.126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6,9</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7,5</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946.378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-2.210.970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-3.442.500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37.539.657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42.892.812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42.170.626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37.539.657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42.892.812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42.170.626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Các thông tin khác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highlight w:val="yellow"/>
              </w:rPr>
            </w:pPr>
            <w:r>
              <w:rPr>
                <w:color w:val="000000" w:themeColor="text1"/>
                <w:sz w:val="22"/>
                <w:szCs w:val="22"/>
                <w:highlight w:val="none"/>
              </w:rPr>
              <w:t xml:space="preserve">100% đất ở</w:t>
            </w:r>
            <w:r>
              <w:rPr>
                <w:b/>
                <w:bCs/>
                <w:color w:val="000000"/>
                <w:sz w:val="22"/>
                <w:szCs w:val="22"/>
                <w:highlight w:val="yellow"/>
              </w:rPr>
            </w:r>
            <w:r>
              <w:rPr>
                <w:b/>
                <w:bCs/>
                <w:color w:val="000000"/>
                <w:sz w:val="22"/>
                <w:szCs w:val="22"/>
                <w:highlight w:val="yellow"/>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Tỉ lệ đất ở / Tổng diện tích đất: 56,01%</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Tỉ lệ đất ở / Tổng diện tích đất: 66,07%</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yellow"/>
              </w:rPr>
            </w:pPr>
            <w:r>
              <w:rPr>
                <w:color w:val="000000" w:themeColor="text1"/>
                <w:sz w:val="22"/>
                <w:szCs w:val="22"/>
                <w:highlight w:val="none"/>
              </w:rPr>
              <w:t xml:space="preserve">100% đất ở</w:t>
            </w:r>
            <w:r>
              <w:rPr>
                <w:b/>
                <w:bCs/>
                <w:color w:val="000000"/>
                <w:sz w:val="22"/>
                <w:szCs w:val="22"/>
                <w:highlight w:val="yellow"/>
              </w:rPr>
            </w:r>
            <w:r>
              <w:rPr>
                <w:b/>
                <w:bCs/>
                <w:color w:val="000000"/>
                <w:sz w:val="22"/>
                <w:szCs w:val="22"/>
                <w:highlight w:val="yellow"/>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3.154.593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1.326.582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40.694.250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44.219.394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42.170.626</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40.694.250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44.219.394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42.170.626</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42.361.423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-3,94%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4,39%</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-0,45%</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11.041.076</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4.421.940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6.024.376</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- 8%</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9.148.320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860.624</w:t>
            </w:r>
            <w:r>
              <w:rPr>
                <w:sz w:val="22"/>
                <w:szCs w:val="22"/>
              </w:rPr>
            </w:r>
            <w:r>
              <w:rPr>
                <w:sz w:val="22"/>
                <w:szCs w:val="22"/>
              </w:rPr>
            </w:r>
          </w:p>
        </w:tc>
      </w:tr>
    </w:tbl>
    <w:p>
      <w:pPr>
        <w:pBdr/>
        <w:spacing w:after="120" w:before="120" w:line="276" w:lineRule="auto"/>
        <w:ind/>
        <w:jc w:val="both"/>
        <w:rPr>
          <w:b/>
          <w:bCs/>
          <w:i/>
        </w:rPr>
      </w:pPr>
      <w:r>
        <w:rPr>
          <w:b/>
          <w:bCs/>
          <w:i/>
          <w:iCs/>
          <w:highlight w:val="none"/>
        </w:rPr>
      </w:r>
      <w:r>
        <w:rPr>
          <w:b/>
          <w:bCs/>
          <w:i/>
        </w:rPr>
      </w:r>
      <w:r>
        <w:rPr>
          <w:b/>
          <w:bCs/>
          <w:i/>
        </w:rPr>
      </w:r>
    </w:p>
    <w:p>
      <w:pPr>
        <w:pBdr/>
        <w:spacing w:after="120" w:before="120" w:line="276" w:lineRule="auto"/>
        <w:ind/>
        <w:jc w:val="both"/>
        <w:rPr>
          <w:b/>
          <w:bCs/>
          <w:i/>
          <w:iCs/>
          <w:highlight w:val="none"/>
        </w:rPr>
      </w:pPr>
      <w:r>
        <w:rPr>
          <w:i/>
          <w:iCs/>
          <w:u w:val="single"/>
        </w:rPr>
        <w:t xml:space="preserve"> </w:t>
      </w:r>
      <w:r>
        <w:rPr>
          <w:b/>
          <w:bCs/>
          <w:i/>
          <w:iCs/>
          <w:u w:val="single"/>
        </w:rPr>
        <w:t xml:space="preserve">Về nguyên tắc khống chế</w:t>
      </w:r>
      <w:r>
        <w:rPr>
          <w:b/>
          <w:bCs/>
          <w:i/>
          <w:iCs/>
        </w:rPr>
        <w:t xml:space="preserve">: </w:t>
      </w:r>
      <w:r>
        <w:rPr>
          <w:b/>
          <w:bCs/>
          <w:i/>
          <w:iCs/>
          <w:highlight w:val="none"/>
        </w:rPr>
      </w:r>
      <w:r>
        <w:rPr>
          <w:b/>
          <w:bCs/>
          <w:i/>
          <w:iCs/>
          <w:highlight w:val="none"/>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-3,94</w:t>
      </w:r>
      <w:r>
        <w:t xml:space="preserve">% đến</w:t>
      </w:r>
      <w:r>
        <w:t xml:space="preserve"> </w:t>
      </w:r>
      <w:r>
        <w:t xml:space="preserve"> </w:t>
      </w:r>
      <w:r>
        <w:t xml:space="preserve">4,39</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40.694.250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13.567.463</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44.219.394</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14.738.324</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42.170.626</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14.055.470</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42.361.257</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42.000.000</w:t>
            </w:r>
            <w:r>
              <w:rPr>
                <w:b/>
                <w:bCs/>
                <w:color w:val="000000"/>
              </w:rPr>
            </w:r>
            <w:r>
              <w:rPr>
                <w:b/>
                <w:bCs/>
                <w:color w:val="000000"/>
              </w:rPr>
            </w:r>
          </w:p>
        </w:tc>
      </w:tr>
    </w:tbl>
    <w:p>
      <w:pPr>
        <w:pBdr/>
        <w:spacing w:after="120" w:before="120" w:line="276" w:lineRule="auto"/>
        <w:ind/>
        <w:jc w:val="both"/>
        <w:rPr>
          <w:b/>
          <w:bCs/>
          <w:highlight w:val="none"/>
        </w:rPr>
      </w:pPr>
      <w:r>
        <w:t xml:space="preserve">Tổ thẩm định sử dụng mức giá chỉ dẫn là mức giá bình quân có trọng số của 03 tài sản so sánh làm mức giá của tài </w:t>
      </w:r>
      <w:r>
        <w:t xml:space="preserve">sản thẩm định, tương ứng là</w:t>
      </w:r>
      <w:r>
        <w:t xml:space="preserve">:</w:t>
      </w:r>
      <w:r>
        <w:t xml:space="preserve"> </w:t>
      </w:r>
      <w:r>
        <w:rPr>
          <w:b/>
          <w:bCs/>
          <w:color w:val="000000" w:themeColor="text1"/>
          <w:lang w:val="vi-VN"/>
        </w:rPr>
        <w:t xml:space="preserve">42.000.000</w:t>
      </w:r>
      <w:r>
        <w:rPr>
          <w:b/>
          <w:bCs/>
          <w:color w:val="000000" w:themeColor="text1"/>
        </w:rPr>
        <w:t xml:space="preserve"> </w:t>
      </w:r>
      <w:r>
        <w:rPr>
          <w:b/>
          <w:bCs/>
        </w:rPr>
        <w:t xml:space="preserve">đồng/m²</w:t>
      </w:r>
      <w:r>
        <w:rPr>
          <w:b/>
          <w:bCs/>
        </w:rPr>
        <w:t xml:space="preserve">.</w:t>
      </w:r>
      <w:r>
        <w:rPr>
          <w:b/>
          <w:bCs/>
          <w:highlight w:val="none"/>
        </w:rPr>
      </w:r>
      <w:r>
        <w:rPr>
          <w:b/>
          <w:bCs/>
          <w:highlight w:val="none"/>
        </w:rPr>
      </w:r>
    </w:p>
    <w:p>
      <w:pPr>
        <w:pStyle w:val="1033"/>
        <w:numPr>
          <w:ilvl w:val="0"/>
          <w:numId w:val="42"/>
        </w:numPr>
        <w:pBdr/>
        <w:spacing w:after="120" w:before="120" w:line="324" w:lineRule="auto"/>
        <w:ind w:hanging="357" w:left="357"/>
        <w:jc w:val="both"/>
        <w:rPr>
          <w:b/>
          <w:bCs/>
          <w:color w:val="000000" w:themeColor="text1"/>
          <w:highlight w:val="white"/>
        </w:rPr>
      </w:pPr>
      <w:r>
        <w:rPr>
          <w:b/>
          <w:bCs/>
          <w:color w:val="000000" w:themeColor="text1"/>
          <w:highlight w:val="white"/>
        </w:rPr>
        <w:t xml:space="preserve">Xác định giá trị phần diện tích đất trồng cây lâu năm (48,8m</w:t>
      </w:r>
      <w:r>
        <w:rPr>
          <w:b/>
          <w:bCs/>
          <w:color w:val="000000" w:themeColor="text1"/>
          <w:highlight w:val="white"/>
          <w:vertAlign w:val="superscript"/>
        </w:rPr>
        <w:t xml:space="preserve">2</w:t>
      </w:r>
      <w:r>
        <w:rPr>
          <w:b/>
          <w:bCs/>
          <w:color w:val="000000" w:themeColor="text1"/>
          <w:highlight w:val="white"/>
        </w:rPr>
        <w:t xml:space="preserve">):</w:t>
      </w:r>
      <w:r>
        <w:rPr>
          <w:b/>
          <w:bCs/>
          <w:color w:val="000000" w:themeColor="text1"/>
          <w:highlight w:val="white"/>
        </w:rPr>
      </w:r>
      <w:r>
        <w:rPr>
          <w:b/>
          <w:bCs/>
          <w:color w:val="000000" w:themeColor="text1"/>
          <w:highlight w:val="white"/>
        </w:rPr>
      </w:r>
    </w:p>
    <w:p>
      <w:pPr>
        <w:pStyle w:val="1033"/>
        <w:pBdr/>
        <w:spacing w:after="120" w:before="120" w:line="324" w:lineRule="auto"/>
        <w:ind w:right="0" w:firstLine="0" w:left="0"/>
        <w:jc w:val="both"/>
        <w:rPr>
          <w:rFonts w:ascii="Times New Roman" w:hAnsi="Times New Roman" w:cs="Times New Roman"/>
          <w:b w:val="0"/>
          <w:bCs w:val="0"/>
          <w:color w:val="000000" w:themeColor="text1"/>
          <w:highlight w:val="white"/>
        </w:rPr>
      </w:pPr>
      <w:r>
        <w:rPr>
          <w:rFonts w:ascii="Times New Roman" w:hAnsi="Times New Roman" w:eastAsia="Times New Roman" w:cs="Times New Roman"/>
          <w:b w:val="0"/>
          <w:bCs w:val="0"/>
          <w:color w:val="000000" w:themeColor="text1"/>
          <w:highlight w:val="white"/>
          <w:lang w:val="pt-BR"/>
        </w:rPr>
      </w:r>
      <w:r>
        <w:rPr>
          <w:rFonts w:ascii="Times New Roman" w:hAnsi="Times New Roman" w:eastAsia="Times New Roman" w:cs="Times New Roman"/>
          <w:b w:val="0"/>
          <w:bCs w:val="0"/>
          <w:color w:val="000000" w:themeColor="text1"/>
          <w:highlight w:val="white"/>
          <w:lang w:val="pt-BR"/>
        </w:rPr>
        <w:t xml:space="preserve">Khu vực tài sản thẩm định tọa lạc hạn chế giao dịch đất trồng cây lâu năm riêng lẻ mà hầu như chỉ có đất ở, do vậy, cho mục đích thẩm định tại báo cáo này, Tổ thẩm định xác định đơn giá đất trồng cây lâu năm theo giá UBND.</w:t>
      </w:r>
      <w:r>
        <w:rPr>
          <w:rFonts w:ascii="Times New Roman" w:hAnsi="Times New Roman" w:cs="Times New Roman"/>
          <w:b w:val="0"/>
          <w:bCs w:val="0"/>
          <w:color w:val="000000" w:themeColor="text1"/>
          <w:highlight w:val="white"/>
        </w:rPr>
      </w:r>
      <w:r>
        <w:rPr>
          <w:rFonts w:ascii="Times New Roman" w:hAnsi="Times New Roman" w:cs="Times New Roman"/>
          <w:b w:val="0"/>
          <w:bCs w:val="0"/>
          <w:color w:val="000000" w:themeColor="text1"/>
          <w:highlight w:val="white"/>
        </w:rPr>
      </w:r>
    </w:p>
    <w:p>
      <w:pPr>
        <w:pBdr/>
        <w:spacing w:after="120" w:before="120" w:line="276" w:lineRule="auto"/>
        <w:ind/>
        <w:jc w:val="both"/>
        <w:rPr>
          <w:b/>
          <w:bCs/>
        </w:rPr>
      </w:pPr>
      <w:r>
        <w:rPr>
          <w:rFonts w:ascii="Times New Roman" w:hAnsi="Times New Roman" w:eastAsia="Times New Roman" w:cs="Times New Roman"/>
          <w:b w:val="0"/>
          <w:bCs w:val="0"/>
          <w:color w:val="000000" w:themeColor="text1"/>
          <w:highlight w:val="white"/>
          <w:lang w:val="pt-BR" w:bidi="pt-BR"/>
        </w:rPr>
        <w:t xml:space="preserve">Căn cứ vào</w:t>
      </w:r>
      <w:r>
        <w:rPr>
          <w:rFonts w:ascii="Times New Roman" w:hAnsi="Times New Roman" w:eastAsia="Times New Roman" w:cs="Times New Roman"/>
          <w:b w:val="0"/>
          <w:bCs w:val="0"/>
          <w:color w:val="000000" w:themeColor="text1"/>
          <w:highlight w:val="white"/>
          <w:lang w:val="pt-BR"/>
        </w:rPr>
        <w:t xml:space="preserve"> </w:t>
      </w:r>
      <w:r>
        <w:t xml:space="preserve">:</w:t>
      </w:r>
      <w:r>
        <w:rPr>
          <w:rFonts w:ascii="Times New Roman" w:hAnsi="Times New Roman" w:eastAsia="Times New Roman" w:cs="Times New Roman"/>
          <w:color w:val="191c1e"/>
          <w:sz w:val="24"/>
          <w:highlight w:val="white"/>
        </w:rPr>
        <w:t xml:space="preserve"> Nghị quyết 35/2025/NQ-HĐND</w:t>
      </w:r>
      <w:r>
        <w:rPr>
          <w:rFonts w:ascii="Times New Roman" w:hAnsi="Times New Roman" w:eastAsia="Times New Roman" w:cs="Times New Roman"/>
        </w:rPr>
        <w:t xml:space="preserve"> do Hội đồng nhân dân tỉnh Nghệ An ban hành </w:t>
      </w:r>
      <w:r>
        <w:rPr>
          <w:rFonts w:ascii="Times New Roman" w:hAnsi="Times New Roman" w:eastAsia="Times New Roman" w:cs="Times New Roman"/>
          <w:color w:val="191c1e"/>
          <w:sz w:val="24"/>
          <w:highlight w:val="none"/>
        </w:rPr>
        <w:t xml:space="preserve">n</w:t>
      </w:r>
      <w:r>
        <w:rPr>
          <w:rFonts w:ascii="Times New Roman" w:hAnsi="Times New Roman" w:eastAsia="Times New Roman" w:cs="Times New Roman"/>
          <w:color w:val="191c1e"/>
          <w:sz w:val="24"/>
          <w:highlight w:val="white"/>
        </w:rPr>
        <w:t xml:space="preserve">gày 12/12/2025 </w:t>
      </w:r>
      <w:r>
        <w:rPr>
          <w:color w:val="000000" w:themeColor="text1"/>
          <w:highlight w:val="white"/>
          <w:lang w:val="pt-BR" w:bidi="pt-BR"/>
        </w:rPr>
        <w:t xml:space="preserve">về việc quy định bảng giá đất các phường, xã trên địa bàn tỉnh Nghệ An. Đơn giá đất trồng cây lâu năm tại Phường Vinh Phú, tỉnh Nghệ An là: </w:t>
      </w:r>
      <w:r>
        <w:rPr>
          <w:b/>
          <w:bCs/>
          <w:color w:val="000000" w:themeColor="text1"/>
          <w:highlight w:val="white"/>
          <w:lang w:val="pt-BR" w:bidi="pt-BR"/>
        </w:rPr>
        <w:t xml:space="preserve">100.000 đồng/m</w:t>
      </w:r>
      <w:r>
        <w:rPr>
          <w:b/>
          <w:bCs/>
          <w:color w:val="000000" w:themeColor="text1"/>
          <w:highlight w:val="white"/>
          <w:lang w:val="pt-BR" w:bidi="pt-BR"/>
        </w:rPr>
        <w:t xml:space="preserve">2</w:t>
      </w:r>
      <w:r>
        <w:rPr>
          <w:b/>
          <w:bCs/>
          <w:highlight w:val="none"/>
        </w:rPr>
        <w:t xml:space="preserve">.</w:t>
      </w:r>
      <w:r>
        <w:rPr>
          <w:b/>
          <w:bCs/>
        </w:rPr>
      </w:r>
      <w:r>
        <w:rPr>
          <w:b/>
          <w:bCs/>
        </w:rPr>
      </w:r>
    </w:p>
    <w:p>
      <w:pPr>
        <w:pStyle w:val="1033"/>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33"/>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09/2026</w:t>
      </w:r>
      <w:r>
        <w:t xml:space="preserve"> </w:t>
      </w:r>
      <w:r>
        <w:t xml:space="preserve">ước tính </w:t>
      </w:r>
      <w:r>
        <w:t xml:space="preserve">như 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81"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89"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467" w:type="pct"/>
            <w:vAlign w:val="center"/>
            <w:textDirection w:val="lrTb"/>
            <w:noWrap w:val="false"/>
          </w:tcPr>
          <w:p>
            <w:pPr>
              <w:pBdr/>
              <w:spacing w:after="40" w:before="40" w:line="288" w:lineRule="auto"/>
              <w:ind/>
              <w:jc w:val="both"/>
              <w:rPr>
                <w:b/>
                <w:bCs/>
              </w:rPr>
            </w:pPr>
            <w:r>
              <w:rPr>
                <w:b/>
                <w:bCs/>
                <w:color w:val="000000"/>
              </w:rPr>
            </w:r>
            <w:r>
              <w:rPr>
                <w:rFonts w:ascii="Times New Roman" w:hAnsi="Times New Roman" w:eastAsia="Times New Roman" w:cs="Times New Roman"/>
                <w:b/>
                <w:bCs/>
                <w:color w:val="000000" w:themeColor="text1"/>
                <w:spacing w:val="3"/>
                <w:sz w:val="24"/>
                <w:szCs w:val="24"/>
                <w:highlight w:val="white"/>
              </w:rPr>
              <w:t xml:space="preserve">Quyền sử dụng đất tại thửa đất số: 105, tờ bản đồ số: 24, có địa chỉ: Phường</w:t>
            </w:r>
            <w:r>
              <w:rPr>
                <w:rFonts w:ascii="Times New Roman" w:hAnsi="Times New Roman" w:eastAsia="Times New Roman" w:cs="Times New Roman"/>
                <w:b/>
                <w:bCs/>
                <w:color w:val="000000" w:themeColor="text1"/>
                <w:sz w:val="24"/>
                <w:szCs w:val="24"/>
              </w:rPr>
              <w:t xml:space="preserve"> Vinh Phú, tỉnh Nghệ An</w:t>
            </w:r>
            <w:r>
              <w:rPr>
                <w:rFonts w:ascii="Times New Roman" w:hAnsi="Times New Roman" w:eastAsia="Times New Roman" w:cs="Times New Roman"/>
                <w:b/>
                <w:bCs/>
                <w:color w:val="000000" w:themeColor="text1"/>
                <w:sz w:val="24"/>
                <w:szCs w:val="24"/>
              </w:rPr>
              <w:t xml:space="preserve"> </w:t>
            </w:r>
            <w:r>
              <w:rPr>
                <w:rFonts w:ascii="Times New Roman" w:hAnsi="Times New Roman" w:eastAsia="Times New Roman" w:cs="Times New Roman"/>
                <w:b/>
                <w:bCs/>
                <w:color w:val="000000" w:themeColor="text1"/>
                <w:sz w:val="24"/>
                <w:szCs w:val="24"/>
              </w:rPr>
              <w:t xml:space="preserve">theo</w:t>
            </w:r>
            <w:r>
              <w:rPr>
                <w:rFonts w:ascii="Times New Roman" w:hAnsi="Times New Roman" w:eastAsia="Times New Roman" w:cs="Times New Roman"/>
                <w:b/>
                <w:bCs/>
                <w:color w:val="000000" w:themeColor="text1"/>
                <w:sz w:val="24"/>
                <w:szCs w:val="24"/>
              </w:rPr>
              <w:t xml:space="preserve"> </w:t>
            </w:r>
            <w:r>
              <w:rPr>
                <w:rFonts w:ascii="Times New Roman" w:hAnsi="Times New Roman" w:eastAsia="Times New Roman" w:cs="Times New Roman"/>
                <w:b/>
                <w:bCs/>
                <w:color w:val="000000" w:themeColor="text1"/>
                <w:sz w:val="24"/>
                <w:szCs w:val="24"/>
              </w:rPr>
              <w:t xml:space="preserve">Giấy chứng nhận quyền sử dụng đất, quyền sở hữu tài sản gắn liền với đất số: AA 09676288, số vào sổ cấp GCN: CN </w:t>
            </w:r>
            <w:r>
              <w:rPr>
                <w:b/>
                <w:bCs/>
                <w:i w:val="0"/>
                <w:iCs w:val="0"/>
                <w:color w:val="000000" w:themeColor="text1"/>
              </w:rPr>
              <w:t xml:space="preserve">76235 do Chi nhánh văn phòng đăng kí đất đai Thành phố Vinh cấp ngày 07/07/2026, Chủ sử dụng đất là Ông Trần Hoài Long.</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1097" w:type="pct"/>
            <w:vAlign w:val="center"/>
            <w:textDirection w:val="lrTb"/>
            <w:noWrap w:val="false"/>
          </w:tcPr>
          <w:p>
            <w:pPr>
              <w:pBdr/>
              <w:spacing w:after="40" w:before="40" w:line="288" w:lineRule="auto"/>
              <w:ind/>
              <w:rPr>
                <w:b w:val="0"/>
                <w:bCs w:val="0"/>
                <w:color w:val="000000" w:themeColor="text1"/>
              </w:rPr>
            </w:pPr>
            <w:r>
              <w:rPr>
                <w:b w:val="0"/>
                <w:bCs w:val="0"/>
                <w:color w:val="000000" w:themeColor="text1"/>
              </w:rPr>
              <w:t xml:space="preserve">Đất ở tại đô thị</w:t>
            </w:r>
            <w:r>
              <w:rPr>
                <w:b w:val="0"/>
                <w:bCs w:val="0"/>
                <w:color w:val="000000" w:themeColor="text1"/>
              </w:rPr>
            </w:r>
            <w:r>
              <w:rPr>
                <w:b w:val="0"/>
                <w:bCs w:val="0"/>
                <w:color w:val="000000" w:themeColor="text1"/>
              </w:rPr>
            </w:r>
          </w:p>
        </w:tc>
        <w:tc>
          <w:tcPr>
            <w:tcBorders/>
            <w:tcW w:w="981" w:type="pct"/>
            <w:vAlign w:val="center"/>
            <w:textDirection w:val="lrTb"/>
            <w:noWrap/>
          </w:tcPr>
          <w:p>
            <w:pPr>
              <w:pBdr/>
              <w:spacing w:after="40" w:before="40" w:line="288" w:lineRule="auto"/>
              <w:ind/>
              <w:jc w:val="center"/>
              <w:rPr>
                <w:b w:val="0"/>
                <w:bCs w:val="0"/>
                <w:color w:val="000000"/>
              </w:rPr>
            </w:pPr>
            <w:r>
              <w:rPr>
                <w:b w:val="0"/>
                <w:bCs w:val="0"/>
                <w:color w:val="000000" w:themeColor="text1"/>
              </w:rPr>
              <w:t xml:space="preserve">150</w:t>
            </w:r>
            <w:r>
              <w:rPr>
                <w:b w:val="0"/>
                <w:bCs w:val="0"/>
                <w:color w:val="000000"/>
              </w:rPr>
            </w:r>
            <w:r>
              <w:rPr>
                <w:b w:val="0"/>
                <w:bCs w:val="0"/>
                <w:color w:val="000000"/>
              </w:rPr>
            </w:r>
          </w:p>
        </w:tc>
        <w:tc>
          <w:tcPr>
            <w:shd w:val="clear" w:color="000000" w:fill="ffffff"/>
            <w:tcBorders/>
            <w:tcW w:w="1389" w:type="pct"/>
            <w:vAlign w:val="center"/>
            <w:textDirection w:val="lrTb"/>
            <w:noWrap w:val="false"/>
          </w:tcPr>
          <w:p>
            <w:pPr>
              <w:pBdr/>
              <w:spacing w:after="40" w:before="40" w:line="288" w:lineRule="auto"/>
              <w:ind/>
              <w:jc w:val="center"/>
              <w:rPr>
                <w:b w:val="0"/>
                <w:bCs w:val="0"/>
              </w:rPr>
            </w:pPr>
            <w:r>
              <w:rPr>
                <w:b w:val="0"/>
                <w:bCs w:val="0"/>
                <w:color w:val="000000" w:themeColor="text1"/>
              </w:rPr>
              <w:t xml:space="preserve">42.000.000</w:t>
            </w:r>
            <w:r>
              <w:rPr>
                <w:b w:val="0"/>
                <w:bCs w:val="0"/>
              </w:rPr>
            </w:r>
            <w:r>
              <w:rPr>
                <w:b w:val="0"/>
                <w:bCs w:val="0"/>
              </w:rPr>
            </w:r>
          </w:p>
        </w:tc>
        <w:tc>
          <w:tcPr>
            <w:shd w:val="clear" w:color="000000" w:fill="ffffff"/>
            <w:tcBorders/>
            <w:tcW w:w="1170" w:type="pct"/>
            <w:vAlign w:val="center"/>
            <w:textDirection w:val="lrTb"/>
            <w:noWrap w:val="false"/>
          </w:tcPr>
          <w:p>
            <w:pPr>
              <w:pBdr/>
              <w:spacing w:after="40" w:before="40" w:line="288" w:lineRule="auto"/>
              <w:ind/>
              <w:jc w:val="center"/>
              <w:rPr>
                <w:b w:val="0"/>
                <w:bCs w:val="0"/>
              </w:rPr>
            </w:pPr>
            <w:r>
              <w:rPr>
                <w:b w:val="0"/>
                <w:bCs w:val="0"/>
                <w:color w:val="000000" w:themeColor="text1"/>
              </w:rPr>
              <w:t xml:space="preserve">6.300.000.000</w:t>
            </w:r>
            <w:r>
              <w:rPr>
                <w:b w:val="0"/>
                <w:bCs w:val="0"/>
              </w:rPr>
            </w:r>
            <w:r>
              <w:rPr>
                <w:b w:val="0"/>
                <w:bCs w:val="0"/>
              </w:rPr>
            </w:r>
          </w:p>
        </w:tc>
      </w:tr>
      <w:tr>
        <w:trPr>
          <w:trHeight w:val="20"/>
        </w:trPr>
        <w:tc>
          <w:tcPr>
            <w:shd w:val="clear" w:color="000000" w:fill="ffffff"/>
            <w:tcBorders/>
            <w:tcW w:w="363" w:type="pct"/>
            <w:vAlign w:val="center"/>
            <w:vMerge w:val="restart"/>
            <w:textDirection w:val="lrTb"/>
            <w:noWrap w:val="false"/>
          </w:tcPr>
          <w:p>
            <w:pPr>
              <w:pBdr/>
              <w:spacing w:after="40" w:before="40" w:line="288" w:lineRule="auto"/>
              <w:ind/>
              <w:jc w:val="center"/>
              <w:rPr>
                <w:b w:val="0"/>
                <w:bCs w:val="0"/>
              </w:rPr>
            </w:pPr>
            <w:r>
              <w:rPr>
                <w:b w:val="0"/>
                <w:bCs w:val="0"/>
              </w:rPr>
              <w:t xml:space="preserve">2</w:t>
            </w:r>
            <w:r>
              <w:rPr>
                <w:b w:val="0"/>
                <w:bCs w:val="0"/>
              </w:rPr>
            </w:r>
            <w:r>
              <w:rPr>
                <w:b w:val="0"/>
                <w:bCs w:val="0"/>
              </w:rPr>
            </w:r>
          </w:p>
        </w:tc>
        <w:tc>
          <w:tcPr>
            <w:shd w:val="clear" w:color="000000" w:fill="ffffff"/>
            <w:tcBorders/>
            <w:tcW w:w="1097" w:type="pct"/>
            <w:vAlign w:val="center"/>
            <w:vMerge w:val="restart"/>
            <w:textDirection w:val="lrTb"/>
            <w:noWrap w:val="false"/>
          </w:tcPr>
          <w:p>
            <w:pPr>
              <w:pBdr/>
              <w:spacing/>
              <w:ind/>
              <w:jc w:val="left"/>
              <w:rPr>
                <w:b w:val="0"/>
                <w:bCs w:val="0"/>
                <w:color w:val="000000" w:themeColor="text1"/>
              </w:rPr>
            </w:pPr>
            <w:r>
              <w:rPr>
                <w:b w:val="0"/>
                <w:bCs w:val="0"/>
                <w:color w:val="000000" w:themeColor="text1"/>
              </w:rPr>
              <w:t xml:space="preserve">Đất trồng cây lâu năm</w:t>
            </w:r>
            <w:r>
              <w:rPr>
                <w:b w:val="0"/>
                <w:bCs w:val="0"/>
                <w:color w:val="000000" w:themeColor="text1"/>
              </w:rPr>
            </w:r>
            <w:r>
              <w:rPr>
                <w:b w:val="0"/>
                <w:bCs w:val="0"/>
                <w:color w:val="000000" w:themeColor="text1"/>
              </w:rPr>
            </w:r>
          </w:p>
        </w:tc>
        <w:tc>
          <w:tcPr>
            <w:tcBorders/>
            <w:tcW w:w="981" w:type="pct"/>
            <w:vAlign w:val="center"/>
            <w:vMerge w:val="restart"/>
            <w:textDirection w:val="lrTb"/>
            <w:noWrap/>
          </w:tcPr>
          <w:p>
            <w:pPr>
              <w:pBdr/>
              <w:spacing w:after="40" w:before="40" w:line="288" w:lineRule="auto"/>
              <w:ind/>
              <w:jc w:val="center"/>
              <w:rPr>
                <w:b w:val="0"/>
                <w:bCs w:val="0"/>
                <w:color w:val="000000" w:themeColor="text1"/>
              </w:rPr>
            </w:pPr>
            <w:r>
              <w:rPr>
                <w:b w:val="0"/>
                <w:bCs w:val="0"/>
                <w:color w:val="000000" w:themeColor="text1"/>
              </w:rPr>
            </w:r>
            <w:r>
              <w:rPr>
                <w:b w:val="0"/>
                <w:bCs w:val="0"/>
                <w:color w:val="000000" w:themeColor="text1"/>
              </w:rPr>
              <w:t xml:space="preserve">48,8</w:t>
            </w:r>
            <w:r>
              <w:rPr>
                <w:b w:val="0"/>
                <w:bCs w:val="0"/>
                <w:color w:val="000000" w:themeColor="text1"/>
              </w:rPr>
            </w:r>
            <w:r>
              <w:rPr>
                <w:b w:val="0"/>
                <w:bCs w:val="0"/>
                <w:color w:val="000000" w:themeColor="text1"/>
              </w:rPr>
            </w:r>
          </w:p>
        </w:tc>
        <w:tc>
          <w:tcPr>
            <w:shd w:val="clear" w:color="000000" w:fill="ffffff"/>
            <w:tcBorders/>
            <w:tcW w:w="1389" w:type="pct"/>
            <w:vAlign w:val="center"/>
            <w:vMerge w:val="restart"/>
            <w:textDirection w:val="lrTb"/>
            <w:noWrap w:val="false"/>
          </w:tcPr>
          <w:p>
            <w:pPr>
              <w:pBdr/>
              <w:spacing w:after="40" w:before="40" w:line="288" w:lineRule="auto"/>
              <w:ind/>
              <w:jc w:val="center"/>
              <w:rPr>
                <w:b w:val="0"/>
                <w:bCs w:val="0"/>
                <w:color w:val="000000" w:themeColor="text1"/>
              </w:rPr>
            </w:pPr>
            <w:r>
              <w:rPr>
                <w:b w:val="0"/>
                <w:bCs w:val="0"/>
                <w:color w:val="000000" w:themeColor="text1"/>
              </w:rPr>
            </w:r>
            <w:r>
              <w:rPr>
                <w:b w:val="0"/>
                <w:bCs w:val="0"/>
                <w:color w:val="000000" w:themeColor="text1"/>
              </w:rPr>
              <w:t xml:space="preserve">100.000</w:t>
            </w:r>
            <w:r>
              <w:rPr>
                <w:b w:val="0"/>
                <w:bCs w:val="0"/>
                <w:color w:val="000000" w:themeColor="text1"/>
              </w:rPr>
            </w:r>
            <w:r>
              <w:rPr>
                <w:b w:val="0"/>
                <w:bCs w:val="0"/>
                <w:color w:val="000000" w:themeColor="text1"/>
              </w:rPr>
            </w:r>
          </w:p>
        </w:tc>
        <w:tc>
          <w:tcPr>
            <w:shd w:val="clear" w:color="000000" w:fill="ffffff"/>
            <w:tcBorders/>
            <w:tcW w:w="1170" w:type="pct"/>
            <w:vAlign w:val="center"/>
            <w:vMerge w:val="restart"/>
            <w:textDirection w:val="lrTb"/>
            <w:noWrap w:val="false"/>
          </w:tcPr>
          <w:p>
            <w:pPr>
              <w:pBdr/>
              <w:spacing w:after="40" w:before="40" w:line="288" w:lineRule="auto"/>
              <w:ind/>
              <w:jc w:val="center"/>
              <w:rPr>
                <w:b w:val="0"/>
                <w:bCs w:val="0"/>
                <w:color w:val="000000" w:themeColor="text1"/>
              </w:rPr>
            </w:pPr>
            <w:r>
              <w:rPr>
                <w:b w:val="0"/>
                <w:bCs w:val="0"/>
                <w:color w:val="000000" w:themeColor="text1"/>
              </w:rPr>
            </w:r>
            <w:r>
              <w:rPr>
                <w:b w:val="0"/>
                <w:bCs w:val="0"/>
                <w:color w:val="000000" w:themeColor="text1"/>
              </w:rPr>
              <w:t xml:space="preserve">4.880.000</w:t>
            </w:r>
            <w:r>
              <w:rPr>
                <w:b w:val="0"/>
                <w:bCs w:val="0"/>
                <w:color w:val="000000" w:themeColor="text1"/>
              </w:rPr>
            </w:r>
            <w:r>
              <w:rPr>
                <w:b w:val="0"/>
                <w:bCs w:val="0"/>
                <w:color w:val="000000" w:themeColor="text1"/>
              </w:rP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rPr>
                <w:b/>
                <w:bCs/>
              </w:rPr>
              <w:t xml:space="preserve">6.304.880.000</w:t>
            </w:r>
            <w:r>
              <w:rPr>
                <w:b/>
                <w:bCs/>
                <w:color w:val="000000"/>
              </w:rPr>
            </w:r>
            <w:r>
              <w:rPr>
                <w:b/>
                <w:bCs/>
                <w:color w:val="000000"/>
              </w:rP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rPr>
                <w:b/>
                <w:bCs/>
                <w:color w:val="000000"/>
              </w:rPr>
              <w:t xml:space="preserve">6.304.900.000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Sáu tỷ ba trăm lẻ bốn triệu chín trăm nghìn đồng</w:t>
            </w:r>
            <w:r>
              <w:rPr>
                <w:b/>
                <w:bCs/>
                <w:i/>
                <w:iCs/>
                <w:color w:val="000000"/>
              </w:rPr>
              <w:t xml:space="preserve">./.)</w:t>
            </w:r>
            <w:r>
              <w:rPr>
                <w:b/>
                <w:bCs/>
                <w:i/>
                <w:iCs/>
                <w:color w:val="000000"/>
              </w:rPr>
            </w:r>
            <w:r>
              <w:rPr>
                <w:b/>
                <w:bCs/>
                <w:i/>
                <w:iCs/>
                <w:color w:val="000000"/>
              </w:rPr>
            </w:r>
          </w:p>
        </w:tc>
      </w:tr>
    </w:tbl>
    <w:p>
      <w:pPr>
        <w:pStyle w:val="1033"/>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33"/>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33"/>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33"/>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33"/>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33"/>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33"/>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33"/>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33"/>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33"/>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33"/>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33"/>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33"/>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33"/>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33"/>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33"/>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33"/>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33"/>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33"/>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33"/>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33"/>
        <w:numPr>
          <w:ilvl w:val="0"/>
          <w:numId w:val="3"/>
        </w:numPr>
        <w:pBdr/>
        <w:tabs>
          <w:tab w:val="left" w:leader="none" w:pos="993"/>
        </w:tabs>
        <w:spacing w:after="120" w:before="120" w:line="288" w:lineRule="auto"/>
        <w:ind/>
        <w:jc w:val="both"/>
        <w:rPr>
          <w:rFonts w:ascii="Times New Roman" w:hAnsi="Times New Roman" w:cs="Times New Roman"/>
          <w:color w:val="000000" w:themeColor="text1"/>
          <w:sz w:val="24"/>
          <w:szCs w:val="24"/>
        </w:rPr>
      </w:pPr>
      <w:r>
        <w:rPr>
          <w:lang w:val="vi-VN"/>
        </w:rPr>
      </w:r>
      <w:r>
        <w:rPr>
          <w:rFonts w:ascii="Times New Roman" w:hAnsi="Times New Roman" w:eastAsia="Times New Roman" w:cs="Times New Roman"/>
          <w:color w:val="000000" w:themeColor="text1"/>
          <w:spacing w:val="3"/>
          <w:sz w:val="24"/>
          <w:szCs w:val="24"/>
          <w:highlight w:val="white"/>
        </w:rPr>
        <w:t xml:space="preserve">Tổ thẩm định sử dụng Phương pháp so sánh để xác định giá trị tài sản thẩm định giá trong đó việc thu thập thông tin vị trí  định vị các TSSS trong mối tương quan với TSTĐ được xác định thông qua định vị do môi giới, chủ nhà cung cấp hoặc qua việc</w:t>
      </w:r>
      <w:r>
        <w:rPr>
          <w:rFonts w:ascii="Times New Roman" w:hAnsi="Times New Roman" w:eastAsia="Times New Roman" w:cs="Times New Roman"/>
          <w:color w:val="000000" w:themeColor="text1"/>
          <w:spacing w:val="3"/>
          <w:sz w:val="24"/>
          <w:szCs w:val="24"/>
          <w:highlight w:val="white"/>
        </w:rPr>
        <w:t xml:space="preserve"> mô tả, nên nguồn định vị các tsss chỉ mang tính chính xác tương đối . Khách hàng và các bên thứ ba khi sử dụng kết quả thẩm định giá cần lưu ý khi sử dụng Chứng thư thẩm định giá.</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3"/>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33"/>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33"/>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33"/>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33"/>
        <w:pBdr/>
        <w:tabs>
          <w:tab w:val="left" w:leader="none" w:pos="993"/>
        </w:tabs>
        <w:spacing w:after="120" w:before="120" w:line="288" w:lineRule="auto"/>
        <w:ind w:left="0"/>
        <w:jc w:val="both"/>
        <w:rPr>
          <w:highlight w:val="none"/>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275/2026/1396/VFI-CT.T003.A</w:t>
      </w:r>
      <w:r>
        <w:rPr>
          <w:color w:val="ff0000"/>
          <w:lang w:val="vi-VN"/>
        </w:rPr>
        <w:t xml:space="preserve"> </w:t>
      </w:r>
      <w:r>
        <w:rPr>
          <w:color w:val="000000" w:themeColor="text1"/>
        </w:rPr>
        <w:t xml:space="preserve">ngày 9 tháng 9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highlight w:val="none"/>
          <w:lang w:val="vi-VN"/>
        </w:rPr>
      </w:r>
      <w:r>
        <w:rPr>
          <w:highlight w:val="none"/>
          <w:lang w:val="vi-VN"/>
        </w:rPr>
      </w:r>
    </w:p>
    <w:p>
      <w:pPr>
        <w:pStyle w:val="1033"/>
        <w:pBdr/>
        <w:tabs>
          <w:tab w:val="left" w:leader="none" w:pos="993"/>
        </w:tabs>
        <w:spacing w:after="120" w:before="120" w:line="288" w:lineRule="auto"/>
        <w:ind w:left="0"/>
        <w:jc w:val="both"/>
        <w:rPr>
          <w:lang w:val="vi-VN"/>
        </w:rPr>
      </w:pPr>
      <w:r>
        <w:rPr>
          <w:highlight w:val="none"/>
          <w:lang w:val="vi-VN" w:bidi="vi-VN"/>
        </w:rPr>
      </w:r>
      <w:r>
        <w:rPr>
          <w:lang w:val="vi-VN"/>
        </w:rPr>
      </w:r>
      <w:r>
        <w:rPr>
          <w:lang w:val="vi-VN"/>
        </w:rPr>
      </w:r>
    </w:p>
    <w:p>
      <w:pPr>
        <w:pStyle w:val="1033"/>
        <w:pBdr/>
        <w:tabs>
          <w:tab w:val="left" w:leader="none" w:pos="993"/>
        </w:tabs>
        <w:spacing w:after="120" w:before="120" w:line="288" w:lineRule="auto"/>
        <w:ind w:left="0"/>
        <w:jc w:val="both"/>
        <w:rPr>
          <w:lang w:val="pt-BR"/>
        </w:rPr>
      </w:pPr>
      <w:r>
        <w:rPr>
          <w:lang w:val="pt-BR"/>
        </w:rPr>
      </w: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Nhâm Văn Hưng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275/2026/1396/VFI-BC.T003.A,</w:t>
      </w:r>
      <w:r>
        <w:rPr>
          <w:i/>
          <w:lang w:val="pt-BR"/>
        </w:rPr>
        <w:t xml:space="preserve">Ngày </w:t>
      </w:r>
      <w:r>
        <w:rPr>
          <w:i/>
          <w:lang w:val="pt-BR"/>
        </w:rPr>
        <w:t xml:space="preserve">9 tháng 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7"/>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309390" cy="2607540"/>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076475" name=""/>
                              <pic:cNvPicPr>
                                <a:picLocks noChangeAspect="1"/>
                              </pic:cNvPicPr>
                              <pic:nvPr/>
                            </pic:nvPicPr>
                            <pic:blipFill rotWithShape="1">
                              <a:blip r:embed="rId20"/>
                              <a:stretch/>
                            </pic:blipFill>
                            <pic:spPr bwMode="auto">
                              <a:xfrm flipH="0" flipV="0">
                                <a:off x="0" y="0"/>
                                <a:ext cx="2309389" cy="260753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81.84pt;height:205.32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633494" cy="2464665"/>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297351" name=""/>
                              <pic:cNvPicPr>
                                <a:picLocks noChangeAspect="1"/>
                              </pic:cNvPicPr>
                              <pic:nvPr/>
                            </pic:nvPicPr>
                            <pic:blipFill rotWithShape="1">
                              <a:blip r:embed="rId21"/>
                              <a:stretch/>
                            </pic:blipFill>
                            <pic:spPr bwMode="auto">
                              <a:xfrm flipH="0" flipV="0">
                                <a:off x="0" y="0"/>
                                <a:ext cx="2633494" cy="246466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07.36pt;height:194.07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584420" cy="1741405"/>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122493" name=""/>
                              <pic:cNvPicPr>
                                <a:picLocks noChangeAspect="1"/>
                              </pic:cNvPicPr>
                              <pic:nvPr/>
                            </pic:nvPicPr>
                            <pic:blipFill rotWithShape="1">
                              <a:blip r:embed="rId22"/>
                              <a:stretch/>
                            </pic:blipFill>
                            <pic:spPr bwMode="auto">
                              <a:xfrm flipH="0" flipV="0">
                                <a:off x="0" y="0"/>
                                <a:ext cx="2584419" cy="174140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03.50pt;height:137.12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575289" cy="1931467"/>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430242" name=""/>
                              <pic:cNvPicPr>
                                <a:picLocks noChangeAspect="1"/>
                              </pic:cNvPicPr>
                              <pic:nvPr/>
                            </pic:nvPicPr>
                            <pic:blipFill rotWithShape="1">
                              <a:blip r:embed="rId23"/>
                              <a:stretch/>
                            </pic:blipFill>
                            <pic:spPr bwMode="auto">
                              <a:xfrm flipH="0" flipV="0">
                                <a:off x="0" y="0"/>
                                <a:ext cx="2575288" cy="193146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02.78pt;height:152.08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82974" cy="2159971"/>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993146" name=""/>
                              <pic:cNvPicPr>
                                <a:picLocks noChangeAspect="1"/>
                              </pic:cNvPicPr>
                              <pic:nvPr/>
                            </pic:nvPicPr>
                            <pic:blipFill rotWithShape="1">
                              <a:blip r:embed="rId24"/>
                              <a:stretch/>
                            </pic:blipFill>
                            <pic:spPr bwMode="auto">
                              <a:xfrm flipH="0" flipV="0">
                                <a:off x="0" y="0"/>
                                <a:ext cx="2882973" cy="215997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27.01pt;height:170.08pt;mso-wrap-distance-left:0.00pt;mso-wrap-distance-top:0.00pt;mso-wrap-distance-right:0.00pt;mso-wrap-distance-bottom:0.00pt;z-index:1;" stroked="false">
                      <v:imagedata r:id="rId24"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615137" cy="2320789"/>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395828" name=""/>
                              <pic:cNvPicPr>
                                <a:picLocks noChangeAspect="1"/>
                              </pic:cNvPicPr>
                              <pic:nvPr/>
                            </pic:nvPicPr>
                            <pic:blipFill rotWithShape="1">
                              <a:blip r:embed="rId25"/>
                              <a:stretch/>
                            </pic:blipFill>
                            <pic:spPr bwMode="auto">
                              <a:xfrm flipH="0" flipV="0">
                                <a:off x="0" y="0"/>
                                <a:ext cx="2615136" cy="232078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05.92pt;height:182.74pt;mso-wrap-distance-left:0.00pt;mso-wrap-distance-top:0.00pt;mso-wrap-distance-right:0.00pt;mso-wrap-distance-bottom:0.00pt;z-index:1;" stroked="false">
                      <v:imagedata r:id="rId25"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275/2026/1396/VFI-BC.T003.A</w:t>
      </w:r>
      <w:r>
        <w:rPr>
          <w:i/>
          <w:lang w:val="pt-BR"/>
        </w:rPr>
        <w:t xml:space="preserve">,Ngày </w:t>
      </w:r>
      <w:r>
        <w:rPr>
          <w:i/>
          <w:lang w:val="pt-BR"/>
        </w:rPr>
        <w:t xml:space="preserve">9 tháng 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0355814093</w:t>
            </w:r>
            <w:r>
              <w:rPr>
                <w:sz w:val="22"/>
                <w:szCs w:val="22"/>
              </w:rPr>
              <w:t xml:space="preserve"> </w:t>
            </w:r>
            <w:r>
              <w:rPr>
                <w:sz w:val="22"/>
                <w:szCs w:val="22"/>
              </w:rPr>
              <w:br/>
              <w:t xml:space="preserve">(Quang Hưng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4.800.000.000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4.224.000.000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(75m²), Đất trồng cây lâu năm (58.9m²)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 Đất trồng cây lâu năm – Có thời hạn (đến 26/11/2053, 27 năm)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w:t>
            </w:r>
            <w:r>
              <w:rPr>
                <w:color w:val="000000" w:themeColor="text1"/>
                <w:sz w:val="22"/>
                <w:szCs w:val="22"/>
                <w:highlight w:val="white"/>
              </w:rPr>
              <w:t xml:space="preserve"> Phường Vinh Phú, Tỉnh Nghệ An,cách đường </w:t>
            </w:r>
            <w:r>
              <w:rPr>
                <w:color w:val="000000" w:themeColor="text1"/>
                <w:sz w:val="22"/>
                <w:szCs w:val="22"/>
                <w:highlight w:val="white"/>
              </w:rPr>
              <w:t xml:space="preserve">Hồ Tông Thốc</w:t>
            </w:r>
            <w:r>
              <w:rPr>
                <w:color w:val="000000" w:themeColor="text1"/>
                <w:sz w:val="22"/>
                <w:szCs w:val="22"/>
                <w:highlight w:val="white"/>
              </w:rPr>
              <w:t xml:space="preserve"> khoảng 150m, </w:t>
            </w:r>
            <w:r>
              <w:rPr>
                <w:color w:val="000000" w:themeColor="text1"/>
                <w:sz w:val="22"/>
                <w:szCs w:val="22"/>
                <w:highlight w:val="white"/>
              </w:rPr>
              <w:t xml:space="preserve"> 18.7067243, 105.6747718</w:t>
            </w:r>
            <w:r>
              <w:rPr>
                <w:color w:val="000000"/>
                <w:sz w:val="22"/>
                <w:szCs w:val="22"/>
                <w:highlight w:val="white"/>
              </w:rPr>
            </w:r>
            <w:r>
              <w:rPr>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133.9</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abs>
                <w:tab w:val="center" w:leader="none" w:pos="2138"/>
              </w:tabs>
              <w:spacing w:line="276" w:lineRule="auto"/>
              <w:ind/>
              <w:rPr>
                <w:color w:val="000000"/>
                <w:sz w:val="22"/>
                <w:szCs w:val="22"/>
              </w:rPr>
            </w:pPr>
            <w:r>
              <w:rPr>
                <w:color w:val="000000"/>
                <w:sz w:val="22"/>
                <w:szCs w:val="22"/>
              </w:rPr>
              <w:t xml:space="preserve">Tài sản trên đất </w:t>
            </w:r>
            <w:r>
              <w:rPr>
                <w:color w:val="000000"/>
                <w:sz w:val="22"/>
                <w:szCs w:val="22"/>
              </w:rPr>
              <w:tab/>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Đất trống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464861"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a:off x="0" y="0"/>
                                <a:ext cx="146486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115.34pt;height:250.00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64861"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a:off x="0" y="0"/>
                                <a:ext cx="146486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15.34pt;height:250.00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64861"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a:off x="0" y="0"/>
                                <a:ext cx="146486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15.34pt;height:250.00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64861"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146486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15.34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615795"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361579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84.71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87.50pt;height:250.00pt;mso-wrap-distance-left:0.00pt;mso-wrap-distance-top:0.00pt;mso-wrap-distance-right:0.00pt;mso-wrap-distance-bottom:0.00pt;z-index:1;" stroked="false">
                      <v:imagedata r:id="rId31"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81250"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87.50pt;height:250.00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615795"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a:off x="0" y="0"/>
                                <a:ext cx="361579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284.71pt;height:250.00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Nhâm Văn Hưng</w:t>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jc w:val="center"/>
        <w:rPr>
          <w:b/>
          <w:bCs/>
          <w:iCs/>
          <w:lang w:val="pt-BR"/>
        </w:rPr>
      </w:pPr>
      <w:r>
        <w:rPr>
          <w:b/>
          <w:bCs/>
          <w:iCs/>
          <w:lang w:val="pt-BR"/>
        </w:rPr>
        <w:br w:type="page" w:clear="all"/>
      </w:r>
      <w:r>
        <w:rPr>
          <w:b/>
          <w:bCs/>
          <w:iCs/>
          <w:lang w:val="pt-BR"/>
        </w:rPr>
        <w:t xml:space="preserve">TSSS2</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0338960630</w:t>
            </w:r>
            <w:r>
              <w:rPr>
                <w:sz w:val="22"/>
                <w:szCs w:val="22"/>
              </w:rPr>
              <w:t xml:space="preserve"> </w:t>
            </w:r>
            <w:r>
              <w:rPr>
                <w:sz w:val="22"/>
                <w:szCs w:val="22"/>
              </w:rPr>
              <w:br/>
              <w:t xml:space="preserve">(Anh Dũng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11.856.000.000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10.077.600.000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(150m²), Đất trồng cây lâu năm (77.9m²)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 Đất trồng cây lâu năm – Có thời hạn (đến 01/07/2054, 28 năm)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highlight w:val="white"/>
              </w:rPr>
            </w:pPr>
            <w:r>
              <w:rPr>
                <w:color w:val="000000" w:themeColor="text1"/>
                <w:sz w:val="22"/>
                <w:szCs w:val="22"/>
              </w:rPr>
              <w:t xml:space="preserve"> </w:t>
            </w:r>
            <w:r>
              <w:rPr>
                <w:color w:val="000000" w:themeColor="text1"/>
                <w:sz w:val="22"/>
                <w:szCs w:val="22"/>
                <w:highlight w:val="white"/>
              </w:rPr>
              <w:t xml:space="preserve">Tài sản tại:</w:t>
            </w:r>
            <w:r>
              <w:rPr>
                <w:color w:val="000000" w:themeColor="text1"/>
                <w:sz w:val="22"/>
                <w:szCs w:val="22"/>
                <w:highlight w:val="white"/>
              </w:rPr>
              <w:t xml:space="preserve">Nằm trên mặt đường Hồ Tông Thốc</w:t>
            </w:r>
            <w:r>
              <w:rPr>
                <w:color w:val="000000" w:themeColor="text1"/>
                <w:sz w:val="22"/>
                <w:szCs w:val="22"/>
                <w:highlight w:val="white"/>
              </w:rPr>
              <w:t xml:space="preserve">, Phường Vinh Phú, Tỉnh Nghệ An,18.708, 105.68205555555556</w:t>
            </w:r>
            <w:r>
              <w:rPr>
                <w:color w:val="000000"/>
                <w:sz w:val="22"/>
                <w:szCs w:val="22"/>
                <w:highlight w:val="white"/>
              </w:rPr>
            </w:r>
            <w:r>
              <w:rPr>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227.9</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abs>
                <w:tab w:val="center" w:leader="none" w:pos="2139"/>
              </w:tabs>
              <w:spacing w:line="276" w:lineRule="auto"/>
              <w:ind/>
              <w:rPr>
                <w:color w:val="000000"/>
                <w:sz w:val="22"/>
                <w:szCs w:val="22"/>
              </w:rPr>
            </w:pPr>
            <w:r>
              <w:rPr>
                <w:color w:val="000000"/>
                <w:sz w:val="22"/>
                <w:szCs w:val="22"/>
              </w:rPr>
              <w:t xml:space="preserve">Tài sản trên đất </w:t>
            </w:r>
            <w:r>
              <w:rPr>
                <w:color w:val="000000"/>
                <w:sz w:val="22"/>
                <w:szCs w:val="22"/>
              </w:rPr>
              <w:tab/>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Đất trống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084741"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a:off x="0" y="0"/>
                                <a:ext cx="308474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242.89pt;height:250.00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818925" cy="3175000"/>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a:off x="0" y="0"/>
                                <a:ext cx="281892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221.96pt;height:250.00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64861" cy="3175000"/>
                      <wp:effectExtent l="0" t="0" r="0" b="0"/>
                      <wp:docPr id="2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a:off x="0" y="0"/>
                                <a:ext cx="146486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115.34pt;height:250.00pt;mso-wrap-distance-left:0.00pt;mso-wrap-distance-top:0.00pt;mso-wrap-distance-right:0.00pt;mso-wrap-distance-bottom:0.00pt;z-index:1;" stroked="false">
                      <v:imagedata r:id="rId36"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464861" cy="3175000"/>
                      <wp:effectExtent l="0" t="0" r="0" b="0"/>
                      <wp:docPr id="2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7"/>
                              <a:stretch/>
                            </pic:blipFill>
                            <pic:spPr bwMode="auto">
                              <a:xfrm>
                                <a:off x="0" y="0"/>
                                <a:ext cx="146486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115.34pt;height:250.00pt;mso-wrap-distance-left:0.00pt;mso-wrap-distance-top:0.00pt;mso-wrap-distance-right:0.00pt;mso-wrap-distance-bottom:0.00pt;z-index:1;" stroked="false">
                      <v:imagedata r:id="rId37"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64861" cy="3175000"/>
                      <wp:effectExtent l="0" t="0" r="0" b="0"/>
                      <wp:docPr id="2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8"/>
                              <a:stretch/>
                            </pic:blipFill>
                            <pic:spPr bwMode="auto">
                              <a:xfrm>
                                <a:off x="0" y="0"/>
                                <a:ext cx="146486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115.34pt;height:250.00pt;mso-wrap-distance-left:0.00pt;mso-wrap-distance-top:0.00pt;mso-wrap-distance-right:0.00pt;mso-wrap-distance-bottom:0.00pt;z-index:1;" stroked="false">
                      <v:imagedata r:id="rId38"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302047" cy="3175000"/>
                      <wp:effectExtent l="0" t="0" r="0" b="0"/>
                      <wp:docPr id="2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9"/>
                              <a:stretch/>
                            </pic:blipFill>
                            <pic:spPr bwMode="auto">
                              <a:xfrm>
                                <a:off x="0" y="0"/>
                                <a:ext cx="430204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338.74pt;height:250.00pt;mso-wrap-distance-left:0.00pt;mso-wrap-distance-top:0.00pt;mso-wrap-distance-right:0.00pt;mso-wrap-distance-bottom:0.00pt;z-index:1;" stroked="false">
                      <v:imagedata r:id="rId39"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233333" cy="3175000"/>
                      <wp:effectExtent l="0" t="0" r="0" b="0"/>
                      <wp:docPr id="2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0"/>
                              <a:stretch/>
                            </pic:blipFill>
                            <pic:spPr bwMode="auto">
                              <a:xfrm>
                                <a:off x="0" y="0"/>
                                <a:ext cx="42333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333.33pt;height:250.00pt;mso-wrap-distance-left:0.00pt;mso-wrap-distance-top:0.00pt;mso-wrap-distance-right:0.00pt;mso-wrap-distance-bottom:0.00pt;z-index:1;" stroked="false">
                      <v:imagedata r:id="rId4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Nhâm Văn Hưng</w:t>
            </w:r>
            <w:r>
              <w:rPr>
                <w:b/>
                <w:bCs/>
              </w:rPr>
            </w:r>
            <w:r>
              <w:rPr>
                <w:b/>
                <w:bCs/>
              </w:rPr>
            </w:r>
          </w:p>
          <w:p>
            <w:pPr>
              <w:pBdr/>
              <w:spacing/>
              <w:ind/>
              <w:jc w:val="center"/>
              <w:rPr/>
            </w:pPr>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jc w:val="center"/>
        <w:rPr>
          <w:iCs/>
          <w:lang w:val="pt-BR"/>
        </w:rPr>
      </w:pPr>
      <w:r>
        <w:rPr>
          <w:iCs/>
          <w:lang w:val="pt-BR"/>
        </w:rPr>
        <w:br w:type="page" w:clear="all"/>
      </w:r>
      <w:r>
        <w:rPr>
          <w:b/>
          <w:bCs/>
          <w:iCs/>
          <w:lang w:val="pt-BR"/>
        </w:rPr>
        <w:t xml:space="preserve">TSSS 3</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r>
            <w:r>
              <w:rPr>
                <w:sz w:val="22"/>
                <w:szCs w:val="22"/>
              </w:rPr>
              <w:t xml:space="preserve">SĐT: </w:t>
            </w:r>
            <w:r>
              <w:rPr>
                <w:color w:val="000000" w:themeColor="text1"/>
                <w:sz w:val="22"/>
                <w:szCs w:val="22"/>
              </w:rPr>
              <w:t xml:space="preserve">0975791877</w:t>
            </w:r>
            <w:r>
              <w:rPr>
                <w:sz w:val="22"/>
                <w:szCs w:val="22"/>
              </w:rPr>
              <w:t xml:space="preserve"> </w:t>
            </w:r>
            <w:r>
              <w:rPr>
                <w:sz w:val="22"/>
                <w:szCs w:val="22"/>
              </w:rPr>
              <w:br/>
              <w:t xml:space="preserve">(Văn Đông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8.100.000.000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6.885.000.000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Đang giao dịch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(160m²)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w:t>
            </w:r>
            <w:r>
              <w:rPr>
                <w:color w:val="000000" w:themeColor="text1"/>
                <w:sz w:val="22"/>
                <w:szCs w:val="22"/>
                <w:highlight w:val="white"/>
              </w:rPr>
              <w:t xml:space="preserve">Phường Vinh Phú, Tỉnh Nghệ An,cách đường </w:t>
            </w:r>
            <w:r>
              <w:rPr>
                <w:color w:val="000000" w:themeColor="text1"/>
                <w:sz w:val="22"/>
                <w:szCs w:val="22"/>
                <w:highlight w:val="white"/>
              </w:rPr>
              <w:t xml:space="preserve">Đường</w:t>
            </w:r>
            <w:r>
              <w:rPr>
                <w:color w:val="000000" w:themeColor="text1"/>
                <w:sz w:val="22"/>
                <w:szCs w:val="22"/>
                <w:highlight w:val="white"/>
              </w:rPr>
              <w:t xml:space="preserve"> </w:t>
            </w:r>
            <w:r>
              <w:rPr>
                <w:color w:val="000000" w:themeColor="text1"/>
                <w:sz w:val="22"/>
                <w:szCs w:val="22"/>
                <w:highlight w:val="white"/>
              </w:rPr>
              <w:t xml:space="preserve">Nguyễn Chí Thanh </w:t>
            </w:r>
            <w:r>
              <w:rPr>
                <w:color w:val="000000" w:themeColor="text1"/>
                <w:sz w:val="22"/>
                <w:szCs w:val="22"/>
                <w:highlight w:val="white"/>
              </w:rPr>
              <w:t xml:space="preserve">khoảng 150m</w:t>
            </w:r>
            <w:r>
              <w:rPr>
                <w:color w:val="000000" w:themeColor="text1"/>
                <w:sz w:val="22"/>
                <w:szCs w:val="22"/>
                <w:highlight w:val="white"/>
              </w:rPr>
              <w:t xml:space="preserve">, 18.705526, 105.662898</w:t>
            </w:r>
            <w:r>
              <w:rPr>
                <w:color w:val="000000"/>
                <w:sz w:val="22"/>
                <w:szCs w:val="22"/>
                <w:highlight w:val="white"/>
              </w:rPr>
            </w:r>
            <w:r>
              <w:rPr>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160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abs>
                <w:tab w:val="center" w:leader="none" w:pos="2139"/>
              </w:tabs>
              <w:spacing w:line="276" w:lineRule="auto"/>
              <w:ind/>
              <w:rPr>
                <w:color w:val="000000"/>
                <w:sz w:val="22"/>
                <w:szCs w:val="22"/>
              </w:rPr>
            </w:pPr>
            <w:r>
              <w:rPr>
                <w:color w:val="000000"/>
                <w:sz w:val="22"/>
                <w:szCs w:val="22"/>
              </w:rPr>
              <w:t xml:space="preserve">Tài sản trên đất </w:t>
            </w:r>
            <w:r>
              <w:rPr>
                <w:color w:val="000000"/>
                <w:sz w:val="22"/>
                <w:szCs w:val="22"/>
              </w:rPr>
              <w:tab/>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Đất trống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183506" cy="3175000"/>
                      <wp:effectExtent l="0" t="0" r="0" b="0"/>
                      <wp:docPr id="2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1"/>
                              <a:stretch/>
                            </pic:blipFill>
                            <pic:spPr bwMode="auto">
                              <a:xfrm>
                                <a:off x="0" y="0"/>
                                <a:ext cx="5183506"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408.15pt;height:250.00pt;mso-wrap-distance-left:0.00pt;mso-wrap-distance-top:0.00pt;mso-wrap-distance-right:0.00pt;mso-wrap-distance-bottom:0.00pt;z-index:1;" stroked="false">
                      <v:imagedata r:id="rId41"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084047" cy="3175000"/>
                      <wp:effectExtent l="0" t="0" r="0" b="0"/>
                      <wp:docPr id="3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2"/>
                              <a:stretch/>
                            </pic:blipFill>
                            <pic:spPr bwMode="auto">
                              <a:xfrm>
                                <a:off x="0" y="0"/>
                                <a:ext cx="208404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9" o:spid="_x0000_s29" type="#_x0000_t75" style="width:164.10pt;height:250.00pt;mso-wrap-distance-left:0.00pt;mso-wrap-distance-top:0.00pt;mso-wrap-distance-right:0.00pt;mso-wrap-distance-bottom:0.00pt;z-index:1;" stroked="false">
                      <v:imagedata r:id="rId42"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64861" cy="3175000"/>
                      <wp:effectExtent l="0" t="0" r="0" b="0"/>
                      <wp:docPr id="3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3"/>
                              <a:stretch/>
                            </pic:blipFill>
                            <pic:spPr bwMode="auto">
                              <a:xfrm>
                                <a:off x="0" y="0"/>
                                <a:ext cx="146486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0" o:spid="_x0000_s30" type="#_x0000_t75" style="width:115.34pt;height:250.00pt;mso-wrap-distance-left:0.00pt;mso-wrap-distance-top:0.00pt;mso-wrap-distance-right:0.00pt;mso-wrap-distance-bottom:0.00pt;z-index:1;" stroked="false">
                      <v:imagedata r:id="rId43"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464861" cy="3175000"/>
                      <wp:effectExtent l="0" t="0" r="0" b="0"/>
                      <wp:docPr id="3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4"/>
                              <a:stretch/>
                            </pic:blipFill>
                            <pic:spPr bwMode="auto">
                              <a:xfrm>
                                <a:off x="0" y="0"/>
                                <a:ext cx="146486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1" o:spid="_x0000_s31" type="#_x0000_t75" style="width:115.34pt;height:250.00pt;mso-wrap-distance-left:0.00pt;mso-wrap-distance-top:0.00pt;mso-wrap-distance-right:0.00pt;mso-wrap-distance-bottom:0.00pt;z-index:1;" stroked="false">
                      <v:imagedata r:id="rId44"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64861" cy="3175000"/>
                      <wp:effectExtent l="0" t="0" r="0" b="0"/>
                      <wp:docPr id="3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5"/>
                              <a:stretch/>
                            </pic:blipFill>
                            <pic:spPr bwMode="auto">
                              <a:xfrm>
                                <a:off x="0" y="0"/>
                                <a:ext cx="146486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2" o:spid="_x0000_s32" type="#_x0000_t75" style="width:115.34pt;height:250.00pt;mso-wrap-distance-left:0.00pt;mso-wrap-distance-top:0.00pt;mso-wrap-distance-right:0.00pt;mso-wrap-distance-bottom:0.00pt;z-index:1;" stroked="false">
                      <v:imagedata r:id="rId45"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005263" cy="3175000"/>
                      <wp:effectExtent l="0" t="0" r="0" b="0"/>
                      <wp:docPr id="3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6"/>
                              <a:stretch/>
                            </pic:blipFill>
                            <pic:spPr bwMode="auto">
                              <a:xfrm>
                                <a:off x="0" y="0"/>
                                <a:ext cx="200526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3" o:spid="_x0000_s33" type="#_x0000_t75" style="width:157.89pt;height:250.00pt;mso-wrap-distance-left:0.00pt;mso-wrap-distance-top:0.00pt;mso-wrap-distance-right:0.00pt;mso-wrap-distance-bottom:0.00pt;z-index:1;" stroked="false">
                      <v:imagedata r:id="rId46"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640527" cy="3175000"/>
                      <wp:effectExtent l="0" t="0" r="0" b="0"/>
                      <wp:docPr id="3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7"/>
                              <a:stretch/>
                            </pic:blipFill>
                            <pic:spPr bwMode="auto">
                              <a:xfrm>
                                <a:off x="0" y="0"/>
                                <a:ext cx="564052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4" o:spid="_x0000_s34" type="#_x0000_t75" style="width:444.14pt;height:250.00pt;mso-wrap-distance-left:0.00pt;mso-wrap-distance-top:0.00pt;mso-wrap-distance-right:0.00pt;mso-wrap-distance-bottom:0.00pt;z-index:1;" stroked="false">
                      <v:imagedata r:id="rId47"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5640527" cy="3175000"/>
                      <wp:effectExtent l="0" t="0" r="0" b="0"/>
                      <wp:docPr id="3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8"/>
                              <a:stretch/>
                            </pic:blipFill>
                            <pic:spPr bwMode="auto">
                              <a:xfrm>
                                <a:off x="0" y="0"/>
                                <a:ext cx="564052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5" o:spid="_x0000_s35" type="#_x0000_t75" style="width:444.14pt;height:250.00pt;mso-wrap-distance-left:0.00pt;mso-wrap-distance-top:0.00pt;mso-wrap-distance-right:0.00pt;mso-wrap-distance-bottom:0.00pt;z-index:1;" stroked="false">
                      <v:imagedata r:id="rId4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Nhâm Văn Hưng</w:t>
            </w:r>
            <w:r>
              <w:rPr>
                <w:b/>
                <w:bCs/>
              </w:rPr>
            </w:r>
            <w:r>
              <w:rPr>
                <w:b/>
                <w:bCs/>
              </w:rPr>
            </w:r>
          </w:p>
        </w:tc>
      </w:tr>
    </w:tbl>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jc w:val="center"/>
        <w:rPr>
          <w:b/>
          <w:bCs/>
          <w:iCs/>
          <w:highlight w:val="none"/>
          <w:lang w:val="pt-BR"/>
        </w:rPr>
      </w:pPr>
      <w:r>
        <w:rPr>
          <w:b/>
          <w:bCs/>
          <w:iCs/>
          <w:lang w:val="pt-BR"/>
        </w:rPr>
        <w:t xml:space="preserve">Giấy chứng nhận QSD</w:t>
      </w:r>
      <w:r>
        <w:rPr>
          <w:b/>
          <w:bCs/>
          <w:iCs/>
          <w:highlight w:val="none"/>
          <w:lang w:val="pt-BR"/>
        </w:rPr>
      </w:r>
      <w:r>
        <w:rPr>
          <w:b/>
          <w:bCs/>
          <w:iCs/>
          <w:highlight w:val="none"/>
          <w:lang w:val="pt-BR"/>
        </w:rPr>
      </w:r>
    </w:p>
    <w:p>
      <w:pPr>
        <w:pBdr/>
        <w:spacing w:after="200" w:line="276" w:lineRule="auto"/>
        <w:ind/>
        <w:jc w:val="center"/>
        <w:rPr>
          <w:highlight w:val="none"/>
        </w:rPr>
      </w:pPr>
      <w:r>
        <w:rPr>
          <w:b/>
          <w:bCs/>
          <w:iCs/>
          <w:highlight w:val="none"/>
          <w:lang w:val="pt-BR"/>
        </w:rPr>
      </w:r>
      <w:r>
        <mc:AlternateContent>
          <mc:Choice Requires="wpg">
            <w:drawing>
              <wp:inline xmlns:wp="http://schemas.openxmlformats.org/drawingml/2006/wordprocessingDrawing" distT="0" distB="0" distL="0" distR="0">
                <wp:extent cx="6048375" cy="8039377"/>
                <wp:effectExtent l="0" t="0" r="0" b="0"/>
                <wp:docPr id="3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99524" name=""/>
                        <pic:cNvPicPr>
                          <a:picLocks noChangeAspect="1"/>
                        </pic:cNvPicPr>
                        <pic:nvPr/>
                      </pic:nvPicPr>
                      <pic:blipFill rotWithShape="1">
                        <a:blip r:embed="rId49"/>
                        <a:stretch/>
                      </pic:blipFill>
                      <pic:spPr bwMode="auto">
                        <a:xfrm>
                          <a:off x="0" y="0"/>
                          <a:ext cx="6048374" cy="803937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6" o:spid="_x0000_s36" type="#_x0000_t75" style="width:476.25pt;height:633.02pt;mso-wrap-distance-left:0.00pt;mso-wrap-distance-top:0.00pt;mso-wrap-distance-right:0.00pt;mso-wrap-distance-bottom:0.00pt;z-index:1;" stroked="false">
                <v:imagedata r:id="rId49" o:title=""/>
                <o:lock v:ext="edit" rotation="t"/>
              </v:shape>
            </w:pict>
          </mc:Fallback>
        </mc:AlternateContent>
      </w:r>
      <w:r>
        <w:rPr>
          <w:highlight w:val="none"/>
        </w:rPr>
      </w:r>
      <w:r>
        <w:rPr>
          <w:highlight w:val="none"/>
        </w:rPr>
      </w:r>
    </w:p>
    <w:p>
      <w:pPr>
        <w:pBdr/>
        <w:spacing w:after="200" w:line="276" w:lineRule="auto"/>
        <w:ind/>
        <w:jc w:val="center"/>
        <w:rPr>
          <w:highlight w:val="none"/>
        </w:rPr>
      </w:pPr>
      <w:r>
        <w:rPr>
          <w:highlight w:val="none"/>
        </w:rPr>
      </w:r>
      <w:r>
        <mc:AlternateContent>
          <mc:Choice Requires="wpg">
            <w:drawing>
              <wp:inline xmlns:wp="http://schemas.openxmlformats.org/drawingml/2006/wordprocessingDrawing" distT="0" distB="0" distL="0" distR="0">
                <wp:extent cx="6048375" cy="8039377"/>
                <wp:effectExtent l="0" t="0" r="0" b="0"/>
                <wp:docPr id="3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97989" name=""/>
                        <pic:cNvPicPr>
                          <a:picLocks noChangeAspect="1"/>
                        </pic:cNvPicPr>
                        <pic:nvPr/>
                      </pic:nvPicPr>
                      <pic:blipFill rotWithShape="1">
                        <a:blip r:embed="rId50"/>
                        <a:stretch/>
                      </pic:blipFill>
                      <pic:spPr bwMode="auto">
                        <a:xfrm>
                          <a:off x="0" y="0"/>
                          <a:ext cx="6048374" cy="803937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7" o:spid="_x0000_s37" type="#_x0000_t75" style="width:476.25pt;height:633.02pt;mso-wrap-distance-left:0.00pt;mso-wrap-distance-top:0.00pt;mso-wrap-distance-right:0.00pt;mso-wrap-distance-bottom:0.00pt;z-index:1;" stroked="false">
                <v:imagedata r:id="rId50" o:title=""/>
                <o:lock v:ext="edit" rotation="t"/>
              </v:shape>
            </w:pict>
          </mc:Fallback>
        </mc:AlternateContent>
      </w:r>
      <w:r>
        <w:rPr>
          <w:highlight w:val="none"/>
        </w:rPr>
      </w:r>
      <w:r>
        <w:rPr>
          <w:highlight w:val="none"/>
        </w:rPr>
      </w:r>
    </w:p>
    <w:p>
      <w:pPr>
        <w:pBdr/>
        <w:spacing w:after="200" w:line="276" w:lineRule="auto"/>
        <w:ind/>
        <w:jc w:val="center"/>
        <w:rPr>
          <w:highlight w:val="none"/>
        </w:rPr>
      </w:pPr>
      <w:r>
        <w:rPr>
          <w:highlight w:val="none"/>
        </w:rPr>
      </w:r>
      <w:r>
        <w:rPr>
          <w:highlight w:val="none"/>
        </w:rPr>
      </w:r>
      <w:r>
        <w:rPr>
          <w:highlight w:val="none"/>
        </w:rPr>
      </w:r>
    </w:p>
    <w:p>
      <w:pPr>
        <w:pBdr/>
        <w:spacing w:after="200" w:line="276" w:lineRule="auto"/>
        <w:ind/>
        <w:jc w:val="center"/>
        <w:rPr>
          <w:highlight w:val="none"/>
        </w:rPr>
      </w:pPr>
      <w:r>
        <w:rPr>
          <w:highlight w:val="none"/>
        </w:rPr>
      </w:r>
      <w:r>
        <w:rPr>
          <w:highlight w:val="none"/>
        </w:rPr>
      </w:r>
      <w:r>
        <w:rPr>
          <w:highlight w:val="none"/>
        </w:rPr>
      </w:r>
    </w:p>
    <w:p>
      <w:pPr>
        <w:pBdr/>
        <w:spacing w:after="200" w:line="276" w:lineRule="auto"/>
        <w:ind/>
        <w:jc w:val="center"/>
        <w:rPr>
          <w:highlight w:val="none"/>
        </w:rPr>
      </w:pPr>
      <w:r>
        <w:rPr>
          <w:highlight w:val="none"/>
        </w:rPr>
      </w:r>
      <w:r>
        <w:rPr>
          <w:highlight w:val="none"/>
        </w:rPr>
      </w:r>
      <w:r>
        <w:rPr>
          <w:highlight w:val="none"/>
        </w:rPr>
      </w:r>
    </w:p>
    <w:p>
      <w:pPr>
        <w:pBdr/>
        <w:spacing w:after="200" w:line="276" w:lineRule="auto"/>
        <w:ind/>
        <w:jc w:val="center"/>
        <w:rPr>
          <w:highlight w:val="none"/>
        </w:rPr>
      </w:pPr>
      <w:r>
        <w:rPr>
          <w:highlight w:val="none"/>
        </w:rPr>
      </w:r>
      <w:r>
        <mc:AlternateContent>
          <mc:Choice Requires="wpg">
            <w:drawing>
              <wp:inline xmlns:wp="http://schemas.openxmlformats.org/drawingml/2006/wordprocessingDrawing" distT="0" distB="0" distL="0" distR="0">
                <wp:extent cx="6048375" cy="9362535"/>
                <wp:effectExtent l="0" t="0" r="0" b="0"/>
                <wp:docPr id="3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016177" name=""/>
                        <pic:cNvPicPr>
                          <a:picLocks noChangeAspect="1"/>
                        </pic:cNvPicPr>
                        <pic:nvPr/>
                      </pic:nvPicPr>
                      <pic:blipFill rotWithShape="1">
                        <a:blip r:embed="rId51"/>
                        <a:stretch/>
                      </pic:blipFill>
                      <pic:spPr bwMode="auto">
                        <a:xfrm flipH="0" flipV="0">
                          <a:off x="0" y="0"/>
                          <a:ext cx="6048374" cy="936253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8" o:spid="_x0000_s38" type="#_x0000_t75" style="width:476.25pt;height:737.21pt;mso-wrap-distance-left:0.00pt;mso-wrap-distance-top:0.00pt;mso-wrap-distance-right:0.00pt;mso-wrap-distance-bottom:0.00pt;z-index:1;" stroked="false">
                <v:imagedata r:id="rId51" o:title=""/>
                <o:lock v:ext="edit" rotation="t"/>
              </v:shape>
            </w:pict>
          </mc:Fallback>
        </mc:AlternateContent>
      </w:r>
      <w:r>
        <w:rPr>
          <w:highlight w:val="none"/>
        </w:rPr>
      </w:r>
      <w:r>
        <w:rPr>
          <w:highlight w:val="none"/>
        </w:rPr>
      </w:r>
    </w:p>
    <w:p>
      <w:pPr>
        <w:pBdr/>
        <w:spacing w:after="200" w:line="276" w:lineRule="auto"/>
        <w:ind/>
        <w:jc w:val="center"/>
        <w:rPr>
          <w:highlight w:val="none"/>
        </w:rPr>
      </w:pPr>
      <w:r>
        <w:rPr>
          <w:highlight w:val="none"/>
        </w:rPr>
      </w:r>
      <w:r>
        <w:rPr>
          <w:highlight w:val="none"/>
        </w:rPr>
      </w:r>
      <w:r>
        <w:rPr>
          <w:highlight w:val="none"/>
        </w:rPr>
      </w:r>
    </w:p>
    <w:p>
      <w:pPr>
        <w:pBdr/>
        <w:spacing w:after="200" w:line="276" w:lineRule="auto"/>
        <w:ind/>
        <w:jc w:val="center"/>
        <w:rPr>
          <w:b/>
          <w:bCs/>
        </w:rPr>
      </w:pPr>
      <w:r>
        <w:rPr>
          <w:b/>
          <w:bCs/>
        </w:rPr>
      </w:r>
      <w:r>
        <w:rPr>
          <w:b/>
          <w:bCs/>
        </w:rPr>
      </w:r>
      <w:r>
        <w:rPr>
          <w:b/>
          <w:bCs/>
        </w:rPr>
      </w:r>
    </w:p>
    <w:p>
      <w:pPr>
        <w:pBdr/>
        <w:spacing w:after="200" w:line="276" w:lineRule="auto"/>
        <w:ind/>
        <w:jc w:val="left"/>
        <w:rPr>
          <w:b/>
          <w:bCs/>
        </w:rPr>
      </w:pPr>
      <w:r>
        <w:rPr>
          <w:b/>
          <w:bCs/>
        </w:rPr>
      </w:r>
      <w:r>
        <w:rPr>
          <w:b/>
          <w:bCs/>
        </w:rPr>
      </w:r>
      <w:r>
        <w:rPr>
          <w:b/>
          <w:bCs/>
        </w:rPr>
      </w:r>
    </w:p>
    <w:p>
      <w:pPr>
        <w:pBdr/>
        <w:spacing w:after="200" w:line="276" w:lineRule="auto"/>
        <w:ind/>
        <w:jc w:val="center"/>
        <w:rPr>
          <w:b/>
          <w:bCs/>
        </w:rPr>
      </w:pPr>
      <w:r>
        <w:rPr>
          <w:highlight w:val="none"/>
        </w:rPr>
      </w:r>
      <w:r>
        <mc:AlternateContent>
          <mc:Choice Requires="wpg">
            <w:drawing>
              <wp:inline xmlns:wp="http://schemas.openxmlformats.org/drawingml/2006/wordprocessingDrawing" distT="0" distB="0" distL="0" distR="0">
                <wp:extent cx="6048375" cy="8130082"/>
                <wp:effectExtent l="0" t="0" r="0" b="0"/>
                <wp:docPr id="4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999949" name=""/>
                        <pic:cNvPicPr>
                          <a:picLocks noChangeAspect="1"/>
                        </pic:cNvPicPr>
                        <pic:nvPr/>
                      </pic:nvPicPr>
                      <pic:blipFill rotWithShape="1">
                        <a:blip r:embed="rId52"/>
                        <a:stretch/>
                      </pic:blipFill>
                      <pic:spPr bwMode="auto">
                        <a:xfrm>
                          <a:off x="0" y="0"/>
                          <a:ext cx="6048374" cy="813008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9" o:spid="_x0000_s39" type="#_x0000_t75" style="width:476.25pt;height:640.16pt;mso-wrap-distance-left:0.00pt;mso-wrap-distance-top:0.00pt;mso-wrap-distance-right:0.00pt;mso-wrap-distance-bottom:0.00pt;z-index:1;" stroked="false">
                <v:imagedata r:id="rId52" o:title=""/>
                <o:lock v:ext="edit" rotation="t"/>
              </v:shape>
            </w:pict>
          </mc:Fallback>
        </mc:AlternateContent>
      </w:r>
      <w:r>
        <w:rPr>
          <w:b/>
          <w:bCs/>
        </w:rPr>
      </w:r>
      <w:r>
        <w:rPr>
          <w:b/>
          <w:bCs/>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9"/>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9"/>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9"/>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9"/>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5ACE5FE8"/>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8">
    <w:nsid w:val="22C20562"/>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9">
    <w:nsid w:val="7C033FB3"/>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0">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5">
    <w:name w:val="Table Grid Light"/>
    <w:basedOn w:val="101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Plain Table 1"/>
    <w:basedOn w:val="101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Plain Table 2"/>
    <w:basedOn w:val="1017"/>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Plain Table 3"/>
    <w:basedOn w:val="101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Plain Table 4"/>
    <w:basedOn w:val="101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Plain Table 5"/>
    <w:basedOn w:val="101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w:basedOn w:val="1017"/>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1"/>
    <w:basedOn w:val="101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2"/>
    <w:basedOn w:val="101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3"/>
    <w:basedOn w:val="101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4"/>
    <w:basedOn w:val="101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1 Light - Accent 5"/>
    <w:basedOn w:val="101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1 Light - Accent 6"/>
    <w:basedOn w:val="101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w:basedOn w:val="101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1"/>
    <w:basedOn w:val="101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2"/>
    <w:basedOn w:val="101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3"/>
    <w:basedOn w:val="101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 Accent 4"/>
    <w:basedOn w:val="101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2 - Accent 5"/>
    <w:basedOn w:val="101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2 - Accent 6"/>
    <w:basedOn w:val="101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w:basedOn w:val="101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1"/>
    <w:basedOn w:val="101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2"/>
    <w:basedOn w:val="101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 Accent 3"/>
    <w:basedOn w:val="101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 Accent 4"/>
    <w:basedOn w:val="101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3 - Accent 5"/>
    <w:basedOn w:val="101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3 - Accent 6"/>
    <w:basedOn w:val="101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w:basedOn w:val="1017"/>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1"/>
    <w:basedOn w:val="1017"/>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 Accent 2"/>
    <w:basedOn w:val="1017"/>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 Accent 3"/>
    <w:basedOn w:val="1017"/>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 Accent 4"/>
    <w:basedOn w:val="1017"/>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4 - Accent 5"/>
    <w:basedOn w:val="1017"/>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 Accent 6"/>
    <w:basedOn w:val="1017"/>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Accent 1"/>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 Accent 2"/>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 Accent 3"/>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Accent 4"/>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5 Dark - Accent 5"/>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 Accent 6"/>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6 Colorful"/>
    <w:basedOn w:val="1017"/>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7">
    <w:name w:val="Grid Table 6 Colorful - Accent 1"/>
    <w:basedOn w:val="1017"/>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8">
    <w:name w:val="Grid Table 6 Colorful - Accent 2"/>
    <w:basedOn w:val="101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9">
    <w:name w:val="Grid Table 6 Colorful - Accent 3"/>
    <w:basedOn w:val="1017"/>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0">
    <w:name w:val="Grid Table 6 Colorful - Accent 4"/>
    <w:basedOn w:val="101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1">
    <w:name w:val="Grid Table 6 Colorful - Accent 5"/>
    <w:basedOn w:val="1017"/>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2">
    <w:name w:val="Grid Table 6 Colorful - Accent 6"/>
    <w:basedOn w:val="1017"/>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3">
    <w:name w:val="Grid Table 7 Colorful"/>
    <w:basedOn w:val="1017"/>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7 Colorful - Accent 1"/>
    <w:basedOn w:val="1017"/>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7 Colorful - Accent 2"/>
    <w:basedOn w:val="1017"/>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3"/>
    <w:basedOn w:val="1017"/>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4"/>
    <w:basedOn w:val="1017"/>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7 Colorful - Accent 5"/>
    <w:basedOn w:val="1017"/>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7 Colorful - Accent 6"/>
    <w:basedOn w:val="1017"/>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 Accent 1"/>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2"/>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3"/>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4"/>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1 Light - Accent 5"/>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 Accent 6"/>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w:basedOn w:val="1017"/>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1"/>
    <w:basedOn w:val="1017"/>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2"/>
    <w:basedOn w:val="1017"/>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3"/>
    <w:basedOn w:val="1017"/>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4"/>
    <w:basedOn w:val="1017"/>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2 - Accent 5"/>
    <w:basedOn w:val="1017"/>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 Accent 6"/>
    <w:basedOn w:val="1017"/>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w:basedOn w:val="101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1"/>
    <w:basedOn w:val="1017"/>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2"/>
    <w:basedOn w:val="101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3"/>
    <w:basedOn w:val="1017"/>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4"/>
    <w:basedOn w:val="101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3 - Accent 5"/>
    <w:basedOn w:val="1017"/>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3 - Accent 6"/>
    <w:basedOn w:val="1017"/>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w:basedOn w:val="101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1"/>
    <w:basedOn w:val="1017"/>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2"/>
    <w:basedOn w:val="1017"/>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3"/>
    <w:basedOn w:val="1017"/>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4"/>
    <w:basedOn w:val="1017"/>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4 - Accent 5"/>
    <w:basedOn w:val="1017"/>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4 - Accent 6"/>
    <w:basedOn w:val="1017"/>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5 Dark"/>
    <w:basedOn w:val="1017"/>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1"/>
    <w:basedOn w:val="1017"/>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2"/>
    <w:basedOn w:val="1017"/>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3"/>
    <w:basedOn w:val="1017"/>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5 Dark - Accent 4"/>
    <w:basedOn w:val="1017"/>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5 Dark - Accent 5"/>
    <w:basedOn w:val="1017"/>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4">
    <w:name w:val="List Table 5 Dark - Accent 6"/>
    <w:basedOn w:val="1017"/>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5">
    <w:name w:val="List Table 6 Colorful"/>
    <w:basedOn w:val="1017"/>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1"/>
    <w:basedOn w:val="1017"/>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2"/>
    <w:basedOn w:val="1017"/>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6 Colorful - Accent 3"/>
    <w:basedOn w:val="1017"/>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 Accent 4"/>
    <w:basedOn w:val="1017"/>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6 Colorful - Accent 5"/>
    <w:basedOn w:val="1017"/>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6 Colorful - Accent 6"/>
    <w:basedOn w:val="1017"/>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7 Colorful"/>
    <w:basedOn w:val="1017"/>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3">
    <w:name w:val="List Table 7 Colorful - Accent 1"/>
    <w:basedOn w:val="1017"/>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4">
    <w:name w:val="List Table 7 Colorful - Accent 2"/>
    <w:basedOn w:val="1017"/>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5">
    <w:name w:val="List Table 7 Colorful - Accent 3"/>
    <w:basedOn w:val="1017"/>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6">
    <w:name w:val="List Table 7 Colorful - Accent 4"/>
    <w:basedOn w:val="1017"/>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7">
    <w:name w:val="List Table 7 Colorful - Accent 5"/>
    <w:basedOn w:val="1017"/>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8">
    <w:name w:val="List Table 7 Colorful - Accent 6"/>
    <w:basedOn w:val="1017"/>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9">
    <w:name w:val="Lined - Accent"/>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ned - Accent 1"/>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ned - Accent 2"/>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ned - Accent 3"/>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ned - Accent 4"/>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ned - Accent 5"/>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ned - Accent 6"/>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w:basedOn w:val="1017"/>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1"/>
    <w:basedOn w:val="1017"/>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2"/>
    <w:basedOn w:val="1017"/>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3"/>
    <w:basedOn w:val="1017"/>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4"/>
    <w:basedOn w:val="1017"/>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amp; Lined - Accent 5"/>
    <w:basedOn w:val="1017"/>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amp; Lined - Accent 6"/>
    <w:basedOn w:val="1017"/>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w:basedOn w:val="1017"/>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 Accent 1"/>
    <w:basedOn w:val="101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 Accent 2"/>
    <w:basedOn w:val="101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 Accent 3"/>
    <w:basedOn w:val="101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 Accent 4"/>
    <w:basedOn w:val="101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 Accent 5"/>
    <w:basedOn w:val="101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 Accent 6"/>
    <w:basedOn w:val="101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0">
    <w:name w:val="Heading 5"/>
    <w:basedOn w:val="1011"/>
    <w:next w:val="1011"/>
    <w:link w:val="975"/>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1">
    <w:name w:val="Heading 6"/>
    <w:basedOn w:val="1011"/>
    <w:next w:val="1011"/>
    <w:link w:val="976"/>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2">
    <w:name w:val="Heading 7"/>
    <w:basedOn w:val="1011"/>
    <w:next w:val="1011"/>
    <w:link w:val="977"/>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3">
    <w:name w:val="Heading 8"/>
    <w:basedOn w:val="1011"/>
    <w:next w:val="1011"/>
    <w:link w:val="978"/>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4">
    <w:name w:val="Heading 9"/>
    <w:basedOn w:val="1011"/>
    <w:next w:val="1011"/>
    <w:link w:val="979"/>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5">
    <w:name w:val="Heading 5 Char"/>
    <w:basedOn w:val="1016"/>
    <w:link w:val="970"/>
    <w:uiPriority w:val="9"/>
    <w:pPr>
      <w:pBdr/>
      <w:spacing/>
      <w:ind/>
    </w:pPr>
    <w:rPr>
      <w:rFonts w:ascii="Arial" w:hAnsi="Arial" w:eastAsia="Arial" w:cs="Arial"/>
      <w:color w:val="0f4761" w:themeColor="accent1" w:themeShade="BF"/>
    </w:rPr>
  </w:style>
  <w:style w:type="character" w:styleId="976">
    <w:name w:val="Heading 6 Char"/>
    <w:basedOn w:val="1016"/>
    <w:link w:val="971"/>
    <w:uiPriority w:val="9"/>
    <w:pPr>
      <w:pBdr/>
      <w:spacing/>
      <w:ind/>
    </w:pPr>
    <w:rPr>
      <w:rFonts w:ascii="Arial" w:hAnsi="Arial" w:eastAsia="Arial" w:cs="Arial"/>
      <w:i/>
      <w:iCs/>
      <w:color w:val="595959" w:themeColor="text1" w:themeTint="A6"/>
    </w:rPr>
  </w:style>
  <w:style w:type="character" w:styleId="977">
    <w:name w:val="Heading 7 Char"/>
    <w:basedOn w:val="1016"/>
    <w:link w:val="972"/>
    <w:uiPriority w:val="9"/>
    <w:pPr>
      <w:pBdr/>
      <w:spacing/>
      <w:ind/>
    </w:pPr>
    <w:rPr>
      <w:rFonts w:ascii="Arial" w:hAnsi="Arial" w:eastAsia="Arial" w:cs="Arial"/>
      <w:color w:val="595959" w:themeColor="text1" w:themeTint="A6"/>
    </w:rPr>
  </w:style>
  <w:style w:type="character" w:styleId="978">
    <w:name w:val="Heading 8 Char"/>
    <w:basedOn w:val="1016"/>
    <w:link w:val="973"/>
    <w:uiPriority w:val="9"/>
    <w:pPr>
      <w:pBdr/>
      <w:spacing/>
      <w:ind/>
    </w:pPr>
    <w:rPr>
      <w:rFonts w:ascii="Arial" w:hAnsi="Arial" w:eastAsia="Arial" w:cs="Arial"/>
      <w:i/>
      <w:iCs/>
      <w:color w:val="272727" w:themeColor="text1" w:themeTint="D8"/>
    </w:rPr>
  </w:style>
  <w:style w:type="character" w:styleId="979">
    <w:name w:val="Heading 9 Char"/>
    <w:basedOn w:val="1016"/>
    <w:link w:val="974"/>
    <w:uiPriority w:val="9"/>
    <w:pPr>
      <w:pBdr/>
      <w:spacing/>
      <w:ind/>
    </w:pPr>
    <w:rPr>
      <w:rFonts w:ascii="Arial" w:hAnsi="Arial" w:eastAsia="Arial" w:cs="Arial"/>
      <w:i/>
      <w:iCs/>
      <w:color w:val="272727" w:themeColor="text1" w:themeTint="D8"/>
    </w:rPr>
  </w:style>
  <w:style w:type="paragraph" w:styleId="980">
    <w:name w:val="Subtitle"/>
    <w:basedOn w:val="1011"/>
    <w:next w:val="1011"/>
    <w:link w:val="981"/>
    <w:uiPriority w:val="11"/>
    <w:qFormat/>
    <w:pPr>
      <w:numPr>
        <w:ilvl w:val="1"/>
      </w:numPr>
      <w:pBdr/>
      <w:spacing/>
      <w:ind/>
    </w:pPr>
    <w:rPr>
      <w:color w:val="595959" w:themeColor="text1" w:themeTint="A6"/>
      <w:spacing w:val="15"/>
      <w:sz w:val="28"/>
      <w:szCs w:val="28"/>
    </w:rPr>
  </w:style>
  <w:style w:type="character" w:styleId="981">
    <w:name w:val="Subtitle Char"/>
    <w:basedOn w:val="1016"/>
    <w:link w:val="980"/>
    <w:uiPriority w:val="11"/>
    <w:pPr>
      <w:pBdr/>
      <w:spacing/>
      <w:ind/>
    </w:pPr>
    <w:rPr>
      <w:color w:val="595959" w:themeColor="text1" w:themeTint="A6"/>
      <w:spacing w:val="15"/>
      <w:sz w:val="28"/>
      <w:szCs w:val="28"/>
    </w:rPr>
  </w:style>
  <w:style w:type="paragraph" w:styleId="982">
    <w:name w:val="Quote"/>
    <w:basedOn w:val="1011"/>
    <w:next w:val="1011"/>
    <w:link w:val="983"/>
    <w:uiPriority w:val="29"/>
    <w:qFormat/>
    <w:pPr>
      <w:pBdr/>
      <w:spacing w:before="160"/>
      <w:ind/>
      <w:jc w:val="center"/>
    </w:pPr>
    <w:rPr>
      <w:i/>
      <w:iCs/>
      <w:color w:val="404040" w:themeColor="text1" w:themeTint="BF"/>
    </w:rPr>
  </w:style>
  <w:style w:type="character" w:styleId="983">
    <w:name w:val="Quote Char"/>
    <w:basedOn w:val="1016"/>
    <w:link w:val="982"/>
    <w:uiPriority w:val="29"/>
    <w:pPr>
      <w:pBdr/>
      <w:spacing/>
      <w:ind/>
    </w:pPr>
    <w:rPr>
      <w:i/>
      <w:iCs/>
      <w:color w:val="404040" w:themeColor="text1" w:themeTint="BF"/>
    </w:rPr>
  </w:style>
  <w:style w:type="character" w:styleId="984">
    <w:name w:val="Intense Emphasis"/>
    <w:basedOn w:val="1016"/>
    <w:uiPriority w:val="21"/>
    <w:qFormat/>
    <w:pPr>
      <w:pBdr/>
      <w:spacing/>
      <w:ind/>
    </w:pPr>
    <w:rPr>
      <w:i/>
      <w:iCs/>
      <w:color w:val="0f4761" w:themeColor="accent1" w:themeShade="BF"/>
    </w:rPr>
  </w:style>
  <w:style w:type="paragraph" w:styleId="985">
    <w:name w:val="Intense Quote"/>
    <w:basedOn w:val="1011"/>
    <w:next w:val="1011"/>
    <w:link w:val="986"/>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6">
    <w:name w:val="Intense Quote Char"/>
    <w:basedOn w:val="1016"/>
    <w:link w:val="985"/>
    <w:uiPriority w:val="30"/>
    <w:pPr>
      <w:pBdr/>
      <w:spacing/>
      <w:ind/>
    </w:pPr>
    <w:rPr>
      <w:i/>
      <w:iCs/>
      <w:color w:val="0f4761" w:themeColor="accent1" w:themeShade="BF"/>
    </w:rPr>
  </w:style>
  <w:style w:type="character" w:styleId="987">
    <w:name w:val="Intense Reference"/>
    <w:basedOn w:val="1016"/>
    <w:uiPriority w:val="32"/>
    <w:qFormat/>
    <w:pPr>
      <w:pBdr/>
      <w:spacing/>
      <w:ind/>
    </w:pPr>
    <w:rPr>
      <w:b/>
      <w:bCs/>
      <w:smallCaps/>
      <w:color w:val="0f4761" w:themeColor="accent1" w:themeShade="BF"/>
      <w:spacing w:val="5"/>
    </w:rPr>
  </w:style>
  <w:style w:type="paragraph" w:styleId="988">
    <w:name w:val="No Spacing"/>
    <w:basedOn w:val="1011"/>
    <w:uiPriority w:val="1"/>
    <w:qFormat/>
    <w:pPr>
      <w:pBdr/>
      <w:spacing w:after="0" w:line="240" w:lineRule="auto"/>
      <w:ind/>
    </w:pPr>
  </w:style>
  <w:style w:type="character" w:styleId="989">
    <w:name w:val="Subtle Emphasis"/>
    <w:basedOn w:val="1016"/>
    <w:uiPriority w:val="19"/>
    <w:qFormat/>
    <w:pPr>
      <w:pBdr/>
      <w:spacing/>
      <w:ind/>
    </w:pPr>
    <w:rPr>
      <w:i/>
      <w:iCs/>
      <w:color w:val="404040" w:themeColor="text1" w:themeTint="BF"/>
    </w:rPr>
  </w:style>
  <w:style w:type="character" w:styleId="990">
    <w:name w:val="Subtle Reference"/>
    <w:basedOn w:val="1016"/>
    <w:uiPriority w:val="31"/>
    <w:qFormat/>
    <w:pPr>
      <w:pBdr/>
      <w:spacing/>
      <w:ind/>
    </w:pPr>
    <w:rPr>
      <w:smallCaps/>
      <w:color w:val="5a5a5a" w:themeColor="text1" w:themeTint="A5"/>
    </w:rPr>
  </w:style>
  <w:style w:type="character" w:styleId="991">
    <w:name w:val="Book Title"/>
    <w:basedOn w:val="1016"/>
    <w:uiPriority w:val="33"/>
    <w:qFormat/>
    <w:pPr>
      <w:pBdr/>
      <w:spacing/>
      <w:ind/>
    </w:pPr>
    <w:rPr>
      <w:b/>
      <w:bCs/>
      <w:i/>
      <w:iCs/>
      <w:spacing w:val="5"/>
    </w:rPr>
  </w:style>
  <w:style w:type="paragraph" w:styleId="992">
    <w:name w:val="Caption"/>
    <w:basedOn w:val="1011"/>
    <w:next w:val="1011"/>
    <w:uiPriority w:val="35"/>
    <w:unhideWhenUsed/>
    <w:qFormat/>
    <w:pPr>
      <w:pBdr/>
      <w:spacing w:after="200" w:line="240" w:lineRule="auto"/>
      <w:ind/>
    </w:pPr>
    <w:rPr>
      <w:i/>
      <w:iCs/>
      <w:color w:val="0e2841" w:themeColor="text2"/>
      <w:sz w:val="18"/>
      <w:szCs w:val="18"/>
    </w:rPr>
  </w:style>
  <w:style w:type="paragraph" w:styleId="993">
    <w:name w:val="footnote text"/>
    <w:basedOn w:val="1011"/>
    <w:link w:val="994"/>
    <w:uiPriority w:val="99"/>
    <w:semiHidden/>
    <w:unhideWhenUsed/>
    <w:pPr>
      <w:pBdr/>
      <w:spacing w:after="0" w:line="240" w:lineRule="auto"/>
      <w:ind/>
    </w:pPr>
    <w:rPr>
      <w:sz w:val="20"/>
      <w:szCs w:val="20"/>
    </w:rPr>
  </w:style>
  <w:style w:type="character" w:styleId="994">
    <w:name w:val="Footnote Text Char"/>
    <w:basedOn w:val="1016"/>
    <w:link w:val="993"/>
    <w:uiPriority w:val="99"/>
    <w:semiHidden/>
    <w:pPr>
      <w:pBdr/>
      <w:spacing/>
      <w:ind/>
    </w:pPr>
    <w:rPr>
      <w:sz w:val="20"/>
      <w:szCs w:val="20"/>
    </w:rPr>
  </w:style>
  <w:style w:type="character" w:styleId="995">
    <w:name w:val="footnote reference"/>
    <w:basedOn w:val="1016"/>
    <w:uiPriority w:val="99"/>
    <w:semiHidden/>
    <w:unhideWhenUsed/>
    <w:pPr>
      <w:pBdr/>
      <w:spacing/>
      <w:ind/>
    </w:pPr>
    <w:rPr>
      <w:vertAlign w:val="superscript"/>
    </w:rPr>
  </w:style>
  <w:style w:type="paragraph" w:styleId="996">
    <w:name w:val="endnote text"/>
    <w:basedOn w:val="1011"/>
    <w:link w:val="997"/>
    <w:uiPriority w:val="99"/>
    <w:semiHidden/>
    <w:unhideWhenUsed/>
    <w:pPr>
      <w:pBdr/>
      <w:spacing w:after="0" w:line="240" w:lineRule="auto"/>
      <w:ind/>
    </w:pPr>
    <w:rPr>
      <w:sz w:val="20"/>
      <w:szCs w:val="20"/>
    </w:rPr>
  </w:style>
  <w:style w:type="character" w:styleId="997">
    <w:name w:val="Endnote Text Char"/>
    <w:basedOn w:val="1016"/>
    <w:link w:val="996"/>
    <w:uiPriority w:val="99"/>
    <w:semiHidden/>
    <w:pPr>
      <w:pBdr/>
      <w:spacing/>
      <w:ind/>
    </w:pPr>
    <w:rPr>
      <w:sz w:val="20"/>
      <w:szCs w:val="20"/>
    </w:rPr>
  </w:style>
  <w:style w:type="character" w:styleId="998">
    <w:name w:val="endnote reference"/>
    <w:basedOn w:val="1016"/>
    <w:uiPriority w:val="99"/>
    <w:semiHidden/>
    <w:unhideWhenUsed/>
    <w:pPr>
      <w:pBdr/>
      <w:spacing/>
      <w:ind/>
    </w:pPr>
    <w:rPr>
      <w:vertAlign w:val="superscript"/>
    </w:rPr>
  </w:style>
  <w:style w:type="paragraph" w:styleId="999">
    <w:name w:val="toc 1"/>
    <w:basedOn w:val="1011"/>
    <w:next w:val="1011"/>
    <w:uiPriority w:val="39"/>
    <w:unhideWhenUsed/>
    <w:pPr>
      <w:pBdr/>
      <w:spacing w:after="100"/>
      <w:ind/>
    </w:pPr>
  </w:style>
  <w:style w:type="paragraph" w:styleId="1000">
    <w:name w:val="toc 2"/>
    <w:basedOn w:val="1011"/>
    <w:next w:val="1011"/>
    <w:uiPriority w:val="39"/>
    <w:unhideWhenUsed/>
    <w:pPr>
      <w:pBdr/>
      <w:spacing w:after="100"/>
      <w:ind w:left="220"/>
    </w:pPr>
  </w:style>
  <w:style w:type="paragraph" w:styleId="1001">
    <w:name w:val="toc 3"/>
    <w:basedOn w:val="1011"/>
    <w:next w:val="1011"/>
    <w:uiPriority w:val="39"/>
    <w:unhideWhenUsed/>
    <w:pPr>
      <w:pBdr/>
      <w:spacing w:after="100"/>
      <w:ind w:left="440"/>
    </w:pPr>
  </w:style>
  <w:style w:type="paragraph" w:styleId="1002">
    <w:name w:val="toc 4"/>
    <w:basedOn w:val="1011"/>
    <w:next w:val="1011"/>
    <w:uiPriority w:val="39"/>
    <w:unhideWhenUsed/>
    <w:pPr>
      <w:pBdr/>
      <w:spacing w:after="100"/>
      <w:ind w:left="660"/>
    </w:pPr>
  </w:style>
  <w:style w:type="paragraph" w:styleId="1003">
    <w:name w:val="toc 5"/>
    <w:basedOn w:val="1011"/>
    <w:next w:val="1011"/>
    <w:uiPriority w:val="39"/>
    <w:unhideWhenUsed/>
    <w:pPr>
      <w:pBdr/>
      <w:spacing w:after="100"/>
      <w:ind w:left="880"/>
    </w:pPr>
  </w:style>
  <w:style w:type="paragraph" w:styleId="1004">
    <w:name w:val="toc 6"/>
    <w:basedOn w:val="1011"/>
    <w:next w:val="1011"/>
    <w:uiPriority w:val="39"/>
    <w:unhideWhenUsed/>
    <w:pPr>
      <w:pBdr/>
      <w:spacing w:after="100"/>
      <w:ind w:left="1100"/>
    </w:pPr>
  </w:style>
  <w:style w:type="paragraph" w:styleId="1005">
    <w:name w:val="toc 7"/>
    <w:basedOn w:val="1011"/>
    <w:next w:val="1011"/>
    <w:uiPriority w:val="39"/>
    <w:unhideWhenUsed/>
    <w:pPr>
      <w:pBdr/>
      <w:spacing w:after="100"/>
      <w:ind w:left="1320"/>
    </w:pPr>
  </w:style>
  <w:style w:type="paragraph" w:styleId="1006">
    <w:name w:val="toc 8"/>
    <w:basedOn w:val="1011"/>
    <w:next w:val="1011"/>
    <w:uiPriority w:val="39"/>
    <w:unhideWhenUsed/>
    <w:pPr>
      <w:pBdr/>
      <w:spacing w:after="100"/>
      <w:ind w:left="1540"/>
    </w:pPr>
  </w:style>
  <w:style w:type="paragraph" w:styleId="1007">
    <w:name w:val="toc 9"/>
    <w:basedOn w:val="1011"/>
    <w:next w:val="1011"/>
    <w:uiPriority w:val="39"/>
    <w:unhideWhenUsed/>
    <w:pPr>
      <w:pBdr/>
      <w:spacing w:after="100"/>
      <w:ind w:left="1760"/>
    </w:pPr>
  </w:style>
  <w:style w:type="character" w:styleId="1008">
    <w:name w:val="Placeholder Text"/>
    <w:basedOn w:val="1016"/>
    <w:uiPriority w:val="99"/>
    <w:semiHidden/>
    <w:pPr>
      <w:pBdr/>
      <w:spacing/>
      <w:ind/>
    </w:pPr>
    <w:rPr>
      <w:color w:val="666666"/>
    </w:rPr>
  </w:style>
  <w:style w:type="paragraph" w:styleId="1009">
    <w:name w:val="TOC Heading"/>
    <w:uiPriority w:val="39"/>
    <w:unhideWhenUsed/>
    <w:pPr>
      <w:pBdr/>
      <w:spacing/>
      <w:ind/>
    </w:pPr>
  </w:style>
  <w:style w:type="paragraph" w:styleId="1010">
    <w:name w:val="table of figures"/>
    <w:basedOn w:val="1011"/>
    <w:next w:val="1011"/>
    <w:uiPriority w:val="99"/>
    <w:unhideWhenUsed/>
    <w:pPr>
      <w:pBdr/>
      <w:spacing w:after="0" w:afterAutospacing="0"/>
      <w:ind/>
    </w:pPr>
  </w:style>
  <w:style w:type="paragraph" w:styleId="1011" w:default="1">
    <w:name w:val="Normal"/>
    <w:qFormat/>
    <w:pPr>
      <w:pBdr/>
      <w:spacing w:after="0" w:line="240" w:lineRule="auto"/>
      <w:ind/>
    </w:pPr>
    <w:rPr>
      <w:rFonts w:ascii="Times New Roman" w:hAnsi="Times New Roman" w:eastAsia="Times New Roman" w:cs="Times New Roman"/>
      <w:sz w:val="24"/>
      <w:szCs w:val="24"/>
    </w:rPr>
  </w:style>
  <w:style w:type="paragraph" w:styleId="1012">
    <w:name w:val="Heading 1"/>
    <w:basedOn w:val="1011"/>
    <w:next w:val="1011"/>
    <w:link w:val="1019"/>
    <w:qFormat/>
    <w:pPr>
      <w:keepNext w:val="true"/>
      <w:pBdr/>
      <w:spacing w:after="120" w:before="120"/>
      <w:ind/>
      <w:jc w:val="center"/>
      <w:outlineLvl w:val="0"/>
    </w:pPr>
    <w:rPr>
      <w:b/>
      <w:bCs/>
      <w:sz w:val="27"/>
      <w:szCs w:val="27"/>
    </w:rPr>
  </w:style>
  <w:style w:type="paragraph" w:styleId="1013">
    <w:name w:val="Heading 2"/>
    <w:basedOn w:val="1011"/>
    <w:next w:val="1011"/>
    <w:link w:val="1020"/>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4">
    <w:name w:val="Heading 3"/>
    <w:basedOn w:val="1011"/>
    <w:next w:val="1011"/>
    <w:link w:val="1021"/>
    <w:qFormat/>
    <w:pPr>
      <w:keepNext w:val="true"/>
      <w:pBdr/>
      <w:spacing w:before="60"/>
      <w:ind/>
      <w:outlineLvl w:val="2"/>
    </w:pPr>
    <w:rPr>
      <w:sz w:val="28"/>
      <w:szCs w:val="28"/>
    </w:rPr>
  </w:style>
  <w:style w:type="paragraph" w:styleId="1015">
    <w:name w:val="Heading 4"/>
    <w:basedOn w:val="1011"/>
    <w:next w:val="1011"/>
    <w:link w:val="1022"/>
    <w:qFormat/>
    <w:pPr>
      <w:keepNext w:val="true"/>
      <w:pBdr/>
      <w:spacing/>
      <w:ind/>
      <w:jc w:val="center"/>
      <w:outlineLvl w:val="3"/>
    </w:pPr>
    <w:rPr>
      <w:b/>
      <w:bCs/>
    </w:rPr>
  </w:style>
  <w:style w:type="character" w:styleId="1016" w:default="1">
    <w:name w:val="Default Paragraph Font"/>
    <w:uiPriority w:val="1"/>
    <w:semiHidden/>
    <w:unhideWhenUsed/>
    <w:pPr>
      <w:pBdr/>
      <w:spacing/>
      <w:ind/>
    </w:pPr>
  </w:style>
  <w:style w:type="table" w:styleId="1017"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8" w:default="1">
    <w:name w:val="No List"/>
    <w:uiPriority w:val="99"/>
    <w:semiHidden/>
    <w:unhideWhenUsed/>
    <w:pPr>
      <w:pBdr/>
      <w:spacing/>
      <w:ind/>
    </w:pPr>
  </w:style>
  <w:style w:type="character" w:styleId="1019" w:customStyle="1">
    <w:name w:val="Heading 1 Char"/>
    <w:basedOn w:val="1016"/>
    <w:link w:val="1012"/>
    <w:pPr>
      <w:pBdr/>
      <w:spacing/>
      <w:ind/>
    </w:pPr>
    <w:rPr>
      <w:rFonts w:ascii="Times New Roman" w:hAnsi="Times New Roman" w:eastAsia="Times New Roman" w:cs="Times New Roman"/>
      <w:b/>
      <w:bCs/>
      <w:sz w:val="27"/>
      <w:szCs w:val="27"/>
    </w:rPr>
  </w:style>
  <w:style w:type="character" w:styleId="1020" w:customStyle="1">
    <w:name w:val="Heading 2 Char"/>
    <w:basedOn w:val="1016"/>
    <w:link w:val="1013"/>
    <w:uiPriority w:val="9"/>
    <w:pPr>
      <w:pBdr/>
      <w:spacing/>
      <w:ind/>
    </w:pPr>
    <w:rPr>
      <w:rFonts w:asciiTheme="majorHAnsi" w:hAnsiTheme="majorHAnsi" w:eastAsiaTheme="majorEastAsia" w:cstheme="majorBidi"/>
      <w:color w:val="365f91" w:themeColor="accent1" w:themeShade="BF"/>
      <w:sz w:val="26"/>
      <w:szCs w:val="26"/>
    </w:rPr>
  </w:style>
  <w:style w:type="character" w:styleId="1021" w:customStyle="1">
    <w:name w:val="Heading 3 Char"/>
    <w:basedOn w:val="1016"/>
    <w:link w:val="1014"/>
    <w:pPr>
      <w:pBdr/>
      <w:spacing/>
      <w:ind/>
    </w:pPr>
    <w:rPr>
      <w:rFonts w:ascii="Times New Roman" w:hAnsi="Times New Roman" w:eastAsia="Times New Roman" w:cs="Times New Roman"/>
      <w:sz w:val="28"/>
      <w:szCs w:val="28"/>
    </w:rPr>
  </w:style>
  <w:style w:type="character" w:styleId="1022" w:customStyle="1">
    <w:name w:val="Heading 4 Char"/>
    <w:basedOn w:val="1016"/>
    <w:link w:val="1015"/>
    <w:pPr>
      <w:pBdr/>
      <w:spacing/>
      <w:ind/>
    </w:pPr>
    <w:rPr>
      <w:rFonts w:ascii="Times New Roman" w:hAnsi="Times New Roman" w:eastAsia="Times New Roman" w:cs="Times New Roman"/>
      <w:b/>
      <w:bCs/>
      <w:sz w:val="24"/>
      <w:szCs w:val="24"/>
    </w:rPr>
  </w:style>
  <w:style w:type="character" w:styleId="1023">
    <w:name w:val="Hyperlink"/>
    <w:uiPriority w:val="99"/>
    <w:pPr>
      <w:pBdr/>
      <w:spacing/>
      <w:ind/>
    </w:pPr>
    <w:rPr>
      <w:color w:val="000000"/>
      <w:u w:val="single"/>
    </w:rPr>
  </w:style>
  <w:style w:type="character" w:styleId="1024">
    <w:name w:val="Strong"/>
    <w:uiPriority w:val="22"/>
    <w:qFormat/>
    <w:pPr>
      <w:pBdr/>
      <w:spacing/>
      <w:ind/>
    </w:pPr>
    <w:rPr>
      <w:b/>
      <w:bCs/>
    </w:rPr>
  </w:style>
  <w:style w:type="paragraph" w:styleId="1025">
    <w:name w:val="Balloon Text"/>
    <w:basedOn w:val="1011"/>
    <w:link w:val="1026"/>
    <w:uiPriority w:val="99"/>
    <w:semiHidden/>
    <w:unhideWhenUsed/>
    <w:pPr>
      <w:pBdr/>
      <w:spacing/>
      <w:ind/>
    </w:pPr>
    <w:rPr>
      <w:rFonts w:ascii="Tahoma" w:hAnsi="Tahoma" w:cs="Tahoma"/>
      <w:sz w:val="16"/>
      <w:szCs w:val="16"/>
    </w:rPr>
  </w:style>
  <w:style w:type="character" w:styleId="1026" w:customStyle="1">
    <w:name w:val="Balloon Text Char"/>
    <w:basedOn w:val="1016"/>
    <w:link w:val="1025"/>
    <w:uiPriority w:val="99"/>
    <w:semiHidden/>
    <w:pPr>
      <w:pBdr/>
      <w:spacing/>
      <w:ind/>
    </w:pPr>
    <w:rPr>
      <w:rFonts w:ascii="Tahoma" w:hAnsi="Tahoma" w:eastAsia="Times New Roman" w:cs="Tahoma"/>
      <w:sz w:val="16"/>
      <w:szCs w:val="16"/>
    </w:rPr>
  </w:style>
  <w:style w:type="paragraph" w:styleId="1027">
    <w:name w:val="Header"/>
    <w:basedOn w:val="1011"/>
    <w:link w:val="1028"/>
    <w:unhideWhenUsed/>
    <w:pPr>
      <w:pBdr/>
      <w:tabs>
        <w:tab w:val="center" w:leader="none" w:pos="4680"/>
        <w:tab w:val="right" w:leader="none" w:pos="9360"/>
      </w:tabs>
      <w:spacing/>
      <w:ind/>
    </w:pPr>
  </w:style>
  <w:style w:type="character" w:styleId="1028" w:customStyle="1">
    <w:name w:val="Header Char"/>
    <w:basedOn w:val="1016"/>
    <w:link w:val="1027"/>
    <w:pPr>
      <w:pBdr/>
      <w:spacing/>
      <w:ind/>
    </w:pPr>
    <w:rPr>
      <w:rFonts w:ascii="Times New Roman" w:hAnsi="Times New Roman" w:eastAsia="Times New Roman" w:cs="Times New Roman"/>
      <w:sz w:val="24"/>
      <w:szCs w:val="24"/>
    </w:rPr>
  </w:style>
  <w:style w:type="paragraph" w:styleId="1029">
    <w:name w:val="Footer"/>
    <w:basedOn w:val="1011"/>
    <w:link w:val="1030"/>
    <w:uiPriority w:val="99"/>
    <w:unhideWhenUsed/>
    <w:pPr>
      <w:pBdr/>
      <w:tabs>
        <w:tab w:val="center" w:leader="none" w:pos="4680"/>
        <w:tab w:val="right" w:leader="none" w:pos="9360"/>
      </w:tabs>
      <w:spacing/>
      <w:ind/>
    </w:pPr>
  </w:style>
  <w:style w:type="character" w:styleId="1030" w:customStyle="1">
    <w:name w:val="Footer Char"/>
    <w:basedOn w:val="1016"/>
    <w:link w:val="1029"/>
    <w:uiPriority w:val="99"/>
    <w:pPr>
      <w:pBdr/>
      <w:spacing/>
      <w:ind/>
    </w:pPr>
    <w:rPr>
      <w:rFonts w:ascii="Times New Roman" w:hAnsi="Times New Roman" w:eastAsia="Times New Roman" w:cs="Times New Roman"/>
      <w:sz w:val="24"/>
      <w:szCs w:val="24"/>
    </w:rPr>
  </w:style>
  <w:style w:type="character" w:styleId="1031" w:customStyle="1">
    <w:name w:val="normal-h1"/>
    <w:pPr>
      <w:pBdr/>
      <w:spacing/>
      <w:ind/>
    </w:pPr>
    <w:rPr>
      <w:rFonts w:hint="default" w:ascii=".VnTime" w:hAnsi=".VnTime"/>
      <w:color w:val="0000ff"/>
      <w:sz w:val="24"/>
      <w:szCs w:val="24"/>
    </w:rPr>
  </w:style>
  <w:style w:type="paragraph" w:styleId="1032" w:customStyle="1">
    <w:name w:val="normal-p"/>
    <w:basedOn w:val="1011"/>
    <w:pPr>
      <w:pBdr/>
      <w:spacing/>
      <w:ind/>
      <w:jc w:val="both"/>
    </w:pPr>
    <w:rPr>
      <w:sz w:val="20"/>
      <w:szCs w:val="20"/>
    </w:rPr>
  </w:style>
  <w:style w:type="paragraph" w:styleId="1033">
    <w:name w:val="List Paragraph"/>
    <w:basedOn w:val="1011"/>
    <w:link w:val="1120"/>
    <w:uiPriority w:val="34"/>
    <w:qFormat/>
    <w:pPr>
      <w:pBdr/>
      <w:spacing/>
      <w:ind w:left="720"/>
    </w:pPr>
  </w:style>
  <w:style w:type="paragraph" w:styleId="1034">
    <w:name w:val="Normal (Web)"/>
    <w:basedOn w:val="1011"/>
    <w:uiPriority w:val="99"/>
    <w:pPr>
      <w:pBdr/>
      <w:spacing w:after="100" w:afterAutospacing="1" w:before="100" w:beforeAutospacing="1"/>
      <w:ind/>
    </w:pPr>
  </w:style>
  <w:style w:type="paragraph" w:styleId="1035">
    <w:name w:val="Body Text"/>
    <w:basedOn w:val="1011"/>
    <w:link w:val="1036"/>
    <w:pPr>
      <w:pBdr/>
      <w:spacing w:after="120"/>
      <w:ind/>
      <w:jc w:val="both"/>
    </w:pPr>
  </w:style>
  <w:style w:type="character" w:styleId="1036" w:customStyle="1">
    <w:name w:val="Body Text Char"/>
    <w:basedOn w:val="1016"/>
    <w:link w:val="1035"/>
    <w:pPr>
      <w:pBdr/>
      <w:spacing/>
      <w:ind/>
    </w:pPr>
    <w:rPr>
      <w:rFonts w:ascii="Times New Roman" w:hAnsi="Times New Roman" w:eastAsia="Times New Roman" w:cs="Times New Roman"/>
      <w:sz w:val="24"/>
      <w:szCs w:val="24"/>
    </w:rPr>
  </w:style>
  <w:style w:type="table" w:styleId="1037">
    <w:name w:val="Table Grid"/>
    <w:basedOn w:val="1017"/>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8"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9">
    <w:name w:val="annotation reference"/>
    <w:basedOn w:val="1016"/>
    <w:uiPriority w:val="99"/>
    <w:semiHidden/>
    <w:unhideWhenUsed/>
    <w:pPr>
      <w:pBdr/>
      <w:spacing/>
      <w:ind/>
    </w:pPr>
    <w:rPr>
      <w:sz w:val="16"/>
      <w:szCs w:val="16"/>
    </w:rPr>
  </w:style>
  <w:style w:type="paragraph" w:styleId="1040">
    <w:name w:val="annotation text"/>
    <w:basedOn w:val="1011"/>
    <w:link w:val="1041"/>
    <w:uiPriority w:val="99"/>
    <w:unhideWhenUsed/>
    <w:pPr>
      <w:pBdr/>
      <w:spacing/>
      <w:ind/>
    </w:pPr>
    <w:rPr>
      <w:sz w:val="20"/>
      <w:szCs w:val="20"/>
    </w:rPr>
  </w:style>
  <w:style w:type="character" w:styleId="1041" w:customStyle="1">
    <w:name w:val="Comment Text Char"/>
    <w:basedOn w:val="1016"/>
    <w:link w:val="1040"/>
    <w:uiPriority w:val="99"/>
    <w:pPr>
      <w:pBdr/>
      <w:spacing/>
      <w:ind/>
    </w:pPr>
    <w:rPr>
      <w:rFonts w:ascii="Times New Roman" w:hAnsi="Times New Roman" w:eastAsia="Times New Roman" w:cs="Times New Roman"/>
      <w:sz w:val="20"/>
      <w:szCs w:val="20"/>
    </w:rPr>
  </w:style>
  <w:style w:type="paragraph" w:styleId="1042">
    <w:name w:val="annotation subject"/>
    <w:basedOn w:val="1040"/>
    <w:next w:val="1040"/>
    <w:link w:val="1043"/>
    <w:uiPriority w:val="99"/>
    <w:semiHidden/>
    <w:unhideWhenUsed/>
    <w:pPr>
      <w:pBdr/>
      <w:spacing/>
      <w:ind/>
    </w:pPr>
    <w:rPr>
      <w:b/>
      <w:bCs/>
    </w:rPr>
  </w:style>
  <w:style w:type="character" w:styleId="1043" w:customStyle="1">
    <w:name w:val="Comment Subject Char"/>
    <w:basedOn w:val="1041"/>
    <w:link w:val="1042"/>
    <w:uiPriority w:val="99"/>
    <w:semiHidden/>
    <w:pPr>
      <w:pBdr/>
      <w:spacing/>
      <w:ind/>
    </w:pPr>
    <w:rPr>
      <w:rFonts w:ascii="Times New Roman" w:hAnsi="Times New Roman" w:eastAsia="Times New Roman" w:cs="Times New Roman"/>
      <w:b/>
      <w:bCs/>
      <w:sz w:val="20"/>
      <w:szCs w:val="20"/>
    </w:rPr>
  </w:style>
  <w:style w:type="paragraph" w:styleId="1044" w:customStyle="1">
    <w:name w:val="font5"/>
    <w:basedOn w:val="1011"/>
    <w:pPr>
      <w:pBdr/>
      <w:spacing w:after="100" w:afterAutospacing="1" w:before="100" w:beforeAutospacing="1"/>
      <w:ind/>
    </w:pPr>
    <w:rPr>
      <w:rFonts w:ascii="Tahoma" w:hAnsi="Tahoma" w:cs="Tahoma"/>
      <w:color w:val="000000"/>
      <w:sz w:val="18"/>
      <w:szCs w:val="18"/>
    </w:rPr>
  </w:style>
  <w:style w:type="paragraph" w:styleId="1045" w:customStyle="1">
    <w:name w:val="font6"/>
    <w:basedOn w:val="1011"/>
    <w:pPr>
      <w:pBdr/>
      <w:spacing w:after="100" w:afterAutospacing="1" w:before="100" w:beforeAutospacing="1"/>
      <w:ind/>
    </w:pPr>
    <w:rPr>
      <w:rFonts w:ascii="Tahoma" w:hAnsi="Tahoma" w:cs="Tahoma"/>
      <w:b/>
      <w:bCs/>
      <w:color w:val="000000"/>
      <w:sz w:val="18"/>
      <w:szCs w:val="18"/>
    </w:rPr>
  </w:style>
  <w:style w:type="paragraph" w:styleId="1046" w:customStyle="1">
    <w:name w:val="xl233"/>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7" w:customStyle="1">
    <w:name w:val="xl234"/>
    <w:basedOn w:val="1011"/>
    <w:pPr>
      <w:pBdr/>
      <w:spacing w:after="100" w:afterAutospacing="1" w:before="100" w:beforeAutospacing="1"/>
      <w:ind/>
      <w:jc w:val="center"/>
    </w:pPr>
  </w:style>
  <w:style w:type="paragraph" w:styleId="1048" w:customStyle="1">
    <w:name w:val="xl235"/>
    <w:basedOn w:val="1011"/>
    <w:pPr>
      <w:pBdr/>
      <w:spacing w:after="100" w:afterAutospacing="1" w:before="100" w:beforeAutospacing="1"/>
      <w:ind/>
      <w:jc w:val="center"/>
    </w:pPr>
    <w:rPr>
      <w:b/>
      <w:bCs/>
    </w:rPr>
  </w:style>
  <w:style w:type="paragraph" w:styleId="1049" w:customStyle="1">
    <w:name w:val="xl236"/>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0" w:customStyle="1">
    <w:name w:val="xl237"/>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1" w:customStyle="1">
    <w:name w:val="xl238"/>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2" w:customStyle="1">
    <w:name w:val="xl239"/>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3" w:customStyle="1">
    <w:name w:val="xl240"/>
    <w:basedOn w:val="1011"/>
    <w:pPr>
      <w:pBdr/>
      <w:spacing w:after="100" w:afterAutospacing="1" w:before="100" w:beforeAutospacing="1"/>
      <w:ind/>
    </w:pPr>
  </w:style>
  <w:style w:type="paragraph" w:styleId="1054" w:customStyle="1">
    <w:name w:val="xl241"/>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5" w:customStyle="1">
    <w:name w:val="xl242"/>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6" w:customStyle="1">
    <w:name w:val="xl243"/>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7" w:customStyle="1">
    <w:name w:val="xl244"/>
    <w:basedOn w:val="1011"/>
    <w:pPr>
      <w:pBdr/>
      <w:spacing w:after="100" w:afterAutospacing="1" w:before="100" w:beforeAutospacing="1"/>
      <w:ind/>
    </w:pPr>
    <w:rPr>
      <w:b/>
      <w:bCs/>
    </w:rPr>
  </w:style>
  <w:style w:type="paragraph" w:styleId="1058" w:customStyle="1">
    <w:name w:val="xl245"/>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46"/>
    <w:basedOn w:val="1011"/>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0" w:customStyle="1">
    <w:name w:val="xl247"/>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1" w:customStyle="1">
    <w:name w:val="xl248"/>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2" w:customStyle="1">
    <w:name w:val="xl249"/>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3" w:customStyle="1">
    <w:name w:val="xl250"/>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4" w:customStyle="1">
    <w:name w:val="xl251"/>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5" w:customStyle="1">
    <w:name w:val="xl252"/>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6" w:customStyle="1">
    <w:name w:val="xl253"/>
    <w:basedOn w:val="1011"/>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7" w:customStyle="1">
    <w:name w:val="xl254"/>
    <w:basedOn w:val="1011"/>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8" w:customStyle="1">
    <w:name w:val="xl255"/>
    <w:basedOn w:val="1011"/>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9" w:customStyle="1">
    <w:name w:val="xl256"/>
    <w:basedOn w:val="1011"/>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0" w:customStyle="1">
    <w:name w:val="xl257"/>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1" w:customStyle="1">
    <w:name w:val="xl258"/>
    <w:basedOn w:val="1011"/>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2" w:customStyle="1">
    <w:name w:val="xl259"/>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3" w:customStyle="1">
    <w:name w:val="xl260"/>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4" w:customStyle="1">
    <w:name w:val="xl261"/>
    <w:basedOn w:val="1011"/>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5" w:customStyle="1">
    <w:name w:val="xl262"/>
    <w:basedOn w:val="1011"/>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6" w:customStyle="1">
    <w:name w:val="xl263"/>
    <w:basedOn w:val="1011"/>
    <w:pPr>
      <w:pBdr/>
      <w:shd w:val="clear" w:color="000000" w:fill="ffffff"/>
      <w:spacing w:after="100" w:afterAutospacing="1" w:before="100" w:beforeAutospacing="1"/>
      <w:ind/>
    </w:pPr>
  </w:style>
  <w:style w:type="paragraph" w:styleId="1077" w:customStyle="1">
    <w:name w:val="xl264"/>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8" w:customStyle="1">
    <w:name w:val="xl265"/>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9" w:customStyle="1">
    <w:name w:val="xl266"/>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0" w:customStyle="1">
    <w:name w:val="xl267"/>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1" w:customStyle="1">
    <w:name w:val="xl268"/>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2" w:customStyle="1">
    <w:name w:val="xl269"/>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3" w:customStyle="1">
    <w:name w:val="xl270"/>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4" w:customStyle="1">
    <w:name w:val="xl271"/>
    <w:basedOn w:val="1011"/>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5" w:customStyle="1">
    <w:name w:val="xl272"/>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6" w:customStyle="1">
    <w:name w:val="xl273"/>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7" w:customStyle="1">
    <w:name w:val="xl274"/>
    <w:basedOn w:val="1011"/>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75"/>
    <w:basedOn w:val="1011"/>
    <w:pPr>
      <w:pBdr/>
      <w:spacing w:after="100" w:afterAutospacing="1" w:before="100" w:beforeAutospacing="1"/>
      <w:ind/>
    </w:pPr>
  </w:style>
  <w:style w:type="paragraph" w:styleId="1089" w:customStyle="1">
    <w:name w:val="xl276"/>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0" w:customStyle="1">
    <w:name w:val="xl277"/>
    <w:basedOn w:val="1011"/>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1" w:customStyle="1">
    <w:name w:val="xl278"/>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2" w:customStyle="1">
    <w:name w:val="xl279"/>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3" w:customStyle="1">
    <w:name w:val="xl280"/>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4" w:customStyle="1">
    <w:name w:val="xl281"/>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5" w:customStyle="1">
    <w:name w:val="xl282"/>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6" w:customStyle="1">
    <w:name w:val="xl283"/>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7" w:customStyle="1">
    <w:name w:val="xl284"/>
    <w:basedOn w:val="1011"/>
    <w:pPr>
      <w:pBdr>
        <w:left w:val="single" w:color="000000" w:sz="4" w:space="0"/>
        <w:bottom w:val="single" w:color="000000" w:sz="4" w:space="0"/>
        <w:right w:val="single" w:color="000000" w:sz="4" w:space="0"/>
      </w:pBdr>
      <w:spacing w:after="100" w:afterAutospacing="1" w:before="100" w:beforeAutospacing="1"/>
      <w:ind/>
    </w:pPr>
  </w:style>
  <w:style w:type="paragraph" w:styleId="1098" w:customStyle="1">
    <w:name w:val="xl285"/>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9" w:customStyle="1">
    <w:name w:val="xl286"/>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0" w:customStyle="1">
    <w:name w:val="xl287"/>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88"/>
    <w:basedOn w:val="1011"/>
    <w:pPr>
      <w:pBdr>
        <w:top w:val="single" w:color="000000" w:sz="4" w:space="0"/>
        <w:left w:val="single" w:color="000000" w:sz="4" w:space="0"/>
        <w:right w:val="single" w:color="000000" w:sz="4" w:space="0"/>
      </w:pBdr>
      <w:spacing w:after="100" w:afterAutospacing="1" w:before="100" w:beforeAutospacing="1"/>
      <w:ind/>
    </w:pPr>
  </w:style>
  <w:style w:type="paragraph" w:styleId="1102" w:customStyle="1">
    <w:name w:val="xl289"/>
    <w:basedOn w:val="1011"/>
    <w:pPr>
      <w:pBdr>
        <w:left w:val="single" w:color="000000" w:sz="4" w:space="0"/>
        <w:right w:val="single" w:color="000000" w:sz="4" w:space="0"/>
      </w:pBdr>
      <w:spacing w:after="100" w:afterAutospacing="1" w:before="100" w:beforeAutospacing="1"/>
      <w:ind/>
    </w:pPr>
    <w:rPr>
      <w:b/>
      <w:bCs/>
    </w:rPr>
  </w:style>
  <w:style w:type="paragraph" w:styleId="1103" w:customStyle="1">
    <w:name w:val="xl290"/>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4" w:customStyle="1">
    <w:name w:val="xl291"/>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5" w:customStyle="1">
    <w:name w:val="xl292"/>
    <w:basedOn w:val="1011"/>
    <w:pPr>
      <w:pBdr>
        <w:top w:val="single" w:color="000000" w:sz="4" w:space="0"/>
        <w:left w:val="single" w:color="000000" w:sz="4" w:space="0"/>
        <w:right w:val="single" w:color="000000" w:sz="4" w:space="0"/>
      </w:pBdr>
      <w:spacing w:after="100" w:afterAutospacing="1" w:before="100" w:beforeAutospacing="1"/>
      <w:ind/>
    </w:pPr>
  </w:style>
  <w:style w:type="paragraph" w:styleId="1106" w:customStyle="1">
    <w:name w:val="xl293"/>
    <w:basedOn w:val="1011"/>
    <w:pPr>
      <w:pBdr>
        <w:left w:val="single" w:color="000000" w:sz="4" w:space="0"/>
        <w:bottom w:val="single" w:color="000000" w:sz="4" w:space="0"/>
        <w:right w:val="single" w:color="000000" w:sz="4" w:space="0"/>
      </w:pBdr>
      <w:spacing w:after="100" w:afterAutospacing="1" w:before="100" w:beforeAutospacing="1"/>
      <w:ind/>
    </w:pPr>
  </w:style>
  <w:style w:type="paragraph" w:styleId="1107" w:customStyle="1">
    <w:name w:val="xl294"/>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8">
    <w:name w:val="Title"/>
    <w:basedOn w:val="1011"/>
    <w:link w:val="1109"/>
    <w:qFormat/>
    <w:pPr>
      <w:pBdr/>
      <w:spacing/>
      <w:ind/>
      <w:jc w:val="center"/>
    </w:pPr>
    <w:rPr>
      <w:b/>
      <w:bCs/>
      <w:sz w:val="32"/>
      <w:szCs w:val="26"/>
    </w:rPr>
  </w:style>
  <w:style w:type="character" w:styleId="1109" w:customStyle="1">
    <w:name w:val="Title Char"/>
    <w:basedOn w:val="1016"/>
    <w:link w:val="1108"/>
    <w:pPr>
      <w:pBdr/>
      <w:spacing/>
      <w:ind/>
    </w:pPr>
    <w:rPr>
      <w:rFonts w:ascii="Times New Roman" w:hAnsi="Times New Roman" w:eastAsia="Times New Roman" w:cs="Times New Roman"/>
      <w:b/>
      <w:bCs/>
      <w:sz w:val="32"/>
      <w:szCs w:val="26"/>
    </w:rPr>
  </w:style>
  <w:style w:type="character" w:styleId="1110" w:customStyle="1">
    <w:name w:val="Unresolved Mention1"/>
    <w:basedOn w:val="1016"/>
    <w:uiPriority w:val="99"/>
    <w:semiHidden/>
    <w:unhideWhenUsed/>
    <w:pPr>
      <w:pBdr/>
      <w:spacing/>
      <w:ind/>
    </w:pPr>
    <w:rPr>
      <w:color w:val="605e5c"/>
      <w:shd w:val="clear" w:color="auto" w:fill="e1dfdd"/>
    </w:rPr>
  </w:style>
  <w:style w:type="character" w:styleId="1111" w:customStyle="1">
    <w:name w:val="Body text (3)_"/>
    <w:link w:val="1112"/>
    <w:pPr>
      <w:pBdr/>
      <w:spacing/>
      <w:ind/>
    </w:pPr>
    <w:rPr>
      <w:rFonts w:ascii="Times New Roman" w:hAnsi="Times New Roman" w:cs="Times New Roman"/>
      <w:i/>
      <w:iCs/>
      <w:spacing w:val="4"/>
      <w:shd w:val="clear" w:color="auto" w:fill="ffffff"/>
    </w:rPr>
  </w:style>
  <w:style w:type="paragraph" w:styleId="1112" w:customStyle="1">
    <w:name w:val="Body text (3)1"/>
    <w:basedOn w:val="1011"/>
    <w:link w:val="1111"/>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3" w:customStyle="1">
    <w:name w:val="t-j"/>
    <w:basedOn w:val="1011"/>
    <w:pPr>
      <w:pBdr/>
      <w:spacing w:after="100" w:afterAutospacing="1" w:before="100" w:beforeAutospacing="1"/>
      <w:ind/>
    </w:pPr>
  </w:style>
  <w:style w:type="character" w:styleId="1114" w:customStyle="1">
    <w:name w:val="Unresolved Mention2"/>
    <w:basedOn w:val="1016"/>
    <w:uiPriority w:val="99"/>
    <w:semiHidden/>
    <w:unhideWhenUsed/>
    <w:pPr>
      <w:pBdr/>
      <w:spacing/>
      <w:ind/>
    </w:pPr>
    <w:rPr>
      <w:color w:val="605e5c"/>
      <w:shd w:val="clear" w:color="auto" w:fill="e1dfdd"/>
    </w:rPr>
  </w:style>
  <w:style w:type="character" w:styleId="1115">
    <w:name w:val="FollowedHyperlink"/>
    <w:basedOn w:val="1016"/>
    <w:uiPriority w:val="99"/>
    <w:semiHidden/>
    <w:unhideWhenUsed/>
    <w:pPr>
      <w:pBdr/>
      <w:spacing/>
      <w:ind/>
    </w:pPr>
    <w:rPr>
      <w:color w:val="800080" w:themeColor="followedHyperlink"/>
      <w:u w:val="single"/>
    </w:rPr>
  </w:style>
  <w:style w:type="character" w:styleId="1116" w:customStyle="1">
    <w:name w:val="text"/>
    <w:basedOn w:val="1016"/>
    <w:pPr>
      <w:pBdr/>
      <w:spacing/>
      <w:ind/>
    </w:pPr>
  </w:style>
  <w:style w:type="character" w:styleId="1117" w:customStyle="1">
    <w:name w:val="card-send-time__sendtime"/>
    <w:basedOn w:val="1016"/>
    <w:pPr>
      <w:pBdr/>
      <w:spacing/>
      <w:ind/>
    </w:pPr>
  </w:style>
  <w:style w:type="character" w:styleId="1118" w:customStyle="1">
    <w:name w:val="Đề cập Chưa giải quyết1"/>
    <w:basedOn w:val="1016"/>
    <w:uiPriority w:val="99"/>
    <w:semiHidden/>
    <w:unhideWhenUsed/>
    <w:pPr>
      <w:pBdr/>
      <w:spacing/>
      <w:ind/>
    </w:pPr>
    <w:rPr>
      <w:color w:val="605e5c"/>
      <w:shd w:val="clear" w:color="auto" w:fill="e1dfdd"/>
    </w:rPr>
  </w:style>
  <w:style w:type="paragraph" w:styleId="1119" w:customStyle="1">
    <w:name w:val="nqtitle"/>
    <w:basedOn w:val="1011"/>
    <w:pPr>
      <w:pBdr/>
      <w:spacing w:after="100" w:afterAutospacing="1" w:before="100" w:beforeAutospacing="1"/>
      <w:ind/>
    </w:pPr>
    <w:rPr>
      <w:lang w:val="vi-VN" w:eastAsia="vi-VN"/>
    </w:rPr>
  </w:style>
  <w:style w:type="character" w:styleId="1120" w:customStyle="1">
    <w:name w:val="List Paragraph Char"/>
    <w:link w:val="1033"/>
    <w:uiPriority w:val="34"/>
    <w:qFormat/>
    <w:pPr>
      <w:pBdr/>
      <w:spacing/>
      <w:ind/>
    </w:pPr>
    <w:rPr>
      <w:rFonts w:ascii="Times New Roman" w:hAnsi="Times New Roman" w:eastAsia="Times New Roman" w:cs="Times New Roman"/>
      <w:sz w:val="24"/>
      <w:szCs w:val="24"/>
    </w:rPr>
  </w:style>
  <w:style w:type="character" w:styleId="1121" w:customStyle="1">
    <w:name w:val="Đề cập Chưa giải quyết2"/>
    <w:basedOn w:val="1016"/>
    <w:uiPriority w:val="99"/>
    <w:semiHidden/>
    <w:unhideWhenUsed/>
    <w:pPr>
      <w:pBdr/>
      <w:spacing/>
      <w:ind/>
    </w:pPr>
    <w:rPr>
      <w:color w:val="605e5c"/>
      <w:shd w:val="clear" w:color="auto" w:fill="e1dfdd"/>
    </w:rPr>
  </w:style>
  <w:style w:type="character" w:styleId="1122" w:customStyle="1">
    <w:name w:val="Unresolved Mention3"/>
    <w:basedOn w:val="1016"/>
    <w:uiPriority w:val="99"/>
    <w:semiHidden/>
    <w:unhideWhenUsed/>
    <w:pPr>
      <w:pBdr/>
      <w:spacing/>
      <w:ind/>
    </w:pPr>
    <w:rPr>
      <w:color w:val="605e5c"/>
      <w:shd w:val="clear" w:color="auto" w:fill="e1dfdd"/>
    </w:rPr>
  </w:style>
  <w:style w:type="character" w:styleId="1123" w:customStyle="1">
    <w:name w:val="copy"/>
    <w:basedOn w:val="1016"/>
    <w:pPr>
      <w:pBdr/>
      <w:spacing/>
      <w:ind/>
    </w:pPr>
  </w:style>
  <w:style w:type="paragraph" w:styleId="1124" w:customStyle="1">
    <w:name w:val="align-justify"/>
    <w:basedOn w:val="1011"/>
    <w:pPr>
      <w:pBdr/>
      <w:spacing w:after="100" w:afterAutospacing="1" w:before="100" w:beforeAutospacing="1"/>
      <w:ind/>
    </w:pPr>
  </w:style>
  <w:style w:type="character" w:styleId="1125" w:customStyle="1">
    <w:name w:val="btn"/>
    <w:basedOn w:val="1016"/>
    <w:pPr>
      <w:pBdr/>
      <w:spacing/>
      <w:ind/>
    </w:pPr>
  </w:style>
  <w:style w:type="character" w:styleId="1126" w:customStyle="1">
    <w:name w:val="hide_mobile"/>
    <w:basedOn w:val="1016"/>
    <w:pPr>
      <w:pBdr/>
      <w:spacing/>
      <w:ind/>
    </w:pPr>
  </w:style>
  <w:style w:type="character" w:styleId="1127">
    <w:name w:val="Emphasis"/>
    <w:basedOn w:val="1016"/>
    <w:uiPriority w:val="20"/>
    <w:qFormat/>
    <w:pPr>
      <w:pBdr/>
      <w:spacing/>
      <w:ind/>
    </w:pPr>
    <w:rPr>
      <w:i/>
      <w:iCs/>
    </w:rPr>
  </w:style>
  <w:style w:type="character" w:styleId="1128" w:customStyle="1">
    <w:name w:val="t1"/>
    <w:basedOn w:val="1016"/>
    <w:pPr>
      <w:pBdr/>
      <w:spacing/>
      <w:ind/>
    </w:pPr>
  </w:style>
  <w:style w:type="character" w:styleId="1129" w:customStyle="1">
    <w:name w:val="Unresolved Mention4"/>
    <w:basedOn w:val="1016"/>
    <w:uiPriority w:val="99"/>
    <w:semiHidden/>
    <w:unhideWhenUsed/>
    <w:pPr>
      <w:pBdr/>
      <w:spacing/>
      <w:ind/>
    </w:pPr>
    <w:rPr>
      <w:color w:val="605e5c"/>
      <w:shd w:val="clear" w:color="auto" w:fill="e1dfdd"/>
    </w:rPr>
  </w:style>
  <w:style w:type="character" w:styleId="1130">
    <w:name w:val="Unresolved Mention"/>
    <w:basedOn w:val="1016"/>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png"/><Relationship Id="rId38" Type="http://schemas.openxmlformats.org/officeDocument/2006/relationships/image" Target="media/image24.png"/><Relationship Id="rId39" Type="http://schemas.openxmlformats.org/officeDocument/2006/relationships/image" Target="media/image25.png"/><Relationship Id="rId40" Type="http://schemas.openxmlformats.org/officeDocument/2006/relationships/image" Target="media/image26.png"/><Relationship Id="rId41" Type="http://schemas.openxmlformats.org/officeDocument/2006/relationships/image" Target="media/image27.png"/><Relationship Id="rId42" Type="http://schemas.openxmlformats.org/officeDocument/2006/relationships/image" Target="media/image28.png"/><Relationship Id="rId43" Type="http://schemas.openxmlformats.org/officeDocument/2006/relationships/image" Target="media/image29.png"/><Relationship Id="rId44" Type="http://schemas.openxmlformats.org/officeDocument/2006/relationships/image" Target="media/image30.png"/><Relationship Id="rId45" Type="http://schemas.openxmlformats.org/officeDocument/2006/relationships/image" Target="media/image31.png"/><Relationship Id="rId46" Type="http://schemas.openxmlformats.org/officeDocument/2006/relationships/image" Target="media/image32.png"/><Relationship Id="rId47" Type="http://schemas.openxmlformats.org/officeDocument/2006/relationships/image" Target="media/image33.png"/><Relationship Id="rId48" Type="http://schemas.openxmlformats.org/officeDocument/2006/relationships/image" Target="media/image34.png"/><Relationship Id="rId49" Type="http://schemas.openxmlformats.org/officeDocument/2006/relationships/image" Target="media/image35.jpg"/><Relationship Id="rId50" Type="http://schemas.openxmlformats.org/officeDocument/2006/relationships/image" Target="media/image36.jpg"/><Relationship Id="rId51" Type="http://schemas.openxmlformats.org/officeDocument/2006/relationships/image" Target="media/image37.png"/><Relationship Id="rId52" Type="http://schemas.openxmlformats.org/officeDocument/2006/relationships/image" Target="media/image38.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Nhâm văn hưng</cp:lastModifiedBy>
  <cp:revision>286</cp:revision>
  <dcterms:created xsi:type="dcterms:W3CDTF">2025-09-15T09:58:00Z</dcterms:created>
  <dcterms:modified xsi:type="dcterms:W3CDTF">2026-09-11T01:46:05Z</dcterms:modified>
</cp:coreProperties>
</file>