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sz w:val="28"/>
          <w:lang w:val="vi-VN"/>
        </w:rPr>
      </w:pPr>
      <w:r>
        <w:rPr>
          <w:b/>
          <w:sz w:val="28"/>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2492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24924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275/2026/1390/VFI-CT.63.A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Ông Vũ Tuấn Hải</w:t>
                            </w:r>
                            <w:r>
                              <w:rPr>
                                <w:rFonts w:ascii="Times New Roman Bold" w:hAnsi="Times New Roman Bold"/>
                                <w:b/>
                                <w:color w:val="000000" w:themeColor="text1"/>
                                <w:lang w:val="pt-BR"/>
                              </w:rPr>
                            </w:r>
                            <w:r>
                              <w:rPr>
                                <w:rFonts w:ascii="Times New Roman Bold" w:hAnsi="Times New Roman Bold"/>
                                <w:b/>
                                <w:color w:val="000000" w:themeColor="text1"/>
                                <w:lang w:val="pt-BR"/>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thửa đất số: 559, tờ bản đồ số: 229, có địa chỉ: Khu Hiệp An 2, phường Yên</w:t>
                            </w:r>
                            <w:r>
                              <w:rPr>
                                <w:color w:val="000000"/>
                              </w:rPr>
                              <w:t xml:space="preserve"> T</w:t>
                            </w:r>
                            <w:r>
                              <w:rPr>
                                <w:color w:val="000000"/>
                              </w:rPr>
                              <w:t xml:space="preserve">ử, tỉnh Quảng Ninh theo Giấy chứng nhận quyền sử dụng đất, quyền sở hữu tài sản gắn liền với đất. số: AA 05366719, Số vào sổ cấp GCN: CN 258 do Chi nhánh Văn phòng Đăng ký Đất đai cấp ngày 08/01/2026; chủ sử dụng đất là Ông Vũ Tuấn Hải và vợ Đặng Thị Thuận</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55.8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275/2026/1390/VFI-CT.63.A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Ông Vũ Tuấn Hải</w:t>
                      </w:r>
                      <w:r>
                        <w:rPr>
                          <w:rFonts w:ascii="Times New Roman Bold" w:hAnsi="Times New Roman Bold"/>
                          <w:b/>
                          <w:color w:val="000000" w:themeColor="text1"/>
                          <w:lang w:val="pt-BR"/>
                        </w:rPr>
                      </w:r>
                      <w:r>
                        <w:rPr>
                          <w:rFonts w:ascii="Times New Roman Bold" w:hAnsi="Times New Roman Bold"/>
                          <w:b/>
                          <w:color w:val="000000" w:themeColor="text1"/>
                          <w:lang w:val="pt-BR"/>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thửa đất số: 559, tờ bản đồ số: 229, có địa chỉ: Khu Hiệp An 2, phường Yên</w:t>
                      </w:r>
                      <w:r>
                        <w:rPr>
                          <w:color w:val="000000"/>
                        </w:rPr>
                        <w:t xml:space="preserve"> T</w:t>
                      </w:r>
                      <w:r>
                        <w:rPr>
                          <w:color w:val="000000"/>
                        </w:rPr>
                        <w:t xml:space="preserve">ử, tỉnh Quảng Ninh theo Giấy chứng nhận quyền sử dụng đất, quyền sở hữu tài sản gắn liền với đất. số: AA 05366719, Số vào sổ cấp GCN: CN 258 do Chi nhánh Văn phòng Đăng ký Đất đai cấp ngày 08/01/2026; chủ sử dụng đất là Ông Vũ Tuấn Hải và vợ Đặng Thị Thuận</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4-20</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33"/>
              <w:pBdr/>
              <w:tabs>
                <w:tab w:val="left" w:leader="none" w:pos="993"/>
              </w:tabs>
              <w:spacing w:after="120" w:before="120" w:line="288" w:lineRule="auto"/>
              <w:ind w:left="0"/>
              <w:jc w:val="both"/>
              <w:rPr>
                <w:bCs/>
                <w:lang w:val="pt-BR"/>
              </w:rPr>
            </w:pPr>
            <w:r>
              <w:rPr>
                <w:bCs/>
                <w:lang w:val="pt-BR"/>
              </w:rPr>
              <w:t xml:space="preserve">Phụ lục 1: Thông tin hiện trạng. hồ sơ pháp lý </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21-22</w:t>
            </w:r>
            <w:r>
              <w:rPr>
                <w:b/>
                <w:bCs/>
              </w:rPr>
            </w:r>
            <w:r>
              <w:rPr>
                <w:b/>
                <w:bCs/>
              </w:rPr>
            </w:r>
          </w:p>
        </w:tc>
      </w:tr>
      <w:tr>
        <w:trPr/>
        <w:tc>
          <w:tcPr>
            <w:tcBorders/>
            <w:tcMar>
              <w:left w:w="108" w:type="dxa"/>
              <w:right w:w="108" w:type="dxa"/>
            </w:tcMar>
            <w:tcW w:w="7280" w:type="dxa"/>
            <w:vAlign w:val="center"/>
            <w:textDirection w:val="lrTb"/>
            <w:noWrap w:val="false"/>
          </w:tcPr>
          <w:p>
            <w:pPr>
              <w:pStyle w:val="1033"/>
              <w:pBdr/>
              <w:tabs>
                <w:tab w:val="left" w:leader="none" w:pos="993"/>
              </w:tabs>
              <w:spacing w:after="120" w:before="120" w:line="288" w:lineRule="auto"/>
              <w:ind w:left="0"/>
              <w:jc w:val="both"/>
              <w:rPr>
                <w:bCs/>
                <w:lang w:val="pt-BR"/>
              </w:rPr>
            </w:pPr>
            <w:r>
              <w:rPr>
                <w:bCs/>
                <w:lang w:val="pt-BR"/>
              </w:rPr>
              <w:t xml:space="preserve">Phụ lục 2: Thông tin thu thập thị trường, phiếu khảo sát</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23-27</w:t>
            </w:r>
            <w:r>
              <w:rPr>
                <w:b/>
                <w:bCs/>
              </w:rPr>
            </w:r>
            <w:r>
              <w:rPr>
                <w:b/>
                <w:bCs/>
              </w:rPr>
            </w:r>
          </w:p>
        </w:tc>
      </w:tr>
    </w:tbl>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23"/>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1032"/>
              <w:pBdr/>
              <w:spacing w:after="60"/>
              <w:ind/>
              <w:rPr>
                <w:color w:val="000000" w:themeColor="text1"/>
                <w:sz w:val="24"/>
                <w:szCs w:val="24"/>
              </w:rPr>
            </w:pPr>
            <w:r>
              <w:rPr>
                <w:rStyle w:val="1031"/>
                <w:rFonts w:ascii="Times New Roman" w:hAnsi="Times New Roman"/>
                <w:color w:val="000000" w:themeColor="text1"/>
                <w:lang w:val="pt-BR"/>
              </w:rPr>
              <w:t xml:space="preserve">Số: </w:t>
            </w:r>
            <w:r>
              <w:rPr>
                <w:rStyle w:val="1031"/>
                <w:rFonts w:ascii="Times New Roman" w:hAnsi="Times New Roman"/>
                <w:color w:val="000000" w:themeColor="text1"/>
                <w:lang w:val="pt-BR"/>
              </w:rPr>
              <w:t xml:space="preserve">275/2026/1390/VFI-CT.63.A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1032"/>
              <w:pBdr/>
              <w:spacing w:after="60"/>
              <w:ind w:right="-56"/>
              <w:jc w:val="right"/>
              <w:rPr>
                <w:color w:val="000000" w:themeColor="text1"/>
                <w:sz w:val="24"/>
                <w:szCs w:val="24"/>
                <w:lang w:val="vi-VN"/>
              </w:rPr>
            </w:pPr>
            <w:r>
              <w:rPr>
                <w:rStyle w:val="1031"/>
                <w:rFonts w:ascii="Times New Roman" w:hAnsi="Times New Roman"/>
                <w:i/>
                <w:color w:val="auto"/>
              </w:rPr>
              <w:t xml:space="preserve">TP. Hà Nội</w:t>
            </w:r>
            <w:r>
              <w:rPr>
                <w:rStyle w:val="1031"/>
                <w:rFonts w:ascii="Times New Roman" w:hAnsi="Times New Roman"/>
                <w:i/>
                <w:color w:val="auto"/>
                <w:lang w:val="vi-VN"/>
              </w:rPr>
              <w:t xml:space="preserve">, </w:t>
            </w:r>
            <w:r>
              <w:rPr>
                <w:rStyle w:val="1031"/>
                <w:rFonts w:ascii="Times New Roman" w:hAnsi="Times New Roman"/>
                <w:i/>
                <w:color w:val="000000" w:themeColor="text1"/>
                <w:lang w:val="vi-VN"/>
              </w:rPr>
              <w:t xml:space="preserve">ngày 9 tháng 9 năm 2026</w:t>
            </w:r>
            <w:r>
              <w:rPr>
                <w:color w:val="000000" w:themeColor="text1"/>
                <w:sz w:val="24"/>
                <w:szCs w:val="24"/>
                <w:lang w:val="vi-VN"/>
              </w:rPr>
            </w:r>
            <w:r>
              <w:rPr>
                <w:color w:val="000000" w:themeColor="text1"/>
                <w:sz w:val="24"/>
                <w:szCs w:val="24"/>
                <w:lang w:val="vi-VN"/>
              </w:rPr>
            </w:r>
          </w:p>
        </w:tc>
      </w:tr>
    </w:tbl>
    <w:p>
      <w:pPr>
        <w:pStyle w:val="1032"/>
        <w:pBdr/>
        <w:spacing w:after="120" w:before="200" w:line="288" w:lineRule="auto"/>
        <w:ind/>
        <w:jc w:val="center"/>
        <w:rPr>
          <w:rStyle w:val="1031"/>
          <w:rFonts w:ascii="Times New Roman" w:hAnsi="Times New Roman"/>
          <w:b/>
          <w:bCs/>
          <w:color w:val="auto"/>
          <w:sz w:val="30"/>
          <w:szCs w:val="30"/>
          <w:lang w:val="vi-VN"/>
        </w:rPr>
      </w:pPr>
      <w:r>
        <w:rPr>
          <w:rStyle w:val="1031"/>
          <w:rFonts w:ascii="Times New Roman" w:hAnsi="Times New Roman"/>
          <w:b/>
          <w:bCs/>
          <w:color w:val="auto"/>
          <w:sz w:val="30"/>
          <w:szCs w:val="30"/>
          <w:lang w:val="vi-VN"/>
        </w:rPr>
        <w:t xml:space="preserve">CHỨNG THƯ THẨM ĐỊNH GIÁ</w:t>
      </w:r>
      <w:r>
        <w:rPr>
          <w:rStyle w:val="1031"/>
          <w:rFonts w:ascii="Times New Roman" w:hAnsi="Times New Roman"/>
          <w:b/>
          <w:bCs/>
          <w:color w:val="auto"/>
          <w:sz w:val="30"/>
          <w:szCs w:val="30"/>
          <w:lang w:val="vi-VN"/>
        </w:rPr>
      </w:r>
      <w:r>
        <w:rPr>
          <w:rStyle w:val="1031"/>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Vũ Tuấn Hải</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275/2026/1390/VFI-HĐTĐ.63.A</w:t>
      </w:r>
      <w:r>
        <w:rPr>
          <w:spacing w:val="-4"/>
          <w:lang w:val="vi-VN"/>
        </w:rPr>
        <w:t xml:space="preserve"> ký ngày </w:t>
      </w:r>
      <w:r>
        <w:rPr>
          <w:color w:val="000000" w:themeColor="text1"/>
          <w:spacing w:val="-4"/>
        </w:rPr>
        <w:t xml:space="preserve">4 tháng 9 năm 2026</w:t>
      </w:r>
      <w:r>
        <w:rPr>
          <w:spacing w:val="-4"/>
          <w:lang w:val="vi-VN"/>
        </w:rPr>
        <w:t xml:space="preserve"> </w:t>
      </w:r>
      <w:r>
        <w:rPr>
          <w:spacing w:val="-4"/>
          <w:lang w:val="vi-VN"/>
        </w:rPr>
        <w:t xml:space="preserve">giữa </w:t>
      </w:r>
      <w:r>
        <w:rPr>
          <w:color w:val="000000" w:themeColor="text1"/>
          <w:spacing w:val="-4"/>
        </w:rPr>
        <w:t xml:space="preserve">Ông Vũ Tuấn Hải</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275/2026/1390/VFI-BC.63.A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8 tháng 9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Vũ Tuấn Hải</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022083000882</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Tổ 1 Cẩm Hồng Phương Nam, thành phố Uông Bí, tỉnh Quảng Ninh</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559, tờ bản đồ số: 229, có địa chỉ: Khu Hiệp An 2, phường Yên T</w:t>
      </w:r>
      <w:r>
        <w:rPr>
          <w:color w:val="000000" w:themeColor="text1"/>
        </w:rPr>
        <w:t xml:space="preserve">ử, tỉnh Quảng Ninh theo Giấy chứng nhận quyền sử dụng đất, quyền sở hữu tài sản gắn liền với đất. số: AA 05366719, Số vào sổ cấp GCN: CN 258 do Chi nhánh Văn phòng Đăng ký Đất đai cấp ngày 08/01/2026; chủ sử dụng đất là Ông Vũ Tuấn Hải và vợ Đặng Thị Thuận</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09/2026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09/2026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t xml:space="preserve">Quyền sử dụng đất tại thửa đất số: 559, tờ bản đồ số: 229, có địa chỉ: Khu Hiệp An 2, phường Yên T</w:t>
            </w:r>
            <w:r>
              <w:rPr>
                <w:color w:val="000000"/>
              </w:rPr>
              <w:t xml:space="preserve">ử, tỉnh Quảng Ninh theo Giấy chứng nhận quyền sử dụng đất, quyền sở hữu tài sản gắn liền với đất. số: AA 05366719, Số vào sổ cấp GCN: CN 258 do Chi nhánh Văn phòng Đăng ký Đất đai cấp ngày 08/01/2026; chủ sử dụng đất là Ông Vũ Tuấn Hải và vợ Đặng Thị Thuận</w:t>
            </w:r>
            <w:r>
              <w:rPr>
                <w:b/>
                <w:bCs/>
              </w:rPr>
              <w:t xml:space="preserve">.</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p>
        </w:tc>
        <w:tc>
          <w:tcPr>
            <w:shd w:val="clear" w:color="000000" w:fill="ffffff"/>
            <w:tcBorders/>
            <w:tcW w:w="1063" w:type="pct"/>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100</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19.300.000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1.930.000.000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rPr>
              <w:t xml:space="preserve">1.930.000.000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Một tỷ chín trăm ba mươi triệu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3"/>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32"/>
              <w:pBdr/>
              <w:spacing w:after="60"/>
              <w:ind/>
              <w:rPr>
                <w:color w:val="000000" w:themeColor="text1"/>
                <w:sz w:val="24"/>
                <w:szCs w:val="24"/>
              </w:rPr>
            </w:pPr>
            <w:r>
              <w:rPr>
                <w:rStyle w:val="1031"/>
                <w:rFonts w:ascii="Times New Roman" w:hAnsi="Times New Roman"/>
                <w:color w:val="000000" w:themeColor="text1"/>
                <w:lang w:val="pt-BR"/>
              </w:rPr>
              <w:t xml:space="preserve">Số: </w:t>
            </w:r>
            <w:r>
              <w:rPr>
                <w:rStyle w:val="1031"/>
                <w:rFonts w:ascii="Times New Roman" w:hAnsi="Times New Roman"/>
                <w:color w:val="000000" w:themeColor="text1"/>
                <w:lang w:val="pt-BR"/>
              </w:rPr>
              <w:t xml:space="preserve">275/2026/1390/VFI-BC.63.A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412" w:type="dxa"/>
            <w:textDirection w:val="lrTb"/>
            <w:noWrap w:val="false"/>
          </w:tcPr>
          <w:p>
            <w:pPr>
              <w:pStyle w:val="1032"/>
              <w:pBdr/>
              <w:spacing w:after="60"/>
              <w:ind w:right="-56"/>
              <w:jc w:val="right"/>
              <w:rPr>
                <w:color w:val="000000" w:themeColor="text1"/>
                <w:sz w:val="24"/>
                <w:szCs w:val="24"/>
                <w:lang w:val="vi-VN"/>
              </w:rPr>
            </w:pPr>
            <w:r>
              <w:rPr>
                <w:rStyle w:val="1031"/>
                <w:rFonts w:ascii="Times New Roman" w:hAnsi="Times New Roman"/>
                <w:i/>
                <w:color w:val="auto"/>
              </w:rPr>
              <w:t xml:space="preserve">TP. Hà Nội</w:t>
            </w:r>
            <w:r>
              <w:rPr>
                <w:rStyle w:val="1031"/>
                <w:rFonts w:ascii="Times New Roman" w:hAnsi="Times New Roman"/>
                <w:i/>
                <w:color w:val="auto"/>
                <w:lang w:val="vi-VN"/>
              </w:rPr>
              <w:t xml:space="preserve">, </w:t>
            </w:r>
            <w:r>
              <w:rPr>
                <w:rStyle w:val="1031"/>
                <w:rFonts w:ascii="Times New Roman" w:hAnsi="Times New Roman"/>
                <w:i/>
                <w:color w:val="000000" w:themeColor="text1"/>
                <w:lang w:val="vi-VN"/>
              </w:rPr>
              <w:t xml:space="preserve">ngày 9 tháng 9 năm 2026</w:t>
            </w:r>
            <w:r>
              <w:rPr>
                <w:color w:val="000000" w:themeColor="text1"/>
                <w:sz w:val="24"/>
                <w:szCs w:val="24"/>
                <w:lang w:val="vi-VN"/>
              </w:rPr>
            </w:r>
            <w:r>
              <w:rPr>
                <w:color w:val="000000" w:themeColor="text1"/>
                <w:sz w:val="24"/>
                <w:szCs w:val="24"/>
                <w:lang w:val="vi-VN"/>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32"/>
              <w:pBdr/>
              <w:spacing w:after="60"/>
              <w:ind/>
              <w:rPr>
                <w:rStyle w:val="1031"/>
                <w:rFonts w:ascii="Times New Roman" w:hAnsi="Times New Roman"/>
                <w:color w:val="000000" w:themeColor="text1"/>
                <w:lang w:val="pt-BR"/>
              </w:rPr>
            </w:pPr>
            <w:r>
              <w:rPr>
                <w:rStyle w:val="1031"/>
                <w:rFonts w:ascii="Times New Roman" w:hAnsi="Times New Roman"/>
                <w:color w:val="000000" w:themeColor="text1"/>
                <w:lang w:val="pt-BR"/>
              </w:rPr>
            </w:r>
            <w:r>
              <w:rPr>
                <w:rStyle w:val="1031"/>
                <w:rFonts w:ascii="Times New Roman" w:hAnsi="Times New Roman"/>
                <w:color w:val="000000" w:themeColor="text1"/>
                <w:lang w:val="pt-BR"/>
              </w:rPr>
            </w:r>
            <w:r>
              <w:rPr>
                <w:rStyle w:val="1031"/>
                <w:rFonts w:ascii="Times New Roman" w:hAnsi="Times New Roman"/>
                <w:color w:val="000000" w:themeColor="text1"/>
                <w:lang w:val="pt-BR"/>
              </w:rPr>
            </w:r>
          </w:p>
        </w:tc>
        <w:tc>
          <w:tcPr>
            <w:shd w:val="clear" w:color="auto" w:fill="auto"/>
            <w:tcBorders/>
            <w:tcMar>
              <w:left w:w="108" w:type="dxa"/>
              <w:top w:w="0" w:type="dxa"/>
              <w:right w:w="108" w:type="dxa"/>
              <w:bottom w:w="0" w:type="dxa"/>
            </w:tcMar>
            <w:tcW w:w="5412" w:type="dxa"/>
            <w:textDirection w:val="lrTb"/>
            <w:noWrap w:val="false"/>
          </w:tcPr>
          <w:p>
            <w:pPr>
              <w:pStyle w:val="1032"/>
              <w:pBdr/>
              <w:spacing w:after="60"/>
              <w:ind w:right="-56"/>
              <w:rPr>
                <w:rStyle w:val="1031"/>
                <w:rFonts w:ascii="Times New Roman" w:hAnsi="Times New Roman"/>
                <w:i/>
                <w:color w:val="auto"/>
              </w:rPr>
            </w:pPr>
            <w:r>
              <w:rPr>
                <w:rFonts w:ascii="Times New Roman" w:hAnsi="Times New Roman"/>
                <w:i/>
                <w:color w:val="auto"/>
              </w:rPr>
            </w:r>
            <w:r>
              <w:rPr>
                <w:rStyle w:val="1031"/>
                <w:rFonts w:ascii="Times New Roman" w:hAnsi="Times New Roman"/>
                <w:i/>
                <w:color w:val="auto"/>
              </w:rPr>
            </w:r>
            <w:r>
              <w:rPr>
                <w:rStyle w:val="1031"/>
                <w:rFonts w:ascii="Times New Roman" w:hAnsi="Times New Roman"/>
                <w:i/>
                <w:color w:val="auto"/>
              </w:rPr>
            </w:r>
          </w:p>
        </w:tc>
      </w:tr>
    </w:tbl>
    <w:p>
      <w:pPr>
        <w:pStyle w:val="1032"/>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2"/>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275/2026/1390/VFI-CT.63.A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9 tháng 9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2"/>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33"/>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t xml:space="preserve">Vũ Tuấn Hải</w:t>
            </w: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022083000882</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Tổ 1 Cẩm Hồng Phương Nam, thành phố Uông Bí, tỉnh Quảng Ninh</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559, tờ bản đồ số: 229, có địa chỉ: Khu Hiệp An 2, phường Yên T</w:t>
            </w:r>
            <w:r>
              <w:rPr>
                <w:bCs/>
                <w:color w:val="000000" w:themeColor="text1"/>
                <w:lang w:val="pt-BR"/>
              </w:rPr>
              <w:t xml:space="preserve">ử, tỉnh Quảng Ninh theo Giấy chứng nhận quyền sử dụng đất, quyền sở hữu tài sản gắn liền với đất. số: AA 05366719, Số vào sổ cấp GCN: CN 258 do Chi nhánh Văn phòng Đăng ký Đất đai cấp ngày 08/01/2026; chủ sử dụng đất là Ông Vũ Tuấn Hải và vợ Đặng Thị Thuận</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r>
            <w:r>
              <w:rPr>
                <w:lang w:val="pt-BR"/>
              </w:rPr>
              <w:t xml:space="preserve">Tháng 09/2026</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Khu Hiệp An 2, phường Yên Tủ, tỉnh Quảng Ninh</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3"/>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21.032166666667, 106.71205555556</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r>
            <w:r>
              <w:rPr>
                <w:color w:val="000000" w:themeColor="text1"/>
                <w:lang w:val="pt-BR"/>
              </w:rPr>
              <w:t xml:space="preserve">05/9/2026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3"/>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3"/>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3"/>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3"/>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3"/>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3"/>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33"/>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33"/>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33"/>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33"/>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33"/>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3"/>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3"/>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33"/>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tài sản gắn liền với đất. số: AA 05366719, Số vào sổ cấp GCN: CN 258 do Chi nhánh Văn phòng Đăng ký Đất đai cấp ngày 08/01/2026; chủ sử dụng đất là Ông Vũ Tuấn Hải và vợ Đặng Thị Thuận</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33"/>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275/2026/1390/VFI-HĐTĐ.63.A ngày 04/09/2026 giữa Đặng Thị Thuận với Công ty Cổ phần Thẩm định và Đầu tư Tài chính Hoa Sen.</w:t>
      </w:r>
      <w:r>
        <w:rPr>
          <w:b/>
          <w:lang w:val="pt-BR"/>
        </w:rPr>
      </w:r>
      <w:r>
        <w:rPr>
          <w:b/>
          <w:lang w:val="pt-BR"/>
        </w:rPr>
      </w:r>
    </w:p>
    <w:p>
      <w:pPr>
        <w:pStyle w:val="1033"/>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rPr>
          <w:i/>
          <w:iCs/>
          <w:lang w:val="pt-BR"/>
        </w:rPr>
      </w:pPr>
      <w:r>
        <w:rPr>
          <w:lang w:val="pt-BR"/>
        </w:rPr>
        <w:tab/>
      </w:r>
      <w:r>
        <w:rPr>
          <w:shd w:val="clear" w:color="auto" w:fill="ffffff"/>
        </w:rPr>
        <w:t xml:space="preserve">Quảng Ninh đang nổi lên như một trong những thị trường bất động sản giàu tiềm năng tại miền Bắc nhờ lợi thế về vị trí địa lý, hạ tầng giao thô</w:t>
      </w:r>
      <w:r>
        <w:rPr>
          <w:shd w:val="clear" w:color="auto" w:fill="ffffff"/>
        </w:rPr>
        <w:t xml:space="preserve">ng, du lịch và công nghiệp. Với vai trò là cửa ngõ phía Đông Bắc, tiếp giáp Trung Quốc và kết nối thuận lợi với Hà Nội, Hải Phòng, Quảng Ninh có nhiều điều kiện để phát triển kinh tế cũng như thu hút dòng vốn đầu tư bất động sản. Sự phát triển của hệ thống</w:t>
      </w:r>
      <w:r>
        <w:rPr>
          <w:shd w:val="clear" w:color="auto" w:fill="ffffff"/>
        </w:rPr>
        <w:t xml:space="preserve"> cao tốc, sân bay quốc tế Vân Đồn và cảng biển Cái Lân đang tạo động lực quan trọng cho thị trường.</w:t>
        <w:br/>
        <w:br/>
        <w:t xml:space="preserve">Bên cạnh lợi thế về giao thông, Quảng Ninh còn sở hữu Vịnh Hạ Long cùng nhiều điểm du lịch nổi tiếng như Yên Tử, Bãi Cháy và Vân Đồn. Đây là nền tảng thúc </w:t>
      </w:r>
      <w:r>
        <w:rPr>
          <w:shd w:val="clear" w:color="auto" w:fill="ffffff"/>
        </w:rPr>
        <w:t xml:space="preserve">đẩy các loại hình bất động sản nghỉ dưỡng, thương mại và lưu trú. Địa phương cũng đặt mục tiêu phát triển theo hướng đô thị hiện đại, với định hướng trở thành thành phố trực thuộc Trung ương vào năm 2030. Sự tham gia của các tập đoàn lớn như Sun Group, Vin</w:t>
      </w:r>
      <w:r>
        <w:rPr>
          <w:shd w:val="clear" w:color="auto" w:fill="ffffff"/>
        </w:rPr>
        <w:t xml:space="preserve">group và BIM Group góp phần hình thành nhiều khu đô thị quy mô lớn, đồng bộ về hạ tầng và tiện ích.</w:t>
        <w:br/>
        <w:br/>
        <w:t xml:space="preserve">Thị trường bất động sản Quảng Ninh khá đa dạng. Căn hộ chung cư tập trung chủ yếu tại Hạ Long và Cẩm Phả, phù hợp với nhu cầu ở thực, cho thuê và đầu tư. Đ</w:t>
      </w:r>
      <w:r>
        <w:rPr>
          <w:shd w:val="clear" w:color="auto" w:fill="ffffff"/>
        </w:rPr>
        <w:t xml:space="preserve">ất nền gần các khu công nghiệp như Đông Mai, Hải Hà, Cái Lân được đánh giá có triển vọng nhờ quá trình dịch chuyển sản xuất và nhu cầu về nhà ở, dịch vụ cho người lao động, chuyên gia. Biệt thự liền kề hướng tới nhóm khách hàng có nhu cầu sống trong các kh</w:t>
      </w:r>
      <w:r>
        <w:rPr>
          <w:shd w:val="clear" w:color="auto" w:fill="ffffff"/>
        </w:rPr>
        <w:t xml:space="preserve">u đô thị đồng bộ, đồng thời có tiềm năng tăng giá khi hạ tầng và dịch vụ phát triển. Shophouse có lợi thế kép khi vừa có thể ở vừa khai thác kinh doanh, đặc biệt tại các khu vực đông khách du lịch như Hạ Long, Cẩm Phả và Vân Đồn. Trong khi đó, bất động sản</w:t>
      </w:r>
      <w:r>
        <w:rPr>
          <w:shd w:val="clear" w:color="auto" w:fill="ffffff"/>
        </w:rPr>
        <w:t xml:space="preserve"> công nghiệp được xem là phân khúc đáng chú ý khi Quảng Ninh ngày càng phát triển thành trung tâm công nghiệp và logistics phía Bắc.</w:t>
        <w:br/>
        <w:br/>
        <w:t xml:space="preserve">Thực tế thị trường cho thấy Hạ Long, Cẩm Phả và Vân Đồn đang là những khu vực nổi bật. Giá bất động sản có sự phân hóa rõ </w:t>
      </w:r>
      <w:r>
        <w:rPr>
          <w:shd w:val="clear" w:color="auto" w:fill="ffffff"/>
        </w:rPr>
        <w:t xml:space="preserve">rệt: Hạ Long và Bãi Cháy thường có mức giá cao hơn nhờ lợi thế du lịch, trong khi những khu vực xa trung tâm hoặc gần các khu công nghiệp có mặt bằng giá dễ tiếp cận hơn. Nhu cầu mua đến từ cả người dân địa phương lẫn nhà đầu tư từ Hà Nội, Hải Phòng. Tuy n</w:t>
      </w:r>
      <w:r>
        <w:rPr>
          <w:shd w:val="clear" w:color="auto" w:fill="ffffff"/>
        </w:rPr>
        <w:t xml:space="preserve">hiên, thị trường vẫn tồn tại những thách thức như thanh khoản chưa đồng đều, đặc biệt ở đất nền xa trung tâm, cũng như vấn đề pháp lý cần được kiểm tra kỹ ở một số dự án ven biển.</w:t>
        <w:br/>
        <w:br/>
        <w:t xml:space="preserve">Về tiềm năng dài hạn, Quảng Ninh được hưởng lợi đồng thời từ ba động lực lớ</w:t>
      </w:r>
      <w:r>
        <w:rPr>
          <w:shd w:val="clear" w:color="auto" w:fill="ffffff"/>
        </w:rPr>
        <w:t xml:space="preserve">n là hạ tầng – du lịch – công nghiệp. Hệ thống giao thông kết nối với Hà Nội, Hải Phòng và Trung Quốc giúp tăng khả năng tiếp cận; du lịch tạo nhu cầu đối với bất động sản nghỉ dưỡng và thương mại; còn sự phát triển của các khu công nghiệp mở ra cơ hội cho</w:t>
      </w:r>
      <w:r>
        <w:rPr>
          <w:shd w:val="clear" w:color="auto" w:fill="ffffff"/>
        </w:rPr>
        <w:t xml:space="preserve"> nhà ở chuyên gia, đất nền và bất động sản công nghiệp.</w:t>
        <w:br/>
        <w:br/>
        <w:t xml:space="preserve">Bài viết cũng giới thiệu một số dự án tiêu biểu như Sun Elite City Hạ Long, Sky M Hạ Long, Sun Centro Town, Marina Bayfront và Crystal Holidays Harbour Vân Đồn. Các dự án này đa dạng về sản phẩm, từ </w:t>
      </w:r>
      <w:r>
        <w:rPr>
          <w:shd w:val="clear" w:color="auto" w:fill="ffffff"/>
        </w:rPr>
        <w:t xml:space="preserve">căn hộ, biệt thự, liền kề, shophouse đến mô hình nghỉ dưỡng, đồng thời được hưởng lợi từ vị trí, hạ tầng và sức tăng trưởng du lịch của từng khu vực.</w:t>
        <w:br/>
        <w:br/>
        <w:t xml:space="preserve">Nhìn chung, Quảng Ninh là thị trường có triển vọng phát triển dài hạn nhưng nhà đầu tư cần lựa chọn sản p</w:t>
      </w:r>
      <w:r>
        <w:rPr>
          <w:shd w:val="clear" w:color="auto" w:fill="ffffff"/>
        </w:rPr>
        <w:t xml:space="preserve">hẩm dựa trên các yếu tố quan trọng như vị trí, pháp lý, hạ tầng, tiện ích và khả năng khai thác thực tế. Việc đánh giá kỹ những yếu tố này sẽ giúp hạn chế rủi ro và nâng cao khả năng đầu tư hiệu quả.</w:t>
        <w:br/>
        <w:t xml:space="preserve">(Nguồn https://newstarland.com/bat-dong-san-quang-ninh/)</w:t>
      </w:r>
      <w:r>
        <w:rPr>
          <w:i/>
          <w:iCs/>
          <w:lang w:val="pt-BR"/>
        </w:rPr>
      </w:r>
      <w:r>
        <w:rPr>
          <w:i/>
          <w:iCs/>
          <w:lang w:val="pt-BR"/>
        </w:rPr>
      </w:r>
    </w:p>
    <w:p>
      <w:pPr>
        <w:pStyle w:val="1033"/>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đất số: 559, tờ bản đồ số: 229, có địa chỉ: Khu Hiệp An 2, phường Yên T</w:t>
            </w:r>
            <w:r>
              <w:rPr>
                <w:b/>
                <w:bCs/>
                <w:color w:val="000000"/>
              </w:rPr>
              <w:t xml:space="preserve">ử, tỉnh Quảng Ninh theo Giấy chứng nhận quyền sử dụng đất, quyền sở hữu tài sản gắn liền với đất. số: AA 05366719, Số vào sổ cấp GCN: CN 258 do Chi nhánh Văn phòng Đăng ký Đất đai cấp ngày 08/01/2026; chủ sử dụng đất là Ông Vũ Tuấn Hải và vợ Đặng Thị Thuận</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559</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229</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khu Hiệp An 2 phường Yên Tủ tỉnh Quảng Ninh</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100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chung của vợ và chồng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đô thị</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spacing/>
              <w:ind/>
              <w:jc w:val="both"/>
              <w:rPr>
                <w:color w:val="000000" w:themeColor="text1"/>
                <w:highlight w:val="yellow"/>
              </w:rPr>
            </w:pPr>
            <w:r>
              <w:rPr>
                <w:color w:val="000000"/>
                <w:highlight w:val="yellow"/>
              </w:rPr>
            </w:r>
            <w:r>
              <w:rPr>
                <w:rFonts w:ascii="Times New Roman" w:hAnsi="Times New Roman" w:eastAsia="Times New Roman" w:cs="Times New Roman"/>
                <w:color w:val="000000" w:themeColor="text1"/>
                <w:sz w:val="24"/>
              </w:rPr>
              <w:t xml:space="preserve">Tại thời điểm thẩm định giá, tổ thẩm định không được Khách hàng cung cấp các thông tin quy hoạch liên quan đến thửa đất, dựa trên định vị của tài sản sau khi khảo sát, tổ thẩm định tra cứu quy hoạch online thông qua các trang mạng như Guland/Meeymap, xác đ</w:t>
            </w:r>
            <w:r>
              <w:rPr>
                <w:rFonts w:ascii="Times New Roman" w:hAnsi="Times New Roman" w:eastAsia="Times New Roman" w:cs="Times New Roman"/>
                <w:color w:val="000000" w:themeColor="text1"/>
                <w:sz w:val="24"/>
              </w:rPr>
              <w:t xml:space="preserve">ịnh vị trí tài sản thuộc quy hoạch đất ở</w:t>
            </w:r>
            <w:r>
              <w:rPr>
                <w:color w:val="000000" w:themeColor="text1"/>
                <w:highlight w:val="none"/>
              </w:rPr>
              <w:t xml:space="preserve">.</w:t>
            </w:r>
            <w:r>
              <w:rPr>
                <w:color w:val="000000" w:themeColor="text1"/>
                <w:highlight w:val="yellow"/>
              </w:rPr>
              <w:t xml:space="preserve"> </w:t>
            </w:r>
            <w:r>
              <w:rPr>
                <w:color w:val="000000" w:themeColor="text1"/>
                <w:highlight w:val="yellow"/>
              </w:rPr>
            </w:r>
            <w:r>
              <w:rPr>
                <w:color w:val="000000" w:themeColor="text1"/>
                <w:highlight w:val="yellow"/>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r>
            <w:r>
              <w:rPr>
                <w:color w:val="000000"/>
              </w:rPr>
            </w:r>
            <w:r>
              <w:rPr>
                <w:color w:val="000000"/>
              </w:rPr>
            </w:r>
          </w:p>
        </w:tc>
        <w:tc>
          <w:tcPr>
            <w:tcBorders/>
            <w:tcW w:w="2522" w:type="dxa"/>
            <w:vAlign w:val="center"/>
            <w:vMerge w:val="restart"/>
            <w:textDirection w:val="lrTb"/>
            <w:noWrap w:val="false"/>
          </w:tcPr>
          <w:p>
            <w:pPr>
              <w:pBdr/>
              <w:spacing/>
              <w:ind/>
              <w:rPr>
                <w:color w:val="000000"/>
              </w:rPr>
            </w:pPr>
            <w:r>
              <w:rPr>
                <w:color w:val="000000"/>
              </w:rPr>
            </w:r>
            <w:r>
              <w:rPr>
                <w:color w:val="000000"/>
              </w:rPr>
            </w:r>
            <w:r>
              <w:rPr>
                <w:color w:val="000000"/>
              </w:rPr>
            </w:r>
          </w:p>
        </w:tc>
        <w:tc>
          <w:tcPr>
            <w:gridSpan w:val="3"/>
            <w:tcBorders/>
            <w:tcW w:w="6259" w:type="dxa"/>
            <w:vAlign w:val="center"/>
            <w:vMerge w:val="restart"/>
            <w:textDirection w:val="lrTb"/>
            <w:noWrap w:val="false"/>
          </w:tcPr>
          <w:p>
            <w:pPr>
              <w:pBdr/>
              <w:spacing/>
              <w:ind/>
              <w:jc w:val="both"/>
              <w:rPr>
                <w:color w:val="000000"/>
              </w:rPr>
            </w:pPr>
            <w:r>
              <w:rPr>
                <w:color w:val="000000"/>
              </w:rPr>
            </w:r>
            <w:r>
              <mc:AlternateContent>
                <mc:Choice Requires="wpg">
                  <w:drawing>
                    <wp:inline xmlns:wp="http://schemas.openxmlformats.org/drawingml/2006/wordprocessingDrawing" distT="0" distB="0" distL="0" distR="0">
                      <wp:extent cx="3791081" cy="1955024"/>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324207" name=""/>
                              <pic:cNvPicPr>
                                <a:picLocks noChangeAspect="1"/>
                              </pic:cNvPicPr>
                              <pic:nvPr/>
                            </pic:nvPicPr>
                            <pic:blipFill rotWithShape="1">
                              <a:blip r:embed="rId17"/>
                              <a:stretch/>
                            </pic:blipFill>
                            <pic:spPr bwMode="auto">
                              <a:xfrm flipH="0" flipV="0">
                                <a:off x="0" y="0"/>
                                <a:ext cx="3791080" cy="195502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298.51pt;height:153.94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giao thông</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7</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7</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Cách đường Yên Tử kéo dài khoảng 160m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spacing/>
              <w:ind/>
              <w:rPr>
                <w:color w:val="000000" w:themeColor="text1"/>
              </w:rPr>
            </w:pPr>
            <w:r/>
            <w:bookmarkStart w:id="3" w:name="OLE_LINK1"/>
            <w:r>
              <w:rPr>
                <w:color w:val="000000" w:themeColor="text1"/>
              </w:rPr>
            </w:r>
            <w:bookmarkEnd w:id="3"/>
            <w:r>
              <w:t xml:space="preserve">Hướng Bắc: tiếp giáp đường giao thông</w:t>
              <w:br/>
              <w:t xml:space="preserve">Các hướng còn lại: tiếp giáp các thửa đất khác</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21.032166666667</w:t>
            </w:r>
            <w:r>
              <w:rPr>
                <w:color w:val="000000"/>
              </w:rPr>
              <w:t xml:space="preserve">, </w:t>
            </w:r>
            <w:r>
              <w:rPr>
                <w:color w:val="000000"/>
              </w:rPr>
              <w:t xml:space="preserve">106.71205555556</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highlight w:val="none"/>
              </w:rPr>
            </w:pPr>
            <w:r>
              <w:rPr>
                <w:color w:val="000000"/>
              </w:rPr>
            </w:r>
            <w:r>
              <w:rPr>
                <w:color w:val="000000"/>
                <w:highlight w:val="none"/>
              </w:rPr>
            </w:r>
            <w:r>
              <w:rPr>
                <w:color w:val="000000"/>
                <w:highlight w:val="none"/>
              </w:rPr>
            </w:r>
          </w:p>
          <w:p>
            <w:pPr>
              <w:pBdr/>
              <w:spacing/>
              <w:ind/>
              <w:jc w:val="center"/>
              <w:rPr>
                <w:color w:val="000000"/>
              </w:rPr>
            </w:pPr>
            <w:r>
              <w:rPr>
                <w:color w:val="000000"/>
                <w:highlight w:val="none"/>
              </w:rPr>
            </w:r>
            <w:r>
              <mc:AlternateContent>
                <mc:Choice Requires="wpg">
                  <w:drawing>
                    <wp:inline xmlns:wp="http://schemas.openxmlformats.org/drawingml/2006/wordprocessingDrawing" distT="0" distB="0" distL="0" distR="0">
                      <wp:extent cx="5266395" cy="2736758"/>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939642" name=""/>
                              <pic:cNvPicPr>
                                <a:picLocks noChangeAspect="1"/>
                              </pic:cNvPicPr>
                              <pic:nvPr/>
                            </pic:nvPicPr>
                            <pic:blipFill rotWithShape="1">
                              <a:blip r:embed="rId18"/>
                              <a:stretch/>
                            </pic:blipFill>
                            <pic:spPr bwMode="auto">
                              <a:xfrm flipH="0" flipV="0">
                                <a:off x="0" y="0"/>
                                <a:ext cx="5266394" cy="273675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14.68pt;height:215.49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100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5</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20</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Bắc</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khu dân cư </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Trung bình</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Ổn định</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Không có lợi thế kinh doanh</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Khá</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rPr>
            </w:pPr>
            <w:r>
              <w:rPr>
                <w:color w:val="000000"/>
              </w:rPr>
              <w:t xml:space="preserve">Đất trống</w:t>
            </w:r>
            <w:r>
              <w:rPr>
                <w:color w:val="000000"/>
              </w:rPr>
            </w:r>
            <w:r>
              <w:rPr>
                <w:color w:val="000000"/>
              </w:rPr>
            </w:r>
          </w:p>
        </w:tc>
      </w:tr>
    </w:tbl>
    <w:p>
      <w:pPr>
        <w:pBdr/>
        <w:spacing w:line="235" w:lineRule="auto"/>
        <w:ind w:left="0"/>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33"/>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3"/>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33"/>
        <w:numPr>
          <w:ilvl w:val="0"/>
          <w:numId w:val="39"/>
        </w:numPr>
        <w:pBdr/>
        <w:tabs>
          <w:tab w:val="left" w:leader="none" w:pos="993"/>
        </w:tabs>
        <w:spacing w:after="120" w:before="120" w:line="264" w:lineRule="auto"/>
        <w:ind/>
        <w:jc w:val="both"/>
        <w:rPr>
          <w:color w:val="000000" w:themeColor="text1"/>
          <w:spacing w:val="-2"/>
        </w:rPr>
      </w:pPr>
      <w:r>
        <w:rPr>
          <w:color w:val="000000" w:themeColor="text1"/>
          <w:spacing w:val="-2"/>
          <w:highlight w:val="none"/>
          <w:lang w:val="pt-BR" w:bidi="pt-BR"/>
        </w:rPr>
      </w:r>
      <w:r>
        <w:rPr>
          <w:rFonts w:ascii="Times New Roman" w:hAnsi="Times New Roman" w:eastAsia="Times New Roman" w:cs="Times New Roman"/>
          <w:color w:val="000000" w:themeColor="text1"/>
          <w:sz w:val="24"/>
        </w:rPr>
        <w:t xml:space="preserve">Tại thời điểm khảo sát, tổ thẩm định không được Khách hàng cung cấp các thông tin quy hoạch liên quan đến thửa đất, dựa trên định vị của tài sản sau khi khảo sát, tổ thẩm định tra cứu quy hoạch online thông qua các trang mạng như Guland, Meeymap, xác định </w:t>
      </w:r>
      <w:r>
        <w:rPr>
          <w:rFonts w:ascii="Times New Roman" w:hAnsi="Times New Roman" w:eastAsia="Times New Roman" w:cs="Times New Roman"/>
          <w:color w:val="000000" w:themeColor="text1"/>
          <w:sz w:val="24"/>
        </w:rPr>
        <w:t xml:space="preserve">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 </w:t>
      </w:r>
      <w:r>
        <w:rPr>
          <w:rFonts w:ascii="Times New Roman" w:hAnsi="Times New Roman" w:eastAsia="Times New Roman" w:cs="Times New Roman"/>
          <w:color w:val="000000" w:themeColor="text1"/>
          <w:sz w:val="24"/>
        </w:rPr>
        <w:t xml:space="preserve">nhận rõ tình trạng quy hoạch thì kết quả thẩm định giá cần được xem xét, điều chỉnh phù hợp, đồng thời chúng tôi bảo lưu quyền xem xét lại kết quả thẩm định giá.</w:t>
      </w:r>
      <w:r>
        <w:rPr>
          <w:color w:val="000000" w:themeColor="text1"/>
          <w:spacing w:val="-2"/>
        </w:rPr>
      </w:r>
      <w:r>
        <w:rPr>
          <w:color w:val="000000" w:themeColor="text1"/>
          <w:spacing w:val="-2"/>
        </w:rPr>
      </w:r>
    </w:p>
    <w:p>
      <w:pPr>
        <w:pStyle w:val="1033"/>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3"/>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3"/>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3"/>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3"/>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3"/>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3"/>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3"/>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3"/>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33"/>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33"/>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Yên Tử, Tỉnh Quảng Ninh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Yên Tử, Tỉnh Quảng Ninh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Yên Tử, Tỉnh Quảng Ninh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Yên Tử, Tỉnh Quảng Ninh</w:t>
            </w:r>
            <w:r>
              <w:rPr>
                <w:sz w:val="22"/>
                <w:szCs w:val="22"/>
              </w:rPr>
            </w:r>
            <w:r>
              <w:rPr>
                <w:sz w:val="22"/>
                <w:szCs w:val="22"/>
              </w:rPr>
            </w:r>
          </w:p>
        </w:tc>
      </w:tr>
      <w:tr>
        <w:trPr>
          <w:trHeight w:val="1968"/>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https://www.facebook.com/commerce/listing/2051950818730841?media_id=1&amp;ref=share_attachment</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0988385299</w:t>
            </w:r>
            <w:r>
              <w:rPr>
                <w:sz w:val="22"/>
                <w:szCs w:val="22"/>
              </w:rPr>
              <w:t xml:space="preserve"> </w:t>
            </w:r>
            <w:r>
              <w:rPr>
                <w:sz w:val="22"/>
                <w:szCs w:val="22"/>
              </w:rPr>
              <w:br/>
              <w:t xml:space="preserve">(</w:t>
            </w:r>
            <w:r>
              <w:rPr>
                <w:sz w:val="22"/>
                <w:szCs w:val="22"/>
              </w:rPr>
              <w:t xml:space="preserve">Nguyễn Thương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0325733315</w:t>
            </w:r>
            <w:r>
              <w:rPr>
                <w:sz w:val="22"/>
                <w:szCs w:val="22"/>
              </w:rPr>
              <w:br/>
            </w:r>
            <w:r>
              <w:rPr>
                <w:sz w:val="22"/>
                <w:szCs w:val="22"/>
              </w:rPr>
              <w:t xml:space="preserve">(</w:t>
            </w:r>
            <w:r>
              <w:rPr>
                <w:sz w:val="22"/>
                <w:szCs w:val="22"/>
              </w:rPr>
              <w:t xml:space="preserve">Chu Hương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0325733315</w:t>
            </w:r>
            <w:r>
              <w:rPr>
                <w:sz w:val="22"/>
                <w:szCs w:val="22"/>
              </w:rPr>
              <w:br/>
            </w:r>
            <w:r>
              <w:rPr>
                <w:sz w:val="22"/>
                <w:szCs w:val="22"/>
              </w:rPr>
              <w:t xml:space="preserve">(</w:t>
            </w:r>
            <w:r>
              <w:rPr>
                <w:sz w:val="22"/>
                <w:szCs w:val="22"/>
              </w:rPr>
              <w:t xml:space="preserve">Chu Hương</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ở tại đô thị (80m)</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t xml:space="preserve">Đất trồng cây lâu năm (23,7m)</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 Đất trồng cây lâu năm – Có thời hạn</w:t>
            </w:r>
            <w:r>
              <w:rPr>
                <w:b/>
                <w:bCs/>
                <w:color w:val="000000"/>
                <w:sz w:val="22"/>
                <w:szCs w:val="22"/>
              </w:rPr>
            </w:r>
            <w:r>
              <w:rPr>
                <w:b/>
                <w:bCs/>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Phường Yên Tử, Tỉnh Quảng Ninh, cách đường Yên Tử kéo dài khoảng 160m</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Phường Yên Tử, Tỉnh Quảng Ninh, cách đường Yên Tử kéo dài khoảng 60m</w:t>
            </w:r>
            <w:r>
              <w:rPr>
                <w:color w:val="000000" w:themeColor="text1"/>
                <w:sz w:val="22"/>
                <w:szCs w:val="22"/>
                <w14:ligatures w14:val="none"/>
              </w:rPr>
            </w:r>
            <w:r>
              <w:rPr>
                <w:color w:val="000000" w:themeColor="text1"/>
                <w:sz w:val="22"/>
                <w:szCs w:val="22"/>
                <w14:ligatures w14:val="none"/>
              </w:rPr>
            </w:r>
          </w:p>
          <w:p>
            <w:pPr>
              <w:pBdr>
                <w:top w:val="none" w:color="000000" w:sz="4" w:space="0"/>
                <w:left w:val="none" w:color="000000" w:sz="4" w:space="0"/>
                <w:bottom w:val="none" w:color="000000" w:sz="4" w:space="0"/>
                <w:right w:val="none" w:color="000000" w:sz="4" w:space="0"/>
              </w:pBdr>
              <w:spacing/>
              <w:ind/>
              <w:jc w:val="center"/>
              <w:rPr>
                <w:color w:val="000000" w:themeColor="text1"/>
                <w:sz w:val="22"/>
                <w:szCs w:val="22"/>
                <w14:ligatures w14:val="none"/>
              </w:rPr>
            </w:pPr>
            <w:r>
              <w:rPr>
                <w:color w:val="000000" w:themeColor="text1"/>
                <w:sz w:val="22"/>
                <w:szCs w:val="22"/>
              </w:rPr>
              <w:t xml:space="preserve"> (</w:t>
            </w:r>
            <w:r>
              <w:rPr>
                <w:color w:val="000000" w:themeColor="text1"/>
                <w:sz w:val="22"/>
                <w:szCs w:val="22"/>
              </w:rPr>
              <w:t xml:space="preserve">21.029316, 106.710511</w:t>
            </w:r>
            <w:r>
              <w:rPr>
                <w:color w:val="000000" w:themeColor="text1"/>
                <w:sz w:val="22"/>
                <w:szCs w:val="22"/>
              </w:rPr>
              <w:t xml:space="preserve">)</w:t>
            </w:r>
            <w:r>
              <w:rPr>
                <w:color w:val="000000" w:themeColor="text1"/>
                <w:sz w:val="22"/>
                <w:szCs w:val="22"/>
                <w14:ligatures w14:val="none"/>
              </w:rPr>
            </w:r>
            <w:r>
              <w:rPr>
                <w:color w:val="000000" w:themeColor="text1"/>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Phường Yên Tử, Tỉnh Quảng Ninh, cách đường Yên Tử kéo dài khoảng 60m</w:t>
            </w:r>
            <w:r>
              <w:rPr>
                <w:color w:val="000000" w:themeColor="text1"/>
                <w:sz w:val="22"/>
                <w:szCs w:val="22"/>
                <w14:ligatures w14:val="none"/>
              </w:rPr>
            </w:r>
            <w:r>
              <w:rPr>
                <w:color w:val="000000" w:themeColor="text1"/>
                <w:sz w:val="22"/>
                <w:szCs w:val="22"/>
                <w14:ligatures w14:val="none"/>
              </w:rPr>
            </w:r>
          </w:p>
          <w:p>
            <w:pPr>
              <w:pBdr>
                <w:top w:val="none" w:color="000000" w:sz="4" w:space="0"/>
                <w:left w:val="none" w:color="000000" w:sz="4" w:space="0"/>
                <w:bottom w:val="none" w:color="000000" w:sz="4" w:space="0"/>
                <w:right w:val="none" w:color="000000" w:sz="4" w:space="0"/>
              </w:pBdr>
              <w:spacing/>
              <w:ind/>
              <w:jc w:val="center"/>
              <w:rPr>
                <w:color w:val="000000" w:themeColor="text1"/>
                <w:sz w:val="22"/>
                <w:szCs w:val="22"/>
                <w14:ligatures w14:val="none"/>
              </w:rPr>
            </w:pPr>
            <w:r>
              <w:rPr>
                <w:color w:val="000000" w:themeColor="text1"/>
                <w:sz w:val="22"/>
                <w:szCs w:val="22"/>
              </w:rPr>
              <w:t xml:space="preserve"> (</w:t>
            </w:r>
            <w:r>
              <w:rPr>
                <w:color w:val="000000" w:themeColor="text1"/>
                <w:sz w:val="22"/>
                <w:szCs w:val="22"/>
              </w:rPr>
              <w:t xml:space="preserve">21.032506, 106.711432</w:t>
            </w:r>
            <w:r>
              <w:rPr>
                <w:color w:val="000000" w:themeColor="text1"/>
                <w:sz w:val="22"/>
                <w:szCs w:val="22"/>
              </w:rPr>
              <w:t xml:space="preserve">)</w:t>
            </w:r>
            <w:r>
              <w:rPr>
                <w:color w:val="000000" w:themeColor="text1"/>
                <w:sz w:val="22"/>
                <w:szCs w:val="22"/>
                <w14:ligatures w14:val="none"/>
              </w:rPr>
            </w:r>
            <w:r>
              <w:rPr>
                <w:color w:val="000000" w:themeColor="text1"/>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Phường Yên Tử, Tỉnh Quảng Ninh, cách đường Yên Tử kéo dài khoảng 80m</w:t>
            </w:r>
            <w:r>
              <w:rPr>
                <w:color w:val="000000" w:themeColor="text1"/>
                <w:sz w:val="22"/>
                <w:szCs w:val="22"/>
                <w14:ligatures w14:val="none"/>
              </w:rPr>
            </w:r>
            <w:r>
              <w:rPr>
                <w:color w:val="000000" w:themeColor="text1"/>
                <w:sz w:val="22"/>
                <w:szCs w:val="22"/>
                <w14:ligatures w14:val="none"/>
              </w:rPr>
            </w:r>
          </w:p>
          <w:p>
            <w:pPr>
              <w:pBdr>
                <w:top w:val="none" w:color="000000" w:sz="4" w:space="0"/>
                <w:left w:val="none" w:color="000000" w:sz="4" w:space="0"/>
                <w:bottom w:val="none" w:color="000000" w:sz="4" w:space="0"/>
                <w:right w:val="none" w:color="000000" w:sz="4" w:space="0"/>
              </w:pBdr>
              <w:spacing/>
              <w:ind/>
              <w:jc w:val="center"/>
              <w:rPr>
                <w:color w:val="000000" w:themeColor="text1"/>
                <w:sz w:val="22"/>
                <w:szCs w:val="22"/>
                <w14:ligatures w14:val="none"/>
              </w:rPr>
            </w:pPr>
            <w:r>
              <w:rPr>
                <w:color w:val="000000" w:themeColor="text1"/>
                <w:sz w:val="22"/>
                <w:szCs w:val="22"/>
              </w:rPr>
              <w:t xml:space="preserve">(</w:t>
            </w:r>
            <w:r>
              <w:rPr>
                <w:color w:val="000000" w:themeColor="text1"/>
                <w:sz w:val="22"/>
                <w:szCs w:val="22"/>
              </w:rPr>
              <w:t xml:space="preserve">21.032304, 106.711325</w:t>
            </w:r>
            <w:r>
              <w:rPr>
                <w:color w:val="000000" w:themeColor="text1"/>
                <w:sz w:val="22"/>
                <w:szCs w:val="22"/>
              </w:rPr>
              <w:t xml:space="preserve">)</w:t>
            </w:r>
            <w:r>
              <w:rPr>
                <w:color w:val="000000" w:themeColor="text1"/>
                <w:sz w:val="22"/>
                <w:szCs w:val="22"/>
                <w14:ligatures w14:val="none"/>
              </w:rPr>
            </w:r>
            <w:r>
              <w:rPr>
                <w:color w:val="000000" w:themeColor="text1"/>
                <w:sz w:val="22"/>
                <w:szCs w:val="22"/>
                <w14:ligatures w14:val="non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highlight w:val="white"/>
              </w:rPr>
            </w:pPr>
            <w:r>
              <w:rPr>
                <w:color w:val="000000" w:themeColor="text1"/>
                <w:sz w:val="22"/>
                <w:szCs w:val="22"/>
                <w:highlight w:val="yellow"/>
              </w:rPr>
            </w:r>
            <w:r>
              <w:rPr>
                <w:color w:val="000000" w:themeColor="text1"/>
                <w:sz w:val="22"/>
                <w:szCs w:val="22"/>
                <w:highlight w:val="white"/>
              </w:rPr>
              <w:t xml:space="preserve">Vị trí tương quan của TSTĐ và các TSSS</w:t>
            </w:r>
            <w:r>
              <w:rPr>
                <w:color w:val="000000" w:themeColor="text1"/>
                <w:sz w:val="22"/>
                <w:szCs w:val="22"/>
                <w:highlight w:val="white"/>
              </w:rPr>
            </w:r>
            <w:r>
              <w:rPr>
                <w:color w:val="000000" w:themeColor="text1"/>
                <w:sz w:val="22"/>
                <w:szCs w:val="22"/>
                <w:highlight w:val="white"/>
              </w:rPr>
            </w:r>
          </w:p>
          <w:p>
            <w:pPr>
              <w:pBdr/>
              <w:spacing/>
              <w:ind/>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gridSpan w:val="4"/>
            <w:tcBorders>
              <w:top w:val="none" w:color="000000" w:sz="4" w:space="0"/>
              <w:left w:val="none" w:color="000000" w:sz="4" w:space="0"/>
              <w:bottom w:val="single" w:color="000000" w:sz="4" w:space="0"/>
              <w:right w:val="single" w:color="000000" w:sz="4" w:space="0"/>
            </w:tcBorders>
            <w:tcW w:w="6968"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rPr>
              <mc:AlternateContent>
                <mc:Choice Requires="wpg">
                  <w:drawing>
                    <wp:inline xmlns:wp="http://schemas.openxmlformats.org/drawingml/2006/wordprocessingDrawing" distT="0" distB="0" distL="0" distR="0">
                      <wp:extent cx="3357101" cy="2540000"/>
                      <wp:effectExtent l="0" t="0" r="0" b="0"/>
                      <wp:docPr id="7" name=""/>
                      <wp:cNvGraphicFramePr/>
                      <a:graphic xmlns:a="http://schemas.openxmlformats.org/drawingml/2006/main">
                        <a:graphicData uri="http://schemas.openxmlformats.org/drawingml/2006/picture">
                          <pic:pic xmlns:pic="http://schemas.openxmlformats.org/drawingml/2006/picture">
                            <pic:nvPicPr>
                              <pic:cNvPr id="1628926596" name="" descr=""/>
                              <pic:cNvPicPr/>
                              <pic:nvPr/>
                            </pic:nvPicPr>
                            <pic:blipFill rotWithShape="1">
                              <a:blip r:embed="rId19"/>
                              <a:stretch/>
                            </pic:blipFill>
                            <pic:spPr bwMode="auto">
                              <a:xfrm rot="0" flipH="0" flipV="0">
                                <a:off x="0" y="0"/>
                                <a:ext cx="3357100"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64.34pt;height:200.00pt;mso-wrap-distance-left:0.00pt;mso-wrap-distance-top:0.00pt;mso-wrap-distance-right:0.00pt;mso-wrap-distance-bottom:0.00pt;rotation:0;z-index:1;" stroked="false">
                      <v:imagedata r:id="rId19" o:title=""/>
                      <o:lock v:ext="edit" rotation="t"/>
                    </v:shape>
                  </w:pict>
                </mc:Fallback>
              </mc:AlternateConten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7</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7</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7</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103,7</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Tỷ lệ đất ở/tổng diện tích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 thổ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100% thổ cư</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100% thổ cư</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86,8%</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Tài sản trên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trống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Đất trống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Đất trống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1.850.000.000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1.665.000.000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2.070.000.000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2.070.000.000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1.665.000.000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2.070.000.000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2.070.000.000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20.181.818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20.700.000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19.961.427</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Tỷ lệ đất ở/tổng diện tích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3"/>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1.665.000.000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2.070.000.000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2.070.000.000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20.181.818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20.700.000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19.961.427</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-1.009.091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-1.035.000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-998.071</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19.172.727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19.665.000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18.963.356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ở tại đô thị (80m)</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t xml:space="preserve">Đất trồng cây lâu năm (23,7m)</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19.172.727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19.665.000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18.963.356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 Đất trồng cây lâu năm – Có thời hạn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19.172.727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19.665.000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18.963.356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Phường Yên Tử, Tỉnh Quảng Ninh, cách đường Yên Tử kéo dài khoảng 160m</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Phường Yên Tử, Tỉnh Quảng Ninh, cách đường Yên Tử kéo dài khoảng 60m</w:t>
            </w:r>
            <w:r>
              <w:rPr>
                <w:color w:val="000000" w:themeColor="text1"/>
                <w:sz w:val="22"/>
                <w:szCs w:val="22"/>
                <w14:ligatures w14:val="none"/>
              </w:rPr>
            </w:r>
            <w:r>
              <w:rPr>
                <w:color w:val="000000" w:themeColor="text1"/>
                <w:sz w:val="22"/>
                <w:szCs w:val="22"/>
                <w14:ligatures w14:val="none"/>
              </w:rPr>
            </w:r>
          </w:p>
          <w:p>
            <w:pPr>
              <w:pBdr>
                <w:top w:val="none" w:color="000000" w:sz="4" w:space="0"/>
                <w:left w:val="none" w:color="000000" w:sz="4" w:space="0"/>
                <w:bottom w:val="none" w:color="000000" w:sz="4" w:space="0"/>
                <w:right w:val="none" w:color="000000" w:sz="4" w:space="0"/>
              </w:pBdr>
              <w:spacing/>
              <w:ind/>
              <w:jc w:val="center"/>
              <w:rPr>
                <w:color w:val="000000" w:themeColor="text1"/>
                <w:sz w:val="22"/>
                <w:szCs w:val="22"/>
                <w14:ligatures w14:val="none"/>
              </w:rPr>
            </w:pPr>
            <w:r>
              <w:rPr>
                <w:color w:val="000000" w:themeColor="text1"/>
                <w:sz w:val="22"/>
                <w:szCs w:val="22"/>
              </w:rPr>
              <w:t xml:space="preserve"> (</w:t>
            </w:r>
            <w:r>
              <w:rPr>
                <w:color w:val="000000" w:themeColor="text1"/>
                <w:sz w:val="22"/>
                <w:szCs w:val="22"/>
              </w:rPr>
              <w:t xml:space="preserve">21.029316, 106.710511</w:t>
            </w:r>
            <w:r>
              <w:rPr>
                <w:color w:val="000000" w:themeColor="text1"/>
                <w:sz w:val="22"/>
                <w:szCs w:val="22"/>
              </w:rPr>
              <w:t xml:space="preserve">)</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Phường Yên Tử, Tỉnh Quảng Ninh, cách đường Yên Tử kéo dài khoảng 60m</w:t>
            </w:r>
            <w:r>
              <w:rPr>
                <w:color w:val="000000" w:themeColor="text1"/>
                <w:sz w:val="22"/>
                <w:szCs w:val="22"/>
                <w14:ligatures w14:val="none"/>
              </w:rPr>
            </w:r>
            <w:r>
              <w:rPr>
                <w:color w:val="000000" w:themeColor="text1"/>
                <w:sz w:val="22"/>
                <w:szCs w:val="22"/>
                <w14:ligatures w14:val="none"/>
              </w:rPr>
            </w:r>
          </w:p>
          <w:p>
            <w:pPr>
              <w:pBdr>
                <w:top w:val="none" w:color="000000" w:sz="4" w:space="0"/>
                <w:left w:val="none" w:color="000000" w:sz="4" w:space="0"/>
                <w:bottom w:val="none" w:color="000000" w:sz="4" w:space="0"/>
                <w:right w:val="none" w:color="000000" w:sz="4" w:space="0"/>
              </w:pBdr>
              <w:spacing/>
              <w:ind/>
              <w:jc w:val="center"/>
              <w:rPr>
                <w:color w:val="000000" w:themeColor="text1"/>
                <w:sz w:val="22"/>
                <w:szCs w:val="22"/>
                <w14:ligatures w14:val="none"/>
              </w:rPr>
            </w:pPr>
            <w:r>
              <w:rPr>
                <w:color w:val="000000" w:themeColor="text1"/>
                <w:sz w:val="22"/>
                <w:szCs w:val="22"/>
              </w:rPr>
              <w:t xml:space="preserve"> (</w:t>
            </w:r>
            <w:r>
              <w:rPr>
                <w:color w:val="000000" w:themeColor="text1"/>
                <w:sz w:val="22"/>
                <w:szCs w:val="22"/>
              </w:rPr>
              <w:t xml:space="preserve">21.032506, 106.711432</w:t>
            </w:r>
            <w:r>
              <w:rPr>
                <w:color w:val="000000" w:themeColor="text1"/>
                <w:sz w:val="22"/>
                <w:szCs w:val="22"/>
              </w:rPr>
              <w:t xml:space="preserve">)</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Phường Yên Tử, Tỉnh Quảng Ninh, cách đường Yên Tử kéo dài khoảng 80m</w:t>
            </w:r>
            <w:r>
              <w:rPr>
                <w:color w:val="000000" w:themeColor="text1"/>
                <w:sz w:val="22"/>
                <w:szCs w:val="22"/>
                <w14:ligatures w14:val="none"/>
              </w:rPr>
            </w:r>
            <w:r>
              <w:rPr>
                <w:color w:val="000000" w:themeColor="text1"/>
                <w:sz w:val="22"/>
                <w:szCs w:val="22"/>
                <w14:ligatures w14:val="none"/>
              </w:rPr>
            </w:r>
          </w:p>
          <w:p>
            <w:pPr>
              <w:pBdr>
                <w:top w:val="none" w:color="000000" w:sz="4" w:space="0"/>
                <w:left w:val="none" w:color="000000" w:sz="4" w:space="0"/>
                <w:bottom w:val="none" w:color="000000" w:sz="4" w:space="0"/>
                <w:right w:val="none" w:color="000000" w:sz="4" w:space="0"/>
              </w:pBdr>
              <w:spacing/>
              <w:ind/>
              <w:jc w:val="center"/>
              <w:rPr>
                <w:color w:val="000000" w:themeColor="text1"/>
                <w:sz w:val="22"/>
                <w:szCs w:val="22"/>
                <w14:ligatures w14:val="none"/>
              </w:rPr>
            </w:pPr>
            <w:r>
              <w:rPr>
                <w:color w:val="000000" w:themeColor="text1"/>
                <w:sz w:val="22"/>
                <w:szCs w:val="22"/>
              </w:rPr>
              <w:t xml:space="preserve">(</w:t>
            </w:r>
            <w:r>
              <w:rPr>
                <w:color w:val="000000" w:themeColor="text1"/>
                <w:sz w:val="22"/>
                <w:szCs w:val="22"/>
              </w:rPr>
              <w:t xml:space="preserve">21.032304, 106.711325</w:t>
            </w:r>
            <w:r>
              <w:rPr>
                <w:color w:val="000000" w:themeColor="text1"/>
                <w:sz w:val="22"/>
                <w:szCs w:val="22"/>
              </w:rPr>
              <w:t xml:space="preserve">)</w:t>
            </w:r>
            <w:r>
              <w:rPr>
                <w:color w:val="000000" w:themeColor="text1"/>
                <w:sz w:val="22"/>
                <w:szCs w:val="22"/>
                <w14:ligatures w14:val="none"/>
              </w:rPr>
            </w:r>
            <w:r>
              <w:rPr>
                <w:color w:val="000000" w:themeColor="text1"/>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19.172.727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19.665.000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18.963.356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19.172.727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19.665.000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18.963.356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7</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7</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7</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19.172.727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19.665.000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18.963.356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82,5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103,7</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-403.636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18.769.091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19.665.000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18.963.356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18.769.091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19.665.000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18.963.356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18.769.091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19.665.000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18.963.356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Tỷ lệ đất ở/tổng diện tích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100% thổ cư</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100% thổ cư</w:t>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100% thổ cư</w:t>
            </w: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86,8%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598.843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18.769.091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19.665.000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19.562.199</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18.769.091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19.665.000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19.562.199</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19.332.097</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-2,91%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1,72%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1,19%</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1.412.727</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1.035.000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1.596.914</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- 5%</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1.412.727</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1.035.000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399.228</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-2,91</w:t>
      </w:r>
      <w:r>
        <w:t xml:space="preserve">% đến</w:t>
      </w:r>
      <w:r>
        <w:t xml:space="preserve"> </w:t>
      </w:r>
      <w:r>
        <w:t xml:space="preserve">1,72</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18.769.091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6.257.615</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19.665.000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6.554.345</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19.562.199</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6.520.081</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19.332.041</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19.300.000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19.300.000</w:t>
      </w:r>
      <w:r>
        <w:rPr>
          <w:b/>
          <w:bCs/>
          <w:color w:val="000000" w:themeColor="text1"/>
        </w:rPr>
        <w:t xml:space="preserve"> </w:t>
      </w:r>
      <w:r>
        <w:rPr>
          <w:b/>
          <w:bCs/>
        </w:rPr>
        <w:t xml:space="preserve">đồng/m².</w:t>
      </w:r>
      <w:r>
        <w:rPr>
          <w:b/>
          <w:bCs/>
        </w:rPr>
      </w:r>
      <w:r>
        <w:rPr>
          <w:b/>
          <w:bCs/>
        </w:rPr>
      </w:r>
    </w:p>
    <w:p>
      <w:pPr>
        <w:pStyle w:val="1033"/>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33"/>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09/2026</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color w:val="000000"/>
              </w:rPr>
              <w:t xml:space="preserve">Quyền sử dụng đất tại thửa đất số: 559, tờ bản đồ số: 229, có địa chỉ: Khu Hiệp An 2, phường Yên T</w:t>
            </w:r>
            <w:r>
              <w:rPr>
                <w:color w:val="000000"/>
              </w:rPr>
              <w:t xml:space="preserve">ử, tỉnh Quảng Ninh theo Giấy chứng nhận quyền sử dụng đất, quyền sở hữu tài sản gắn liền với đất. số: AA 05366719, Số vào sổ cấp GCN: CN 258 do Chi nhánh Văn phòng Đăng ký Đất đai cấp ngày 08/01/2026; chủ sử dụng đất là Ông Vũ Tuấn Hải và vợ Đặng Thị Thuận</w:t>
            </w:r>
            <w:r>
              <w:rPr>
                <w:b/>
                <w:bCs/>
              </w:rPr>
              <w:t xml:space="preserve">.</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p>
        </w:tc>
        <w:tc>
          <w:tcPr>
            <w:shd w:val="clear" w:color="000000" w:fill="ffffff"/>
            <w:tcBorders/>
            <w:tcW w:w="1097" w:type="pct"/>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100</w:t>
            </w:r>
            <w:r>
              <w:rPr>
                <w:color w:val="000000"/>
              </w:rPr>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19.300.000</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1.930.000.000</w:t>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rPr>
              <w:t xml:space="preserve">1.930.000.000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Một tỷ chín trăm ba mươi triệu đồng</w:t>
            </w:r>
            <w:r>
              <w:rPr>
                <w:b/>
                <w:bCs/>
                <w:i/>
                <w:iCs/>
                <w:color w:val="000000"/>
              </w:rPr>
              <w:t xml:space="preserve">./.)</w:t>
            </w:r>
            <w:r>
              <w:rPr>
                <w:b/>
                <w:bCs/>
                <w:i/>
                <w:iCs/>
                <w:color w:val="000000"/>
              </w:rPr>
            </w:r>
            <w:r>
              <w:rPr>
                <w:b/>
                <w:bCs/>
                <w:i/>
                <w:iCs/>
                <w:color w:val="000000"/>
              </w:rPr>
            </w:r>
          </w:p>
        </w:tc>
      </w:tr>
    </w:tbl>
    <w:p>
      <w:pPr>
        <w:pStyle w:val="1033"/>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3"/>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3"/>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3"/>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3"/>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3"/>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3"/>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3"/>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3"/>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3"/>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3"/>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3"/>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3"/>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3"/>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3"/>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3"/>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3"/>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3"/>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3"/>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33"/>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33"/>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3"/>
        <w:numPr>
          <w:ilvl w:val="0"/>
          <w:numId w:val="40"/>
        </w:numPr>
        <w:pBdr/>
        <w:tabs>
          <w:tab w:val="left" w:leader="none" w:pos="993"/>
        </w:tabs>
        <w:spacing w:after="120" w:before="120" w:line="288" w:lineRule="auto"/>
        <w:ind/>
        <w:jc w:val="both"/>
        <w:rPr>
          <w:color w:val="000000" w:themeColor="text1"/>
          <w14:ligatures w14:val="none"/>
        </w:rPr>
      </w:pPr>
      <w:r>
        <w:rPr>
          <w:color w:val="000000" w:themeColor="text1"/>
          <w:lang w:val="vi-VN" w:bidi="vi-VN"/>
        </w:rPr>
      </w:r>
      <w:r>
        <w:rPr>
          <w:color w:val="000000" w:themeColor="text1"/>
          <w:lang w:val="vi-VN" w:bidi="vi-VN"/>
        </w:rPr>
        <w:t xml:space="preserve">Tổ thẩm định sử dụng Phương pháp so sánh để xác định giá trị tài sản thẩm định giá trong đó việc thu thập thông tin vị trí định vị các TSSS trong mối tương quan với TSTĐ được xác định thông qua định vị do môi giới, chủ nhà cung cấp hoặc qua việc </w:t>
      </w:r>
      <w:r>
        <w:rPr>
          <w:color w:val="000000" w:themeColor="text1"/>
          <w:lang w:val="vi-VN" w:bidi="vi-VN"/>
        </w:rPr>
        <w:t xml:space="preserve">mô tả, nên nguồn định vị các TSSS chỉ mang tính chính xác tương đối. Khách hàng và các bên thứ ba khi sử dụng kết quả thẩm định giá cần lưu ý khi sử dụng Chứng thư thẩm định giá.</w:t>
      </w:r>
      <w:r>
        <w:rPr>
          <w:color w:val="000000" w:themeColor="text1"/>
          <w14:ligatures w14:val="none"/>
        </w:rPr>
      </w:r>
      <w:r>
        <w:rPr>
          <w:color w:val="000000" w:themeColor="text1"/>
          <w14:ligatures w14:val="none"/>
        </w:rPr>
      </w:r>
    </w:p>
    <w:p>
      <w:pPr>
        <w:pStyle w:val="1033"/>
        <w:numPr>
          <w:ilvl w:val="0"/>
          <w:numId w:val="43"/>
        </w:numPr>
        <w:pBdr/>
        <w:tabs>
          <w:tab w:val="left" w:leader="none" w:pos="993"/>
        </w:tabs>
        <w:spacing w:after="120" w:before="120" w:line="264" w:lineRule="auto"/>
        <w:ind/>
        <w:jc w:val="both"/>
        <w:rPr>
          <w:color w:val="000000" w:themeColor="text1"/>
          <w:spacing w:val="-2"/>
        </w:rPr>
      </w:pPr>
      <w:r>
        <w:rPr>
          <w:color w:val="000000" w:themeColor="text1"/>
          <w:spacing w:val="-2"/>
          <w:highlight w:val="none"/>
          <w:lang w:val="pt-BR" w:bidi="pt-BR"/>
        </w:rPr>
      </w:r>
      <w:r>
        <w:rPr>
          <w:rFonts w:ascii="Times New Roman" w:hAnsi="Times New Roman" w:eastAsia="Times New Roman" w:cs="Times New Roman"/>
          <w:color w:val="000000" w:themeColor="text1"/>
          <w:sz w:val="24"/>
        </w:rPr>
        <w:t xml:space="preserve">Tại thời điểm khảo sát, tổ thẩm định không được Khách hàng cung cấp các thông tin quy hoạch liên quan đến thửa đất, dựa trên định vị của tài sản sau khi khảo sát, tổ thẩm định tra cứu quy hoạch online thông qua các trang mạng như Guland, Meeymap, xác định </w:t>
      </w:r>
      <w:r>
        <w:rPr>
          <w:rFonts w:ascii="Times New Roman" w:hAnsi="Times New Roman" w:eastAsia="Times New Roman" w:cs="Times New Roman"/>
          <w:color w:val="000000" w:themeColor="text1"/>
          <w:sz w:val="24"/>
        </w:rPr>
        <w:t xml:space="preserve">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 </w:t>
      </w:r>
      <w:r>
        <w:rPr>
          <w:rFonts w:ascii="Times New Roman" w:hAnsi="Times New Roman" w:eastAsia="Times New Roman" w:cs="Times New Roman"/>
          <w:color w:val="000000" w:themeColor="text1"/>
          <w:sz w:val="24"/>
        </w:rPr>
        <w:t xml:space="preserve">nhận rõ tình trạng quy hoạch thì kết quả thẩm định giá cần được xem xét, điều chỉnh phù hợp, đồng thời chúng tôi bảo lưu quyền xem xét lại kết quả thẩm định giá.</w:t>
      </w:r>
      <w:r>
        <w:rPr>
          <w:color w:val="000000" w:themeColor="text1"/>
          <w:spacing w:val="-2"/>
        </w:rPr>
      </w:r>
      <w:r>
        <w:rPr>
          <w:color w:val="000000" w:themeColor="text1"/>
          <w:spacing w:val="-2"/>
        </w:rPr>
      </w:r>
    </w:p>
    <w:p>
      <w:pPr>
        <w:pStyle w:val="1033"/>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3"/>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3"/>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3"/>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33"/>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275/2026/1390/VFI-CT.63.A</w:t>
      </w:r>
      <w:r>
        <w:rPr>
          <w:color w:val="ff0000"/>
          <w:lang w:val="vi-VN"/>
        </w:rPr>
        <w:t xml:space="preserve"> </w:t>
      </w:r>
      <w:r>
        <w:rPr>
          <w:color w:val="000000" w:themeColor="text1"/>
        </w:rPr>
        <w:t xml:space="preserve">ngày 8 tháng 9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Chu Thế Hiển</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275/2026/1390/VFI-BC.63.A</w:t>
      </w:r>
      <w:r>
        <w:rPr>
          <w:i/>
          <w:lang w:val="pt-BR"/>
        </w:rPr>
        <w:t xml:space="preserve"> ngày </w:t>
      </w:r>
      <w:r>
        <w:rPr>
          <w:i/>
          <w:lang w:val="pt-BR"/>
        </w:rPr>
        <w:t xml:space="preserve">8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7"/>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317933" cy="2796662"/>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766870" name=""/>
                              <pic:cNvPicPr>
                                <a:picLocks noChangeAspect="1"/>
                              </pic:cNvPicPr>
                              <pic:nvPr/>
                            </pic:nvPicPr>
                            <pic:blipFill rotWithShape="1">
                              <a:blip r:embed="rId20"/>
                              <a:stretch/>
                            </pic:blipFill>
                            <pic:spPr bwMode="auto">
                              <a:xfrm flipH="0" flipV="0">
                                <a:off x="0" y="0"/>
                                <a:ext cx="2317933" cy="279666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82.51pt;height:220.21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04383" cy="2178287"/>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041347" name=""/>
                              <pic:cNvPicPr>
                                <a:picLocks noChangeAspect="1"/>
                              </pic:cNvPicPr>
                              <pic:nvPr/>
                            </pic:nvPicPr>
                            <pic:blipFill rotWithShape="1">
                              <a:blip r:embed="rId21"/>
                              <a:stretch/>
                            </pic:blipFill>
                            <pic:spPr bwMode="auto">
                              <a:xfrm flipH="0" flipV="0">
                                <a:off x="0" y="0"/>
                                <a:ext cx="2904382" cy="217828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8.69pt;height:171.52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96689" cy="2097517"/>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46581" name=""/>
                              <pic:cNvPicPr>
                                <a:picLocks noChangeAspect="1"/>
                              </pic:cNvPicPr>
                              <pic:nvPr/>
                            </pic:nvPicPr>
                            <pic:blipFill rotWithShape="1">
                              <a:blip r:embed="rId22"/>
                              <a:stretch/>
                            </pic:blipFill>
                            <pic:spPr bwMode="auto">
                              <a:xfrm flipH="0" flipV="0">
                                <a:off x="0" y="0"/>
                                <a:ext cx="2796688" cy="209751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0.21pt;height:165.16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86064" cy="2164548"/>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144298" name=""/>
                              <pic:cNvPicPr>
                                <a:picLocks noChangeAspect="1"/>
                              </pic:cNvPicPr>
                              <pic:nvPr/>
                            </pic:nvPicPr>
                            <pic:blipFill rotWithShape="1">
                              <a:blip r:embed="rId23"/>
                              <a:stretch/>
                            </pic:blipFill>
                            <pic:spPr bwMode="auto">
                              <a:xfrm flipH="0" flipV="0">
                                <a:off x="0" y="0"/>
                                <a:ext cx="2886063" cy="216454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7.25pt;height:170.44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32417" cy="2199313"/>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921110" name=""/>
                              <pic:cNvPicPr>
                                <a:picLocks noChangeAspect="1"/>
                              </pic:cNvPicPr>
                              <pic:nvPr/>
                            </pic:nvPicPr>
                            <pic:blipFill rotWithShape="1">
                              <a:blip r:embed="rId24"/>
                              <a:stretch/>
                            </pic:blipFill>
                            <pic:spPr bwMode="auto">
                              <a:xfrm flipH="0" flipV="0">
                                <a:off x="0" y="0"/>
                                <a:ext cx="2932417" cy="21993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30.90pt;height:173.17pt;mso-wrap-distance-left:0.00pt;mso-wrap-distance-top:0.00pt;mso-wrap-distance-right:0.00pt;mso-wrap-distance-bottom:0.00pt;z-index:1;" stroked="false">
                      <v:imagedata r:id="rId24"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962960" cy="261728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658141" name=""/>
                              <pic:cNvPicPr>
                                <a:picLocks noChangeAspect="1"/>
                              </pic:cNvPicPr>
                              <pic:nvPr/>
                            </pic:nvPicPr>
                            <pic:blipFill rotWithShape="1">
                              <a:blip r:embed="rId25"/>
                              <a:stretch/>
                            </pic:blipFill>
                            <pic:spPr bwMode="auto">
                              <a:xfrm flipH="0" flipV="0">
                                <a:off x="0" y="0"/>
                                <a:ext cx="1962959" cy="261727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54.56pt;height:206.09pt;mso-wrap-distance-left:0.00pt;mso-wrap-distance-top:0.00pt;mso-wrap-distance-right:0.00pt;mso-wrap-distance-bottom:0.00pt;z-index:1;" stroked="false">
                      <v:imagedata r:id="rId25"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highlight w:val="none"/>
        </w:rPr>
      </w:pPr>
      <w:r>
        <w:br w:type="page" w:clear="all"/>
      </w:r>
      <w:r>
        <w:rPr>
          <w:highlight w:val="none"/>
        </w:rPr>
      </w:r>
      <w:r>
        <w:rPr>
          <w:highlight w:val="none"/>
        </w:rPr>
      </w:r>
    </w:p>
    <w:p>
      <w:pPr>
        <w:pBdr/>
        <w:spacing w:after="200" w:line="276" w:lineRule="auto"/>
        <w:ind/>
        <w:jc w:val="center"/>
        <w:rPr/>
      </w:pPr>
      <w:r>
        <w:rPr>
          <w:highlight w:val="none"/>
        </w:rPr>
      </w:r>
      <w:r>
        <mc:AlternateContent>
          <mc:Choice Requires="wpg">
            <w:drawing>
              <wp:inline xmlns:wp="http://schemas.openxmlformats.org/drawingml/2006/wordprocessingDrawing" distT="0" distB="0" distL="0" distR="0">
                <wp:extent cx="2812680" cy="434286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586053" name=""/>
                        <pic:cNvPicPr>
                          <a:picLocks noChangeAspect="1"/>
                        </pic:cNvPicPr>
                        <pic:nvPr/>
                      </pic:nvPicPr>
                      <pic:blipFill rotWithShape="1">
                        <a:blip r:embed="rId26"/>
                        <a:stretch/>
                      </pic:blipFill>
                      <pic:spPr bwMode="auto">
                        <a:xfrm flipH="0" flipV="0">
                          <a:off x="0" y="0"/>
                          <a:ext cx="2812680" cy="43428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21.47pt;height:341.96pt;mso-wrap-distance-left:0.00pt;mso-wrap-distance-top:0.00pt;mso-wrap-distance-right:0.00pt;mso-wrap-distance-bottom:0.00pt;z-index:1;" stroked="false">
                <v:imagedata r:id="rId26" o:title=""/>
                <o:lock v:ext="edit" rotation="t"/>
              </v:shape>
            </w:pict>
          </mc:Fallback>
        </mc:AlternateContent>
      </w:r>
      <w:r/>
    </w:p>
    <w:p>
      <w:pPr>
        <w:pBdr/>
        <w:spacing w:after="200" w:line="276" w:lineRule="auto"/>
        <w:ind/>
        <w:jc w:val="center"/>
        <w:rPr>
          <w:highlight w:val="none"/>
        </w:rPr>
      </w:pPr>
      <w:r>
        <mc:AlternateContent>
          <mc:Choice Requires="wpg">
            <w:drawing>
              <wp:inline xmlns:wp="http://schemas.openxmlformats.org/drawingml/2006/wordprocessingDrawing" distT="0" distB="0" distL="0" distR="0">
                <wp:extent cx="2802666" cy="4132963"/>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947321" name=""/>
                        <pic:cNvPicPr>
                          <a:picLocks noChangeAspect="1"/>
                        </pic:cNvPicPr>
                        <pic:nvPr/>
                      </pic:nvPicPr>
                      <pic:blipFill rotWithShape="1">
                        <a:blip r:embed="rId27"/>
                        <a:stretch/>
                      </pic:blipFill>
                      <pic:spPr bwMode="auto">
                        <a:xfrm flipH="0" flipV="0">
                          <a:off x="0" y="0"/>
                          <a:ext cx="2802665" cy="413296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20.68pt;height:325.43pt;mso-wrap-distance-left:0.00pt;mso-wrap-distance-top:0.00pt;mso-wrap-distance-right:0.00pt;mso-wrap-distance-bottom:0.00pt;z-index:1;" stroked="false">
                <v:imagedata r:id="rId27" o:title=""/>
                <o:lock v:ext="edit" rotation="t"/>
              </v:shape>
            </w:pict>
          </mc:Fallback>
        </mc:AlternateContent>
      </w:r>
      <w:r>
        <w:rPr>
          <w:highlight w:val="none"/>
        </w:rPr>
      </w:r>
      <w:r>
        <w:rPr>
          <w:highlight w:val="none"/>
        </w:rPr>
      </w:r>
    </w:p>
    <w:p>
      <w:pPr>
        <w:pBdr/>
        <w:spacing w:after="200" w:line="276" w:lineRule="auto"/>
        <w:ind/>
        <w:jc w:val="center"/>
        <w:rPr/>
      </w:pPr>
      <w:r>
        <w:rPr>
          <w:highlight w:val="none"/>
        </w:rPr>
      </w:r>
      <w:r>
        <w:rPr>
          <w:highlight w:val="none"/>
        </w:rPr>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275/2026/1390/VFI-BC.63.A</w:t>
      </w:r>
      <w:r>
        <w:rPr>
          <w:i/>
          <w:lang w:val="pt-BR"/>
        </w:rPr>
        <w:t xml:space="preserve"> ngày </w:t>
      </w:r>
      <w:r>
        <w:rPr>
          <w:i/>
          <w:lang w:val="pt-BR"/>
        </w:rPr>
        <w:t xml:space="preserve">8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https://www.facebook.com/commerce/listing/2051950818730841?media_id=1&amp;ref=share_attachment</w:t>
            </w:r>
            <w:r>
              <w:rPr>
                <w:color w:val="000000" w:themeColor="text1"/>
                <w:sz w:val="22"/>
                <w:szCs w:val="22"/>
              </w:rPr>
              <w:br/>
              <w:t xml:space="preserve">0988385299</w:t>
            </w:r>
            <w:r>
              <w:rPr>
                <w:sz w:val="22"/>
                <w:szCs w:val="22"/>
              </w:rPr>
              <w:t xml:space="preserve"> </w:t>
            </w:r>
            <w:r>
              <w:rPr>
                <w:sz w:val="22"/>
                <w:szCs w:val="22"/>
              </w:rPr>
              <w:br/>
              <w:t xml:space="preserve">(Nguyễn Thương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1.850.000.000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1.665.000.000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color w:val="000000" w:themeColor="text1"/>
                <w:sz w:val="22"/>
                <w:szCs w:val="22"/>
              </w:rPr>
              <w:t xml:space="preserve">Phường Yên Tử, Tỉnh Quảng Ninh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82,5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609958"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260995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05.51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61823"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1422019950" name="" descr=""/>
                              <pic:cNvPicPr/>
                              <pic:nvPr/>
                            </pic:nvPicPr>
                            <pic:blipFill rotWithShape="1">
                              <a:blip r:embed="rId29"/>
                              <a:stretch/>
                            </pic:blipFill>
                            <pic:spPr bwMode="auto">
                              <a:xfrm>
                                <a:off x="0" y="0"/>
                                <a:ext cx="1461822"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15.10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87.50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87.50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jc w:val="center"/>
        <w:rPr>
          <w:b/>
          <w:bCs/>
          <w:iCs/>
          <w:lang w:val="pt-BR"/>
        </w:rPr>
      </w:pPr>
      <w:r>
        <w:rPr>
          <w:b/>
          <w:bCs/>
          <w:iCs/>
          <w:lang w:val="pt-BR"/>
        </w:rPr>
      </w:r>
      <w:r>
        <w:rPr>
          <w:b/>
          <w:bCs/>
          <w:iCs/>
          <w:lang w:val="pt-BR"/>
        </w:rPr>
        <w:t xml:space="preserve">TSSS2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0325733315</w:t>
            </w:r>
            <w:r>
              <w:rPr>
                <w:sz w:val="22"/>
                <w:szCs w:val="22"/>
              </w:rPr>
              <w:t xml:space="preserve"> </w:t>
            </w:r>
            <w:r>
              <w:rPr>
                <w:sz w:val="22"/>
                <w:szCs w:val="22"/>
              </w:rPr>
              <w:br/>
              <w:t xml:space="preserve">(Chu Hương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2.300.000.000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2.070.000.000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color w:val="000000" w:themeColor="text1"/>
                <w:sz w:val="22"/>
                <w:szCs w:val="22"/>
              </w:rPr>
              <w:t xml:space="preserve">Phường Yên Tử, Tỉnh Quảng Ninh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178641"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517864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07.77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87.50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87.50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p>
      <w:pPr>
        <w:pBdr/>
        <w:spacing w:after="200" w:line="276" w:lineRule="auto"/>
        <w:ind/>
        <w:jc w:val="center"/>
        <w:rPr>
          <w:iCs/>
          <w:lang w:val="pt-BR"/>
        </w:rPr>
      </w:pPr>
      <w:r>
        <w:rPr>
          <w:iCs/>
          <w:lang w:val="pt-BR"/>
        </w:rPr>
      </w:r>
      <w:r>
        <w:rPr>
          <w:b/>
          <w:bCs/>
          <w:iCs/>
          <w:lang w:val="pt-BR"/>
        </w:rPr>
        <w:t xml:space="preserve">TSSS 3</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0325733315</w:t>
            </w:r>
            <w:r>
              <w:rPr>
                <w:sz w:val="22"/>
                <w:szCs w:val="22"/>
              </w:rPr>
              <w:t xml:space="preserve"> </w:t>
            </w:r>
            <w:r>
              <w:rPr>
                <w:sz w:val="22"/>
                <w:szCs w:val="22"/>
              </w:rPr>
              <w:br/>
              <w:t xml:space="preserve">(Chu Hương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2.300.000.000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2.070.000.000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(80m²), Đất trồng cây lâu năm (23.7m²)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 Lâu dài, Đất trồng cây lâu năm – Có thời hạn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color w:val="000000" w:themeColor="text1"/>
                <w:sz w:val="22"/>
                <w:szCs w:val="22"/>
              </w:rPr>
              <w:t xml:space="preserve"> Phường Yên Tử, Tỉnh Quảng Ninh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103,7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color w:val="000000"/>
                <w:sz w:val="22"/>
                <w:szCs w:val="22"/>
              </w:rPr>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473665" cy="24384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429473881" name="" descr=""/>
                              <pic:cNvPicPr/>
                              <pic:nvPr/>
                            </pic:nvPicPr>
                            <pic:blipFill rotWithShape="1">
                              <a:blip r:embed="rId35"/>
                              <a:stretch/>
                            </pic:blipFill>
                            <pic:spPr bwMode="auto">
                              <a:xfrm flipH="0" flipV="0">
                                <a:off x="0" y="0"/>
                                <a:ext cx="2473664" cy="24383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94.78pt;height:192.00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063753" cy="2607936"/>
                      <wp:effectExtent l="0" t="0" r="0" b="0"/>
                      <wp:docPr id="24" name=""/>
                      <wp:cNvGraphicFramePr/>
                      <a:graphic xmlns:a="http://schemas.openxmlformats.org/drawingml/2006/main">
                        <a:graphicData uri="http://schemas.openxmlformats.org/drawingml/2006/picture">
                          <pic:pic xmlns:pic="http://schemas.openxmlformats.org/drawingml/2006/picture">
                            <pic:nvPicPr>
                              <pic:cNvPr id="650724492" name="" descr=""/>
                              <pic:cNvPicPr/>
                              <pic:nvPr/>
                            </pic:nvPicPr>
                            <pic:blipFill rotWithShape="1">
                              <a:blip r:embed="rId36"/>
                              <a:stretch/>
                            </pic:blipFill>
                            <pic:spPr bwMode="auto">
                              <a:xfrm flipH="0" flipV="0">
                                <a:off x="0" y="0"/>
                                <a:ext cx="2063753" cy="260793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62.50pt;height:205.35pt;mso-wrap-distance-left:0.00pt;mso-wrap-distance-top:0.00pt;mso-wrap-distance-right:0.00pt;mso-wrap-distance-bottom:0.00pt;z-index:1;" stroked="false">
                      <v:imagedata r:id="rId36"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016595" cy="1886494"/>
                      <wp:effectExtent l="0" t="0" r="0" b="0"/>
                      <wp:docPr id="25" name=""/>
                      <wp:cNvGraphicFramePr/>
                      <a:graphic xmlns:a="http://schemas.openxmlformats.org/drawingml/2006/main">
                        <a:graphicData uri="http://schemas.openxmlformats.org/drawingml/2006/picture">
                          <pic:pic xmlns:pic="http://schemas.openxmlformats.org/drawingml/2006/picture">
                            <pic:nvPicPr>
                              <pic:cNvPr id="831323845" name="" descr=""/>
                              <pic:cNvPicPr/>
                              <pic:nvPr/>
                            </pic:nvPicPr>
                            <pic:blipFill rotWithShape="1">
                              <a:blip r:embed="rId37"/>
                              <a:stretch/>
                            </pic:blipFill>
                            <pic:spPr bwMode="auto">
                              <a:xfrm flipH="0" flipV="0">
                                <a:off x="0" y="0"/>
                                <a:ext cx="3016594" cy="188649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237.53pt;height:148.54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Pr>
                <w:highlight w:val="none"/>
              </w:rPr>
            </w:r>
            <w:r>
              <w:rPr>
                <w:highlight w:val="none"/>
              </w:rPr>
            </w: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t xml:space="preserve">Chu Thế Hiển</w:t>
            </w:r>
            <w:r>
              <w:rPr>
                <w:highlight w:val="none"/>
              </w:rPr>
            </w:r>
            <w:r>
              <w:rPr>
                <w:highlight w:val="none"/>
              </w:rPr>
            </w:r>
          </w:p>
          <w:p>
            <w:pPr>
              <w:pBdr/>
              <w:spacing/>
              <w:ind/>
              <w:jc w:val="center"/>
              <w:rPr/>
            </w:pPr>
            <w:r/>
            <w:r/>
          </w:p>
        </w:tc>
      </w:tr>
    </w:tbl>
    <w:p>
      <w:pPr>
        <w:pBdr/>
        <w:spacing w:after="200" w:line="276" w:lineRule="auto"/>
        <w:ind/>
        <w:jc w:val="center"/>
        <w:rPr>
          <w:b/>
          <w:bCs/>
          <w:iCs/>
          <w:highlight w:val="none"/>
          <w:lang w:val="pt-BR"/>
        </w:rPr>
      </w:pPr>
      <w:r>
        <w:rPr>
          <w:b/>
          <w:bCs/>
          <w:iCs/>
          <w:lang w:val="pt-BR"/>
        </w:rPr>
        <w:t xml:space="preserve">PHIẾU KHẢO SÁT</w:t>
      </w:r>
      <w:r>
        <w:rPr>
          <w:b/>
          <w:bCs/>
          <w:iCs/>
          <w:highlight w:val="none"/>
          <w:lang w:val="pt-BR"/>
        </w:rPr>
      </w:r>
      <w:r>
        <w:rPr>
          <w:b/>
          <w:bCs/>
          <w:iCs/>
          <w:highlight w:val="none"/>
          <w:lang w:val="pt-BR"/>
        </w:rPr>
      </w:r>
    </w:p>
    <w:p>
      <w:pPr>
        <w:pBdr/>
        <w:spacing w:after="200" w:line="276" w:lineRule="auto"/>
        <w:ind/>
        <w:jc w:val="center"/>
        <w:rPr>
          <w:b/>
          <w:bCs/>
        </w:rPr>
      </w:pPr>
      <w:r>
        <w:rPr>
          <w:b/>
          <w:bCs/>
          <w:iCs/>
          <w:highlight w:val="none"/>
          <w:lang w:val="pt-BR"/>
        </w:rPr>
      </w:r>
      <w:r>
        <mc:AlternateContent>
          <mc:Choice Requires="wpg">
            <w:drawing>
              <wp:inline xmlns:wp="http://schemas.openxmlformats.org/drawingml/2006/wordprocessingDrawing" distT="0" distB="0" distL="0" distR="0">
                <wp:extent cx="6048375" cy="8064500"/>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436794" name=""/>
                        <pic:cNvPicPr>
                          <a:picLocks noChangeAspect="1"/>
                        </pic:cNvPicPr>
                        <pic:nvPr/>
                      </pic:nvPicPr>
                      <pic:blipFill rotWithShape="1">
                        <a:blip r:embed="rId38"/>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476.25pt;height:635.00pt;mso-wrap-distance-left:0.00pt;mso-wrap-distance-top:0.00pt;mso-wrap-distance-right:0.00pt;mso-wrap-distance-bottom:0.00pt;z-index:1;" stroked="false">
                <v:imagedata r:id="rId38" o:title=""/>
                <o:lock v:ext="edit" rotation="t"/>
              </v:shape>
            </w:pict>
          </mc:Fallback>
        </mc:AlternateContent>
      </w:r>
      <w:r>
        <w:rPr>
          <w:b/>
          <w:bCs/>
        </w:rPr>
      </w:r>
      <w:r>
        <w:rPr>
          <w:b/>
          <w:bCs/>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9"/>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8">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9">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num w:numId="42"/>
  <w:num w:numId="43">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5">
    <w:name w:val="Table Grid Light"/>
    <w:basedOn w:val="101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1"/>
    <w:basedOn w:val="101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Plain Table 2"/>
    <w:basedOn w:val="1017"/>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3"/>
    <w:basedOn w:val="101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Plain Table 4"/>
    <w:basedOn w:val="101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5"/>
    <w:basedOn w:val="101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w:basedOn w:val="1017"/>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1"/>
    <w:basedOn w:val="101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2"/>
    <w:basedOn w:val="101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3"/>
    <w:basedOn w:val="101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4"/>
    <w:basedOn w:val="101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5"/>
    <w:basedOn w:val="101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6"/>
    <w:basedOn w:val="101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w:basedOn w:val="101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1"/>
    <w:basedOn w:val="101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2"/>
    <w:basedOn w:val="101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3"/>
    <w:basedOn w:val="101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4"/>
    <w:basedOn w:val="101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5"/>
    <w:basedOn w:val="101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6"/>
    <w:basedOn w:val="101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w:basedOn w:val="101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1"/>
    <w:basedOn w:val="101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2"/>
    <w:basedOn w:val="101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3"/>
    <w:basedOn w:val="101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4"/>
    <w:basedOn w:val="101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5"/>
    <w:basedOn w:val="101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6"/>
    <w:basedOn w:val="101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w:basedOn w:val="1017"/>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1"/>
    <w:basedOn w:val="1017"/>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2"/>
    <w:basedOn w:val="1017"/>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3"/>
    <w:basedOn w:val="1017"/>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4"/>
    <w:basedOn w:val="1017"/>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5"/>
    <w:basedOn w:val="1017"/>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6"/>
    <w:basedOn w:val="1017"/>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Accent 1"/>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 Accent 2"/>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 Accent 3"/>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Accent 4"/>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 Accent 5"/>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 Accent 6"/>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6 Colorful"/>
    <w:basedOn w:val="1017"/>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7">
    <w:name w:val="Grid Table 6 Colorful - Accent 1"/>
    <w:basedOn w:val="1017"/>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8">
    <w:name w:val="Grid Table 6 Colorful - Accent 2"/>
    <w:basedOn w:val="101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9">
    <w:name w:val="Grid Table 6 Colorful - Accent 3"/>
    <w:basedOn w:val="1017"/>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0">
    <w:name w:val="Grid Table 6 Colorful - Accent 4"/>
    <w:basedOn w:val="101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1">
    <w:name w:val="Grid Table 6 Colorful - Accent 5"/>
    <w:basedOn w:val="1017"/>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2">
    <w:name w:val="Grid Table 6 Colorful - Accent 6"/>
    <w:basedOn w:val="1017"/>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3">
    <w:name w:val="Grid Table 7 Colorful"/>
    <w:basedOn w:val="1017"/>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1"/>
    <w:basedOn w:val="1017"/>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2"/>
    <w:basedOn w:val="1017"/>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3"/>
    <w:basedOn w:val="1017"/>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4"/>
    <w:basedOn w:val="1017"/>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5"/>
    <w:basedOn w:val="1017"/>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6"/>
    <w:basedOn w:val="1017"/>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1"/>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2"/>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3"/>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4"/>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5"/>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6"/>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w:basedOn w:val="1017"/>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1"/>
    <w:basedOn w:val="1017"/>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2"/>
    <w:basedOn w:val="1017"/>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3"/>
    <w:basedOn w:val="1017"/>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4"/>
    <w:basedOn w:val="1017"/>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5"/>
    <w:basedOn w:val="1017"/>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6"/>
    <w:basedOn w:val="1017"/>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w:basedOn w:val="101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1"/>
    <w:basedOn w:val="1017"/>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2"/>
    <w:basedOn w:val="101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3"/>
    <w:basedOn w:val="1017"/>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4"/>
    <w:basedOn w:val="101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5"/>
    <w:basedOn w:val="1017"/>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6"/>
    <w:basedOn w:val="1017"/>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w:basedOn w:val="101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1"/>
    <w:basedOn w:val="1017"/>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2"/>
    <w:basedOn w:val="1017"/>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3"/>
    <w:basedOn w:val="1017"/>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4"/>
    <w:basedOn w:val="1017"/>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5"/>
    <w:basedOn w:val="1017"/>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6"/>
    <w:basedOn w:val="1017"/>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5 Dark"/>
    <w:basedOn w:val="1017"/>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1"/>
    <w:basedOn w:val="1017"/>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2"/>
    <w:basedOn w:val="1017"/>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3"/>
    <w:basedOn w:val="1017"/>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4"/>
    <w:basedOn w:val="1017"/>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5"/>
    <w:basedOn w:val="1017"/>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6"/>
    <w:basedOn w:val="1017"/>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6 Colorful"/>
    <w:basedOn w:val="1017"/>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1"/>
    <w:basedOn w:val="1017"/>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2"/>
    <w:basedOn w:val="1017"/>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3"/>
    <w:basedOn w:val="1017"/>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4"/>
    <w:basedOn w:val="1017"/>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5"/>
    <w:basedOn w:val="1017"/>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6"/>
    <w:basedOn w:val="1017"/>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7 Colorful"/>
    <w:basedOn w:val="1017"/>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3">
    <w:name w:val="List Table 7 Colorful - Accent 1"/>
    <w:basedOn w:val="1017"/>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4">
    <w:name w:val="List Table 7 Colorful - Accent 2"/>
    <w:basedOn w:val="1017"/>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5">
    <w:name w:val="List Table 7 Colorful - Accent 3"/>
    <w:basedOn w:val="1017"/>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6">
    <w:name w:val="List Table 7 Colorful - Accent 4"/>
    <w:basedOn w:val="1017"/>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7">
    <w:name w:val="List Table 7 Colorful - Accent 5"/>
    <w:basedOn w:val="1017"/>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8">
    <w:name w:val="List Table 7 Colorful - Accent 6"/>
    <w:basedOn w:val="1017"/>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9">
    <w:name w:val="Lined - Accent"/>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1"/>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2"/>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3"/>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4"/>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5"/>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6"/>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w:basedOn w:val="1017"/>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1"/>
    <w:basedOn w:val="1017"/>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2"/>
    <w:basedOn w:val="1017"/>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3"/>
    <w:basedOn w:val="1017"/>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4"/>
    <w:basedOn w:val="1017"/>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5"/>
    <w:basedOn w:val="1017"/>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6"/>
    <w:basedOn w:val="1017"/>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w:basedOn w:val="1017"/>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1"/>
    <w:basedOn w:val="101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2"/>
    <w:basedOn w:val="101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3"/>
    <w:basedOn w:val="101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4"/>
    <w:basedOn w:val="101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5"/>
    <w:basedOn w:val="101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6"/>
    <w:basedOn w:val="101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0">
    <w:name w:val="Heading 5"/>
    <w:basedOn w:val="1011"/>
    <w:next w:val="1011"/>
    <w:link w:val="975"/>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1">
    <w:name w:val="Heading 6"/>
    <w:basedOn w:val="1011"/>
    <w:next w:val="1011"/>
    <w:link w:val="976"/>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2">
    <w:name w:val="Heading 7"/>
    <w:basedOn w:val="1011"/>
    <w:next w:val="1011"/>
    <w:link w:val="977"/>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3">
    <w:name w:val="Heading 8"/>
    <w:basedOn w:val="1011"/>
    <w:next w:val="1011"/>
    <w:link w:val="978"/>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4">
    <w:name w:val="Heading 9"/>
    <w:basedOn w:val="1011"/>
    <w:next w:val="1011"/>
    <w:link w:val="979"/>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5">
    <w:name w:val="Heading 5 Char"/>
    <w:basedOn w:val="1016"/>
    <w:link w:val="970"/>
    <w:uiPriority w:val="9"/>
    <w:pPr>
      <w:pBdr/>
      <w:spacing/>
      <w:ind/>
    </w:pPr>
    <w:rPr>
      <w:rFonts w:ascii="Arial" w:hAnsi="Arial" w:eastAsia="Arial" w:cs="Arial"/>
      <w:color w:val="0f4761" w:themeColor="accent1" w:themeShade="BF"/>
    </w:rPr>
  </w:style>
  <w:style w:type="character" w:styleId="976">
    <w:name w:val="Heading 6 Char"/>
    <w:basedOn w:val="1016"/>
    <w:link w:val="971"/>
    <w:uiPriority w:val="9"/>
    <w:pPr>
      <w:pBdr/>
      <w:spacing/>
      <w:ind/>
    </w:pPr>
    <w:rPr>
      <w:rFonts w:ascii="Arial" w:hAnsi="Arial" w:eastAsia="Arial" w:cs="Arial"/>
      <w:i/>
      <w:iCs/>
      <w:color w:val="595959" w:themeColor="text1" w:themeTint="A6"/>
    </w:rPr>
  </w:style>
  <w:style w:type="character" w:styleId="977">
    <w:name w:val="Heading 7 Char"/>
    <w:basedOn w:val="1016"/>
    <w:link w:val="972"/>
    <w:uiPriority w:val="9"/>
    <w:pPr>
      <w:pBdr/>
      <w:spacing/>
      <w:ind/>
    </w:pPr>
    <w:rPr>
      <w:rFonts w:ascii="Arial" w:hAnsi="Arial" w:eastAsia="Arial" w:cs="Arial"/>
      <w:color w:val="595959" w:themeColor="text1" w:themeTint="A6"/>
    </w:rPr>
  </w:style>
  <w:style w:type="character" w:styleId="978">
    <w:name w:val="Heading 8 Char"/>
    <w:basedOn w:val="1016"/>
    <w:link w:val="973"/>
    <w:uiPriority w:val="9"/>
    <w:pPr>
      <w:pBdr/>
      <w:spacing/>
      <w:ind/>
    </w:pPr>
    <w:rPr>
      <w:rFonts w:ascii="Arial" w:hAnsi="Arial" w:eastAsia="Arial" w:cs="Arial"/>
      <w:i/>
      <w:iCs/>
      <w:color w:val="272727" w:themeColor="text1" w:themeTint="D8"/>
    </w:rPr>
  </w:style>
  <w:style w:type="character" w:styleId="979">
    <w:name w:val="Heading 9 Char"/>
    <w:basedOn w:val="1016"/>
    <w:link w:val="974"/>
    <w:uiPriority w:val="9"/>
    <w:pPr>
      <w:pBdr/>
      <w:spacing/>
      <w:ind/>
    </w:pPr>
    <w:rPr>
      <w:rFonts w:ascii="Arial" w:hAnsi="Arial" w:eastAsia="Arial" w:cs="Arial"/>
      <w:i/>
      <w:iCs/>
      <w:color w:val="272727" w:themeColor="text1" w:themeTint="D8"/>
    </w:rPr>
  </w:style>
  <w:style w:type="paragraph" w:styleId="980">
    <w:name w:val="Subtitle"/>
    <w:basedOn w:val="1011"/>
    <w:next w:val="1011"/>
    <w:link w:val="981"/>
    <w:uiPriority w:val="11"/>
    <w:qFormat/>
    <w:pPr>
      <w:numPr>
        <w:ilvl w:val="1"/>
      </w:numPr>
      <w:pBdr/>
      <w:spacing/>
      <w:ind/>
    </w:pPr>
    <w:rPr>
      <w:color w:val="595959" w:themeColor="text1" w:themeTint="A6"/>
      <w:spacing w:val="15"/>
      <w:sz w:val="28"/>
      <w:szCs w:val="28"/>
    </w:rPr>
  </w:style>
  <w:style w:type="character" w:styleId="981">
    <w:name w:val="Subtitle Char"/>
    <w:basedOn w:val="1016"/>
    <w:link w:val="980"/>
    <w:uiPriority w:val="11"/>
    <w:pPr>
      <w:pBdr/>
      <w:spacing/>
      <w:ind/>
    </w:pPr>
    <w:rPr>
      <w:color w:val="595959" w:themeColor="text1" w:themeTint="A6"/>
      <w:spacing w:val="15"/>
      <w:sz w:val="28"/>
      <w:szCs w:val="28"/>
    </w:rPr>
  </w:style>
  <w:style w:type="paragraph" w:styleId="982">
    <w:name w:val="Quote"/>
    <w:basedOn w:val="1011"/>
    <w:next w:val="1011"/>
    <w:link w:val="983"/>
    <w:uiPriority w:val="29"/>
    <w:qFormat/>
    <w:pPr>
      <w:pBdr/>
      <w:spacing w:before="160"/>
      <w:ind/>
      <w:jc w:val="center"/>
    </w:pPr>
    <w:rPr>
      <w:i/>
      <w:iCs/>
      <w:color w:val="404040" w:themeColor="text1" w:themeTint="BF"/>
    </w:rPr>
  </w:style>
  <w:style w:type="character" w:styleId="983">
    <w:name w:val="Quote Char"/>
    <w:basedOn w:val="1016"/>
    <w:link w:val="982"/>
    <w:uiPriority w:val="29"/>
    <w:pPr>
      <w:pBdr/>
      <w:spacing/>
      <w:ind/>
    </w:pPr>
    <w:rPr>
      <w:i/>
      <w:iCs/>
      <w:color w:val="404040" w:themeColor="text1" w:themeTint="BF"/>
    </w:rPr>
  </w:style>
  <w:style w:type="character" w:styleId="984">
    <w:name w:val="Intense Emphasis"/>
    <w:basedOn w:val="1016"/>
    <w:uiPriority w:val="21"/>
    <w:qFormat/>
    <w:pPr>
      <w:pBdr/>
      <w:spacing/>
      <w:ind/>
    </w:pPr>
    <w:rPr>
      <w:i/>
      <w:iCs/>
      <w:color w:val="0f4761" w:themeColor="accent1" w:themeShade="BF"/>
    </w:rPr>
  </w:style>
  <w:style w:type="paragraph" w:styleId="985">
    <w:name w:val="Intense Quote"/>
    <w:basedOn w:val="1011"/>
    <w:next w:val="1011"/>
    <w:link w:val="98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6">
    <w:name w:val="Intense Quote Char"/>
    <w:basedOn w:val="1016"/>
    <w:link w:val="985"/>
    <w:uiPriority w:val="30"/>
    <w:pPr>
      <w:pBdr/>
      <w:spacing/>
      <w:ind/>
    </w:pPr>
    <w:rPr>
      <w:i/>
      <w:iCs/>
      <w:color w:val="0f4761" w:themeColor="accent1" w:themeShade="BF"/>
    </w:rPr>
  </w:style>
  <w:style w:type="character" w:styleId="987">
    <w:name w:val="Intense Reference"/>
    <w:basedOn w:val="1016"/>
    <w:uiPriority w:val="32"/>
    <w:qFormat/>
    <w:pPr>
      <w:pBdr/>
      <w:spacing/>
      <w:ind/>
    </w:pPr>
    <w:rPr>
      <w:b/>
      <w:bCs/>
      <w:smallCaps/>
      <w:color w:val="0f4761" w:themeColor="accent1" w:themeShade="BF"/>
      <w:spacing w:val="5"/>
    </w:rPr>
  </w:style>
  <w:style w:type="paragraph" w:styleId="988">
    <w:name w:val="No Spacing"/>
    <w:basedOn w:val="1011"/>
    <w:uiPriority w:val="1"/>
    <w:qFormat/>
    <w:pPr>
      <w:pBdr/>
      <w:spacing w:after="0" w:line="240" w:lineRule="auto"/>
      <w:ind/>
    </w:pPr>
  </w:style>
  <w:style w:type="character" w:styleId="989">
    <w:name w:val="Subtle Emphasis"/>
    <w:basedOn w:val="1016"/>
    <w:uiPriority w:val="19"/>
    <w:qFormat/>
    <w:pPr>
      <w:pBdr/>
      <w:spacing/>
      <w:ind/>
    </w:pPr>
    <w:rPr>
      <w:i/>
      <w:iCs/>
      <w:color w:val="404040" w:themeColor="text1" w:themeTint="BF"/>
    </w:rPr>
  </w:style>
  <w:style w:type="character" w:styleId="990">
    <w:name w:val="Subtle Reference"/>
    <w:basedOn w:val="1016"/>
    <w:uiPriority w:val="31"/>
    <w:qFormat/>
    <w:pPr>
      <w:pBdr/>
      <w:spacing/>
      <w:ind/>
    </w:pPr>
    <w:rPr>
      <w:smallCaps/>
      <w:color w:val="5a5a5a" w:themeColor="text1" w:themeTint="A5"/>
    </w:rPr>
  </w:style>
  <w:style w:type="character" w:styleId="991">
    <w:name w:val="Book Title"/>
    <w:basedOn w:val="1016"/>
    <w:uiPriority w:val="33"/>
    <w:qFormat/>
    <w:pPr>
      <w:pBdr/>
      <w:spacing/>
      <w:ind/>
    </w:pPr>
    <w:rPr>
      <w:b/>
      <w:bCs/>
      <w:i/>
      <w:iCs/>
      <w:spacing w:val="5"/>
    </w:rPr>
  </w:style>
  <w:style w:type="paragraph" w:styleId="992">
    <w:name w:val="Caption"/>
    <w:basedOn w:val="1011"/>
    <w:next w:val="1011"/>
    <w:uiPriority w:val="35"/>
    <w:unhideWhenUsed/>
    <w:qFormat/>
    <w:pPr>
      <w:pBdr/>
      <w:spacing w:after="200" w:line="240" w:lineRule="auto"/>
      <w:ind/>
    </w:pPr>
    <w:rPr>
      <w:i/>
      <w:iCs/>
      <w:color w:val="0e2841" w:themeColor="text2"/>
      <w:sz w:val="18"/>
      <w:szCs w:val="18"/>
    </w:rPr>
  </w:style>
  <w:style w:type="paragraph" w:styleId="993">
    <w:name w:val="footnote text"/>
    <w:basedOn w:val="1011"/>
    <w:link w:val="994"/>
    <w:uiPriority w:val="99"/>
    <w:semiHidden/>
    <w:unhideWhenUsed/>
    <w:pPr>
      <w:pBdr/>
      <w:spacing w:after="0" w:line="240" w:lineRule="auto"/>
      <w:ind/>
    </w:pPr>
    <w:rPr>
      <w:sz w:val="20"/>
      <w:szCs w:val="20"/>
    </w:rPr>
  </w:style>
  <w:style w:type="character" w:styleId="994">
    <w:name w:val="Footnote Text Char"/>
    <w:basedOn w:val="1016"/>
    <w:link w:val="993"/>
    <w:uiPriority w:val="99"/>
    <w:semiHidden/>
    <w:pPr>
      <w:pBdr/>
      <w:spacing/>
      <w:ind/>
    </w:pPr>
    <w:rPr>
      <w:sz w:val="20"/>
      <w:szCs w:val="20"/>
    </w:rPr>
  </w:style>
  <w:style w:type="character" w:styleId="995">
    <w:name w:val="footnote reference"/>
    <w:basedOn w:val="1016"/>
    <w:uiPriority w:val="99"/>
    <w:semiHidden/>
    <w:unhideWhenUsed/>
    <w:pPr>
      <w:pBdr/>
      <w:spacing/>
      <w:ind/>
    </w:pPr>
    <w:rPr>
      <w:vertAlign w:val="superscript"/>
    </w:rPr>
  </w:style>
  <w:style w:type="paragraph" w:styleId="996">
    <w:name w:val="endnote text"/>
    <w:basedOn w:val="1011"/>
    <w:link w:val="997"/>
    <w:uiPriority w:val="99"/>
    <w:semiHidden/>
    <w:unhideWhenUsed/>
    <w:pPr>
      <w:pBdr/>
      <w:spacing w:after="0" w:line="240" w:lineRule="auto"/>
      <w:ind/>
    </w:pPr>
    <w:rPr>
      <w:sz w:val="20"/>
      <w:szCs w:val="20"/>
    </w:rPr>
  </w:style>
  <w:style w:type="character" w:styleId="997">
    <w:name w:val="Endnote Text Char"/>
    <w:basedOn w:val="1016"/>
    <w:link w:val="996"/>
    <w:uiPriority w:val="99"/>
    <w:semiHidden/>
    <w:pPr>
      <w:pBdr/>
      <w:spacing/>
      <w:ind/>
    </w:pPr>
    <w:rPr>
      <w:sz w:val="20"/>
      <w:szCs w:val="20"/>
    </w:rPr>
  </w:style>
  <w:style w:type="character" w:styleId="998">
    <w:name w:val="endnote reference"/>
    <w:basedOn w:val="1016"/>
    <w:uiPriority w:val="99"/>
    <w:semiHidden/>
    <w:unhideWhenUsed/>
    <w:pPr>
      <w:pBdr/>
      <w:spacing/>
      <w:ind/>
    </w:pPr>
    <w:rPr>
      <w:vertAlign w:val="superscript"/>
    </w:rPr>
  </w:style>
  <w:style w:type="paragraph" w:styleId="999">
    <w:name w:val="toc 1"/>
    <w:basedOn w:val="1011"/>
    <w:next w:val="1011"/>
    <w:uiPriority w:val="39"/>
    <w:unhideWhenUsed/>
    <w:pPr>
      <w:pBdr/>
      <w:spacing w:after="100"/>
      <w:ind/>
    </w:pPr>
  </w:style>
  <w:style w:type="paragraph" w:styleId="1000">
    <w:name w:val="toc 2"/>
    <w:basedOn w:val="1011"/>
    <w:next w:val="1011"/>
    <w:uiPriority w:val="39"/>
    <w:unhideWhenUsed/>
    <w:pPr>
      <w:pBdr/>
      <w:spacing w:after="100"/>
      <w:ind w:left="220"/>
    </w:pPr>
  </w:style>
  <w:style w:type="paragraph" w:styleId="1001">
    <w:name w:val="toc 3"/>
    <w:basedOn w:val="1011"/>
    <w:next w:val="1011"/>
    <w:uiPriority w:val="39"/>
    <w:unhideWhenUsed/>
    <w:pPr>
      <w:pBdr/>
      <w:spacing w:after="100"/>
      <w:ind w:left="440"/>
    </w:pPr>
  </w:style>
  <w:style w:type="paragraph" w:styleId="1002">
    <w:name w:val="toc 4"/>
    <w:basedOn w:val="1011"/>
    <w:next w:val="1011"/>
    <w:uiPriority w:val="39"/>
    <w:unhideWhenUsed/>
    <w:pPr>
      <w:pBdr/>
      <w:spacing w:after="100"/>
      <w:ind w:left="660"/>
    </w:pPr>
  </w:style>
  <w:style w:type="paragraph" w:styleId="1003">
    <w:name w:val="toc 5"/>
    <w:basedOn w:val="1011"/>
    <w:next w:val="1011"/>
    <w:uiPriority w:val="39"/>
    <w:unhideWhenUsed/>
    <w:pPr>
      <w:pBdr/>
      <w:spacing w:after="100"/>
      <w:ind w:left="880"/>
    </w:pPr>
  </w:style>
  <w:style w:type="paragraph" w:styleId="1004">
    <w:name w:val="toc 6"/>
    <w:basedOn w:val="1011"/>
    <w:next w:val="1011"/>
    <w:uiPriority w:val="39"/>
    <w:unhideWhenUsed/>
    <w:pPr>
      <w:pBdr/>
      <w:spacing w:after="100"/>
      <w:ind w:left="1100"/>
    </w:pPr>
  </w:style>
  <w:style w:type="paragraph" w:styleId="1005">
    <w:name w:val="toc 7"/>
    <w:basedOn w:val="1011"/>
    <w:next w:val="1011"/>
    <w:uiPriority w:val="39"/>
    <w:unhideWhenUsed/>
    <w:pPr>
      <w:pBdr/>
      <w:spacing w:after="100"/>
      <w:ind w:left="1320"/>
    </w:pPr>
  </w:style>
  <w:style w:type="paragraph" w:styleId="1006">
    <w:name w:val="toc 8"/>
    <w:basedOn w:val="1011"/>
    <w:next w:val="1011"/>
    <w:uiPriority w:val="39"/>
    <w:unhideWhenUsed/>
    <w:pPr>
      <w:pBdr/>
      <w:spacing w:after="100"/>
      <w:ind w:left="1540"/>
    </w:pPr>
  </w:style>
  <w:style w:type="paragraph" w:styleId="1007">
    <w:name w:val="toc 9"/>
    <w:basedOn w:val="1011"/>
    <w:next w:val="1011"/>
    <w:uiPriority w:val="39"/>
    <w:unhideWhenUsed/>
    <w:pPr>
      <w:pBdr/>
      <w:spacing w:after="100"/>
      <w:ind w:left="1760"/>
    </w:pPr>
  </w:style>
  <w:style w:type="character" w:styleId="1008">
    <w:name w:val="Placeholder Text"/>
    <w:basedOn w:val="1016"/>
    <w:uiPriority w:val="99"/>
    <w:semiHidden/>
    <w:pPr>
      <w:pBdr/>
      <w:spacing/>
      <w:ind/>
    </w:pPr>
    <w:rPr>
      <w:color w:val="666666"/>
    </w:rPr>
  </w:style>
  <w:style w:type="paragraph" w:styleId="1009">
    <w:name w:val="TOC Heading"/>
    <w:uiPriority w:val="39"/>
    <w:unhideWhenUsed/>
    <w:pPr>
      <w:pBdr/>
      <w:spacing/>
      <w:ind/>
    </w:pPr>
  </w:style>
  <w:style w:type="paragraph" w:styleId="1010">
    <w:name w:val="table of figures"/>
    <w:basedOn w:val="1011"/>
    <w:next w:val="1011"/>
    <w:uiPriority w:val="99"/>
    <w:unhideWhenUsed/>
    <w:pPr>
      <w:pBdr/>
      <w:spacing w:after="0" w:afterAutospacing="0"/>
      <w:ind/>
    </w:pPr>
  </w:style>
  <w:style w:type="paragraph" w:styleId="1011" w:default="1">
    <w:name w:val="Normal"/>
    <w:qFormat/>
    <w:pPr>
      <w:pBdr/>
      <w:spacing w:after="0" w:line="240" w:lineRule="auto"/>
      <w:ind/>
    </w:pPr>
    <w:rPr>
      <w:rFonts w:ascii="Times New Roman" w:hAnsi="Times New Roman" w:eastAsia="Times New Roman" w:cs="Times New Roman"/>
      <w:sz w:val="24"/>
      <w:szCs w:val="24"/>
    </w:rPr>
  </w:style>
  <w:style w:type="paragraph" w:styleId="1012">
    <w:name w:val="Heading 1"/>
    <w:basedOn w:val="1011"/>
    <w:next w:val="1011"/>
    <w:link w:val="1019"/>
    <w:qFormat/>
    <w:pPr>
      <w:keepNext w:val="true"/>
      <w:pBdr/>
      <w:spacing w:after="120" w:before="120"/>
      <w:ind/>
      <w:jc w:val="center"/>
      <w:outlineLvl w:val="0"/>
    </w:pPr>
    <w:rPr>
      <w:b/>
      <w:bCs/>
      <w:sz w:val="27"/>
      <w:szCs w:val="27"/>
    </w:rPr>
  </w:style>
  <w:style w:type="paragraph" w:styleId="1013">
    <w:name w:val="Heading 2"/>
    <w:basedOn w:val="1011"/>
    <w:next w:val="1011"/>
    <w:link w:val="1020"/>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4">
    <w:name w:val="Heading 3"/>
    <w:basedOn w:val="1011"/>
    <w:next w:val="1011"/>
    <w:link w:val="1021"/>
    <w:qFormat/>
    <w:pPr>
      <w:keepNext w:val="true"/>
      <w:pBdr/>
      <w:spacing w:before="60"/>
      <w:ind/>
      <w:outlineLvl w:val="2"/>
    </w:pPr>
    <w:rPr>
      <w:sz w:val="28"/>
      <w:szCs w:val="28"/>
    </w:rPr>
  </w:style>
  <w:style w:type="paragraph" w:styleId="1015">
    <w:name w:val="Heading 4"/>
    <w:basedOn w:val="1011"/>
    <w:next w:val="1011"/>
    <w:link w:val="1022"/>
    <w:qFormat/>
    <w:pPr>
      <w:keepNext w:val="true"/>
      <w:pBdr/>
      <w:spacing/>
      <w:ind/>
      <w:jc w:val="center"/>
      <w:outlineLvl w:val="3"/>
    </w:pPr>
    <w:rPr>
      <w:b/>
      <w:bCs/>
    </w:rPr>
  </w:style>
  <w:style w:type="character" w:styleId="1016" w:default="1">
    <w:name w:val="Default Paragraph Font"/>
    <w:uiPriority w:val="1"/>
    <w:semiHidden/>
    <w:unhideWhenUsed/>
    <w:pPr>
      <w:pBdr/>
      <w:spacing/>
      <w:ind/>
    </w:pPr>
  </w:style>
  <w:style w:type="table" w:styleId="1017"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8" w:default="1">
    <w:name w:val="No List"/>
    <w:uiPriority w:val="99"/>
    <w:semiHidden/>
    <w:unhideWhenUsed/>
    <w:pPr>
      <w:pBdr/>
      <w:spacing/>
      <w:ind/>
    </w:pPr>
  </w:style>
  <w:style w:type="character" w:styleId="1019" w:customStyle="1">
    <w:name w:val="Heading 1 Char"/>
    <w:basedOn w:val="1016"/>
    <w:link w:val="1012"/>
    <w:pPr>
      <w:pBdr/>
      <w:spacing/>
      <w:ind/>
    </w:pPr>
    <w:rPr>
      <w:rFonts w:ascii="Times New Roman" w:hAnsi="Times New Roman" w:eastAsia="Times New Roman" w:cs="Times New Roman"/>
      <w:b/>
      <w:bCs/>
      <w:sz w:val="27"/>
      <w:szCs w:val="27"/>
    </w:rPr>
  </w:style>
  <w:style w:type="character" w:styleId="1020" w:customStyle="1">
    <w:name w:val="Heading 2 Char"/>
    <w:basedOn w:val="1016"/>
    <w:link w:val="1013"/>
    <w:uiPriority w:val="9"/>
    <w:pPr>
      <w:pBdr/>
      <w:spacing/>
      <w:ind/>
    </w:pPr>
    <w:rPr>
      <w:rFonts w:asciiTheme="majorHAnsi" w:hAnsiTheme="majorHAnsi" w:eastAsiaTheme="majorEastAsia" w:cstheme="majorBidi"/>
      <w:color w:val="365f91" w:themeColor="accent1" w:themeShade="BF"/>
      <w:sz w:val="26"/>
      <w:szCs w:val="26"/>
    </w:rPr>
  </w:style>
  <w:style w:type="character" w:styleId="1021" w:customStyle="1">
    <w:name w:val="Heading 3 Char"/>
    <w:basedOn w:val="1016"/>
    <w:link w:val="1014"/>
    <w:pPr>
      <w:pBdr/>
      <w:spacing/>
      <w:ind/>
    </w:pPr>
    <w:rPr>
      <w:rFonts w:ascii="Times New Roman" w:hAnsi="Times New Roman" w:eastAsia="Times New Roman" w:cs="Times New Roman"/>
      <w:sz w:val="28"/>
      <w:szCs w:val="28"/>
    </w:rPr>
  </w:style>
  <w:style w:type="character" w:styleId="1022" w:customStyle="1">
    <w:name w:val="Heading 4 Char"/>
    <w:basedOn w:val="1016"/>
    <w:link w:val="1015"/>
    <w:pPr>
      <w:pBdr/>
      <w:spacing/>
      <w:ind/>
    </w:pPr>
    <w:rPr>
      <w:rFonts w:ascii="Times New Roman" w:hAnsi="Times New Roman" w:eastAsia="Times New Roman" w:cs="Times New Roman"/>
      <w:b/>
      <w:bCs/>
      <w:sz w:val="24"/>
      <w:szCs w:val="24"/>
    </w:rPr>
  </w:style>
  <w:style w:type="character" w:styleId="1023">
    <w:name w:val="Hyperlink"/>
    <w:uiPriority w:val="99"/>
    <w:pPr>
      <w:pBdr/>
      <w:spacing/>
      <w:ind/>
    </w:pPr>
    <w:rPr>
      <w:color w:val="000000"/>
      <w:u w:val="single"/>
    </w:rPr>
  </w:style>
  <w:style w:type="character" w:styleId="1024">
    <w:name w:val="Strong"/>
    <w:uiPriority w:val="22"/>
    <w:qFormat/>
    <w:pPr>
      <w:pBdr/>
      <w:spacing/>
      <w:ind/>
    </w:pPr>
    <w:rPr>
      <w:b/>
      <w:bCs/>
    </w:rPr>
  </w:style>
  <w:style w:type="paragraph" w:styleId="1025">
    <w:name w:val="Balloon Text"/>
    <w:basedOn w:val="1011"/>
    <w:link w:val="1026"/>
    <w:uiPriority w:val="99"/>
    <w:semiHidden/>
    <w:unhideWhenUsed/>
    <w:pPr>
      <w:pBdr/>
      <w:spacing/>
      <w:ind/>
    </w:pPr>
    <w:rPr>
      <w:rFonts w:ascii="Tahoma" w:hAnsi="Tahoma" w:cs="Tahoma"/>
      <w:sz w:val="16"/>
      <w:szCs w:val="16"/>
    </w:rPr>
  </w:style>
  <w:style w:type="character" w:styleId="1026" w:customStyle="1">
    <w:name w:val="Balloon Text Char"/>
    <w:basedOn w:val="1016"/>
    <w:link w:val="1025"/>
    <w:uiPriority w:val="99"/>
    <w:semiHidden/>
    <w:pPr>
      <w:pBdr/>
      <w:spacing/>
      <w:ind/>
    </w:pPr>
    <w:rPr>
      <w:rFonts w:ascii="Tahoma" w:hAnsi="Tahoma" w:eastAsia="Times New Roman" w:cs="Tahoma"/>
      <w:sz w:val="16"/>
      <w:szCs w:val="16"/>
    </w:rPr>
  </w:style>
  <w:style w:type="paragraph" w:styleId="1027">
    <w:name w:val="Header"/>
    <w:basedOn w:val="1011"/>
    <w:link w:val="1028"/>
    <w:unhideWhenUsed/>
    <w:pPr>
      <w:pBdr/>
      <w:tabs>
        <w:tab w:val="center" w:leader="none" w:pos="4680"/>
        <w:tab w:val="right" w:leader="none" w:pos="9360"/>
      </w:tabs>
      <w:spacing/>
      <w:ind/>
    </w:pPr>
  </w:style>
  <w:style w:type="character" w:styleId="1028" w:customStyle="1">
    <w:name w:val="Header Char"/>
    <w:basedOn w:val="1016"/>
    <w:link w:val="1027"/>
    <w:pPr>
      <w:pBdr/>
      <w:spacing/>
      <w:ind/>
    </w:pPr>
    <w:rPr>
      <w:rFonts w:ascii="Times New Roman" w:hAnsi="Times New Roman" w:eastAsia="Times New Roman" w:cs="Times New Roman"/>
      <w:sz w:val="24"/>
      <w:szCs w:val="24"/>
    </w:rPr>
  </w:style>
  <w:style w:type="paragraph" w:styleId="1029">
    <w:name w:val="Footer"/>
    <w:basedOn w:val="1011"/>
    <w:link w:val="1030"/>
    <w:uiPriority w:val="99"/>
    <w:unhideWhenUsed/>
    <w:pPr>
      <w:pBdr/>
      <w:tabs>
        <w:tab w:val="center" w:leader="none" w:pos="4680"/>
        <w:tab w:val="right" w:leader="none" w:pos="9360"/>
      </w:tabs>
      <w:spacing/>
      <w:ind/>
    </w:pPr>
  </w:style>
  <w:style w:type="character" w:styleId="1030" w:customStyle="1">
    <w:name w:val="Footer Char"/>
    <w:basedOn w:val="1016"/>
    <w:link w:val="1029"/>
    <w:uiPriority w:val="99"/>
    <w:pPr>
      <w:pBdr/>
      <w:spacing/>
      <w:ind/>
    </w:pPr>
    <w:rPr>
      <w:rFonts w:ascii="Times New Roman" w:hAnsi="Times New Roman" w:eastAsia="Times New Roman" w:cs="Times New Roman"/>
      <w:sz w:val="24"/>
      <w:szCs w:val="24"/>
    </w:rPr>
  </w:style>
  <w:style w:type="character" w:styleId="1031" w:customStyle="1">
    <w:name w:val="normal-h1"/>
    <w:pPr>
      <w:pBdr/>
      <w:spacing/>
      <w:ind/>
    </w:pPr>
    <w:rPr>
      <w:rFonts w:hint="default" w:ascii=".VnTime" w:hAnsi=".VnTime"/>
      <w:color w:val="0000ff"/>
      <w:sz w:val="24"/>
      <w:szCs w:val="24"/>
    </w:rPr>
  </w:style>
  <w:style w:type="paragraph" w:styleId="1032" w:customStyle="1">
    <w:name w:val="normal-p"/>
    <w:basedOn w:val="1011"/>
    <w:pPr>
      <w:pBdr/>
      <w:spacing/>
      <w:ind/>
      <w:jc w:val="both"/>
    </w:pPr>
    <w:rPr>
      <w:sz w:val="20"/>
      <w:szCs w:val="20"/>
    </w:rPr>
  </w:style>
  <w:style w:type="paragraph" w:styleId="1033">
    <w:name w:val="List Paragraph"/>
    <w:basedOn w:val="1011"/>
    <w:link w:val="1120"/>
    <w:uiPriority w:val="34"/>
    <w:qFormat/>
    <w:pPr>
      <w:pBdr/>
      <w:spacing/>
      <w:ind w:left="720"/>
    </w:pPr>
  </w:style>
  <w:style w:type="paragraph" w:styleId="1034">
    <w:name w:val="Normal (Web)"/>
    <w:basedOn w:val="1011"/>
    <w:uiPriority w:val="99"/>
    <w:pPr>
      <w:pBdr/>
      <w:spacing w:after="100" w:afterAutospacing="1" w:before="100" w:beforeAutospacing="1"/>
      <w:ind/>
    </w:pPr>
  </w:style>
  <w:style w:type="paragraph" w:styleId="1035">
    <w:name w:val="Body Text"/>
    <w:basedOn w:val="1011"/>
    <w:link w:val="1036"/>
    <w:pPr>
      <w:pBdr/>
      <w:spacing w:after="120"/>
      <w:ind/>
      <w:jc w:val="both"/>
    </w:pPr>
  </w:style>
  <w:style w:type="character" w:styleId="1036" w:customStyle="1">
    <w:name w:val="Body Text Char"/>
    <w:basedOn w:val="1016"/>
    <w:link w:val="1035"/>
    <w:pPr>
      <w:pBdr/>
      <w:spacing/>
      <w:ind/>
    </w:pPr>
    <w:rPr>
      <w:rFonts w:ascii="Times New Roman" w:hAnsi="Times New Roman" w:eastAsia="Times New Roman" w:cs="Times New Roman"/>
      <w:sz w:val="24"/>
      <w:szCs w:val="24"/>
    </w:rPr>
  </w:style>
  <w:style w:type="table" w:styleId="1037">
    <w:name w:val="Table Grid"/>
    <w:basedOn w:val="1017"/>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8"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9">
    <w:name w:val="annotation reference"/>
    <w:basedOn w:val="1016"/>
    <w:uiPriority w:val="99"/>
    <w:semiHidden/>
    <w:unhideWhenUsed/>
    <w:pPr>
      <w:pBdr/>
      <w:spacing/>
      <w:ind/>
    </w:pPr>
    <w:rPr>
      <w:sz w:val="16"/>
      <w:szCs w:val="16"/>
    </w:rPr>
  </w:style>
  <w:style w:type="paragraph" w:styleId="1040">
    <w:name w:val="annotation text"/>
    <w:basedOn w:val="1011"/>
    <w:link w:val="1041"/>
    <w:uiPriority w:val="99"/>
    <w:unhideWhenUsed/>
    <w:pPr>
      <w:pBdr/>
      <w:spacing/>
      <w:ind/>
    </w:pPr>
    <w:rPr>
      <w:sz w:val="20"/>
      <w:szCs w:val="20"/>
    </w:rPr>
  </w:style>
  <w:style w:type="character" w:styleId="1041" w:customStyle="1">
    <w:name w:val="Comment Text Char"/>
    <w:basedOn w:val="1016"/>
    <w:link w:val="1040"/>
    <w:uiPriority w:val="99"/>
    <w:pPr>
      <w:pBdr/>
      <w:spacing/>
      <w:ind/>
    </w:pPr>
    <w:rPr>
      <w:rFonts w:ascii="Times New Roman" w:hAnsi="Times New Roman" w:eastAsia="Times New Roman" w:cs="Times New Roman"/>
      <w:sz w:val="20"/>
      <w:szCs w:val="20"/>
    </w:rPr>
  </w:style>
  <w:style w:type="paragraph" w:styleId="1042">
    <w:name w:val="annotation subject"/>
    <w:basedOn w:val="1040"/>
    <w:next w:val="1040"/>
    <w:link w:val="1043"/>
    <w:uiPriority w:val="99"/>
    <w:semiHidden/>
    <w:unhideWhenUsed/>
    <w:pPr>
      <w:pBdr/>
      <w:spacing/>
      <w:ind/>
    </w:pPr>
    <w:rPr>
      <w:b/>
      <w:bCs/>
    </w:rPr>
  </w:style>
  <w:style w:type="character" w:styleId="1043" w:customStyle="1">
    <w:name w:val="Comment Subject Char"/>
    <w:basedOn w:val="1041"/>
    <w:link w:val="1042"/>
    <w:uiPriority w:val="99"/>
    <w:semiHidden/>
    <w:pPr>
      <w:pBdr/>
      <w:spacing/>
      <w:ind/>
    </w:pPr>
    <w:rPr>
      <w:rFonts w:ascii="Times New Roman" w:hAnsi="Times New Roman" w:eastAsia="Times New Roman" w:cs="Times New Roman"/>
      <w:b/>
      <w:bCs/>
      <w:sz w:val="20"/>
      <w:szCs w:val="20"/>
    </w:rPr>
  </w:style>
  <w:style w:type="paragraph" w:styleId="1044" w:customStyle="1">
    <w:name w:val="font5"/>
    <w:basedOn w:val="1011"/>
    <w:pPr>
      <w:pBdr/>
      <w:spacing w:after="100" w:afterAutospacing="1" w:before="100" w:beforeAutospacing="1"/>
      <w:ind/>
    </w:pPr>
    <w:rPr>
      <w:rFonts w:ascii="Tahoma" w:hAnsi="Tahoma" w:cs="Tahoma"/>
      <w:color w:val="000000"/>
      <w:sz w:val="18"/>
      <w:szCs w:val="18"/>
    </w:rPr>
  </w:style>
  <w:style w:type="paragraph" w:styleId="1045" w:customStyle="1">
    <w:name w:val="font6"/>
    <w:basedOn w:val="1011"/>
    <w:pPr>
      <w:pBdr/>
      <w:spacing w:after="100" w:afterAutospacing="1" w:before="100" w:beforeAutospacing="1"/>
      <w:ind/>
    </w:pPr>
    <w:rPr>
      <w:rFonts w:ascii="Tahoma" w:hAnsi="Tahoma" w:cs="Tahoma"/>
      <w:b/>
      <w:bCs/>
      <w:color w:val="000000"/>
      <w:sz w:val="18"/>
      <w:szCs w:val="18"/>
    </w:rPr>
  </w:style>
  <w:style w:type="paragraph" w:styleId="1046" w:customStyle="1">
    <w:name w:val="xl233"/>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7" w:customStyle="1">
    <w:name w:val="xl234"/>
    <w:basedOn w:val="1011"/>
    <w:pPr>
      <w:pBdr/>
      <w:spacing w:after="100" w:afterAutospacing="1" w:before="100" w:beforeAutospacing="1"/>
      <w:ind/>
      <w:jc w:val="center"/>
    </w:pPr>
  </w:style>
  <w:style w:type="paragraph" w:styleId="1048" w:customStyle="1">
    <w:name w:val="xl235"/>
    <w:basedOn w:val="1011"/>
    <w:pPr>
      <w:pBdr/>
      <w:spacing w:after="100" w:afterAutospacing="1" w:before="100" w:beforeAutospacing="1"/>
      <w:ind/>
      <w:jc w:val="center"/>
    </w:pPr>
    <w:rPr>
      <w:b/>
      <w:bCs/>
    </w:rPr>
  </w:style>
  <w:style w:type="paragraph" w:styleId="1049" w:customStyle="1">
    <w:name w:val="xl236"/>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0" w:customStyle="1">
    <w:name w:val="xl237"/>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1" w:customStyle="1">
    <w:name w:val="xl238"/>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2" w:customStyle="1">
    <w:name w:val="xl239"/>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3" w:customStyle="1">
    <w:name w:val="xl240"/>
    <w:basedOn w:val="1011"/>
    <w:pPr>
      <w:pBdr/>
      <w:spacing w:after="100" w:afterAutospacing="1" w:before="100" w:beforeAutospacing="1"/>
      <w:ind/>
    </w:pPr>
  </w:style>
  <w:style w:type="paragraph" w:styleId="1054" w:customStyle="1">
    <w:name w:val="xl241"/>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5" w:customStyle="1">
    <w:name w:val="xl242"/>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6" w:customStyle="1">
    <w:name w:val="xl243"/>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7" w:customStyle="1">
    <w:name w:val="xl244"/>
    <w:basedOn w:val="1011"/>
    <w:pPr>
      <w:pBdr/>
      <w:spacing w:after="100" w:afterAutospacing="1" w:before="100" w:beforeAutospacing="1"/>
      <w:ind/>
    </w:pPr>
    <w:rPr>
      <w:b/>
      <w:bCs/>
    </w:rPr>
  </w:style>
  <w:style w:type="paragraph" w:styleId="1058" w:customStyle="1">
    <w:name w:val="xl245"/>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46"/>
    <w:basedOn w:val="1011"/>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0" w:customStyle="1">
    <w:name w:val="xl247"/>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1" w:customStyle="1">
    <w:name w:val="xl248"/>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2" w:customStyle="1">
    <w:name w:val="xl249"/>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3" w:customStyle="1">
    <w:name w:val="xl250"/>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4" w:customStyle="1">
    <w:name w:val="xl251"/>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5" w:customStyle="1">
    <w:name w:val="xl252"/>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3"/>
    <w:basedOn w:val="1011"/>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7" w:customStyle="1">
    <w:name w:val="xl254"/>
    <w:basedOn w:val="1011"/>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8" w:customStyle="1">
    <w:name w:val="xl255"/>
    <w:basedOn w:val="1011"/>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9" w:customStyle="1">
    <w:name w:val="xl256"/>
    <w:basedOn w:val="1011"/>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0" w:customStyle="1">
    <w:name w:val="xl257"/>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1" w:customStyle="1">
    <w:name w:val="xl258"/>
    <w:basedOn w:val="1011"/>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2" w:customStyle="1">
    <w:name w:val="xl259"/>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3" w:customStyle="1">
    <w:name w:val="xl260"/>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4" w:customStyle="1">
    <w:name w:val="xl261"/>
    <w:basedOn w:val="1011"/>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5" w:customStyle="1">
    <w:name w:val="xl262"/>
    <w:basedOn w:val="1011"/>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3"/>
    <w:basedOn w:val="1011"/>
    <w:pPr>
      <w:pBdr/>
      <w:shd w:val="clear" w:color="000000" w:fill="ffffff"/>
      <w:spacing w:after="100" w:afterAutospacing="1" w:before="100" w:beforeAutospacing="1"/>
      <w:ind/>
    </w:pPr>
  </w:style>
  <w:style w:type="paragraph" w:styleId="1077" w:customStyle="1">
    <w:name w:val="xl264"/>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65"/>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9" w:customStyle="1">
    <w:name w:val="xl266"/>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0" w:customStyle="1">
    <w:name w:val="xl267"/>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1" w:customStyle="1">
    <w:name w:val="xl268"/>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2" w:customStyle="1">
    <w:name w:val="xl269"/>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3" w:customStyle="1">
    <w:name w:val="xl270"/>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4" w:customStyle="1">
    <w:name w:val="xl271"/>
    <w:basedOn w:val="1011"/>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5" w:customStyle="1">
    <w:name w:val="xl272"/>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73"/>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7" w:customStyle="1">
    <w:name w:val="xl274"/>
    <w:basedOn w:val="1011"/>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75"/>
    <w:basedOn w:val="1011"/>
    <w:pPr>
      <w:pBdr/>
      <w:spacing w:after="100" w:afterAutospacing="1" w:before="100" w:beforeAutospacing="1"/>
      <w:ind/>
    </w:pPr>
  </w:style>
  <w:style w:type="paragraph" w:styleId="1089" w:customStyle="1">
    <w:name w:val="xl276"/>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0" w:customStyle="1">
    <w:name w:val="xl277"/>
    <w:basedOn w:val="1011"/>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1" w:customStyle="1">
    <w:name w:val="xl278"/>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79"/>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3" w:customStyle="1">
    <w:name w:val="xl280"/>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4" w:customStyle="1">
    <w:name w:val="xl281"/>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5" w:customStyle="1">
    <w:name w:val="xl282"/>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6" w:customStyle="1">
    <w:name w:val="xl283"/>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7" w:customStyle="1">
    <w:name w:val="xl284"/>
    <w:basedOn w:val="1011"/>
    <w:pPr>
      <w:pBdr>
        <w:left w:val="single" w:color="000000" w:sz="4" w:space="0"/>
        <w:bottom w:val="single" w:color="000000" w:sz="4" w:space="0"/>
        <w:right w:val="single" w:color="000000" w:sz="4" w:space="0"/>
      </w:pBdr>
      <w:spacing w:after="100" w:afterAutospacing="1" w:before="100" w:beforeAutospacing="1"/>
      <w:ind/>
    </w:pPr>
  </w:style>
  <w:style w:type="paragraph" w:styleId="1098" w:customStyle="1">
    <w:name w:val="xl285"/>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9" w:customStyle="1">
    <w:name w:val="xl286"/>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customStyle="1">
    <w:name w:val="xl287"/>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88"/>
    <w:basedOn w:val="1011"/>
    <w:pPr>
      <w:pBdr>
        <w:top w:val="single" w:color="000000" w:sz="4" w:space="0"/>
        <w:left w:val="single" w:color="000000" w:sz="4" w:space="0"/>
        <w:right w:val="single" w:color="000000" w:sz="4" w:space="0"/>
      </w:pBdr>
      <w:spacing w:after="100" w:afterAutospacing="1" w:before="100" w:beforeAutospacing="1"/>
      <w:ind/>
    </w:pPr>
  </w:style>
  <w:style w:type="paragraph" w:styleId="1102" w:customStyle="1">
    <w:name w:val="xl289"/>
    <w:basedOn w:val="1011"/>
    <w:pPr>
      <w:pBdr>
        <w:left w:val="single" w:color="000000" w:sz="4" w:space="0"/>
        <w:right w:val="single" w:color="000000" w:sz="4" w:space="0"/>
      </w:pBdr>
      <w:spacing w:after="100" w:afterAutospacing="1" w:before="100" w:beforeAutospacing="1"/>
      <w:ind/>
    </w:pPr>
    <w:rPr>
      <w:b/>
      <w:bCs/>
    </w:rPr>
  </w:style>
  <w:style w:type="paragraph" w:styleId="1103" w:customStyle="1">
    <w:name w:val="xl290"/>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4" w:customStyle="1">
    <w:name w:val="xl291"/>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5" w:customStyle="1">
    <w:name w:val="xl292"/>
    <w:basedOn w:val="1011"/>
    <w:pPr>
      <w:pBdr>
        <w:top w:val="single" w:color="000000" w:sz="4" w:space="0"/>
        <w:left w:val="single" w:color="000000" w:sz="4" w:space="0"/>
        <w:right w:val="single" w:color="000000" w:sz="4" w:space="0"/>
      </w:pBdr>
      <w:spacing w:after="100" w:afterAutospacing="1" w:before="100" w:beforeAutospacing="1"/>
      <w:ind/>
    </w:pPr>
  </w:style>
  <w:style w:type="paragraph" w:styleId="1106" w:customStyle="1">
    <w:name w:val="xl293"/>
    <w:basedOn w:val="1011"/>
    <w:pPr>
      <w:pBdr>
        <w:left w:val="single" w:color="000000" w:sz="4" w:space="0"/>
        <w:bottom w:val="single" w:color="000000" w:sz="4" w:space="0"/>
        <w:right w:val="single" w:color="000000" w:sz="4" w:space="0"/>
      </w:pBdr>
      <w:spacing w:after="100" w:afterAutospacing="1" w:before="100" w:beforeAutospacing="1"/>
      <w:ind/>
    </w:pPr>
  </w:style>
  <w:style w:type="paragraph" w:styleId="1107" w:customStyle="1">
    <w:name w:val="xl294"/>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8">
    <w:name w:val="Title"/>
    <w:basedOn w:val="1011"/>
    <w:link w:val="1109"/>
    <w:qFormat/>
    <w:pPr>
      <w:pBdr/>
      <w:spacing/>
      <w:ind/>
      <w:jc w:val="center"/>
    </w:pPr>
    <w:rPr>
      <w:b/>
      <w:bCs/>
      <w:sz w:val="32"/>
      <w:szCs w:val="26"/>
    </w:rPr>
  </w:style>
  <w:style w:type="character" w:styleId="1109" w:customStyle="1">
    <w:name w:val="Title Char"/>
    <w:basedOn w:val="1016"/>
    <w:link w:val="1108"/>
    <w:pPr>
      <w:pBdr/>
      <w:spacing/>
      <w:ind/>
    </w:pPr>
    <w:rPr>
      <w:rFonts w:ascii="Times New Roman" w:hAnsi="Times New Roman" w:eastAsia="Times New Roman" w:cs="Times New Roman"/>
      <w:b/>
      <w:bCs/>
      <w:sz w:val="32"/>
      <w:szCs w:val="26"/>
    </w:rPr>
  </w:style>
  <w:style w:type="character" w:styleId="1110" w:customStyle="1">
    <w:name w:val="Unresolved Mention1"/>
    <w:basedOn w:val="1016"/>
    <w:uiPriority w:val="99"/>
    <w:semiHidden/>
    <w:unhideWhenUsed/>
    <w:pPr>
      <w:pBdr/>
      <w:spacing/>
      <w:ind/>
    </w:pPr>
    <w:rPr>
      <w:color w:val="605e5c"/>
      <w:shd w:val="clear" w:color="auto" w:fill="e1dfdd"/>
    </w:rPr>
  </w:style>
  <w:style w:type="character" w:styleId="1111" w:customStyle="1">
    <w:name w:val="Body text (3)_"/>
    <w:link w:val="1112"/>
    <w:pPr>
      <w:pBdr/>
      <w:spacing/>
      <w:ind/>
    </w:pPr>
    <w:rPr>
      <w:rFonts w:ascii="Times New Roman" w:hAnsi="Times New Roman" w:cs="Times New Roman"/>
      <w:i/>
      <w:iCs/>
      <w:spacing w:val="4"/>
      <w:shd w:val="clear" w:color="auto" w:fill="ffffff"/>
    </w:rPr>
  </w:style>
  <w:style w:type="paragraph" w:styleId="1112" w:customStyle="1">
    <w:name w:val="Body text (3)1"/>
    <w:basedOn w:val="1011"/>
    <w:link w:val="1111"/>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3" w:customStyle="1">
    <w:name w:val="t-j"/>
    <w:basedOn w:val="1011"/>
    <w:pPr>
      <w:pBdr/>
      <w:spacing w:after="100" w:afterAutospacing="1" w:before="100" w:beforeAutospacing="1"/>
      <w:ind/>
    </w:pPr>
  </w:style>
  <w:style w:type="character" w:styleId="1114" w:customStyle="1">
    <w:name w:val="Unresolved Mention2"/>
    <w:basedOn w:val="1016"/>
    <w:uiPriority w:val="99"/>
    <w:semiHidden/>
    <w:unhideWhenUsed/>
    <w:pPr>
      <w:pBdr/>
      <w:spacing/>
      <w:ind/>
    </w:pPr>
    <w:rPr>
      <w:color w:val="605e5c"/>
      <w:shd w:val="clear" w:color="auto" w:fill="e1dfdd"/>
    </w:rPr>
  </w:style>
  <w:style w:type="character" w:styleId="1115">
    <w:name w:val="FollowedHyperlink"/>
    <w:basedOn w:val="1016"/>
    <w:uiPriority w:val="99"/>
    <w:semiHidden/>
    <w:unhideWhenUsed/>
    <w:pPr>
      <w:pBdr/>
      <w:spacing/>
      <w:ind/>
    </w:pPr>
    <w:rPr>
      <w:color w:val="800080" w:themeColor="followedHyperlink"/>
      <w:u w:val="single"/>
    </w:rPr>
  </w:style>
  <w:style w:type="character" w:styleId="1116" w:customStyle="1">
    <w:name w:val="text"/>
    <w:basedOn w:val="1016"/>
    <w:pPr>
      <w:pBdr/>
      <w:spacing/>
      <w:ind/>
    </w:pPr>
  </w:style>
  <w:style w:type="character" w:styleId="1117" w:customStyle="1">
    <w:name w:val="card-send-time__sendtime"/>
    <w:basedOn w:val="1016"/>
    <w:pPr>
      <w:pBdr/>
      <w:spacing/>
      <w:ind/>
    </w:pPr>
  </w:style>
  <w:style w:type="character" w:styleId="1118" w:customStyle="1">
    <w:name w:val="Đề cập Chưa giải quyết1"/>
    <w:basedOn w:val="1016"/>
    <w:uiPriority w:val="99"/>
    <w:semiHidden/>
    <w:unhideWhenUsed/>
    <w:pPr>
      <w:pBdr/>
      <w:spacing/>
      <w:ind/>
    </w:pPr>
    <w:rPr>
      <w:color w:val="605e5c"/>
      <w:shd w:val="clear" w:color="auto" w:fill="e1dfdd"/>
    </w:rPr>
  </w:style>
  <w:style w:type="paragraph" w:styleId="1119" w:customStyle="1">
    <w:name w:val="nqtitle"/>
    <w:basedOn w:val="1011"/>
    <w:pPr>
      <w:pBdr/>
      <w:spacing w:after="100" w:afterAutospacing="1" w:before="100" w:beforeAutospacing="1"/>
      <w:ind/>
    </w:pPr>
    <w:rPr>
      <w:lang w:val="vi-VN" w:eastAsia="vi-VN"/>
    </w:rPr>
  </w:style>
  <w:style w:type="character" w:styleId="1120" w:customStyle="1">
    <w:name w:val="List Paragraph Char"/>
    <w:link w:val="1033"/>
    <w:uiPriority w:val="34"/>
    <w:qFormat/>
    <w:pPr>
      <w:pBdr/>
      <w:spacing/>
      <w:ind/>
    </w:pPr>
    <w:rPr>
      <w:rFonts w:ascii="Times New Roman" w:hAnsi="Times New Roman" w:eastAsia="Times New Roman" w:cs="Times New Roman"/>
      <w:sz w:val="24"/>
      <w:szCs w:val="24"/>
    </w:rPr>
  </w:style>
  <w:style w:type="character" w:styleId="1121" w:customStyle="1">
    <w:name w:val="Đề cập Chưa giải quyết2"/>
    <w:basedOn w:val="1016"/>
    <w:uiPriority w:val="99"/>
    <w:semiHidden/>
    <w:unhideWhenUsed/>
    <w:pPr>
      <w:pBdr/>
      <w:spacing/>
      <w:ind/>
    </w:pPr>
    <w:rPr>
      <w:color w:val="605e5c"/>
      <w:shd w:val="clear" w:color="auto" w:fill="e1dfdd"/>
    </w:rPr>
  </w:style>
  <w:style w:type="character" w:styleId="1122" w:customStyle="1">
    <w:name w:val="Unresolved Mention3"/>
    <w:basedOn w:val="1016"/>
    <w:uiPriority w:val="99"/>
    <w:semiHidden/>
    <w:unhideWhenUsed/>
    <w:pPr>
      <w:pBdr/>
      <w:spacing/>
      <w:ind/>
    </w:pPr>
    <w:rPr>
      <w:color w:val="605e5c"/>
      <w:shd w:val="clear" w:color="auto" w:fill="e1dfdd"/>
    </w:rPr>
  </w:style>
  <w:style w:type="character" w:styleId="1123" w:customStyle="1">
    <w:name w:val="copy"/>
    <w:basedOn w:val="1016"/>
    <w:pPr>
      <w:pBdr/>
      <w:spacing/>
      <w:ind/>
    </w:pPr>
  </w:style>
  <w:style w:type="paragraph" w:styleId="1124" w:customStyle="1">
    <w:name w:val="align-justify"/>
    <w:basedOn w:val="1011"/>
    <w:pPr>
      <w:pBdr/>
      <w:spacing w:after="100" w:afterAutospacing="1" w:before="100" w:beforeAutospacing="1"/>
      <w:ind/>
    </w:pPr>
  </w:style>
  <w:style w:type="character" w:styleId="1125" w:customStyle="1">
    <w:name w:val="btn"/>
    <w:basedOn w:val="1016"/>
    <w:pPr>
      <w:pBdr/>
      <w:spacing/>
      <w:ind/>
    </w:pPr>
  </w:style>
  <w:style w:type="character" w:styleId="1126" w:customStyle="1">
    <w:name w:val="hide_mobile"/>
    <w:basedOn w:val="1016"/>
    <w:pPr>
      <w:pBdr/>
      <w:spacing/>
      <w:ind/>
    </w:pPr>
  </w:style>
  <w:style w:type="character" w:styleId="1127">
    <w:name w:val="Emphasis"/>
    <w:basedOn w:val="1016"/>
    <w:uiPriority w:val="20"/>
    <w:qFormat/>
    <w:pPr>
      <w:pBdr/>
      <w:spacing/>
      <w:ind/>
    </w:pPr>
    <w:rPr>
      <w:i/>
      <w:iCs/>
    </w:rPr>
  </w:style>
  <w:style w:type="character" w:styleId="1128" w:customStyle="1">
    <w:name w:val="t1"/>
    <w:basedOn w:val="1016"/>
    <w:pPr>
      <w:pBdr/>
      <w:spacing/>
      <w:ind/>
    </w:pPr>
  </w:style>
  <w:style w:type="character" w:styleId="1129" w:customStyle="1">
    <w:name w:val="Unresolved Mention4"/>
    <w:basedOn w:val="1016"/>
    <w:uiPriority w:val="99"/>
    <w:semiHidden/>
    <w:unhideWhenUsed/>
    <w:pPr>
      <w:pBdr/>
      <w:spacing/>
      <w:ind/>
    </w:pPr>
    <w:rPr>
      <w:color w:val="605e5c"/>
      <w:shd w:val="clear" w:color="auto" w:fill="e1dfdd"/>
    </w:rPr>
  </w:style>
  <w:style w:type="character" w:styleId="1130">
    <w:name w:val="Unresolved Mention"/>
    <w:basedOn w:val="1016"/>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Thùy Dương</cp:lastModifiedBy>
  <cp:revision>282</cp:revision>
  <dcterms:created xsi:type="dcterms:W3CDTF">2025-09-15T09:58:00Z</dcterms:created>
  <dcterms:modified xsi:type="dcterms:W3CDTF">2026-09-10T07:09:02Z</dcterms:modified>
</cp:coreProperties>
</file>