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63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636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7365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highlight w:val="white"/>
                              </w:rPr>
                              <w:t xml:space="preserve">Số: 275/2026/1368/VFI-CT.T04.A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highlight w:val="white"/>
                              </w:rPr>
                              <w:t xml:space="preserve">Khách hàng yêu cầu: BÀ NGUYỄN THỊ THỦY</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gắ</w:t>
                            </w:r>
                            <w:r>
                              <w:rPr>
                                <w:rFonts w:ascii="Times New Roman" w:hAnsi="Times New Roman" w:eastAsia="Times New Roman" w:cs="Times New Roman"/>
                                <w:color w:val="000000"/>
                                <w:sz w:val="24"/>
                              </w:rPr>
                              <w:t xml:space="preserve">n liền với đất số: CK 033626, Số vào sổ cấp GCN: CTs135196 do Sở Tài nguyên và môi trường TP. Đà Nẵng  cấp ngày 11/8/2017; chủ sử dụng đất là  Bà Nguyễn Thị Thủy</w:t>
                            </w:r>
                            <w:r>
                              <w:rPr>
                                <w:rFonts w:ascii="Times New Roman" w:hAnsi="Times New Roman" w:eastAsia="Times New Roman" w:cs="Times New Roman"/>
                                <w:i/>
                                <w:color w:val="000000"/>
                                <w:sz w:val="24"/>
                              </w:rPr>
                              <w:t xml:space="preserve">.</w:t>
                            </w:r>
                            <w:r>
                              <w:rPr>
                                <w:rFonts w:ascii="Times New Roman" w:hAnsi="Times New Roman" w:eastAsia="Times New Roman" w:cs="Times New Roman"/>
                                <w:color w:val="000000"/>
                                <w:sz w:val="24"/>
                              </w:rPr>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12.10pt;mso-wrap-distance-left:9.00pt;mso-wrap-distance-top:0.00pt;mso-wrap-distance-right:9.00pt;mso-wrap-distance-bottom:0.00pt;v-text-anchor:top;visibility:visible;" fillcolor="#FFFFFF" strokecolor="#16355B" strokeweight="2.50pt">
                <v:textbox inset="0,0,0,0">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7365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highlight w:val="white"/>
                        </w:rPr>
                        <w:t xml:space="preserve">Số: 275/2026/1368/VFI-CT.T04.A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highlight w:val="white"/>
                        </w:rPr>
                        <w:t xml:space="preserve">Khách hàng yêu cầu: BÀ NGUYỄN THỊ THỦY</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gắ</w:t>
                      </w:r>
                      <w:r>
                        <w:rPr>
                          <w:rFonts w:ascii="Times New Roman" w:hAnsi="Times New Roman" w:eastAsia="Times New Roman" w:cs="Times New Roman"/>
                          <w:color w:val="000000"/>
                          <w:sz w:val="24"/>
                        </w:rPr>
                        <w:t xml:space="preserve">n liền với đất số: CK 033626, Số vào sổ cấp GCN: CTs135196 do Sở Tài nguyên và môi trường TP. Đà Nẵng  cấp ngày 11/8/2017; chủ sử dụng đất là  Bà Nguyễn Thị Thủy</w:t>
                      </w:r>
                      <w:r>
                        <w:rPr>
                          <w:rFonts w:ascii="Times New Roman" w:hAnsi="Times New Roman" w:eastAsia="Times New Roman" w:cs="Times New Roman"/>
                          <w:i/>
                          <w:color w:val="000000"/>
                          <w:sz w:val="24"/>
                        </w:rPr>
                        <w:t xml:space="preserve">.</w:t>
                      </w:r>
                      <w:r>
                        <w:rPr>
                          <w:rFonts w:ascii="Times New Roman" w:hAnsi="Times New Roman" w:eastAsia="Times New Roman" w:cs="Times New Roman"/>
                          <w:color w:val="000000"/>
                          <w:sz w:val="24"/>
                        </w:rPr>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21-26</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27-32</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275/2026/1368/VFI-CT.T04.A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Thủy</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spacing w:val="-4"/>
          <w:lang w:val="vi-VN"/>
        </w:rPr>
        <w:tab/>
      </w:r>
      <w:r>
        <w:rPr>
          <w:rFonts w:ascii="Times New Roman" w:hAnsi="Times New Roman" w:eastAsia="Times New Roman" w:cs="Times New Roman"/>
          <w:color w:val="000000"/>
          <w:spacing w:val="-4"/>
          <w:sz w:val="24"/>
        </w:rPr>
        <w:t xml:space="preserve">Căn cứ Hợp đồng dịch vụ thẩm định giá số: 275/2026/1368/VFI-HĐTĐ.T04.A ký ngày 29 tháng 8 năm 2026 giữa </w:t>
      </w:r>
      <w:r>
        <w:rPr>
          <w:rFonts w:ascii="Times New Roman" w:hAnsi="Times New Roman" w:eastAsia="Times New Roman" w:cs="Times New Roman"/>
          <w:color w:val="000000"/>
          <w:spacing w:val="-4"/>
          <w:sz w:val="24"/>
          <w:highlight w:val="white"/>
        </w:rPr>
        <w:t xml:space="preserve">Nguyễn Thị Thủy</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275/2026/1368/VFI-BC.T04.A ngày 3 tháng 9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Bà Nguyễn Thị Thủy</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027174001964</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Năm sinh:</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1974</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xã Đại Đồng, tỉnh Bắc Ninh</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rFonts w:ascii="Times New Roman" w:hAnsi="Times New Roman" w:eastAsia="Times New Roman" w:cs="Times New Roman"/>
                <w:b/>
                <w:color w:val="000000"/>
                <w:sz w:val="24"/>
              </w:rPr>
              <w:t xml:space="preserve">Chức vụ: Chủ tịch HĐQT kiêm TGĐ</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gắ</w:t>
      </w:r>
      <w:r>
        <w:rPr>
          <w:rFonts w:ascii="Times New Roman" w:hAnsi="Times New Roman" w:eastAsia="Times New Roman" w:cs="Times New Roman"/>
          <w:color w:val="000000"/>
          <w:sz w:val="24"/>
        </w:rPr>
        <w:t xml:space="preserve">n liền với đất số: CK 033626, Số vào sổ cấp GCN: CTs135196 do Sở Tài nguyên và môi trường TP. Đà Nẵng  cấp ngày 11/8/2017; chủ sử dụng đất là Bà Nguyễn Thị Thủy </w:t>
      </w:r>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w:t>
            </w:r>
            <w:r>
              <w:rPr>
                <w:rFonts w:ascii="Times New Roman" w:hAnsi="Times New Roman" w:eastAsia="Times New Roman" w:cs="Times New Roman"/>
                <w:b/>
                <w:color w:val="000000"/>
                <w:sz w:val="24"/>
              </w:rPr>
              <w:t xml:space="preserve">ắn liền với đất số: CK 033626, Số vào sổ cấp GCN:CTs135196 do Sở Tài nguyên và môi trường TP. Đà Nẵng  cấp ngày 11/8/2017; chủ sử dụng đất là Bà Nguyễn Thị Thủy </w:t>
            </w:r>
            <w: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90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right"/>
              <w:rPr/>
            </w:pPr>
            <w:r>
              <w:rPr>
                <w:color w:val="000000" w:themeColor="text1"/>
              </w:rPr>
              <w:t xml:space="preserve">48.252.000</w:t>
            </w:r>
            <w:r/>
            <w:r/>
          </w:p>
        </w:tc>
        <w:tc>
          <w:tcPr>
            <w:shd w:val="clear" w:color="000000" w:fill="ffffff"/>
            <w:tcBorders/>
            <w:tcW w:w="1136" w:type="pct"/>
            <w:vAlign w:val="center"/>
            <w:textDirection w:val="lrTb"/>
            <w:noWrap w:val="false"/>
          </w:tcPr>
          <w:p>
            <w:pPr>
              <w:pBdr/>
              <w:spacing w:after="40" w:before="40" w:line="288" w:lineRule="auto"/>
              <w:ind/>
              <w:jc w:val="right"/>
              <w:rPr/>
            </w:pPr>
            <w:r>
              <w:rPr>
                <w:color w:val="000000" w:themeColor="text1"/>
              </w:rPr>
            </w:r>
            <w:r>
              <w:rPr>
                <w:color w:val="000000" w:themeColor="text1"/>
              </w:rPr>
              <w:t xml:space="preserve">4.342.680.000</w:t>
            </w: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right"/>
              <w:rPr>
                <w:b/>
                <w:bCs/>
              </w:rPr>
            </w:pPr>
            <w:r>
              <w:rPr>
                <w:color w:val="000000" w:themeColor="text1"/>
              </w:rPr>
            </w:r>
            <w:r>
              <w:rPr>
                <w:b/>
                <w:bCs/>
                <w:color w:val="000000" w:themeColor="text1"/>
              </w:rPr>
              <w:t xml:space="preserve">4.342.680.000</w:t>
            </w:r>
            <w:r>
              <w:rPr>
                <w:b/>
                <w:bCs/>
              </w:rPr>
            </w:r>
            <w:r>
              <w:rPr>
                <w:b/>
                <w:bCs/>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ba trăm bốn mươi hai triệu sáu trăm tám mươi nghìn đồng </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55" w:type="dxa"/>
        <w:tblW w:w="9921" w:type="dxa"/>
        <w:tblBorders/>
        <w:tblLayout w:type="fixed"/>
        <w:tblLook w:val="04A0" w:firstRow="1" w:lastRow="0" w:firstColumn="1" w:lastColumn="0" w:noHBand="0" w:noVBand="1"/>
      </w:tblPr>
      <w:tblGrid>
        <w:gridCol w:w="1787"/>
        <w:gridCol w:w="2335"/>
        <w:gridCol w:w="5799"/>
      </w:tblGrid>
      <w:tr>
        <w:trPr>
          <w:trHeight w:val="1843"/>
        </w:trPr>
        <w:tc>
          <w:tcPr>
            <w:tcBorders/>
            <w:tcW w:w="178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275/2026/1368/VFI-CT.T04.A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799"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r>
        <w:trPr>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5799"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275/2026/1368/VFI-CT.T04.A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        </w:t>
            </w:r>
            <w:r>
              <w:rPr>
                <w:rFonts w:ascii="Times New Roman" w:hAnsi="Times New Roman" w:eastAsia="Times New Roman" w:cs="Times New Roman"/>
                <w:b/>
                <w:color w:val="000000"/>
                <w:sz w:val="24"/>
              </w:rPr>
              <w:t xml:space="preserve">Chức vụ: Chủ tịch HĐQT kiêm TGĐ</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Bà Nguyễn Thị Thủy</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027174001964</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Năm sinh:</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1974</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xã Đại Đồng, tỉnh Bắc Ninh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w:t>
            </w:r>
            <w:r>
              <w:rPr>
                <w:rFonts w:ascii="Times New Roman" w:hAnsi="Times New Roman" w:eastAsia="Times New Roman" w:cs="Times New Roman"/>
                <w:color w:val="000000"/>
                <w:sz w:val="24"/>
              </w:rPr>
              <w:t xml:space="preserve">ắn liền với đất số: CK 033626, Số vào sổ cấp GCN: CTs135196 do Sở Tài nguyên và môi trường TP. Đà Nẵng  cấp ngày 11/8/2017; chủ sử dụng đất là Bà Nguyễn Thị Thủy</w:t>
            </w:r>
            <w:r>
              <w:rPr>
                <w:rFonts w:ascii="Times New Roman" w:hAnsi="Times New Roman" w:eastAsia="Times New Roman" w:cs="Times New Roman"/>
                <w:color w:val="000000"/>
                <w:spacing w:val="2"/>
                <w:sz w:val="24"/>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Ngũ Hành Sơn,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15.986222222222, 108.27044444444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CK 033626, Số vào sổ cấp GCN: CTs135196 do Sở Tài nguyên và môi trường TP. Đà Nẵng  cấp ngày 11/8/2017; chủ sử dụng đất là bà Nguyễn Thị Thủy.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275/2026/1368/VFI-HĐTĐ.T04.A ngày 29/08/2026 giữa bà Nguyễn Thị Thủy với Công ty Cổ phần Thẩm định và Đầu tư Tài chính Hoa Sen.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lang w:val="pt-BR"/>
        </w:rPr>
        <w:tab/>
      </w:r>
      <w:r>
        <w:rPr>
          <w:rFonts w:ascii="Times New Roman" w:hAnsi="Times New Roman" w:eastAsia="Times New Roman" w:cs="Times New Roman"/>
          <w:color w:val="000000"/>
          <w:sz w:val="24"/>
        </w:rPr>
        <w:t xml:space="preserve">Thị trường mua bán bất động sản Đà Nẵng đang có những chuyển biến tích cực sau giai đoạn trầm lắng, với thanh khoản từng bước được cải thiện và tâm lý người mua dần ổn định hơn. Là một trong những trung tâm kinh tế, du lịch và dịch vụ lớn của miền Trung, Đ</w:t>
      </w:r>
      <w:r>
        <w:rPr>
          <w:rFonts w:ascii="Times New Roman" w:hAnsi="Times New Roman" w:eastAsia="Times New Roman" w:cs="Times New Roman"/>
          <w:color w:val="000000"/>
          <w:sz w:val="24"/>
        </w:rPr>
        <w:t xml:space="preserve">à Nẵng sở hữu lợi thế về hạ tầng giao thông, môi trường sống, hệ thống dịch vụ và khả năng kết nối với các địa phương trong khu vực. Những yếu tố này tạo nền tảng cho nhu cầu mua bán bất động sản, đặc biệt tại các khu vực trung tâm thành phố, ven biển và n</w:t>
      </w:r>
      <w:r>
        <w:rPr>
          <w:rFonts w:ascii="Times New Roman" w:hAnsi="Times New Roman" w:eastAsia="Times New Roman" w:cs="Times New Roman"/>
          <w:color w:val="000000"/>
          <w:sz w:val="24"/>
        </w:rPr>
        <w:t xml:space="preserve">hững nơi có tốc độ phát triển hạ tầng nhanh. Tuy nhiên, thị trường hiện không còn diễn biến theo hướng tăng giá đồng loạt mà có sự phân hóa mạnh giữa các khu vực và loại hình sản phẩm, trong đó những bất động sản có vị trí tốt, pháp lý rõ ràng và đáp ứng đ</w:t>
      </w:r>
      <w:r>
        <w:rPr>
          <w:rFonts w:ascii="Times New Roman" w:hAnsi="Times New Roman" w:eastAsia="Times New Roman" w:cs="Times New Roman"/>
          <w:color w:val="000000"/>
          <w:sz w:val="24"/>
        </w:rPr>
        <w:t xml:space="preserve">ược nhu cầu ở thực hoặc khai thác kinh doanh thường có lợi thế hơn về thanh khoản.</w:t>
      </w:r>
      <w:r/>
    </w:p>
    <w:p>
      <w:pPr>
        <w:pBdr>
          <w:top w:val="none" w:color="000000" w:sz="4" w:space="0"/>
          <w:left w:val="none" w:color="000000" w:sz="4" w:space="0"/>
          <w:bottom w:val="none" w:color="000000" w:sz="4" w:space="0"/>
          <w:right w:val="none" w:color="000000" w:sz="4" w:space="0"/>
        </w:pBdr>
        <w:spacing w:line="276" w:lineRule="auto"/>
        <w:ind w:right="0" w:firstLine="360" w:left="0"/>
        <w:jc w:val="both"/>
        <w:rPr/>
      </w:pPr>
      <w:r>
        <w:rPr>
          <w:rFonts w:ascii="Times New Roman" w:hAnsi="Times New Roman" w:eastAsia="Times New Roman" w:cs="Times New Roman"/>
          <w:color w:val="000000"/>
          <w:sz w:val="24"/>
        </w:rPr>
        <w:t xml:space="preserve">Xét về cơ cấu giao dịch, căn hộ và đất nền vẫn là những phân khúc được thị trường quan tâm nhiều, nhưng động lực mua của khách hàng đã có sự thay đổi. Người mua ở thực có xu hướng ưu tiên các dự án có vị trí thuận tiện, tiện ích đầy đủ, chất lượng xây dựng</w:t>
      </w:r>
      <w:r>
        <w:rPr>
          <w:rFonts w:ascii="Times New Roman" w:hAnsi="Times New Roman" w:eastAsia="Times New Roman" w:cs="Times New Roman"/>
          <w:color w:val="000000"/>
          <w:sz w:val="24"/>
        </w:rPr>
        <w:t xml:space="preserve"> tốt và mức giá phù hợp với khả năng tài chính. Trong khi đó, nhà đầu tư thường quan tâm nhiều hơn đến khả năng khai thác cho thuê, kinh doanh, tính thanh khoản và dư địa tăng giá trong tương lai. Đối với đất nền, nhu cầu vẫn tồn tại nhưng khách hàng có xu</w:t>
      </w:r>
      <w:r>
        <w:rPr>
          <w:rFonts w:ascii="Times New Roman" w:hAnsi="Times New Roman" w:eastAsia="Times New Roman" w:cs="Times New Roman"/>
          <w:color w:val="000000"/>
          <w:sz w:val="24"/>
        </w:rPr>
        <w:t xml:space="preserve"> hướng lựa chọn thận trọng, tập trung vào những khu vực đã hình thành hạ tầng và có tốc độ đô thị hóa rõ rệt. Bên cạnh đó, bất động sản nghỉ dưỡng – vốn là một thế mạnh của Đà Nẵng – đang trong quá trình phục hồi và cần thêm thời gian để giải quyết các vấn</w:t>
      </w:r>
      <w:r>
        <w:rPr>
          <w:rFonts w:ascii="Times New Roman" w:hAnsi="Times New Roman" w:eastAsia="Times New Roman" w:cs="Times New Roman"/>
          <w:color w:val="000000"/>
          <w:sz w:val="24"/>
        </w:rPr>
        <w:t xml:space="preserve"> đề liên quan đến pháp lý, hiệu quả khai thác và niềm tin của nhà đầu tư.</w:t>
      </w:r>
      <w:r/>
    </w:p>
    <w:p>
      <w:pPr>
        <w:pBdr>
          <w:top w:val="none" w:color="000000" w:sz="4" w:space="0"/>
          <w:left w:val="none" w:color="000000" w:sz="4" w:space="0"/>
          <w:bottom w:val="none" w:color="000000" w:sz="4" w:space="0"/>
          <w:right w:val="none" w:color="000000" w:sz="4" w:space="0"/>
        </w:pBdr>
        <w:spacing/>
        <w:ind w:right="0" w:firstLine="360" w:left="0"/>
        <w:jc w:val="both"/>
        <w:rPr/>
      </w:pPr>
      <w:r>
        <w:rPr>
          <w:rFonts w:ascii="Times New Roman" w:hAnsi="Times New Roman" w:eastAsia="Times New Roman" w:cs="Times New Roman"/>
          <w:color w:val="000000"/>
          <w:sz w:val="24"/>
        </w:rPr>
        <w:t xml:space="preserve">Một số báo cáo thị trường gần đây cũng cho thấy sự phục hồi của bất động sản Đà Nẵng nhưng đồng thời phản ánh xu hướng phân hóa ngày càng rõ giữa các phân khúc. Theo báo cáo của DKRA Consulting được Thời báo VTV dẫn lại, trong năm 2025, nguồn cung căn hộ t</w:t>
      </w:r>
      <w:r>
        <w:rPr>
          <w:rFonts w:ascii="Times New Roman" w:hAnsi="Times New Roman" w:eastAsia="Times New Roman" w:cs="Times New Roman"/>
          <w:color w:val="000000"/>
          <w:sz w:val="24"/>
        </w:rPr>
        <w:t xml:space="preserve">ại Đà Nẵng tăng 74% so với cùng kỳ, trong khi lượng tiêu thụ tăng 94%; nguồn cung đất nền cũng tăng 79% và lượng tiêu thụ tăng khoảng 6 lần so với năm 2024. Đáng chú ý, giá bán sơ cấp căn hộ tăng khoảng 10–15%, còn giá thứ cấp đất nền tăng trung bình khoản</w:t>
      </w:r>
      <w:r>
        <w:rPr>
          <w:rFonts w:ascii="Times New Roman" w:hAnsi="Times New Roman" w:eastAsia="Times New Roman" w:cs="Times New Roman"/>
          <w:color w:val="000000"/>
          <w:sz w:val="24"/>
        </w:rPr>
        <w:t xml:space="preserve">g 31% so với cuối năm 2024. Những số liệu này cho thấy dòng tiền đang có xu hướng quay trở lại thị trường, đặc biệt đối với những sản phẩm có vị trí tốt và khả năng đáp ứng nhu cầu thực.</w:t>
      </w:r>
      <w:r/>
    </w:p>
    <w:p>
      <w:pPr>
        <w:pBdr>
          <w:top w:val="none" w:color="000000" w:sz="4" w:space="0"/>
          <w:left w:val="none" w:color="000000" w:sz="4" w:space="0"/>
          <w:bottom w:val="none" w:color="000000" w:sz="4" w:space="0"/>
          <w:right w:val="none" w:color="000000" w:sz="4" w:space="0"/>
        </w:pBdr>
        <w:spacing/>
        <w:ind w:right="0" w:firstLine="360" w:left="0"/>
        <w:jc w:val="both"/>
        <w:rPr/>
      </w:pPr>
      <w:r>
        <w:rPr>
          <w:rFonts w:ascii="Times New Roman" w:hAnsi="Times New Roman" w:eastAsia="Times New Roman" w:cs="Times New Roman"/>
          <w:color w:val="000000"/>
          <w:sz w:val="24"/>
        </w:rPr>
        <w:t xml:space="preserve">Bước sang năm 2026, xu hướng này tiếp tục được duy trì nhưng theo hướng thận trọng hơn. Theo DKRA Consulting, nguồn cung căn hộ mới trong quý II/2026 dự kiến khoảng 1.000–1.500 căn, trong đó phân khúc hạng A tiếp tục giữ vai trò chủ đạo; thị trường đất nền</w:t>
      </w:r>
      <w:r>
        <w:rPr>
          <w:rFonts w:ascii="Times New Roman" w:hAnsi="Times New Roman" w:eastAsia="Times New Roman" w:cs="Times New Roman"/>
          <w:color w:val="000000"/>
          <w:sz w:val="24"/>
        </w:rPr>
        <w:t xml:space="preserve"> vẫn trong tình trạng khan hiếm nguồn cung mới và giao dịch chủ yếu tập trung vào các dự án quy mô lớn, có pháp lý hoàn thiện và chủ đầu tư uy tín. Trong khi đó, bất động sản nghỉ dưỡng vẫn gặp khó khăn về thanh khoản do những vấn đề liên quan đến pháp lý </w:t>
      </w:r>
      <w:r>
        <w:rPr>
          <w:rFonts w:ascii="Times New Roman" w:hAnsi="Times New Roman" w:eastAsia="Times New Roman" w:cs="Times New Roman"/>
          <w:color w:val="000000"/>
          <w:sz w:val="24"/>
        </w:rPr>
        <w:t xml:space="preserve">và tâm lý thận trọng của nhà đầu tư. Điều này cho thấy thị trường Đà Nẵng đang chuyển từ giai đoạn phục hồi theo diện rộng sang giai đoạn tăng trưởng có chọn lọc, trong đó chất lượng dự án, pháp lý, vị trí và khả năng khai thác thực tế ngày càng trở thành </w:t>
      </w:r>
      <w:r>
        <w:rPr>
          <w:rFonts w:ascii="Times New Roman" w:hAnsi="Times New Roman" w:eastAsia="Times New Roman" w:cs="Times New Roman"/>
          <w:color w:val="000000"/>
          <w:sz w:val="24"/>
        </w:rPr>
        <w:t xml:space="preserve">những yếu tố quyết định đến khả năng giao dịch và tăng giá của bất động sản.</w:t>
      </w:r>
      <w:r/>
    </w:p>
    <w:p>
      <w:pPr>
        <w:pBdr/>
        <w:tabs>
          <w:tab w:val="left" w:leader="none" w:pos="426"/>
        </w:tabs>
        <w:spacing w:after="120" w:before="120" w:line="276" w:lineRule="auto"/>
        <w:ind/>
        <w:rPr>
          <w:bCs/>
          <w:i/>
          <w:lang w:val="pt-BR"/>
        </w:rPr>
      </w:pPr>
      <w:r>
        <w:rPr>
          <w:rFonts w:ascii="Times New Roman" w:hAnsi="Times New Roman" w:eastAsia="Times New Roman" w:cs="Times New Roman"/>
          <w:color w:val="000000"/>
          <w:sz w:val="24"/>
        </w:rPr>
        <w:t xml:space="preserve">Trong thời gian tới, triển vọng của thị trường bất động sản Đà Nẵng được đánh giá tích cực nhờ sự phát triển của hạ tầng đô thị, du lịch, thương mại – dịch vụ và xu hướng mở rộng không gian đô thị. Khi các dự án hạ tầng lớn được triển khai và hoạt động du </w:t>
      </w:r>
      <w:r>
        <w:rPr>
          <w:rFonts w:ascii="Times New Roman" w:hAnsi="Times New Roman" w:eastAsia="Times New Roman" w:cs="Times New Roman"/>
          <w:color w:val="000000"/>
          <w:sz w:val="24"/>
        </w:rPr>
        <w:t xml:space="preserve">lịch, kinh tế tiếp tục tăng trưởng, nhu cầu về nhà ở, lưu trú, kinh doanh và đầu tư bất động sản có khả năng tiếp tục gia tăng. Tuy nhiên, thị trường được dự báo sẽ phát triển theo hướng ổn định và chọn lọc, thay vì tăng trưởng nóng. Do đó, yếu tố quyết đị</w:t>
      </w:r>
      <w:r>
        <w:rPr>
          <w:rFonts w:ascii="Times New Roman" w:hAnsi="Times New Roman" w:eastAsia="Times New Roman" w:cs="Times New Roman"/>
          <w:color w:val="000000"/>
          <w:sz w:val="24"/>
        </w:rPr>
        <w:t xml:space="preserve">nh khả năng tăng giá không chỉ nằm ở mặt bằng giá hiện tại mà còn phụ thuộc vào vị trí, pháp lý, chất lượng dự án, khả năng khai thác dòng tiền và mức độ hưởng lợi từ hạ tầng. Đây cũng là cơ sở để nhà đầu tư khi tham gia thị trường Đà Nẵng cần ưu tiên các </w:t>
      </w:r>
      <w:r>
        <w:rPr>
          <w:rFonts w:ascii="Times New Roman" w:hAnsi="Times New Roman" w:eastAsia="Times New Roman" w:cs="Times New Roman"/>
          <w:color w:val="000000"/>
          <w:sz w:val="24"/>
        </w:rPr>
        <w:t xml:space="preserve">sản phẩm có giá trị sử dụng thực, tính thanh khoản cao và tiềm năng tăng trưởng dài hạn, thay vì chỉ kỳ vọng vào việc tăng giá trong ngắn hạn.</w:t>
      </w:r>
      <w:r>
        <w:rPr>
          <w:bCs/>
          <w:i/>
          <w:lang w:val="pt-BR"/>
        </w:rPr>
      </w:r>
      <w:r>
        <w:rPr>
          <w:bCs/>
          <w:i/>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8"/>
        <w:gridCol w:w="2124"/>
        <w:gridCol w:w="2219"/>
        <w:gridCol w:w="2159"/>
        <w:gridCol w:w="2555"/>
      </w:tblGrid>
      <w:tr>
        <w:trPr>
          <w:trHeight w:val="1896"/>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both"/>
              <w:rPr/>
            </w:pPr>
            <w:r>
              <w:rPr>
                <w:rFonts w:ascii="Times New Roman" w:hAnsi="Times New Roman" w:eastAsia="Times New Roman" w:cs="Times New Roman"/>
                <w:b/>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w:t>
            </w:r>
            <w:r>
              <w:rPr>
                <w:rFonts w:ascii="Times New Roman" w:hAnsi="Times New Roman" w:eastAsia="Times New Roman" w:cs="Times New Roman"/>
                <w:b/>
                <w:color w:val="000000"/>
                <w:sz w:val="24"/>
              </w:rPr>
              <w:t xml:space="preserve">ắn liền với đất số: CK 033626, Số vào sổ cấp GCN: CTs135196 do Sở Tài nguyên và môi trường TP. Đà Nẵng  cấp ngày 11/8/2017; chủ sử dụng đất là Bà Nguyễn Thị Thủy.</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161</w:t>
            </w:r>
            <w:r/>
          </w:p>
        </w:tc>
      </w:tr>
      <w:tr>
        <w:trPr>
          <w:trHeight w:val="615"/>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93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Lô 43-B2.27B, TĐC Tân Trà, phường Hòa Hải, quận Ngũ Hành Sơn </w:t>
            </w:r>
            <w:r>
              <w:rPr>
                <w:rFonts w:ascii="Times New Roman" w:hAnsi="Times New Roman" w:eastAsia="Times New Roman" w:cs="Times New Roman"/>
                <w:i/>
                <w:color w:val="000000"/>
                <w:sz w:val="24"/>
              </w:rPr>
              <w:t xml:space="preserve">(nay là phường Ngũ Hành Sơn</w:t>
            </w:r>
            <w:r>
              <w:rPr>
                <w:rFonts w:ascii="Times New Roman" w:hAnsi="Times New Roman" w:eastAsia="Times New Roman" w:cs="Times New Roman"/>
                <w:color w:val="000000"/>
                <w:sz w:val="24"/>
              </w:rPr>
              <w:t xml:space="preserve">), thành phố Đà Nẵng </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90,00</w:t>
            </w:r>
            <w:r/>
          </w:p>
        </w:tc>
        <w:tc>
          <w:tcPr>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Mục đích sử dụng:</w:t>
            </w:r>
            <w:r/>
          </w:p>
        </w:tc>
        <w:tc>
          <w:tcPr>
            <w:tcBorders/>
            <w:tcMar>
              <w:left w:w="0" w:type="dxa"/>
              <w:top w:w="0" w:type="dxa"/>
              <w:right w:w="0" w:type="dxa"/>
              <w:bottom w:w="0" w:type="dxa"/>
            </w:tcMar>
            <w:tcW w:w="2219" w:type="dxa"/>
            <w:vAlign w:val="bottom"/>
            <w:textDirection w:val="lrTb"/>
            <w:noWrap/>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Lâu dài </w:t>
            </w:r>
            <w:r/>
          </w:p>
        </w:tc>
      </w:tr>
      <w:tr>
        <w:trPr>
          <w:trHeight w:val="270"/>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0" w:type="dxa"/>
              <w:top w:w="0" w:type="dxa"/>
              <w:right w:w="0" w:type="dxa"/>
              <w:bottom w:w="0" w:type="dxa"/>
            </w:tcMar>
            <w:tcW w:w="693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Nhận chuyển nhượng đất được Nhà nước giao đất có thu tiền sử dụng đất </w:t>
            </w:r>
            <w:r/>
          </w:p>
        </w:tc>
      </w:tr>
      <w:tr>
        <w:trPr>
          <w:trHeight w:val="555"/>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b/>
                <w:i/>
                <w:color w:val="000000"/>
                <w:sz w:val="24"/>
              </w:rPr>
              <w:t xml:space="preserve">không</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Thông tin quy hoạch:</w:t>
            </w:r>
            <w:r/>
          </w:p>
        </w:tc>
      </w:tr>
      <w:tr>
        <w:trPr>
          <w:trHeight w:val="600"/>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630"/>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4"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4" w:space="0"/>
              <w:right w:val="single" w:color="000000" w:sz="8" w:space="0"/>
            </w:tcBorders>
            <w:tcMar>
              <w:left w:w="0" w:type="dxa"/>
              <w:top w:w="0" w:type="dxa"/>
              <w:right w:w="0" w:type="dxa"/>
              <w:bottom w:w="0" w:type="dxa"/>
            </w:tcMar>
            <w:tcW w:w="693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TĐC Tân Trà, phường Ngũ Hành Sơn, thành phố Đà Nẵng</w:t>
            </w:r>
            <w:r/>
          </w:p>
        </w:tc>
      </w:tr>
      <w:tr>
        <w:trPr>
          <w:trHeight w:val="312"/>
        </w:trPr>
        <w:tc>
          <w:tcPr>
            <w:tcBorders>
              <w:left w:val="single" w:color="000000" w:sz="8" w:space="0"/>
              <w:bottom w:val="single" w:color="000000" w:sz="8" w:space="0"/>
              <w:right w:val="single" w:color="000000" w:sz="4"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Ngõ giao thông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4"/>
              </w:rPr>
              <w:t xml:space="preserve">1</w:t>
            </w:r>
            <w:r/>
          </w:p>
        </w:tc>
      </w:tr>
      <w:tr>
        <w:trPr>
          <w:trHeight w:val="1470"/>
        </w:trPr>
        <w:tc>
          <w:tcPr>
            <w:tcBorders>
              <w:left w:val="single" w:color="000000" w:sz="8" w:space="0"/>
              <w:bottom w:val="single" w:color="000000" w:sz="8" w:space="0"/>
              <w:right w:val="single" w:color="000000" w:sz="4"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4"/>
              </w:rPr>
              <w:t xml:space="preserve">Lòng đường 5,5m + vỉa hè 3m mỗi bên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4"/>
              </w:rPr>
              <w:t xml:space="preserve">Lòng đường 5,5m + vỉa hè 3m mỗi bên</w:t>
            </w:r>
            <w:r/>
          </w:p>
        </w:tc>
      </w:tr>
      <w:tr>
        <w:trPr>
          <w:trHeight w:val="930"/>
        </w:trPr>
        <w:tc>
          <w:tcPr>
            <w:tcBorders>
              <w:left w:val="single" w:color="000000" w:sz="8" w:space="0"/>
              <w:bottom w:val="single" w:color="000000" w:sz="8" w:space="0"/>
              <w:right w:val="single" w:color="000000" w:sz="4"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Khoảng cách đến trục đường chính:</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nằm trên mặt đường Lý Văn Phức, cách biển Tân Trà  550m</w:t>
            </w:r>
            <w:r/>
          </w:p>
        </w:tc>
      </w:tr>
      <w:tr>
        <w:trPr>
          <w:trHeight w:val="1283"/>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4" w:space="0"/>
              <w:bottom w:val="single" w:color="000000" w:sz="8" w:space="0"/>
              <w:right w:val="single" w:color="000000" w:sz="8" w:space="0"/>
            </w:tcBorders>
            <w:tcMar>
              <w:left w:w="0" w:type="dxa"/>
              <w:top w:w="0" w:type="dxa"/>
              <w:right w:w="0" w:type="dxa"/>
              <w:bottom w:w="0" w:type="dxa"/>
            </w:tcMar>
            <w:tcW w:w="69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Hướng  Đông Nam - tiếp giáp với đường Lý Văn Phức </w:t>
              <w:br/>
              <w:t xml:space="preserve"> Các hướng còn lại tiếp giáp với các thửa đất khác </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Vị trí trên bản đồ vệ tinh: (15.986222222222, 108.27044444444)</w:t>
            </w:r>
            <w:r/>
          </w:p>
        </w:tc>
      </w:tr>
      <w:tr>
        <w:trPr>
          <w:trHeight w:val="73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5543550" cy="28765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99982" name=""/>
                              <pic:cNvPicPr>
                                <a:picLocks noChangeAspect="1"/>
                              </pic:cNvPicPr>
                              <pic:nvPr/>
                            </pic:nvPicPr>
                            <pic:blipFill rotWithShape="1">
                              <a:blip r:embed="rId17"/>
                              <a:stretch/>
                            </pic:blipFill>
                            <pic:spPr bwMode="auto">
                              <a:xfrm>
                                <a:off x="0" y="0"/>
                                <a:ext cx="5543550" cy="2876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6.50pt;height:226.50pt;mso-wrap-distance-left:0.00pt;mso-wrap-distance-top:0.00pt;mso-wrap-distance-right:0.00pt;mso-wrap-distance-bottom:0.00pt;z-index:1;" stroked="false">
                      <v:imagedata r:id="rId17" o:title=""/>
                      <o:lock v:ext="edit" rotation="t"/>
                    </v:shape>
                  </w:pict>
                </mc:Fallback>
              </mc:AlternateContent>
            </w:r>
            <w:r/>
          </w:p>
        </w:tc>
      </w:tr>
      <w:tr>
        <w:trPr>
          <w:trHeight w:val="450"/>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90,0</w:t>
            </w:r>
            <w:r/>
          </w:p>
        </w:tc>
        <w:tc>
          <w:tcPr>
            <w:shd w:val="clear" w:color="ffffff" w:fill="ffffff"/>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0,00</w:t>
            </w:r>
            <w:r/>
          </w:p>
        </w:tc>
      </w:tr>
      <w:tr>
        <w:trPr>
          <w:trHeight w:val="9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18,0</w:t>
            </w:r>
            <w:r/>
          </w:p>
        </w:tc>
      </w:tr>
      <w:tr>
        <w:trPr>
          <w:trHeight w:val="615"/>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Hình chữ nhật </w:t>
            </w:r>
            <w:r/>
          </w:p>
        </w:tc>
        <w:tc>
          <w:tcPr>
            <w:shd w:val="clear" w:color="ffffff" w:fill="ffffff"/>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 Bắc</w:t>
            </w:r>
            <w:r/>
          </w:p>
        </w:tc>
      </w:tr>
      <w:tr>
        <w:trPr>
          <w:trHeight w:val="612"/>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8"/>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Khá </w:t>
            </w:r>
            <w:r/>
          </w:p>
        </w:tc>
        <w:tc>
          <w:tcPr>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jc w:val="center"/>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4"/>
              </w:rPr>
              <w:t xml:space="preserve">Tốt </w:t>
            </w:r>
            <w:r/>
          </w:p>
        </w:tc>
      </w:tr>
      <w:tr>
        <w:trPr>
          <w:trHeight w:val="1467"/>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0" w:type="dxa"/>
              <w:top w:w="0" w:type="dxa"/>
              <w:right w:w="0" w:type="dxa"/>
              <w:bottom w:w="0" w:type="dxa"/>
            </w:tcMar>
            <w:tcW w:w="22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both"/>
              <w:rPr/>
            </w:pPr>
            <w:r>
              <w:rPr>
                <w:rFonts w:ascii="Times New Roman" w:hAnsi="Times New Roman" w:eastAsia="Times New Roman" w:cs="Times New Roman"/>
                <w:color w:val="000000"/>
                <w:sz w:val="24"/>
              </w:rPr>
              <w:t xml:space="preserve">Hạ tầng khu đô thị, khu phân lô/ tái định cư : hệ thống cấp điện, cấp thoát nước đầy đủ</w:t>
            </w:r>
            <w:r/>
          </w:p>
        </w:tc>
        <w:tc>
          <w:tcPr>
            <w:tcBorders>
              <w:bottom w:val="single" w:color="000000" w:sz="8" w:space="0"/>
              <w:right w:val="single" w:color="000000" w:sz="8" w:space="0"/>
            </w:tcBorders>
            <w:tcMar>
              <w:left w:w="0" w:type="dxa"/>
              <w:top w:w="0" w:type="dxa"/>
              <w:right w:w="0" w:type="dxa"/>
              <w:bottom w:w="0" w:type="dxa"/>
            </w:tcMar>
            <w:tcW w:w="21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0" w:type="dxa"/>
              <w:top w:w="0" w:type="dxa"/>
              <w:right w:w="0" w:type="dxa"/>
              <w:bottom w:w="0" w:type="dxa"/>
            </w:tcMar>
            <w:tcW w:w="25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4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0" w:type="dxa"/>
              <w:top w:w="0" w:type="dxa"/>
              <w:right w:w="0" w:type="dxa"/>
              <w:bottom w:w="0" w:type="dxa"/>
            </w:tcMar>
            <w:tcW w:w="90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4"/>
              </w:rPr>
              <w:t xml:space="preserve"> Tài sản gắn liền với đất: </w:t>
            </w:r>
            <w:r>
              <w:rPr>
                <w:rFonts w:ascii="Times New Roman" w:hAnsi="Times New Roman" w:eastAsia="Times New Roman" w:cs="Times New Roman"/>
                <w:color w:val="000000"/>
                <w:sz w:val="24"/>
              </w:rPr>
              <w:t xml:space="preserve">Đất trống</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b/>
          <w:bCs/>
          <w:highlight w:val="none"/>
          <w:lang w:val="pt-BR"/>
        </w:rPr>
      </w:pPr>
      <w:r>
        <w:rPr>
          <w:b/>
          <w:bCs/>
          <w:lang w:val="pt-BR"/>
        </w:rPr>
        <w:t xml:space="preserve">VII. CÁCH TIẾP CẬN, PHƯƠNG PHÁP THẨM ĐỊNH GIÁ</w:t>
      </w:r>
      <w:r>
        <w:rPr>
          <w:b/>
          <w:bCs/>
          <w:highlight w:val="none"/>
          <w:lang w:val="pt-BR"/>
        </w:rPr>
      </w:r>
      <w:r>
        <w:rPr>
          <w:b/>
          <w:bCs/>
          <w:highlight w:val="none"/>
          <w:lang w:val="pt-BR"/>
        </w:rP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rPr>
          <w:rFonts w:ascii="Times New Roman" w:hAnsi="Times New Roman" w:eastAsia="Times New Roman" w:cs="Times New Roman"/>
          <w:sz w:val="24"/>
        </w:rPr>
      </w: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843"/>
        <w:gridCol w:w="1701"/>
        <w:gridCol w:w="1843"/>
        <w:gridCol w:w="1701"/>
        <w:gridCol w:w="170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Ngũ Hành Sơn, Thành phố Đà Nẵng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Ngũ Hành Sơn, Thành phố Đà Nẵng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Ngũ Hành Sơn, Thành phố Đà Nẵng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Ngũ Hành Sơn, Thành phố Đà Nẵng</w:t>
            </w:r>
            <w:r/>
          </w:p>
        </w:tc>
      </w:tr>
      <w:tr>
        <w:trPr>
          <w:trHeight w:val="1401"/>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https://batdongsan.com.vn/ban-dat-duong-ly-van-phuc-1-phuong-hoa-hai-48/ban-at-97m2-tai-ngu-hanh-son-a-nang-sat-song-gia-tot-pr45952353?gidzl=lfIv5nGWwYcyYBiK6pdjBBMFlX84E-Xv-jxiG50wkdxvZhiI1MkvBFlVknu5FE8jeepW56QVXc0A42lgAW</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https://batdongsan.com.vn/ban-dat-duong-ly-van-phuc-1-phuong-hoa-hai-48/ban-at-cap-at-tan-tra-vi-tri-sat-bien-pr45937291?gidzl=4zk2CAhD_m0Hnu0pfTJu1HZ9XZAwt_vNLvZKOExUh51Ko8Coku-l0bQPWpwxsFG33yhOD6QC94u4hiR_0m</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https://batdongsan.com.vn/ban-dat-duong-ly-van-phuc-1-phuong-hoa-hai-48/ban-4-lo-tdc-tan-tra-nam-chu-phuc-pr43954708</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0901159991 </w:t>
              <w:br/>
              <w:t xml:space="preserve"> (Hoàng Vy)</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0899916510</w:t>
              <w:br/>
              <w:t xml:space="preserve"> (Văn Quang)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0935965066</w:t>
              <w:br/>
              <w:t xml:space="preserve"> (Hà)</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Tháng 08/2026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550m, độ rộng đường trước mặt tài sản 11.5m, mặt tiền 5m, </w:t>
            </w:r>
            <w:r>
              <w:rPr>
                <w:rFonts w:ascii="Times New Roman" w:hAnsi="Times New Roman" w:eastAsia="Times New Roman" w:cs="Times New Roman"/>
                <w:color w:val="000000"/>
                <w:sz w:val="24"/>
              </w:rPr>
              <w:t xml:space="preserve">15.98622222222,108.27044444444</w:t>
            </w: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khoảng 800m, độ rộng đường trước mặt tài sản 11,5m, mặt tiền 5m, </w:t>
            </w:r>
            <w:r>
              <w:rPr>
                <w:rFonts w:ascii="Times New Roman" w:hAnsi="Times New Roman" w:eastAsia="Times New Roman" w:cs="Times New Roman"/>
                <w:color w:val="000000"/>
                <w:sz w:val="24"/>
              </w:rPr>
              <w:t xml:space="preserve">15.984833333333333,108.26755555555556.</w:t>
            </w: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khoảng 600mm, độ rộng đường trước mặt tài sản 11,5m, mặt tiền 5m, </w:t>
            </w:r>
            <w:r>
              <w:rPr>
                <w:rFonts w:ascii="Times New Roman" w:hAnsi="Times New Roman" w:eastAsia="Times New Roman" w:cs="Times New Roman"/>
                <w:color w:val="000000"/>
                <w:sz w:val="24"/>
              </w:rPr>
              <w:t xml:space="preserve">15.986388888888888, 108.27055555555556.</w:t>
            </w:r>
            <w:r>
              <w:rPr>
                <w:rFonts w:ascii="Times New Roman" w:hAnsi="Times New Roman" w:eastAsia="Times New Roman" w:cs="Times New Roman"/>
                <w:color w:val="000000"/>
                <w:sz w:val="22"/>
              </w:rPr>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900m, độ rộng đường trước mặt tài sản 11,5m, mặt tiền 5m, </w:t>
            </w:r>
            <w:r>
              <w:rPr>
                <w:rFonts w:ascii="Times New Roman" w:hAnsi="Times New Roman" w:eastAsia="Times New Roman" w:cs="Times New Roman"/>
                <w:color w:val="000000"/>
                <w:sz w:val="24"/>
              </w:rPr>
              <w:t xml:space="preserve">15.985138888889, 108.26783333333.</w:t>
            </w:r>
            <w:r>
              <w:rPr>
                <w:rFonts w:ascii="Times New Roman" w:hAnsi="Times New Roman" w:eastAsia="Times New Roman" w:cs="Times New Roman"/>
                <w:color w:val="000000"/>
                <w:sz w:val="22"/>
              </w:r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97,5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97,5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CTXD trên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1"/>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ind/>
              <w:jc w:val="center"/>
              <w:rPr>
                <w:color w:val="000000"/>
                <w:sz w:val="20"/>
                <w:szCs w:val="20"/>
              </w:rPr>
            </w:pPr>
            <w:r>
              <w:rPr>
                <w:color w:val="000000" w:themeColor="text1"/>
                <w:sz w:val="22"/>
                <w:szCs w:val="22"/>
              </w:rPr>
              <w:t xml:space="preserve">4.440.000.000</w:t>
            </w:r>
            <w:r>
              <w:rPr>
                <w:color w:val="000000"/>
                <w:sz w:val="20"/>
                <w:szCs w:val="20"/>
              </w:rPr>
            </w:r>
            <w:r>
              <w:rPr>
                <w:color w:val="000000"/>
                <w:sz w:val="20"/>
                <w:szCs w:val="20"/>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4.830.000.000</w:t>
            </w:r>
            <w:r>
              <w:rPr>
                <w:color w:val="000000"/>
                <w:sz w:val="20"/>
                <w:szCs w:val="20"/>
              </w:rPr>
            </w:r>
            <w:r>
              <w:rPr>
                <w:color w:val="000000"/>
                <w:sz w:val="20"/>
                <w:szCs w:val="20"/>
              </w:rP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4.300.000.000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ind/>
              <w:jc w:val="center"/>
              <w:rPr>
                <w:color w:val="000000"/>
                <w:sz w:val="20"/>
                <w:szCs w:val="20"/>
              </w:rPr>
            </w:pPr>
            <w:r>
              <w:rPr>
                <w:color w:val="000000" w:themeColor="text1"/>
                <w:sz w:val="22"/>
                <w:szCs w:val="22"/>
              </w:rPr>
              <w:t xml:space="preserve">4.440.000.000</w:t>
            </w:r>
            <w:r>
              <w:rPr>
                <w:color w:val="000000"/>
                <w:sz w:val="20"/>
                <w:szCs w:val="20"/>
              </w:rPr>
            </w:r>
            <w:r>
              <w:rPr>
                <w:color w:val="000000"/>
                <w:sz w:val="20"/>
                <w:szCs w:val="20"/>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4.830.000.000</w:t>
            </w:r>
            <w:r>
              <w:rPr>
                <w:color w:val="000000"/>
                <w:sz w:val="20"/>
                <w:szCs w:val="20"/>
              </w:rPr>
            </w:r>
            <w:r>
              <w:rPr>
                <w:color w:val="000000"/>
                <w:sz w:val="20"/>
                <w:szCs w:val="20"/>
              </w:rP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spacing/>
              <w:ind/>
              <w:jc w:val="center"/>
              <w:rPr>
                <w:color w:val="000000"/>
                <w:sz w:val="20"/>
                <w:szCs w:val="20"/>
              </w:rPr>
            </w:pPr>
            <w:r>
              <w:rPr>
                <w:color w:val="000000" w:themeColor="text1"/>
                <w:sz w:val="22"/>
                <w:szCs w:val="22"/>
              </w:rPr>
              <w:t xml:space="preserve">4.300.000.000</w:t>
            </w:r>
            <w:r>
              <w:rPr>
                <w:color w:val="000000"/>
                <w:sz w:val="20"/>
                <w:szCs w:val="20"/>
              </w:rPr>
            </w:r>
            <w:r>
              <w:rPr>
                <w:color w:val="000000"/>
                <w:sz w:val="20"/>
                <w:szCs w:val="20"/>
              </w:r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47.777.778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806"/>
        <w:gridCol w:w="1134"/>
        <w:gridCol w:w="1378"/>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806"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4.440.000.000</w:t>
            </w:r>
            <w:r>
              <w:rPr>
                <w:color w:val="000000"/>
                <w:sz w:val="20"/>
                <w:szCs w:val="20"/>
              </w:rPr>
            </w:r>
            <w:r>
              <w:rPr>
                <w:color w:val="000000"/>
                <w:sz w:val="20"/>
                <w:szCs w:val="20"/>
              </w:rPr>
            </w:r>
            <w:r>
              <w:rPr>
                <w:color w:val="000000" w:themeColor="text1"/>
                <w:sz w:val="22"/>
                <w:szCs w:val="22"/>
              </w:rPr>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4.830.000.000</w:t>
            </w:r>
            <w:r>
              <w:rPr>
                <w:color w:val="000000"/>
                <w:sz w:val="20"/>
                <w:szCs w:val="20"/>
              </w:rPr>
            </w:r>
            <w:r>
              <w:rPr>
                <w:color w:val="000000"/>
                <w:sz w:val="20"/>
                <w:szCs w:val="20"/>
              </w:rPr>
            </w:r>
            <w:r>
              <w:rPr>
                <w:color w:val="000000" w:themeColor="text1"/>
                <w:sz w:val="22"/>
                <w:szCs w:val="22"/>
              </w:rPr>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4.300.000.000</w:t>
            </w:r>
            <w:r>
              <w:rPr>
                <w:color w:val="000000"/>
                <w:sz w:val="20"/>
                <w:szCs w:val="20"/>
              </w:rPr>
            </w:r>
            <w:r>
              <w:rPr>
                <w:color w:val="000000"/>
                <w:sz w:val="20"/>
                <w:szCs w:val="20"/>
              </w:rPr>
            </w:r>
            <w:r>
              <w:rPr>
                <w:color w:val="000000" w:themeColor="text1"/>
                <w:sz w:val="22"/>
                <w:szCs w:val="22"/>
              </w:rPr>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r>
              <w:rPr>
                <w:color w:val="000000" w:themeColor="text1"/>
                <w:sz w:val="22"/>
                <w:szCs w:val="22"/>
              </w:rPr>
            </w:r>
            <w:r>
              <w:rPr>
                <w:color w:val="000000"/>
                <w:sz w:val="22"/>
                <w:szCs w:val="22"/>
              </w:rP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r>
              <w:rPr>
                <w:color w:val="000000" w:themeColor="text1"/>
                <w:sz w:val="22"/>
                <w:szCs w:val="22"/>
              </w:rPr>
            </w:r>
            <w:r>
              <w:rPr>
                <w:color w:val="000000"/>
                <w:sz w:val="22"/>
                <w:szCs w:val="22"/>
              </w:rPr>
            </w: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
              <w:rPr>
                <w:color w:val="000000" w:themeColor="text1"/>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550m, độ rộng đường trước mặt tài sản 11.5m, mặt tiền 5m, </w:t>
            </w:r>
            <w:r>
              <w:rPr>
                <w:rFonts w:ascii="Times New Roman" w:hAnsi="Times New Roman" w:eastAsia="Times New Roman" w:cs="Times New Roman"/>
                <w:color w:val="000000"/>
                <w:sz w:val="24"/>
              </w:rPr>
              <w:t xml:space="preserve">15.98622222222,108.27044444444</w:t>
            </w:r>
            <w:r>
              <w:rPr>
                <w:rFonts w:ascii="Times New Roman" w:hAnsi="Times New Roman" w:eastAsia="Times New Roman" w:cs="Times New Roman"/>
                <w:color w:val="000000"/>
                <w:sz w:val="22"/>
              </w:rPr>
              <w:t xml:space="preserve"> .</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khoảng 800m, độ rộng đường trước mặt tài sản 11,5m, mặt tiền 5m, </w:t>
            </w:r>
            <w:r>
              <w:rPr>
                <w:rFonts w:ascii="Times New Roman" w:hAnsi="Times New Roman" w:eastAsia="Times New Roman" w:cs="Times New Roman"/>
                <w:color w:val="000000"/>
                <w:sz w:val="24"/>
              </w:rPr>
              <w:t xml:space="preserve">15.984833333333333,108.26755555555556.</w:t>
            </w:r>
            <w:r>
              <w:rPr>
                <w:rFonts w:ascii="Times New Roman" w:hAnsi="Times New Roman" w:eastAsia="Times New Roman" w:cs="Times New Roman"/>
                <w:color w:val="000000"/>
                <w:sz w:val="22"/>
              </w:rPr>
              <w:t xml:space="preserve"> </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khoảng 600mm, độ rộng đường trước mặt tài sản 11,5m, mặt tiền 5m, </w:t>
            </w:r>
            <w:r>
              <w:rPr>
                <w:rFonts w:ascii="Times New Roman" w:hAnsi="Times New Roman" w:eastAsia="Times New Roman" w:cs="Times New Roman"/>
                <w:color w:val="000000"/>
                <w:sz w:val="24"/>
              </w:rPr>
              <w:t xml:space="preserve">15.986388888888888, 108.27055555555556.</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TĐC Tân Trà, phường Ngũ Hành Sơn, thành phố Đà Nẵng</w:t>
            </w:r>
            <w:r>
              <w:rPr>
                <w:rFonts w:ascii="Times New Roman" w:hAnsi="Times New Roman" w:eastAsia="Times New Roman" w:cs="Times New Roman"/>
                <w:color w:val="000000"/>
                <w:sz w:val="22"/>
              </w:rPr>
              <w:t xml:space="preserve">, cách biển Tân Trà 900m, độ rộng đường trước mặt tài sản 11,5m, mặt tiền 5m, </w:t>
            </w:r>
            <w:r>
              <w:rPr>
                <w:rFonts w:ascii="Times New Roman" w:hAnsi="Times New Roman" w:eastAsia="Times New Roman" w:cs="Times New Roman"/>
                <w:color w:val="000000"/>
                <w:sz w:val="24"/>
              </w:rPr>
              <w:t xml:space="preserve">15.985138888889, 108.26783333333.</w:t>
            </w: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45.538.426</w:t>
            </w:r>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49.538.462</w:t>
            </w:r>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910.769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990.769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46.449.231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46.449.231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46.449.231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46.449.231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47.777.778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06"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378"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46.449.231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50.529.231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r>
            <w:r>
              <w:rPr>
                <w:rFonts w:ascii="Times New Roman" w:hAnsi="Times New Roman" w:eastAsia="Times New Roman" w:cs="Times New Roman"/>
                <w:b/>
                <w:bCs/>
                <w:color w:val="000000"/>
                <w:sz w:val="22"/>
              </w:rPr>
              <w:t xml:space="preserve">47.777.778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48.252.080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806"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378"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910.769</w:t>
            </w:r>
            <w:r>
              <w:rPr>
                <w:color w:val="000000"/>
                <w:sz w:val="22"/>
                <w:szCs w:val="22"/>
              </w:rPr>
            </w:r>
            <w:r>
              <w:rPr>
                <w:color w:val="000000"/>
                <w:sz w:val="22"/>
                <w:szCs w:val="22"/>
              </w:rPr>
            </w:r>
            <w:r>
              <w:rPr>
                <w:color w:val="000000" w:themeColor="text1"/>
                <w:sz w:val="22"/>
                <w:szCs w:val="22"/>
              </w:rPr>
            </w:r>
            <w:r>
              <w:rPr>
                <w:b/>
                <w:bCs/>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990.769</w:t>
            </w:r>
            <w:r>
              <w:rPr>
                <w:color w:val="000000"/>
                <w:sz w:val="22"/>
                <w:szCs w:val="22"/>
              </w:rPr>
            </w:r>
            <w:r>
              <w:rPr>
                <w:color w:val="000000"/>
                <w:sz w:val="22"/>
                <w:szCs w:val="22"/>
              </w:rPr>
            </w:r>
            <w:r>
              <w:rPr>
                <w:color w:val="000000" w:themeColor="text1"/>
                <w:sz w:val="22"/>
                <w:szCs w:val="22"/>
              </w:rPr>
            </w:r>
            <w:r>
              <w:rPr>
                <w:b/>
                <w:bCs/>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37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06"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134"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378"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990.769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-3,7</w:t>
      </w:r>
      <w:r>
        <w:t xml:space="preserve">% đến</w:t>
      </w:r>
      <w:r>
        <w:t xml:space="preserve"> </w:t>
      </w:r>
      <w:r>
        <w:t xml:space="preserve">4,7%,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sz w:val="24"/>
                <w:szCs w:val="24"/>
              </w:rPr>
            </w:pPr>
            <w:r>
              <w:rPr>
                <w:b/>
                <w:bCs/>
                <w:color w:val="000000"/>
                <w:sz w:val="24"/>
                <w:szCs w:val="24"/>
              </w:rPr>
              <w:t xml:space="preserve">TT</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sz w:val="24"/>
                <w:szCs w:val="24"/>
              </w:rPr>
            </w:pPr>
            <w:r>
              <w:rPr>
                <w:b/>
                <w:bCs/>
                <w:color w:val="000000"/>
                <w:sz w:val="24"/>
                <w:szCs w:val="24"/>
              </w:rPr>
              <w:t xml:space="preserve">Tài sản</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sz w:val="24"/>
                <w:szCs w:val="24"/>
              </w:rPr>
            </w:pPr>
            <w:r>
              <w:rPr>
                <w:b/>
                <w:bCs/>
                <w:color w:val="000000"/>
                <w:sz w:val="24"/>
                <w:szCs w:val="24"/>
              </w:rPr>
              <w:t xml:space="preserve">Mức giá chỉ dẫn của các TSSS</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sz w:val="24"/>
                <w:szCs w:val="24"/>
              </w:rPr>
            </w:pPr>
            <w:r>
              <w:rPr>
                <w:b/>
                <w:bCs/>
                <w:color w:val="000000"/>
                <w:sz w:val="24"/>
                <w:szCs w:val="24"/>
              </w:rPr>
              <w:t xml:space="preserve">Trọng số của các TSSS sau điều chỉnh</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sz w:val="24"/>
                <w:szCs w:val="24"/>
              </w:rPr>
            </w:pPr>
            <w:r>
              <w:rPr>
                <w:b/>
                <w:bCs/>
                <w:color w:val="000000"/>
                <w:sz w:val="24"/>
                <w:szCs w:val="24"/>
              </w:rPr>
              <w:t xml:space="preserve">Giá trị trung bình của mức giá chỉ dẫn sau điều chỉnh</w:t>
            </w:r>
            <w:r>
              <w:rPr>
                <w:b/>
                <w:bCs/>
                <w:color w:val="000000"/>
                <w:sz w:val="24"/>
                <w:szCs w:val="24"/>
              </w:rPr>
            </w:r>
            <w:r>
              <w:rPr>
                <w:b/>
                <w:bCs/>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sz w:val="24"/>
                <w:szCs w:val="24"/>
              </w:rPr>
            </w:pPr>
            <w:r>
              <w:rPr>
                <w:color w:val="000000"/>
                <w:sz w:val="24"/>
                <w:szCs w:val="24"/>
              </w:rPr>
              <w:t xml:space="preserve">Tài sản so sánh 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color w:val="000000"/>
                <w:sz w:val="24"/>
                <w:szCs w:val="24"/>
              </w:rPr>
              <w:t xml:space="preserve">    46.449.231 </w:t>
            </w:r>
            <w:r>
              <w:rPr>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color w:val="000000"/>
                <w:sz w:val="24"/>
                <w:szCs w:val="24"/>
              </w:rPr>
              <w:t xml:space="preserve">33,34%</w:t>
            </w:r>
            <w:r>
              <w:rPr>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color w:val="000000"/>
                <w:sz w:val="24"/>
                <w:szCs w:val="24"/>
              </w:rPr>
              <w:t xml:space="preserve">              15.483.077 </w:t>
            </w:r>
            <w:r>
              <w:rPr>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sz w:val="24"/>
                <w:szCs w:val="24"/>
              </w:rPr>
            </w:pPr>
            <w:r>
              <w:rPr>
                <w:color w:val="000000"/>
                <w:sz w:val="24"/>
                <w:szCs w:val="24"/>
              </w:rPr>
              <w:t xml:space="preserve">Tài sản so sánh 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color w:val="000000"/>
                <w:sz w:val="24"/>
                <w:szCs w:val="24"/>
              </w:rPr>
              <w:t xml:space="preserve">    50.529.231 </w:t>
            </w:r>
            <w:r>
              <w:rPr>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color w:val="000000"/>
                <w:sz w:val="24"/>
                <w:szCs w:val="24"/>
              </w:rPr>
              <w:t xml:space="preserve">33,33%</w:t>
            </w:r>
            <w:r>
              <w:rPr>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color w:val="000000"/>
                <w:sz w:val="24"/>
                <w:szCs w:val="24"/>
              </w:rPr>
              <w:t xml:space="preserve">              16.843.077 </w:t>
            </w:r>
            <w:r>
              <w:rPr>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sz w:val="24"/>
                <w:szCs w:val="24"/>
              </w:rPr>
            </w:pPr>
            <w:r>
              <w:rPr>
                <w:color w:val="000000"/>
                <w:sz w:val="24"/>
                <w:szCs w:val="24"/>
              </w:rPr>
              <w:t xml:space="preserve">Tài sản so sánh 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color w:val="000000"/>
                <w:sz w:val="24"/>
                <w:szCs w:val="24"/>
              </w:rPr>
              <w:t xml:space="preserve">    47.777.778 </w:t>
            </w:r>
            <w:r>
              <w:rPr>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color w:val="000000"/>
                <w:sz w:val="24"/>
                <w:szCs w:val="24"/>
              </w:rPr>
              <w:t xml:space="preserve">33,33%</w:t>
            </w:r>
            <w:r>
              <w:rPr>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color w:val="000000"/>
                <w:sz w:val="24"/>
                <w:szCs w:val="24"/>
              </w:rPr>
              <w:t xml:space="preserve">              15.925.926 </w:t>
            </w:r>
            <w:r>
              <w:rPr>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sz w:val="24"/>
                <w:szCs w:val="24"/>
              </w:rPr>
            </w:pPr>
            <w:r>
              <w:rPr>
                <w:b/>
                <w:bCs/>
                <w:color w:val="000000"/>
                <w:sz w:val="24"/>
                <w:szCs w:val="24"/>
              </w:rPr>
              <w:t xml:space="preserve">Giá trị bình quân theo trọng số:</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sz w:val="24"/>
                <w:szCs w:val="24"/>
              </w:rPr>
            </w:pPr>
            <w:r>
              <w:rPr>
                <w:rFonts w:ascii="Times New Roman" w:hAnsi="Times New Roman" w:eastAsia="Times New Roman" w:cs="Times New Roman"/>
                <w:b/>
                <w:color w:val="000000"/>
                <w:sz w:val="24"/>
                <w:szCs w:val="24"/>
              </w:rPr>
              <w:t xml:space="preserve">             48,.252.080 </w:t>
            </w:r>
            <w:r>
              <w:rPr>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sz w:val="24"/>
                <w:szCs w:val="24"/>
              </w:rPr>
            </w:pPr>
            <w:r>
              <w:rPr>
                <w:b/>
                <w:bCs/>
                <w:color w:val="000000"/>
                <w:sz w:val="24"/>
                <w:szCs w:val="24"/>
              </w:rPr>
              <w:t xml:space="preserve">Làm tròn:</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right"/>
              <w:rPr>
                <w:b/>
                <w:bCs/>
                <w:color w:val="000000"/>
                <w:sz w:val="24"/>
                <w:szCs w:val="24"/>
              </w:rPr>
            </w:pPr>
            <w:r>
              <w:rPr>
                <w:b/>
                <w:bCs/>
                <w:color w:val="000000" w:themeColor="text1"/>
                <w:sz w:val="24"/>
                <w:szCs w:val="24"/>
                <w:lang w:val="vi-VN"/>
              </w:rPr>
              <w:t xml:space="preserve">48.252.000</w:t>
            </w:r>
            <w:r>
              <w:rPr>
                <w:b/>
                <w:bCs/>
                <w:color w:val="000000"/>
                <w:sz w:val="24"/>
                <w:szCs w:val="24"/>
              </w:rPr>
            </w:r>
            <w:r>
              <w:rPr>
                <w:b/>
                <w:bCs/>
                <w:color w:val="000000"/>
                <w:sz w:val="24"/>
                <w:szCs w:val="24"/>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48.252.000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w:t>
            </w:r>
            <w:r>
              <w:rPr>
                <w:rFonts w:ascii="Times New Roman" w:hAnsi="Times New Roman" w:eastAsia="Times New Roman" w:cs="Times New Roman"/>
                <w:b/>
                <w:color w:val="000000"/>
                <w:sz w:val="24"/>
              </w:rPr>
              <w:t xml:space="preserve">ắn liền với đất số: CK 033626, Số vào sổ cấp GCN:CTs135196 do Sở Tài nguyên và môi trường TP. Đà Nẵng  cấp ngày 11/8/2017; chủ sử dụng đất là Bà Nguyễn Thị Thủy </w:t>
            </w: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90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right"/>
              <w:rPr/>
            </w:pPr>
            <w:r>
              <w:rPr>
                <w:color w:val="000000" w:themeColor="text1"/>
              </w:rPr>
              <w:t xml:space="preserve">48.252.000</w:t>
            </w:r>
            <w:r/>
          </w:p>
        </w:tc>
        <w:tc>
          <w:tcPr>
            <w:shd w:val="clear" w:color="000000" w:fill="ffffff"/>
            <w:tcBorders/>
            <w:tcW w:w="1170" w:type="pct"/>
            <w:vAlign w:val="center"/>
            <w:textDirection w:val="lrTb"/>
            <w:noWrap w:val="false"/>
          </w:tcPr>
          <w:p>
            <w:pPr>
              <w:pBdr/>
              <w:spacing w:after="40" w:before="40" w:line="288" w:lineRule="auto"/>
              <w:ind/>
              <w:jc w:val="right"/>
              <w:rPr/>
            </w:pPr>
            <w:r>
              <w:rPr>
                <w:color w:val="000000" w:themeColor="text1"/>
              </w:rPr>
            </w:r>
            <w:r>
              <w:rPr>
                <w:color w:val="000000" w:themeColor="text1"/>
              </w:rPr>
              <w:t xml:space="preserve">4.342.680.000</w:t>
            </w:r>
            <w:r>
              <w:rPr>
                <w:color w:val="000000" w:themeColor="text1"/>
              </w:rPr>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right"/>
              <w:rPr>
                <w:b/>
                <w:bCs/>
              </w:rPr>
            </w:pPr>
            <w:r>
              <w:rPr>
                <w:b/>
                <w:bCs/>
                <w:color w:val="000000" w:themeColor="text1"/>
              </w:rPr>
            </w:r>
            <w:r>
              <w:rPr>
                <w:b/>
                <w:bCs/>
                <w:color w:val="000000" w:themeColor="text1"/>
              </w:rPr>
              <w:t xml:space="preserve">4.342.680.000</w:t>
            </w:r>
            <w:r>
              <w:rPr>
                <w:b/>
                <w:bCs/>
                <w:color w:val="000000"/>
              </w:rPr>
            </w:r>
            <w:r>
              <w:rPr>
                <w:b/>
                <w:bCs/>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ba trăm bốn mươi hai triệu sáu trăm tám mươi nghìn đồng </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275/2026/1368/VFI-CT.T04.A</w:t>
      </w:r>
      <w:r>
        <w:rPr>
          <w:color w:val="ff0000"/>
          <w:lang w:val="vi-VN"/>
        </w:rPr>
        <w:t xml:space="preserve"> </w:t>
      </w:r>
      <w:r>
        <w:rPr>
          <w:color w:val="000000" w:themeColor="text1"/>
        </w:rPr>
        <w:t xml:space="preserve">ngày 2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r>
      <w:r>
        <w:rPr>
          <w:b/>
          <w:u w:val="single"/>
          <w:lang w:val="vi-VN"/>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275/2026/1368/VFI-BC.T04.A ngày 3 tháng 9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438400" cy="237172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35601" name=""/>
                              <pic:cNvPicPr>
                                <a:picLocks noChangeAspect="1"/>
                              </pic:cNvPicPr>
                              <pic:nvPr/>
                            </pic:nvPicPr>
                            <pic:blipFill rotWithShape="1">
                              <a:blip r:embed="rId18"/>
                              <a:stretch/>
                            </pic:blipFill>
                            <pic:spPr bwMode="auto">
                              <a:xfrm>
                                <a:off x="0" y="0"/>
                                <a:ext cx="2438399" cy="2371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92.00pt;height:186.75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24150" cy="2362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86928" name=""/>
                              <pic:cNvPicPr>
                                <a:picLocks noChangeAspect="1"/>
                              </pic:cNvPicPr>
                              <pic:nvPr/>
                            </pic:nvPicPr>
                            <pic:blipFill rotWithShape="1">
                              <a:blip r:embed="rId19"/>
                              <a:stretch/>
                            </pic:blipFill>
                            <pic:spPr bwMode="auto">
                              <a:xfrm>
                                <a:off x="0" y="0"/>
                                <a:ext cx="2724149" cy="2362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4.50pt;height:186.00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67000" cy="22764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86293" name=""/>
                              <pic:cNvPicPr>
                                <a:picLocks noChangeAspect="1"/>
                              </pic:cNvPicPr>
                              <pic:nvPr/>
                            </pic:nvPicPr>
                            <pic:blipFill rotWithShape="1">
                              <a:blip r:embed="rId20"/>
                              <a:stretch/>
                            </pic:blipFill>
                            <pic:spPr bwMode="auto">
                              <a:xfrm>
                                <a:off x="0" y="0"/>
                                <a:ext cx="2666999" cy="2276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0.00pt;height:179.25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09875" cy="21145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53208" name=""/>
                              <pic:cNvPicPr>
                                <a:picLocks noChangeAspect="1"/>
                              </pic:cNvPicPr>
                              <pic:nvPr/>
                            </pic:nvPicPr>
                            <pic:blipFill rotWithShape="1">
                              <a:blip r:embed="rId21"/>
                              <a:stretch/>
                            </pic:blipFill>
                            <pic:spPr bwMode="auto">
                              <a:xfrm>
                                <a:off x="0" y="0"/>
                                <a:ext cx="2809874"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25pt;height:166.50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86050" cy="24955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208462" name=""/>
                              <pic:cNvPicPr>
                                <a:picLocks noChangeAspect="1"/>
                              </pic:cNvPicPr>
                              <pic:nvPr/>
                            </pic:nvPicPr>
                            <pic:blipFill rotWithShape="1">
                              <a:blip r:embed="rId22"/>
                              <a:stretch/>
                            </pic:blipFill>
                            <pic:spPr bwMode="auto">
                              <a:xfrm>
                                <a:off x="0" y="0"/>
                                <a:ext cx="2686050" cy="2495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50pt;height:196.50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67000" cy="24574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97064" name=""/>
                              <pic:cNvPicPr>
                                <a:picLocks noChangeAspect="1"/>
                              </pic:cNvPicPr>
                              <pic:nvPr/>
                            </pic:nvPicPr>
                            <pic:blipFill rotWithShape="1">
                              <a:blip r:embed="rId23"/>
                              <a:stretch/>
                            </pic:blipFill>
                            <pic:spPr bwMode="auto">
                              <a:xfrm>
                                <a:off x="0" y="0"/>
                                <a:ext cx="2666999" cy="24574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0.00pt;height:193.50pt;mso-wrap-distance-left:0.00pt;mso-wrap-distance-top:0.00pt;mso-wrap-distance-right:0.00pt;mso-wrap-distance-bottom:0.00pt;z-index:1;" stroked="false">
                      <v:imagedata r:id="rId2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Giấy chứng nhận quyền sử dụng đất </w:t>
      </w:r>
      <w:r/>
    </w:p>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5372100" cy="81724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14589" name=""/>
                        <pic:cNvPicPr>
                          <a:picLocks noChangeAspect="1"/>
                        </pic:cNvPicPr>
                        <pic:nvPr/>
                      </pic:nvPicPr>
                      <pic:blipFill rotWithShape="1">
                        <a:blip r:embed="rId24"/>
                        <a:stretch/>
                      </pic:blipFill>
                      <pic:spPr bwMode="auto">
                        <a:xfrm>
                          <a:off x="0" y="0"/>
                          <a:ext cx="5372100" cy="81724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23.00pt;height:643.50pt;mso-wrap-distance-left:0.00pt;mso-wrap-distance-top:0.00pt;mso-wrap-distance-right:0.00pt;mso-wrap-distance-bottom:0.00pt;z-index:1;" stroked="false">
                <v:imagedata r:id="rId24"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905500" cy="78486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95836" name=""/>
                        <pic:cNvPicPr>
                          <a:picLocks noChangeAspect="1"/>
                        </pic:cNvPicPr>
                        <pic:nvPr/>
                      </pic:nvPicPr>
                      <pic:blipFill rotWithShape="1">
                        <a:blip r:embed="rId25"/>
                        <a:stretch/>
                      </pic:blipFill>
                      <pic:spPr bwMode="auto">
                        <a:xfrm>
                          <a:off x="0" y="0"/>
                          <a:ext cx="5905499" cy="7848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5.00pt;height:618.00pt;mso-wrap-distance-left:0.00pt;mso-wrap-distance-top:0.00pt;mso-wrap-distance-right:0.00pt;mso-wrap-distance-bottom:0.00pt;z-index:1;" stroked="false">
                <v:imagedata r:id="rId2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400675" cy="77914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74436" name=""/>
                        <pic:cNvPicPr>
                          <a:picLocks noChangeAspect="1"/>
                        </pic:cNvPicPr>
                        <pic:nvPr/>
                      </pic:nvPicPr>
                      <pic:blipFill rotWithShape="1">
                        <a:blip r:embed="rId26"/>
                        <a:stretch/>
                      </pic:blipFill>
                      <pic:spPr bwMode="auto">
                        <a:xfrm>
                          <a:off x="0" y="0"/>
                          <a:ext cx="5400675" cy="7791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5.25pt;height:613.50pt;mso-wrap-distance-left:0.00pt;mso-wrap-distance-top:0.00pt;mso-wrap-distance-right:0.00pt;mso-wrap-distance-bottom:0.00pt;z-index:1;" stroked="false">
                <v:imagedata r:id="rId26"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676900" cy="78486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5243" name=""/>
                        <pic:cNvPicPr>
                          <a:picLocks noChangeAspect="1"/>
                        </pic:cNvPicPr>
                        <pic:nvPr/>
                      </pic:nvPicPr>
                      <pic:blipFill rotWithShape="1">
                        <a:blip r:embed="rId27"/>
                        <a:stretch/>
                      </pic:blipFill>
                      <pic:spPr bwMode="auto">
                        <a:xfrm>
                          <a:off x="0" y="0"/>
                          <a:ext cx="5676899" cy="7848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47.00pt;height:618.00pt;mso-wrap-distance-left:0.00pt;mso-wrap-distance-top:0.00pt;mso-wrap-distance-right:0.00pt;mso-wrap-distance-bottom:0.00pt;z-index:1;" stroked="false">
                <v:imagedata r:id="rId2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 </w:t>
      </w:r>
      <w:r/>
    </w:p>
    <w:p>
      <w:pPr>
        <w:pBdr/>
        <w:spacing w:after="200" w:line="276" w:lineRule="auto"/>
        <w:ind/>
        <w:jc w:val="center"/>
        <w:rPr>
          <w:bCs/>
          <w:i/>
          <w:lang w:val="pt-BR"/>
        </w:rPr>
      </w:pPr>
      <w:r>
        <mc:AlternateContent>
          <mc:Choice Requires="wpg">
            <w:drawing>
              <wp:inline xmlns:wp="http://schemas.openxmlformats.org/drawingml/2006/wordprocessingDrawing" distT="0" distB="0" distL="0" distR="0">
                <wp:extent cx="6038850" cy="80581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58520" name=""/>
                        <pic:cNvPicPr>
                          <a:picLocks noChangeAspect="1"/>
                        </pic:cNvPicPr>
                        <pic:nvPr/>
                      </pic:nvPicPr>
                      <pic:blipFill rotWithShape="1">
                        <a:blip r:embed="rId28"/>
                        <a:stretch/>
                      </pic:blipFill>
                      <pic:spPr bwMode="auto">
                        <a:xfrm>
                          <a:off x="0" y="0"/>
                          <a:ext cx="6038849" cy="80581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5.50pt;height:634.50pt;mso-wrap-distance-left:0.00pt;mso-wrap-distance-top:0.00pt;mso-wrap-distance-right:0.00pt;mso-wrap-distance-bottom:0.00pt;z-index:1;" stroked="false">
                <v:imagedata r:id="rId28" o:title=""/>
                <o:lock v:ext="edit" rotation="t"/>
              </v:shape>
            </w:pict>
          </mc:Fallback>
        </mc:AlternateContent>
      </w:r>
      <w:r>
        <w:rPr>
          <w:bCs/>
          <w:i/>
          <w:lang w:val="pt-BR"/>
        </w:rPr>
      </w:r>
      <w:r>
        <w:rPr>
          <w:bCs/>
          <w:i/>
          <w:lang w:val="pt-BR"/>
        </w:rPr>
      </w:r>
    </w:p>
    <w:p>
      <w:pPr>
        <w:pBdr/>
        <w:spacing w:after="200" w:line="276" w:lineRule="auto"/>
        <w:ind/>
        <w:jc w:val="center"/>
        <w:rPr>
          <w:bCs/>
          <w:i/>
          <w:lang w:val="pt-BR"/>
        </w:rPr>
      </w:pPr>
      <w:r>
        <w:rPr>
          <w:bCs/>
          <w:i/>
          <w:lang w:val="pt-BR"/>
        </w:rPr>
      </w:r>
      <w:r>
        <w:rPr>
          <w:bCs/>
          <w:i/>
          <w:lang w:val="pt-BR"/>
        </w:rPr>
      </w:r>
      <w:r>
        <w:rPr>
          <w:bCs/>
          <w:i/>
          <w:lang w:val="pt-BR"/>
        </w:rP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275/2026/1368/VFI-BC.T04.A</w:t>
      </w:r>
      <w:r>
        <w:rPr>
          <w:i/>
          <w:lang w:val="pt-BR"/>
        </w:rPr>
        <w:t xml:space="preserve"> </w:t>
      </w:r>
      <w:r>
        <w:rPr>
          <w:i/>
          <w:lang w:val="pt-BR"/>
        </w:rPr>
        <w:t xml:space="preserve">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https://batdongsan.com.vn/ban-dat-duong-ly-van-phuc-1-phuong-hoa-hai-48/ban-at-97m2-tai-ngu-hanh-son-a-nang-sat-song-gia-tot-pr45952353?gidzl=lfIv5nGWwYcyYBiK6pdjBBMFlX84E-Xv-jxiG50wkdxvZhiI1MkvBFlVknu5FE8jeepW56QVXc0A42lgAW</w:t>
              <w:br/>
              <w:t xml:space="preserve"> 0901159991 </w:t>
              <w:br/>
              <w:t xml:space="preserve"> (Hoàng Vy)</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4.850.000.000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4.440.000.000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(97.5m²)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Ngũ Hành Sơn, Thành phố Đà Nẵng, khoảng cách ra đường chính nằm trên đường Lý Văn Phức, cách biển Tân Trà khoảng 800m, độ rộng đường trước mặt tài sản 11,5m, mặt tiền 5m, </w:t>
            </w:r>
            <w:r>
              <w:rPr>
                <w:rFonts w:ascii="Times New Roman" w:hAnsi="Times New Roman" w:eastAsia="Times New Roman" w:cs="Times New Roman"/>
                <w:color w:val="000000"/>
                <w:sz w:val="24"/>
              </w:rPr>
              <w:t xml:space="preserve">15.984833333333333,108.26755555555556</w:t>
            </w:r>
            <w:r>
              <w:rPr>
                <w:rFonts w:ascii="Times New Roman" w:hAnsi="Times New Roman" w:eastAsia="Times New Roman" w:cs="Times New Roman"/>
                <w:color w:val="000000"/>
                <w:sz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97,5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mc:AlternateContent>
                <mc:Choice Requires="wpg">
                  <w:drawing>
                    <wp:inline xmlns:wp="http://schemas.openxmlformats.org/drawingml/2006/wordprocessingDrawing" distT="0" distB="0" distL="0" distR="0">
                      <wp:extent cx="5759790" cy="2479135"/>
                      <wp:effectExtent l="0" t="0" r="0" b="0"/>
                      <wp:docPr id="17" name=""/>
                      <wp:cNvGraphicFramePr/>
                      <a:graphic xmlns:a="http://schemas.openxmlformats.org/drawingml/2006/main">
                        <a:graphicData uri="http://schemas.openxmlformats.org/drawingml/2006/picture">
                          <pic:pic xmlns:pic="http://schemas.openxmlformats.org/drawingml/2006/picture">
                            <pic:nvPicPr>
                              <pic:cNvPr id="482848406" name="" descr=""/>
                              <pic:cNvPicPr/>
                              <pic:nvPr/>
                            </pic:nvPicPr>
                            <pic:blipFill rotWithShape="1">
                              <a:blip r:embed="rId29"/>
                              <a:stretch/>
                            </pic:blipFill>
                            <pic:spPr bwMode="auto">
                              <a:xfrm flipH="0" flipV="0">
                                <a:off x="0" y="0"/>
                                <a:ext cx="5759789" cy="2479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53.53pt;height:195.21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96216" cy="546735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11042298" name="" descr=""/>
                              <pic:cNvPicPr/>
                              <pic:nvPr/>
                            </pic:nvPicPr>
                            <pic:blipFill rotWithShape="1">
                              <a:blip r:embed="rId30"/>
                              <a:stretch/>
                            </pic:blipFill>
                            <pic:spPr bwMode="auto">
                              <a:xfrm rot="16199969" flipH="0" flipV="0">
                                <a:off x="0" y="0"/>
                                <a:ext cx="2096215" cy="54673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5.06pt;height:430.50pt;mso-wrap-distance-left:0.00pt;mso-wrap-distance-top:0.00pt;mso-wrap-distance-right:0.00pt;mso-wrap-distance-bottom:0.00pt;rotation:269;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72017" cy="2248616"/>
                      <wp:effectExtent l="0" t="0" r="0" b="0"/>
                      <wp:docPr id="19" name=""/>
                      <wp:cNvGraphicFramePr/>
                      <a:graphic xmlns:a="http://schemas.openxmlformats.org/drawingml/2006/main">
                        <a:graphicData uri="http://schemas.openxmlformats.org/drawingml/2006/picture">
                          <pic:pic xmlns:pic="http://schemas.openxmlformats.org/drawingml/2006/picture">
                            <pic:nvPicPr>
                              <pic:cNvPr id="1700268245" name="" descr=""/>
                              <pic:cNvPicPr/>
                              <pic:nvPr/>
                            </pic:nvPicPr>
                            <pic:blipFill rotWithShape="1">
                              <a:blip r:embed="rId31"/>
                              <a:stretch/>
                            </pic:blipFill>
                            <pic:spPr bwMode="auto">
                              <a:xfrm flipH="0" flipV="0">
                                <a:off x="0" y="0"/>
                                <a:ext cx="1972015" cy="22486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55.28pt;height:177.0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41527" cy="2248616"/>
                      <wp:effectExtent l="0" t="0" r="0" b="0"/>
                      <wp:docPr id="20" name=""/>
                      <wp:cNvGraphicFramePr/>
                      <a:graphic xmlns:a="http://schemas.openxmlformats.org/drawingml/2006/main">
                        <a:graphicData uri="http://schemas.openxmlformats.org/drawingml/2006/picture">
                          <pic:pic xmlns:pic="http://schemas.openxmlformats.org/drawingml/2006/picture">
                            <pic:nvPicPr>
                              <pic:cNvPr id="1203143072" name="" descr=""/>
                              <pic:cNvPicPr/>
                              <pic:nvPr/>
                            </pic:nvPicPr>
                            <pic:blipFill rotWithShape="1">
                              <a:blip r:embed="rId32"/>
                              <a:stretch/>
                            </pic:blipFill>
                            <pic:spPr bwMode="auto">
                              <a:xfrm flipH="0" flipV="0">
                                <a:off x="0" y="0"/>
                                <a:ext cx="2041526" cy="22486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60.75pt;height:177.0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Khánh Hà</w:t>
            </w:r>
            <w:r/>
          </w:p>
        </w:tc>
      </w:tr>
    </w:tbl>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https://batdongsan.com.vn/ban-dat-duong-ly-van-phuc-1-phuong-hoa-hai-48/ban-at-cap-at-tan-tra-vi-tri-sat-bien-pr45937291?gidzl=4zk2CAhD_m0Hnu0pfTJu1HZ9XZAwt_vNLvZKOExUh51Ko8Coku-l0bQPWpwxsFG33yhOD6QC94u4hiR_0m</w:t>
              <w:br/>
              <w:t xml:space="preserve"> 0899916510 </w:t>
              <w:br/>
              <w:t xml:space="preserve"> (Văn Quang)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5.300.000.000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4.830.000.000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(97.5m²)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4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rPr>
              <w:t xml:space="preserve">Tài sản tại: Phường Ngũ Hành Sơn, Thành phố Đà Nẵng, khoảng cách ra đường chính nằm trên đường Lý Văn Phức, cách biển Tân Trà khoảng 600mm, độ rộng đường trước mặt tài sản 11,5m, mặt tiền 5m, </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top w:val="none" w:color="000000" w:sz="4" w:space="0"/>
                <w:left w:val="none" w:color="000000" w:sz="4" w:space="0"/>
                <w:bottom w:val="none" w:color="000000" w:sz="4" w:space="0"/>
                <w:right w:val="none" w:color="000000" w:sz="4" w:space="0"/>
              </w:pBdr>
              <w:spacing w:line="276" w:lineRule="auto"/>
              <w:ind w:right="0" w:firstLine="0" w:left="0"/>
              <w:jc w:val="left"/>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4"/>
              </w:rPr>
              <w:t xml:space="preserve">15.986388888888888,108.27055555555556</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4"/>
                <w:szCs w:val="24"/>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97,5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639142" cy="2412460"/>
                      <wp:effectExtent l="0" t="0" r="0" b="0"/>
                      <wp:docPr id="21" name=""/>
                      <wp:cNvGraphicFramePr/>
                      <a:graphic xmlns:a="http://schemas.openxmlformats.org/drawingml/2006/main">
                        <a:graphicData uri="http://schemas.openxmlformats.org/drawingml/2006/picture">
                          <pic:pic xmlns:pic="http://schemas.openxmlformats.org/drawingml/2006/picture">
                            <pic:nvPicPr>
                              <pic:cNvPr id="929598656" name="" descr=""/>
                              <pic:cNvPicPr/>
                              <pic:nvPr/>
                            </pic:nvPicPr>
                            <pic:blipFill rotWithShape="1">
                              <a:blip r:embed="rId33"/>
                              <a:stretch/>
                            </pic:blipFill>
                            <pic:spPr bwMode="auto">
                              <a:xfrm flipH="0" flipV="0">
                                <a:off x="0" y="0"/>
                                <a:ext cx="5639141" cy="24124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44.03pt;height:189.9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2072" cy="5661368"/>
                      <wp:effectExtent l="0" t="0" r="0" b="0"/>
                      <wp:docPr id="22" name=""/>
                      <wp:cNvGraphicFramePr/>
                      <a:graphic xmlns:a="http://schemas.openxmlformats.org/drawingml/2006/main">
                        <a:graphicData uri="http://schemas.openxmlformats.org/drawingml/2006/picture">
                          <pic:pic xmlns:pic="http://schemas.openxmlformats.org/drawingml/2006/picture">
                            <pic:nvPicPr>
                              <pic:cNvPr id="907670548" name="" descr=""/>
                              <pic:cNvPicPr/>
                              <pic:nvPr/>
                            </pic:nvPicPr>
                            <pic:blipFill rotWithShape="1">
                              <a:blip r:embed="rId34"/>
                              <a:stretch/>
                            </pic:blipFill>
                            <pic:spPr bwMode="auto">
                              <a:xfrm rot="16199969" flipH="0" flipV="0">
                                <a:off x="0" y="0"/>
                                <a:ext cx="2742072" cy="56613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5.91pt;height:445.78pt;mso-wrap-distance-left:0.00pt;mso-wrap-distance-top:0.00pt;mso-wrap-distance-right:0.00pt;mso-wrap-distance-bottom:0.00pt;rotation:269;z-index:1;" stroked="false">
                      <v:imagedata r:id="rId34" o:title=""/>
                      <o:lock v:ext="edit" rotation="t"/>
                    </v:shape>
                  </w:pict>
                </mc:Fallback>
              </mc:AlternateConten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81064" cy="2807288"/>
                      <wp:effectExtent l="0" t="0" r="0" b="0"/>
                      <wp:docPr id="23" name=""/>
                      <wp:cNvGraphicFramePr/>
                      <a:graphic xmlns:a="http://schemas.openxmlformats.org/drawingml/2006/main">
                        <a:graphicData uri="http://schemas.openxmlformats.org/drawingml/2006/picture">
                          <pic:pic xmlns:pic="http://schemas.openxmlformats.org/drawingml/2006/picture">
                            <pic:nvPicPr>
                              <pic:cNvPr id="1660395982" name="" descr=""/>
                              <pic:cNvPicPr/>
                              <pic:nvPr/>
                            </pic:nvPicPr>
                            <pic:blipFill rotWithShape="1">
                              <a:blip r:embed="rId35"/>
                              <a:stretch/>
                            </pic:blipFill>
                            <pic:spPr bwMode="auto">
                              <a:xfrm flipH="0" flipV="0">
                                <a:off x="0" y="0"/>
                                <a:ext cx="1681063" cy="28072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32.37pt;height:221.05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58385" cy="2807288"/>
                      <wp:effectExtent l="0" t="0" r="0" b="0"/>
                      <wp:docPr id="24" name=""/>
                      <wp:cNvGraphicFramePr/>
                      <a:graphic xmlns:a="http://schemas.openxmlformats.org/drawingml/2006/main">
                        <a:graphicData uri="http://schemas.openxmlformats.org/drawingml/2006/picture">
                          <pic:pic xmlns:pic="http://schemas.openxmlformats.org/drawingml/2006/picture">
                            <pic:nvPicPr>
                              <pic:cNvPr id="1158171094" name="" descr=""/>
                              <pic:cNvPicPr/>
                              <pic:nvPr/>
                            </pic:nvPicPr>
                            <pic:blipFill rotWithShape="1">
                              <a:blip r:embed="rId36"/>
                              <a:stretch/>
                            </pic:blipFill>
                            <pic:spPr bwMode="auto">
                              <a:xfrm flipH="0" flipV="0">
                                <a:off x="0" y="0"/>
                                <a:ext cx="1658384" cy="28072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30.58pt;height:221.05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22869" cy="2807288"/>
                      <wp:effectExtent l="0" t="0" r="0" b="0"/>
                      <wp:docPr id="25" name=""/>
                      <wp:cNvGraphicFramePr/>
                      <a:graphic xmlns:a="http://schemas.openxmlformats.org/drawingml/2006/main">
                        <a:graphicData uri="http://schemas.openxmlformats.org/drawingml/2006/picture">
                          <pic:pic xmlns:pic="http://schemas.openxmlformats.org/drawingml/2006/picture">
                            <pic:nvPicPr>
                              <pic:cNvPr id="1244918102" name="" descr=""/>
                              <pic:cNvPicPr/>
                              <pic:nvPr/>
                            </pic:nvPicPr>
                            <pic:blipFill rotWithShape="1">
                              <a:blip r:embed="rId37"/>
                              <a:stretch/>
                            </pic:blipFill>
                            <pic:spPr bwMode="auto">
                              <a:xfrm flipH="0" flipV="0">
                                <a:off x="0" y="0"/>
                                <a:ext cx="1622869" cy="28072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27.78pt;height:221.05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Khánh Hà</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https://batdongsan.com.vn/ban-dat-duong-ly-van-phuc-1-phuong-hoa-hai-48/ban-4-lo-tdc-tan-tra-nam-chu-phuc-pr43954708 SĐT: 0935965066 </w:t>
              <w:br/>
              <w:t xml:space="preserve"> (Hà)</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4.300.000.000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(90m²)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Tài sản tại: Lý Văn Phức, Phường Ngũ Hành Sơn, Thành phố Đà Nẵng, khoảng cách ra Đường Lý Văn Phức nằm trên đường Lý Văn Phức, cách biển Tân Trà 900m, độ rộng đường trước mặt tài sản 11,5m, mặt tiền 5m, </w:t>
            </w:r>
            <w:r>
              <w:rPr>
                <w:rFonts w:ascii="Times New Roman" w:hAnsi="Times New Roman" w:eastAsia="Times New Roman" w:cs="Times New Roman"/>
                <w:color w:val="000000"/>
                <w:sz w:val="24"/>
              </w:rPr>
              <w:t xml:space="preserve">15.985138888889, 108.26783333333.</w:t>
            </w:r>
            <w:r>
              <w:rPr>
                <w:rFonts w:ascii="Times New Roman" w:hAnsi="Times New Roman" w:eastAsia="Times New Roman" w:cs="Times New Roman"/>
                <w:color w:val="000000"/>
                <w:sz w:val="22"/>
                <w:szCs w:val="22"/>
                <w:highlight w:val="none"/>
              </w:rPr>
            </w:r>
            <w:r>
              <w:rPr>
                <w:rFonts w:ascii="Times New Roman" w:hAnsi="Times New Roman" w:eastAsia="Times New Roman" w:cs="Times New Roman"/>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830633" cy="2793460"/>
                      <wp:effectExtent l="0" t="0" r="0" b="0"/>
                      <wp:docPr id="26" name=""/>
                      <wp:cNvGraphicFramePr/>
                      <a:graphic xmlns:a="http://schemas.openxmlformats.org/drawingml/2006/main">
                        <a:graphicData uri="http://schemas.openxmlformats.org/drawingml/2006/picture">
                          <pic:pic xmlns:pic="http://schemas.openxmlformats.org/drawingml/2006/picture">
                            <pic:nvPicPr>
                              <pic:cNvPr id="2108797019" name="" descr=""/>
                              <pic:cNvPicPr/>
                              <pic:nvPr/>
                            </pic:nvPicPr>
                            <pic:blipFill rotWithShape="1">
                              <a:blip r:embed="rId38"/>
                              <a:stretch/>
                            </pic:blipFill>
                            <pic:spPr bwMode="auto">
                              <a:xfrm flipH="0" flipV="0">
                                <a:off x="0" y="0"/>
                                <a:ext cx="5830632" cy="27934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59.10pt;height:219.96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07760" cy="5508968"/>
                      <wp:effectExtent l="0" t="0" r="0" b="0"/>
                      <wp:docPr id="27" name=""/>
                      <wp:cNvGraphicFramePr/>
                      <a:graphic xmlns:a="http://schemas.openxmlformats.org/drawingml/2006/main">
                        <a:graphicData uri="http://schemas.openxmlformats.org/drawingml/2006/picture">
                          <pic:pic xmlns:pic="http://schemas.openxmlformats.org/drawingml/2006/picture">
                            <pic:nvPicPr>
                              <pic:cNvPr id="800353791" name="" descr=""/>
                              <pic:cNvPicPr/>
                              <pic:nvPr/>
                            </pic:nvPicPr>
                            <pic:blipFill rotWithShape="1">
                              <a:blip r:embed="rId39"/>
                              <a:stretch/>
                            </pic:blipFill>
                            <pic:spPr bwMode="auto">
                              <a:xfrm rot="5399976" flipH="0" flipV="0">
                                <a:off x="0" y="0"/>
                                <a:ext cx="2907759" cy="5508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28.96pt;height:433.78pt;mso-wrap-distance-left:0.00pt;mso-wrap-distance-top:0.00pt;mso-wrap-distance-right:0.00pt;mso-wrap-distance-bottom:0.00pt;rotation:89;z-index:1;" stroked="false">
                      <v:imagedata r:id="rId3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52992" cy="2549396"/>
                      <wp:effectExtent l="0" t="0" r="0" b="0"/>
                      <wp:docPr id="28" name=""/>
                      <wp:cNvGraphicFramePr/>
                      <a:graphic xmlns:a="http://schemas.openxmlformats.org/drawingml/2006/main">
                        <a:graphicData uri="http://schemas.openxmlformats.org/drawingml/2006/picture">
                          <pic:pic xmlns:pic="http://schemas.openxmlformats.org/drawingml/2006/picture">
                            <pic:nvPicPr>
                              <pic:cNvPr id="948178887" name="" descr=""/>
                              <pic:cNvPicPr/>
                              <pic:nvPr/>
                            </pic:nvPicPr>
                            <pic:blipFill rotWithShape="1">
                              <a:blip r:embed="rId40"/>
                              <a:stretch/>
                            </pic:blipFill>
                            <pic:spPr bwMode="auto">
                              <a:xfrm flipH="0" flipV="0">
                                <a:off x="0" y="0"/>
                                <a:ext cx="2152991" cy="254939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69.53pt;height:200.74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62441" cy="2521079"/>
                      <wp:effectExtent l="0" t="0" r="0" b="0"/>
                      <wp:docPr id="29" name=""/>
                      <wp:cNvGraphicFramePr/>
                      <a:graphic xmlns:a="http://schemas.openxmlformats.org/drawingml/2006/main">
                        <a:graphicData uri="http://schemas.openxmlformats.org/drawingml/2006/picture">
                          <pic:pic xmlns:pic="http://schemas.openxmlformats.org/drawingml/2006/picture">
                            <pic:nvPicPr>
                              <pic:cNvPr id="1591618506" name="" descr=""/>
                              <pic:cNvPicPr/>
                              <pic:nvPr/>
                            </pic:nvPicPr>
                            <pic:blipFill rotWithShape="1">
                              <a:blip r:embed="rId41"/>
                              <a:stretch/>
                            </pic:blipFill>
                            <pic:spPr bwMode="auto">
                              <a:xfrm flipH="0" flipV="0">
                                <a:off x="0" y="0"/>
                                <a:ext cx="2162441" cy="25210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70.27pt;height:198.51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Khánh Hà</w:t>
            </w:r>
            <w:r/>
          </w:p>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7B45D5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178EB730"/>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4DC68DC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1D5D5AC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31B7E09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gif"/><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gif"/><Relationship Id="rId25" Type="http://schemas.openxmlformats.org/officeDocument/2006/relationships/image" Target="media/image11.gif"/><Relationship Id="rId26" Type="http://schemas.openxmlformats.org/officeDocument/2006/relationships/image" Target="media/image12.gif"/><Relationship Id="rId27" Type="http://schemas.openxmlformats.org/officeDocument/2006/relationships/image" Target="media/image13.gif"/><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Khánh Hà</cp:lastModifiedBy>
  <cp:revision>281</cp:revision>
  <dcterms:created xsi:type="dcterms:W3CDTF">2025-09-15T09:58:00Z</dcterms:created>
  <dcterms:modified xsi:type="dcterms:W3CDTF">2026-09-04T11:26:01Z</dcterms:modified>
</cp:coreProperties>
</file>