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highlight w:val="white"/>
        </w:rPr>
      </w:pPr>
      <w:r>
        <w:rPr>
          <w:b/>
          <w:sz w:val="28"/>
          <w:highlight w:val="white"/>
          <w:lang w:val="vi-VN"/>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392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3922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w:t>
                            </w:r>
                            <w:r>
                              <w:rPr>
                                <w:b/>
                                <w:color w:val="000000" w:themeColor="text1"/>
                                <w:sz w:val="30"/>
                                <w:szCs w:val="30"/>
                              </w:rPr>
                              <w:t xml:space="preserve">BÁO CÁO TH</w:t>
                            </w:r>
                            <w:r>
                              <w:rPr>
                                <w:b/>
                                <w:color w:val="000000" w:themeColor="text1"/>
                                <w:sz w:val="30"/>
                                <w:szCs w:val="30"/>
                              </w:rPr>
                              <w:t xml:space="preserve">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275/2026/1392/VFI-CT.44.A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PHÁT TRIỂN CÔNG NGHỆ HÀ THẮNG</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37(5), tờ bản đồ số 1 có địa chỉ: Thôn Phù Liễn, xã Bắc Hồng, huyện Đông Anh, Thành phố Hà Nội </w:t>
                            </w:r>
                            <w:r>
                              <w:rPr>
                                <w:rFonts w:ascii="Times New Roman" w:hAnsi="Times New Roman" w:eastAsia="Times New Roman" w:cs="Times New Roman"/>
                                <w:i/>
                                <w:color w:val="000000"/>
                                <w:sz w:val="24"/>
                              </w:rPr>
                              <w:t xml:space="preserve">(Nay là xã Phúc Thịnh,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BG 109434, số vào sổ cấp GCN: 1420.QĐ-UBND.2011/CH 00263.2011 do Uỷ ban nhân dân huyện Đông Anh cấp ngày 04/5/2011; Chủ sử dụng đất là Ông Nguyễn Văn Thắng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45.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w:t>
                      </w:r>
                      <w:r>
                        <w:rPr>
                          <w:b/>
                          <w:color w:val="000000" w:themeColor="text1"/>
                          <w:sz w:val="30"/>
                          <w:szCs w:val="30"/>
                        </w:rPr>
                        <w:t xml:space="preserve">BÁO CÁO TH</w:t>
                      </w:r>
                      <w:r>
                        <w:rPr>
                          <w:b/>
                          <w:color w:val="000000" w:themeColor="text1"/>
                          <w:sz w:val="30"/>
                          <w:szCs w:val="30"/>
                        </w:rPr>
                        <w:t xml:space="preserve">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275/2026/1392/VFI-CT.44.A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PHÁT TRIỂN CÔNG NGHỆ HÀ THẮNG</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37(5), tờ bản đồ số 1 có địa chỉ: Thôn Phù Liễn, xã Bắc Hồng, huyện Đông Anh, Thành phố Hà Nội </w:t>
                      </w:r>
                      <w:r>
                        <w:rPr>
                          <w:rFonts w:ascii="Times New Roman" w:hAnsi="Times New Roman" w:eastAsia="Times New Roman" w:cs="Times New Roman"/>
                          <w:i/>
                          <w:color w:val="000000"/>
                          <w:sz w:val="24"/>
                        </w:rPr>
                        <w:t xml:space="preserve">(Nay là xã Phúc Thịnh,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BG 109434, số vào sổ cấp GCN: 1420.QĐ-UBND.2011/CH 00263.2011 do Uỷ ban nhân dân huyện Đông Anh cấp ngày 04/5/2011; Chủ sử dụng đất là Ông Nguyễn Văn Thắng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w:t>
            </w:r>
            <w:r>
              <w:rPr>
                <w:b/>
                <w:color w:val="000000" w:themeColor="text1"/>
                <w:highlight w:val="white"/>
              </w:rPr>
              <w:t xml:space="preserve">2</w:t>
            </w:r>
            <w:r>
              <w:rPr>
                <w:b/>
                <w:color w:val="000000" w:themeColor="text1"/>
                <w:highlight w:val="white"/>
              </w:rPr>
              <w:t xml:space="preserve">2</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23</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 +</w:t>
            </w:r>
            <w:r>
              <w:rPr>
                <w:rFonts w:ascii="Times New Roman" w:hAnsi="Times New Roman" w:eastAsia="Times New Roman" w:cs="Times New Roman"/>
                <w:color w:val="000000"/>
                <w:sz w:val="24"/>
                <w:highlight w:val="white"/>
              </w:rPr>
              <w:t xml:space="preserve">Hồ sơ pháp lý + BBKS</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24-</w:t>
            </w:r>
            <w:r>
              <w:rPr>
                <w:b/>
                <w:bCs/>
                <w:highlight w:val="white"/>
              </w:rPr>
              <w:t xml:space="preserve">34</w:t>
            </w:r>
            <w:r>
              <w:rPr>
                <w:b/>
                <w:bCs/>
                <w:highlight w:val="white"/>
              </w:rPr>
            </w:r>
            <w:r>
              <w:rPr>
                <w:b/>
                <w:bCs/>
                <w:highlight w:val="white"/>
              </w:rPr>
            </w:r>
          </w:p>
        </w:tc>
      </w:tr>
    </w:tbl>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rPr>
      </w:r>
      <w:r>
        <w:rPr>
          <w:b/>
          <w:sz w:val="22"/>
          <w:szCs w:val="22"/>
          <w:highlight w:val="white"/>
        </w:rPr>
      </w:r>
    </w:p>
    <w:p>
      <w:pPr>
        <w:pStyle w:val="1026"/>
        <w:pBdr/>
        <w:tabs>
          <w:tab w:val="left" w:leader="none" w:pos="5103"/>
        </w:tabs>
        <w:spacing w:line="360" w:lineRule="auto"/>
        <w:ind/>
        <w:rPr>
          <w:b/>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rPr>
      </w:r>
      <w:r>
        <w:rPr>
          <w:b/>
          <w:sz w:val="22"/>
          <w:szCs w:val="22"/>
          <w:highlight w:val="white"/>
        </w:rPr>
      </w:r>
    </w:p>
    <w:tbl>
      <w:tblPr>
        <w:tblInd w:w="-1106" w:type="dxa"/>
        <w:tblW w:w="15236" w:type="dxa"/>
        <w:tblBorders/>
        <w:tblLayout w:type="fixed"/>
        <w:tblLook w:val="04A0" w:firstRow="1" w:lastRow="0" w:firstColumn="1" w:lastColumn="0" w:noHBand="0" w:noVBand="1"/>
      </w:tblPr>
      <w:tblGrid>
        <w:gridCol w:w="3118"/>
        <w:gridCol w:w="12118"/>
      </w:tblGrid>
      <w:tr>
        <w:trPr>
          <w:trHeight w:val="2126"/>
        </w:trPr>
        <w:tc>
          <w:tcPr>
            <w:tcBorders/>
            <w:tcW w:w="3118" w:type="dxa"/>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rFonts w:ascii="Times New Roman" w:hAnsi="Times New Roman" w:cs="Times New Roman"/>
                <w:highlight w:val="white"/>
              </w:rPr>
            </w:pPr>
            <w:r>
              <w:rPr>
                <w:rFonts w:ascii="Times New Roman" w:hAnsi="Times New Roman" w:eastAsia="Times New Roman" w:cs="Times New Roman"/>
                <w:highlight w:val="white"/>
              </w:rPr>
            </w:r>
            <w:r>
              <w:rPr>
                <w:rFonts w:ascii="Times New Roman" w:hAnsi="Times New Roman" w:eastAsia="Times New Roman" w:cs="Times New Roman"/>
                <w:highlight w:val="white"/>
              </w:rPr>
              <mc:AlternateContent>
                <mc:Choice Requires="wpg">
                  <w:drawing>
                    <wp:inline xmlns:wp="http://schemas.openxmlformats.org/drawingml/2006/wordprocessingDrawing" distT="0" distB="0" distL="0" distR="0">
                      <wp:extent cx="1590675" cy="143827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127507" name=""/>
                              <pic:cNvPicPr>
                                <a:picLocks noChangeAspect="1"/>
                              </pic:cNvPicPr>
                              <pic:nvPr/>
                            </pic:nvPicPr>
                            <pic:blipFill rotWithShape="1">
                              <a:blip r:embed="rId14"/>
                              <a:stretch/>
                            </pic:blipFill>
                            <pic:spPr bwMode="auto">
                              <a:xfrm>
                                <a:off x="0" y="0"/>
                                <a:ext cx="1590674" cy="1438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25.25pt;height:113.25pt;mso-wrap-distance-left:0.00pt;mso-wrap-distance-top:0.00pt;mso-wrap-distance-right:0.00pt;mso-wrap-distance-bottom:0.00pt;z-index:1;" stroked="false">
                      <v:imagedata r:id="rId14" o:title=""/>
                      <o:lock v:ext="edit" rotation="t"/>
                    </v:shape>
                  </w:pict>
                </mc:Fallback>
              </mc:AlternateContent>
            </w:r>
            <w:r>
              <w:rPr>
                <w:rFonts w:ascii="Times New Roman" w:hAnsi="Times New Roman" w:cs="Times New Roman"/>
                <w:highlight w:val="white"/>
              </w:rPr>
            </w:r>
            <w:r>
              <w:rPr>
                <w:rFonts w:ascii="Times New Roman" w:hAnsi="Times New Roman" w:cs="Times New Roman"/>
                <w:highlight w:val="white"/>
              </w:rPr>
            </w:r>
          </w:p>
        </w:tc>
        <w:tc>
          <w:tcPr>
            <w:tcBorders/>
            <w:tcW w:w="12118" w:type="dxa"/>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cs="Times New Roman"/>
                <w:highlight w:val="white"/>
              </w:rPr>
            </w:pPr>
            <w:r>
              <w:rPr>
                <w:rFonts w:ascii="Times New Roman" w:hAnsi="Times New Roman" w:eastAsia="Times New Roman" w:cs="Times New Roman"/>
                <w:b/>
                <w:color w:val="000000"/>
                <w:sz w:val="24"/>
                <w:highlight w:val="white"/>
              </w:rPr>
              <w:t xml:space="preserve">CÔNG TY CỔ PHẦN THẨM ĐỊNH VÀ ĐẦU TƯ TÀI CHÍNH HOA SEN</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cs="Times New Roman"/>
                <w:highlight w:val="white"/>
              </w:rPr>
            </w:pPr>
            <w:r>
              <w:rPr>
                <w:rFonts w:ascii="Times New Roman" w:hAnsi="Times New Roman" w:eastAsia="Times New Roman" w:cs="Times New Roman"/>
                <w:color w:val="000000"/>
                <w:sz w:val="24"/>
                <w:highlight w:val="white"/>
              </w:rPr>
              <w:t xml:space="preserve">Trụ sở: BT5 - 23, Khu đô thị mới Văn Phú, Phường Kiến Hưng, Thành phố Hà Nội</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cs="Times New Roman"/>
                <w:highlight w:val="white"/>
              </w:rPr>
            </w:pPr>
            <w:r>
              <w:rPr>
                <w:rFonts w:ascii="Times New Roman" w:hAnsi="Times New Roman" w:eastAsia="Times New Roman" w:cs="Times New Roman"/>
                <w:color w:val="000000"/>
                <w:sz w:val="24"/>
                <w:highlight w:val="white"/>
              </w:rPr>
              <w:t xml:space="preserve">Điện thoại:  085 329 3333/ 024 2264 4333</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Email: </w:t>
              <w:tab/>
            </w:r>
            <w:hyperlink r:id="rId15" w:tooltip="mailto:ilotus.contact@gmail.com" w:history="1">
              <w:r>
                <w:rPr>
                  <w:rStyle w:val="1017"/>
                  <w:rFonts w:ascii="Times New Roman" w:hAnsi="Times New Roman" w:eastAsia="Times New Roman" w:cs="Times New Roman"/>
                  <w:color w:val="000000"/>
                  <w:sz w:val="24"/>
                  <w:highlight w:val="white"/>
                  <w:u w:val="none"/>
                </w:rPr>
                <w:t xml:space="preserve">ilotus.contact@gmail.com</w:t>
              </w:r>
            </w:hyperlink>
            <w:r>
              <w:rPr>
                <w:rFonts w:ascii="Times New Roman" w:hAnsi="Times New Roman" w:eastAsia="Times New Roman" w:cs="Times New Roman"/>
                <w:color w:val="000000"/>
                <w:sz w:val="24"/>
                <w:highlight w:val="white"/>
              </w:rPr>
              <w:t xml:space="preserve">                         Website: ilotus.com.vn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482"/>
        </w:trPr>
        <w:tc>
          <w:tcPr>
            <w:shd w:val="clear" w:color="auto" w:fill="auto"/>
            <w:tcBorders/>
            <w:tcMar>
              <w:left w:w="108" w:type="dxa"/>
              <w:top w:w="0" w:type="dxa"/>
              <w:right w:w="108" w:type="dxa"/>
              <w:bottom w:w="0" w:type="dxa"/>
            </w:tcMar>
            <w:tcW w:w="3118" w:type="dxa"/>
            <w:textDirection w:val="lrTb"/>
            <w:noWrap w:val="false"/>
          </w:tcPr>
          <w:p>
            <w:pPr>
              <w:pBdr>
                <w:top w:val="none" w:color="000000" w:sz="4" w:space="0"/>
                <w:left w:val="none" w:color="000000" w:sz="4" w:space="0"/>
                <w:bottom w:val="none" w:color="000000" w:sz="4" w:space="0"/>
                <w:right w:val="none" w:color="000000" w:sz="4" w:space="0"/>
              </w:pBdr>
              <w:tabs>
                <w:tab w:val="center" w:leader="none" w:pos="1309"/>
              </w:tabs>
              <w:spacing w:after="60"/>
              <w:ind w:right="0" w:firstLine="0" w:left="0"/>
              <w:jc w:val="both"/>
              <w:rPr>
                <w:rFonts w:ascii="Times New Roman" w:hAnsi="Times New Roman" w:cs="Times New Roman"/>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highlight w:val="white"/>
              </w:rPr>
              <w:t xml:space="preserve">275/2026/1392/VFI-CT.44.A</w:t>
            </w:r>
            <w:r>
              <w:rPr>
                <w:rFonts w:ascii="Times New Roman" w:hAnsi="Times New Roman" w:eastAsia="Times New Roman" w:cs="Times New Roman"/>
                <w:highlight w:val="white"/>
              </w:rPr>
              <w:tab/>
            </w:r>
            <w:r>
              <w:rPr>
                <w:rFonts w:ascii="Times New Roman" w:hAnsi="Times New Roman" w:cs="Times New Roman"/>
                <w:highlight w:val="white"/>
              </w:rPr>
            </w:r>
            <w:r>
              <w:rPr>
                <w:rFonts w:ascii="Times New Roman" w:hAnsi="Times New Roman" w:cs="Times New Roman"/>
                <w:highlight w:val="white"/>
              </w:rPr>
            </w:r>
          </w:p>
        </w:tc>
        <w:tc>
          <w:tcPr>
            <w:shd w:val="clear" w:color="auto" w:fill="auto"/>
            <w:tcBorders/>
            <w:tcMar>
              <w:left w:w="108" w:type="dxa"/>
              <w:top w:w="0" w:type="dxa"/>
              <w:right w:w="108" w:type="dxa"/>
              <w:bottom w:w="0" w:type="dxa"/>
            </w:tcMar>
            <w:tcW w:w="12118" w:type="dxa"/>
            <w:textDirection w:val="lrTb"/>
            <w:noWrap w:val="false"/>
          </w:tcPr>
          <w:p>
            <w:pPr>
              <w:pBdr/>
              <w:spacing/>
              <w:ind/>
              <w:rPr>
                <w:rFonts w:ascii="Times New Roman" w:hAnsi="Times New Roman" w:cs="Times New Roman"/>
                <w:color w:val="000000" w:themeColor="text1"/>
                <w:highlight w:val="white"/>
              </w:rPr>
            </w:pPr>
            <w:r>
              <w:rPr>
                <w:rFonts w:ascii="Times New Roman" w:hAnsi="Times New Roman" w:eastAsia="Times New Roman" w:cs="Times New Roman"/>
                <w:highlight w:val="white"/>
              </w:rPr>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i/>
                <w:color w:val="000000" w:themeColor="text1"/>
                <w:sz w:val="24"/>
                <w:highlight w:val="white"/>
              </w:rPr>
              <w:t xml:space="preserve">TP. Hà Nội, </w:t>
            </w:r>
            <w:r>
              <w:rPr>
                <w:rFonts w:ascii="Times New Roman" w:hAnsi="Times New Roman" w:eastAsia="Times New Roman" w:cs="Times New Roman"/>
                <w:i/>
                <w:color w:val="000000" w:themeColor="text1"/>
                <w:sz w:val="24"/>
                <w:highlight w:val="white"/>
              </w:rPr>
              <w:t xml:space="preserve">ngày </w:t>
            </w:r>
            <w:r>
              <w:rPr>
                <w:rFonts w:ascii="Times New Roman" w:hAnsi="Times New Roman" w:eastAsia="Times New Roman" w:cs="Times New Roman"/>
                <w:i/>
                <w:color w:val="000000" w:themeColor="text1"/>
                <w:sz w:val="24"/>
                <w:highlight w:val="white"/>
              </w:rPr>
              <w:t xml:space="preserve">8 </w:t>
            </w:r>
            <w:r>
              <w:rPr>
                <w:rFonts w:ascii="Times New Roman" w:hAnsi="Times New Roman" w:eastAsia="Times New Roman" w:cs="Times New Roman"/>
                <w:i/>
                <w:color w:val="000000" w:themeColor="text1"/>
                <w:sz w:val="24"/>
                <w:highlight w:val="white"/>
              </w:rPr>
              <w:t xml:space="preserve">tháng 0</w:t>
            </w:r>
            <w:r>
              <w:rPr>
                <w:rFonts w:ascii="Times New Roman" w:hAnsi="Times New Roman" w:eastAsia="Times New Roman" w:cs="Times New Roman"/>
                <w:i/>
                <w:color w:val="000000" w:themeColor="text1"/>
                <w:sz w:val="24"/>
                <w:highlight w:val="white"/>
              </w:rPr>
              <w:t xml:space="preserve">9  </w:t>
            </w:r>
            <w:r>
              <w:rPr>
                <w:rFonts w:ascii="Times New Roman" w:hAnsi="Times New Roman" w:eastAsia="Times New Roman" w:cs="Times New Roman"/>
                <w:i/>
                <w:color w:val="000000" w:themeColor="text1"/>
                <w:sz w:val="24"/>
                <w:highlight w:val="white"/>
              </w:rPr>
              <w:t xml:space="preserve">năm 2026</w:t>
            </w:r>
            <w:r>
              <w:rPr>
                <w:rFonts w:ascii="Times New Roman" w:hAnsi="Times New Roman" w:cs="Times New Roman"/>
                <w:color w:val="000000" w:themeColor="text1"/>
                <w:highlight w:val="white"/>
              </w:rPr>
            </w:r>
            <w:r>
              <w:rPr>
                <w:rFonts w:ascii="Times New Roman" w:hAnsi="Times New Roman" w:cs="Times New Roman"/>
                <w:color w:val="000000" w:themeColor="text1"/>
                <w:highlight w:val="white"/>
              </w:rPr>
            </w:r>
          </w:p>
        </w:tc>
      </w:tr>
    </w:tbl>
    <w:p>
      <w:pPr>
        <w:pStyle w:val="1026"/>
        <w:pBdr/>
        <w:spacing w:after="120" w:before="200" w:line="288" w:lineRule="auto"/>
        <w:ind/>
        <w:jc w:val="center"/>
        <w:rPr>
          <w:rStyle w:val="1025"/>
          <w:rFonts w:ascii="Times New Roman" w:hAnsi="Times New Roman"/>
          <w:b/>
          <w:bCs/>
          <w:color w:val="auto"/>
          <w:sz w:val="30"/>
          <w:szCs w:val="30"/>
          <w:highlight w:val="white"/>
        </w:rPr>
      </w:pPr>
      <w:r>
        <w:rPr>
          <w:rStyle w:val="1025"/>
          <w:rFonts w:ascii="Times New Roman" w:hAnsi="Times New Roman"/>
          <w:b/>
          <w:bCs/>
          <w:color w:val="auto"/>
          <w:sz w:val="30"/>
          <w:szCs w:val="30"/>
          <w:highlight w:val="white"/>
          <w:lang w:val="vi-VN"/>
        </w:rPr>
        <w:t xml:space="preserve">CHỨNG THƯ THẨM ĐỊNH GIÁ</w:t>
      </w:r>
      <w:r>
        <w:rPr>
          <w:rStyle w:val="1025"/>
          <w:rFonts w:ascii="Times New Roman" w:hAnsi="Times New Roman"/>
          <w:b/>
          <w:bCs/>
          <w:color w:val="auto"/>
          <w:sz w:val="30"/>
          <w:szCs w:val="30"/>
          <w:highlight w:val="white"/>
        </w:rPr>
      </w:r>
      <w:r>
        <w:rPr>
          <w:rStyle w:val="1025"/>
          <w:rFonts w:ascii="Times New Roman" w:hAnsi="Times New Roman"/>
          <w:b/>
          <w:bCs/>
          <w:color w:val="auto"/>
          <w:sz w:val="30"/>
          <w:szCs w:val="30"/>
          <w:highlight w:val="white"/>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CÔNG TY TNHH PHÁT TRIỂN CÔNG NGHỆ HÀ THẮNG</w:t>
      </w:r>
      <w:r>
        <w:rPr>
          <w:rFonts w:ascii="Times New Roman Bold" w:hAnsi="Times New Roman Bold"/>
          <w:b/>
          <w:highlight w:val="white"/>
        </w:rPr>
      </w:r>
      <w:r>
        <w:rPr>
          <w:rFonts w:ascii="Times New Roman Bold" w:hAnsi="Times New Roman Bold"/>
          <w:b/>
          <w:highlight w:val="white"/>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275/2026/1392/VFI-HĐTĐ.44.A</w:t>
      </w:r>
      <w:r>
        <w:rPr>
          <w:spacing w:val="-4"/>
          <w:highlight w:val="white"/>
          <w:lang w:val="vi-VN"/>
        </w:rPr>
        <w:t xml:space="preserve"> ký ngày </w:t>
      </w:r>
      <w:r>
        <w:rPr>
          <w:color w:val="000000" w:themeColor="text1"/>
          <w:spacing w:val="-4"/>
          <w:highlight w:val="white"/>
        </w:rPr>
        <w:t xml:space="preserve">3 tháng 9 năm 2026</w:t>
      </w:r>
      <w:r>
        <w:rPr>
          <w:spacing w:val="-4"/>
          <w:highlight w:val="white"/>
          <w:lang w:val="vi-VN"/>
        </w:rPr>
        <w:t xml:space="preserve"> </w:t>
      </w:r>
      <w:r>
        <w:rPr>
          <w:spacing w:val="-4"/>
          <w:highlight w:val="white"/>
          <w:lang w:val="vi-VN"/>
        </w:rPr>
        <w:t xml:space="preserve">giữa </w:t>
      </w:r>
      <w:r>
        <w:rPr>
          <w:rFonts w:ascii="Times New Roman" w:hAnsi="Times New Roman" w:eastAsia="Times New Roman" w:cs="Times New Roman"/>
          <w:color w:val="000000"/>
          <w:spacing w:val="-4"/>
          <w:sz w:val="24"/>
          <w:highlight w:val="white"/>
        </w:rPr>
        <w:t xml:space="preserve">Công ty TNHH Phát triển Công nghệ Hà Thắng</w:t>
      </w:r>
      <w:r>
        <w:rPr>
          <w:rFonts w:ascii="Times New Roman" w:hAnsi="Times New Roman" w:eastAsia="Times New Roman" w:cs="Times New Roman"/>
          <w:color w:val="000000"/>
          <w:sz w:val="24"/>
          <w:highlight w:val="white"/>
        </w:rPr>
        <w:t xml:space="preserve">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275/2026/1392/VFI-BC.44.A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8 tháng 9 năm 2026</w:t>
      </w:r>
      <w:r>
        <w:rPr>
          <w:spacing w:val="-2"/>
          <w:highlight w:val="white"/>
          <w:lang w:val="vi-VN"/>
        </w:rPr>
        <w:t xml:space="preserve"> </w:t>
      </w:r>
      <w:r>
        <w:rPr>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5000" w:type="pct"/>
        <w:tblBorders/>
        <w:tblLook w:val="04A0" w:firstRow="1" w:lastRow="0" w:firstColumn="1" w:lastColumn="0" w:noHBand="0" w:noVBand="1"/>
      </w:tblPr>
      <w:tblGrid>
        <w:gridCol w:w="2113"/>
        <w:gridCol w:w="472"/>
        <w:gridCol w:w="6940"/>
        <w:gridCol w:w="4"/>
      </w:tblGrid>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Tên khách hàng</w:t>
            </w:r>
            <w:r>
              <w:rPr>
                <w:highlight w:val="white"/>
              </w:rPr>
            </w:r>
            <w:r>
              <w:rPr>
                <w:highlight w:val="white"/>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pacing w:val="-4"/>
                <w:sz w:val="24"/>
                <w:highlight w:val="white"/>
              </w:rPr>
              <w:t xml:space="preserve">CÔNG TY TNHH PHÁT TRIỂN CÔNG NGHỆ HÀ THẮNG</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Địa chỉ trụ sở</w:t>
            </w:r>
            <w:r>
              <w:rPr>
                <w:highlight w:val="white"/>
              </w:rPr>
            </w:r>
            <w:r>
              <w:rPr>
                <w:highlight w:val="white"/>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pacing w:val="-2"/>
                <w:sz w:val="24"/>
                <w:highlight w:val="white"/>
              </w:rPr>
              <w:t xml:space="preserve">Số 17, ngõ 167 Giải Phóng, phường Bạch Mai, Thành phố Hà Nội</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Mã số thuế</w:t>
            </w:r>
            <w:r>
              <w:rPr>
                <w:highlight w:val="white"/>
              </w:rPr>
            </w:r>
            <w:r>
              <w:rPr>
                <w:highlight w:val="white"/>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0105418958</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Đại diện</w:t>
            </w:r>
            <w:r>
              <w:rPr>
                <w:highlight w:val="white"/>
              </w:rPr>
            </w:r>
            <w:r>
              <w:rPr>
                <w:highlight w:val="white"/>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b/>
                <w:color w:val="000000"/>
                <w:sz w:val="24"/>
                <w:highlight w:val="white"/>
              </w:rPr>
              <w:t xml:space="preserve">Ông Nguyễn Văn Thắng</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trHeight w:val="20"/>
        </w:trPr>
        <w:tc>
          <w:tcPr>
            <w:shd w:val="clear" w:color="ffffff" w:fill="ffffff"/>
            <w:tcBorders/>
            <w:tcW w:w="211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Chức vụ</w:t>
            </w:r>
            <w:r>
              <w:rPr>
                <w:highlight w:val="white"/>
              </w:rPr>
            </w:r>
            <w:r>
              <w:rPr>
                <w:highlight w:val="white"/>
              </w:rPr>
            </w:r>
          </w:p>
        </w:tc>
        <w:tc>
          <w:tcPr>
            <w:shd w:val="clear" w:color="ffffff" w:fill="ffffff"/>
            <w:tcBorders/>
            <w:tcW w:w="47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b/>
                <w:color w:val="000000"/>
                <w:sz w:val="24"/>
                <w:highlight w:val="white"/>
              </w:rPr>
              <w:t xml:space="preserve">Giám đốc</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rPr>
            </w:r>
            <w:r>
              <w:rPr>
                <w:rFonts w:ascii="Times New Roman Bold" w:hAnsi="Times New Roman Bold"/>
                <w:b/>
                <w:bCs/>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rPr>
            </w:r>
            <w:r>
              <w:rPr>
                <w:spacing w:val="-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rPr>
            </w:r>
            <w:r>
              <w:rPr>
                <w:bCs/>
                <w:highlight w:val="white"/>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rPr>
            </w:r>
            <w:r>
              <w:rPr>
                <w:b/>
                <w:bCs/>
                <w:highlight w:val="white"/>
              </w:rPr>
            </w:r>
          </w:p>
        </w:tc>
      </w:tr>
      <w:tr>
        <w:trPr>
          <w:trHeight w:val="20"/>
        </w:trPr>
        <w:tc>
          <w:tcPr>
            <w:tcBorders/>
            <w:tcW w:w="2269" w:type="dxa"/>
            <w:vAlign w:val="center"/>
            <w:vMerge w:val="restart"/>
            <w:textDirection w:val="lrTb"/>
            <w:noWrap w:val="false"/>
          </w:tcPr>
          <w:p>
            <w:pPr>
              <w:pBdr/>
              <w:spacing w:after="40" w:before="40" w:line="276" w:lineRule="auto"/>
              <w:ind/>
              <w:rPr>
                <w:bCs/>
                <w:highlight w:val="white"/>
              </w:rPr>
            </w:pPr>
            <w:r>
              <w:rPr>
                <w:bCs/>
                <w:highlight w:val="white"/>
              </w:rPr>
              <w:t xml:space="preserve">Chức </w:t>
            </w:r>
            <w:r>
              <w:rPr>
                <w:bCs/>
                <w:highlight w:val="white"/>
              </w:rPr>
              <w:t xml:space="preserve">vụ </w:t>
            </w:r>
            <w:r>
              <w:rPr>
                <w:bCs/>
                <w:highlight w:val="white"/>
              </w:rPr>
            </w:r>
            <w:r>
              <w:rPr>
                <w:bCs/>
                <w:highlight w:val="white"/>
              </w:rPr>
            </w:r>
          </w:p>
        </w:tc>
        <w:tc>
          <w:tcPr>
            <w:tcBorders/>
            <w:tcW w:w="289" w:type="dxa"/>
            <w:vAlign w:val="center"/>
            <w:vMerge w:val="restart"/>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vMerge w:val="restart"/>
            <w:textDirection w:val="lrTb"/>
            <w:noWrap w:val="false"/>
          </w:tcPr>
          <w:p>
            <w:pPr>
              <w:pBdr/>
              <w:spacing w:after="40" w:before="40" w:line="276" w:lineRule="auto"/>
              <w:ind/>
              <w:rPr>
                <w:b/>
                <w:bCs/>
                <w:highlight w:val="white"/>
              </w:rPr>
            </w:pPr>
            <w:r>
              <w:rPr>
                <w:b/>
                <w:bCs/>
                <w:highlight w:val="white"/>
                <w:lang w:val="vi-VN"/>
              </w:rPr>
            </w:r>
            <w:r>
              <w:rPr>
                <w:rFonts w:ascii="Times New Roman" w:hAnsi="Times New Roman" w:eastAsia="Times New Roman" w:cs="Times New Roman"/>
                <w:b/>
                <w:color w:val="000000"/>
                <w:sz w:val="24"/>
                <w:highlight w:val="white"/>
              </w:rPr>
              <w:t xml:space="preserve">Chủ tịch HĐQT kiêm Tổng Giám Đốc</w:t>
            </w:r>
            <w:r>
              <w:rPr>
                <w:b/>
                <w:bCs/>
                <w:highlight w:val="white"/>
              </w:rPr>
            </w:r>
            <w:r>
              <w:rPr>
                <w:b/>
                <w:bCs/>
                <w:highlight w:val="white"/>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Quyền sử dụng đất tại thửa đất số: 37(5), tờ bản đồ số 1 có địa chỉ: Thôn Phù Liễn, xã Bắc Hồng, huyện Đông Anh, Thành phố Hà Nội </w:t>
      </w:r>
      <w:r>
        <w:rPr>
          <w:i/>
          <w:iCs/>
          <w:color w:val="000000" w:themeColor="text1"/>
          <w:highlight w:val="white"/>
        </w:rPr>
        <w:t xml:space="preserve">(Nay là xã Phúc Thịnh, Thành phố Hà </w:t>
      </w:r>
      <w:r>
        <w:rPr>
          <w:i/>
          <w:iCs/>
          <w:color w:val="000000" w:themeColor="text1"/>
          <w:highlight w:val="white"/>
        </w:rPr>
        <w:t xml:space="preserve">Nội)</w:t>
      </w:r>
      <w:r>
        <w:rPr>
          <w:color w:val="000000" w:themeColor="text1"/>
          <w:highlight w:val="white"/>
        </w:rPr>
        <w:t xml:space="preserve"> theo Giấy chứng nhận quyền sử dụng đất quyền sở hữu nhà ở và tài sản khác gắn liền với đất số: BG 109434, số vào sổ cấp GCN: 1420.QĐ-UBND.2011/CH 00263.2011 do Uỷ ban nhân dân huyện Đông Anh cấp ngày 04/5/2011; Chủ sử dụng đất là Ông Nguyễn Văn Thắng.</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09/2026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rPr>
      </w:r>
      <w:r>
        <w:rPr>
          <w:b/>
          <w:highlight w:val="white"/>
        </w:rPr>
      </w:r>
    </w:p>
    <w:p>
      <w:pPr>
        <w:pBdr/>
        <w:tabs>
          <w:tab w:val="left" w:leader="none" w:pos="5202"/>
        </w:tabs>
        <w:spacing w:after="120" w:before="120" w:line="312"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rPr>
      </w:r>
      <w:r>
        <w:rPr>
          <w:highlight w:val="white"/>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rPr>
      </w:r>
      <w:r>
        <w:rPr>
          <w:b/>
          <w:bCs/>
          <w:highlight w:val="white"/>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09/2026</w:t>
      </w:r>
      <w:r>
        <w:rPr>
          <w:highlight w:val="white"/>
          <w:lang w:val="vi-VN"/>
        </w:rPr>
        <w:t xml:space="preserve"> ước tính</w:t>
      </w:r>
      <w:r>
        <w:rPr>
          <w:highlight w:val="white"/>
        </w:rPr>
        <w:t xml:space="preserve"> </w:t>
      </w:r>
      <w:r>
        <w:rPr>
          <w:highlight w:val="white"/>
          <w:lang w:val="vi-VN"/>
        </w:rPr>
        <w:t xml:space="preserve">như sau:</w:t>
      </w:r>
      <w:r>
        <w:rPr>
          <w:highlight w:val="white"/>
        </w:rPr>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364" w:type="pct"/>
            <w:vAlign w:val="center"/>
            <w:textDirection w:val="lrTb"/>
            <w:noWrap w:val="false"/>
          </w:tcPr>
          <w:p>
            <w:pPr>
              <w:pBdr/>
              <w:tabs>
                <w:tab w:val="center" w:leader="none" w:pos="3096"/>
              </w:tabs>
              <w:spacing w:after="40" w:before="40" w:line="288" w:lineRule="auto"/>
              <w:ind/>
              <w:jc w:val="both"/>
              <w:rPr>
                <w:b/>
                <w:bCs/>
                <w:highlight w:val="white"/>
              </w:rPr>
            </w:pPr>
            <w:r>
              <w:rPr>
                <w:b/>
                <w:bCs/>
                <w:color w:val="000000"/>
                <w:highlight w:val="white"/>
              </w:rPr>
              <w:t xml:space="preserve">Q</w:t>
            </w:r>
            <w:r>
              <w:rPr>
                <w:b/>
                <w:bCs/>
                <w:color w:val="000000"/>
                <w:highlight w:val="white"/>
              </w:rPr>
              <w:t xml:space="preserve">uyền sử dụng đất tại thửa đất số: 37(5), tờ bản đồ số 1 có địa chỉ: Thôn Phù Liễn, xã Bắc Hồng, huyện Đông Anh, Thành phố Hà Nội (Nay là xã Phúc Thịnh, Thành phố Hà </w:t>
            </w:r>
            <w:r>
              <w:rPr>
                <w:b/>
                <w:bCs/>
                <w:color w:val="000000"/>
                <w:highlight w:val="white"/>
              </w:rPr>
              <w:t xml:space="preserve">Nội) theo Giấy chứng nhận quyền sử dụng đất quyền sở hữu nhà ở và tài sản khác gắn liền với đất số: BG 109434, số vào sổ cấp GCN: 1420.QĐ-UBND.2011/CH 00263.2011 do Uỷ ban nhân dân huyện Đông Anh cấp ngày 04/5/2011; Chủ sử dụng đất là Ông Nguyễn Văn Thắng.</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nông thôn</w:t>
            </w:r>
            <w:r>
              <w:rPr>
                <w:b w:val="0"/>
                <w:bCs w:val="0"/>
                <w:highlight w:val="white"/>
              </w:rPr>
            </w:r>
            <w:r>
              <w:rPr>
                <w:b w:val="0"/>
                <w:bCs w:val="0"/>
                <w:highlight w:val="white"/>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52,3</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50.000.000</w:t>
            </w:r>
            <w:r>
              <w:rPr>
                <w:highlight w:val="white"/>
              </w:rPr>
            </w:r>
            <w:r>
              <w:rPr>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highlight w:val="white"/>
              </w:rPr>
            </w:pPr>
            <w:r>
              <w:rPr>
                <w:b/>
                <w:bCs/>
                <w:color w:val="000000" w:themeColor="text1"/>
                <w:highlight w:val="white"/>
              </w:rPr>
              <w:t xml:space="preserve">2.615.000.000</w:t>
            </w:r>
            <w:r>
              <w:rPr>
                <w:b/>
                <w:bCs/>
                <w:highlight w:val="white"/>
              </w:rPr>
            </w:r>
            <w:r>
              <w:rPr>
                <w:b/>
                <w:bCs/>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b/>
                <w:bCs/>
                <w:highlight w:val="white"/>
              </w:rPr>
              <w:t xml:space="preserve">2.615.000.000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Hai tỷ sáu trăm mười lăm triệu đồng chẵn</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rPr>
      </w:r>
      <w:r>
        <w:rPr>
          <w:highlight w:val="white"/>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r>
        <w:rPr>
          <w:highlight w:val="white"/>
        </w:rPr>
      </w:r>
    </w:p>
    <w:p>
      <w:pPr>
        <w:pBdr/>
        <w:spacing w:after="120" w:before="120" w:line="312" w:lineRule="auto"/>
        <w:ind w:firstLine="360"/>
        <w:rPr>
          <w:rFonts w:eastAsia="Calibri"/>
          <w:b/>
          <w:bCs/>
          <w:spacing w:val="-4"/>
          <w:highlight w:val="white"/>
        </w:rPr>
      </w:pPr>
      <w:r>
        <w:rPr>
          <w:highlight w:val="white"/>
          <w:lang w:val="pt-BR"/>
        </w:rPr>
        <w:t xml:space="preserve">- </w:t>
      </w:r>
      <w:r>
        <w:rPr>
          <w:highlight w:val="white"/>
          <w:lang w:val="pt-BR"/>
        </w:rPr>
        <w:t xml:space="preserve">Chi tiết như Báo cáo kèm theo.</w:t>
      </w:r>
      <w:r>
        <w:rPr>
          <w:rFonts w:eastAsia="Calibri"/>
          <w:b/>
          <w:bCs/>
          <w:spacing w:val="-4"/>
          <w:highlight w:val="white"/>
        </w:rPr>
      </w:r>
      <w:r>
        <w:rPr>
          <w:rFonts w:eastAsia="Calibri"/>
          <w:b/>
          <w:bCs/>
          <w:spacing w:val="-4"/>
          <w:highlight w:val="white"/>
        </w:rPr>
      </w:r>
    </w:p>
    <w:p>
      <w:pPr>
        <w:pBdr/>
        <w:spacing w:after="120" w:before="120" w:line="312" w:lineRule="auto"/>
        <w:ind w:firstLine="0"/>
        <w:rPr>
          <w:highlight w:val="white"/>
        </w:rPr>
      </w:pP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rPr>
      </w:r>
      <w:r>
        <w:rPr>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rPr>
      </w:r>
      <w:r>
        <w:rPr>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Nguyễn Thị Thùy Dương</w:t>
            </w:r>
            <w:r>
              <w:rPr>
                <w:rFonts w:eastAsia="Calibri"/>
                <w:b/>
                <w:bCs/>
                <w:highlight w:val="white"/>
              </w:rPr>
            </w:r>
            <w:r>
              <w:rPr>
                <w:rFonts w:eastAsia="Calibri"/>
                <w:b/>
                <w:bCs/>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rPr>
            </w:r>
            <w:r>
              <w:rPr>
                <w:rFonts w:eastAsia="Calibri"/>
                <w:b/>
                <w:highlight w:val="white"/>
              </w:rPr>
            </w:r>
          </w:p>
        </w:tc>
      </w:tr>
    </w:tbl>
    <w:p>
      <w:pPr>
        <w:pBdr/>
        <w:spacing w:after="200" w:line="276" w:lineRule="auto"/>
        <w:ind/>
        <w:rPr>
          <w:highlight w:val="white"/>
        </w:rPr>
      </w:pPr>
      <w:r>
        <w:rPr>
          <w:highlight w:val="white"/>
        </w:rPr>
        <w:br w:type="page" w:clear="all"/>
      </w:r>
      <w:r>
        <w:rPr>
          <w:highlight w:val="white"/>
        </w:rPr>
      </w:r>
      <w:r>
        <w:rPr>
          <w:highlight w:val="white"/>
        </w:rPr>
      </w:r>
    </w:p>
    <w:tbl>
      <w:tblPr>
        <w:tblInd w:w="-255" w:type="dxa"/>
        <w:tblW w:w="10346" w:type="dxa"/>
        <w:tblBorders/>
        <w:tblLayout w:type="fixed"/>
        <w:tblLook w:val="04A0" w:firstRow="1" w:lastRow="0" w:firstColumn="1" w:lastColumn="0" w:noHBand="0" w:noVBand="1"/>
      </w:tblPr>
      <w:tblGrid>
        <w:gridCol w:w="2551"/>
        <w:gridCol w:w="709"/>
        <w:gridCol w:w="7087"/>
      </w:tblGrid>
      <w:tr>
        <w:trPr>
          <w:trHeight w:val="1843"/>
        </w:trPr>
        <w:tc>
          <w:tcPr>
            <w:tcBorders/>
            <w:tcW w:w="2551" w:type="dxa"/>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rFonts w:ascii="Times New Roman" w:hAnsi="Times New Roman" w:cs="Times New Roman"/>
                <w:highlight w:val="white"/>
              </w:rPr>
            </w:pPr>
            <w:r>
              <w:rPr>
                <w:rFonts w:ascii="Times New Roman" w:hAnsi="Times New Roman" w:eastAsia="Times New Roman" w:cs="Times New Roman"/>
                <w:highlight w:val="white"/>
              </w:rPr>
            </w:r>
            <w:r>
              <w:rPr>
                <w:rFonts w:ascii="Times New Roman" w:hAnsi="Times New Roman" w:eastAsia="Times New Roman" w:cs="Times New Roman"/>
                <w:highlight w:val="white"/>
              </w:rPr>
              <mc:AlternateContent>
                <mc:Choice Requires="wpg">
                  <w:drawing>
                    <wp:inline xmlns:wp="http://schemas.openxmlformats.org/drawingml/2006/wordprocessingDrawing" distT="0" distB="0" distL="0" distR="0">
                      <wp:extent cx="1590675" cy="143827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87883" name=""/>
                              <pic:cNvPicPr>
                                <a:picLocks noChangeAspect="1"/>
                              </pic:cNvPicPr>
                              <pic:nvPr/>
                            </pic:nvPicPr>
                            <pic:blipFill rotWithShape="1">
                              <a:blip r:embed="rId14"/>
                              <a:stretch/>
                            </pic:blipFill>
                            <pic:spPr bwMode="auto">
                              <a:xfrm>
                                <a:off x="0" y="0"/>
                                <a:ext cx="1590673" cy="14382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25.25pt;height:113.25pt;mso-wrap-distance-left:0.00pt;mso-wrap-distance-top:0.00pt;mso-wrap-distance-right:0.00pt;mso-wrap-distance-bottom:0.00pt;z-index:1;" stroked="false">
                      <v:imagedata r:id="rId14" o:title=""/>
                      <o:lock v:ext="edit" rotation="t"/>
                    </v:shape>
                  </w:pict>
                </mc:Fallback>
              </mc:AlternateContent>
            </w:r>
            <w:r>
              <w:rPr>
                <w:rFonts w:ascii="Times New Roman" w:hAnsi="Times New Roman" w:cs="Times New Roman"/>
                <w:highlight w:val="white"/>
              </w:rPr>
            </w:r>
            <w:r>
              <w:rPr>
                <w:rFonts w:ascii="Times New Roman" w:hAnsi="Times New Roman" w:cs="Times New Roman"/>
                <w:highlight w:val="white"/>
              </w:rPr>
            </w:r>
          </w:p>
        </w:tc>
        <w:tc>
          <w:tcPr>
            <w:gridSpan w:val="2"/>
            <w:tcBorders/>
            <w:tcW w:w="7795" w:type="dxa"/>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cs="Times New Roman"/>
                <w:highlight w:val="white"/>
              </w:rPr>
            </w:pPr>
            <w:r>
              <w:rPr>
                <w:rFonts w:ascii="Times New Roman" w:hAnsi="Times New Roman" w:eastAsia="Times New Roman" w:cs="Times New Roman"/>
                <w:b/>
                <w:color w:val="000000"/>
                <w:sz w:val="24"/>
                <w:highlight w:val="white"/>
              </w:rPr>
              <w:t xml:space="preserve">CÔNG TY CỔ PHẦN THẨM ĐỊNH VÀ ĐẦU TƯ TÀI CHÍNH HOA SEN</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cs="Times New Roman"/>
                <w:highlight w:val="white"/>
              </w:rPr>
            </w:pPr>
            <w:r>
              <w:rPr>
                <w:rFonts w:ascii="Times New Roman" w:hAnsi="Times New Roman" w:eastAsia="Times New Roman" w:cs="Times New Roman"/>
                <w:color w:val="000000"/>
                <w:sz w:val="24"/>
                <w:highlight w:val="white"/>
              </w:rPr>
              <w:t xml:space="preserve">Trụ sở: BT5 - 23, Khu đô thị mới Văn Phú, Phường Kiến Hưng, Thành phố Hà Nội</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cs="Times New Roman"/>
                <w:highlight w:val="white"/>
              </w:rPr>
            </w:pPr>
            <w:r>
              <w:rPr>
                <w:rFonts w:ascii="Times New Roman" w:hAnsi="Times New Roman" w:eastAsia="Times New Roman" w:cs="Times New Roman"/>
                <w:color w:val="000000"/>
                <w:sz w:val="24"/>
                <w:highlight w:val="white"/>
              </w:rPr>
              <w:t xml:space="preserve">Điện thoại:  085 329 3333/ 024 2264 4333</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Email: </w:t>
              <w:tab/>
            </w:r>
            <w:hyperlink r:id="rId16" w:tooltip="mailto:ilotus.contact@gmail.com" w:history="1">
              <w:r>
                <w:rPr>
                  <w:rStyle w:val="1017"/>
                  <w:rFonts w:ascii="Times New Roman" w:hAnsi="Times New Roman" w:eastAsia="Times New Roman" w:cs="Times New Roman"/>
                  <w:color w:val="000000"/>
                  <w:sz w:val="24"/>
                  <w:highlight w:val="white"/>
                  <w:u w:val="none"/>
                </w:rPr>
                <w:t xml:space="preserve">ilotus.contact@gmail.com</w:t>
              </w:r>
            </w:hyperlink>
            <w:r>
              <w:rPr>
                <w:rFonts w:ascii="Times New Roman" w:hAnsi="Times New Roman" w:eastAsia="Times New Roman" w:cs="Times New Roman"/>
                <w:color w:val="000000"/>
                <w:sz w:val="24"/>
                <w:highlight w:val="white"/>
              </w:rPr>
              <w:t xml:space="preserve">                         Website: ilotus.com.vn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84"/>
        </w:trPr>
        <w:tc>
          <w:tcPr>
            <w:gridSpan w:val="2"/>
            <w:shd w:val="clear" w:color="auto" w:fill="auto"/>
            <w:tcBorders/>
            <w:tcMar>
              <w:left w:w="108" w:type="dxa"/>
              <w:top w:w="0" w:type="dxa"/>
              <w:right w:w="108" w:type="dxa"/>
              <w:bottom w:w="0" w:type="dxa"/>
            </w:tcMar>
            <w:tcW w:w="3259" w:type="dxa"/>
            <w:textDirection w:val="lrTb"/>
            <w:noWrap w:val="false"/>
          </w:tcPr>
          <w:p>
            <w:pPr>
              <w:pBdr>
                <w:top w:val="none" w:color="000000" w:sz="4" w:space="0"/>
                <w:left w:val="none" w:color="000000" w:sz="4" w:space="0"/>
                <w:bottom w:val="none" w:color="000000" w:sz="4" w:space="0"/>
                <w:right w:val="none" w:color="000000" w:sz="4" w:space="0"/>
              </w:pBdr>
              <w:tabs>
                <w:tab w:val="center" w:leader="none" w:pos="1309"/>
              </w:tabs>
              <w:spacing w:after="60"/>
              <w:ind w:right="0" w:firstLine="0" w:left="0"/>
              <w:jc w:val="both"/>
              <w:rPr>
                <w:rFonts w:ascii="Times New Roman" w:hAnsi="Times New Roman" w:cs="Times New Roman"/>
                <w:highlight w:val="yellow"/>
              </w:rPr>
            </w:pPr>
            <w:r>
              <w:rPr>
                <w:rFonts w:ascii="Times New Roman" w:hAnsi="Times New Roman" w:eastAsia="Times New Roman" w:cs="Times New Roman"/>
                <w:color w:val="000000"/>
                <w:sz w:val="24"/>
                <w:highlight w:val="white"/>
              </w:rPr>
            </w:r>
            <w:r>
              <w:rPr>
                <w:rFonts w:ascii="Times New Roman" w:hAnsi="Times New Roman" w:eastAsia="Times New Roman" w:cs="Times New Roman"/>
                <w:highlight w:val="white"/>
              </w:rPr>
              <w:t xml:space="preserve">275/2026/13</w:t>
            </w:r>
            <w:r>
              <w:rPr>
                <w:rFonts w:ascii="Times New Roman" w:hAnsi="Times New Roman" w:eastAsia="Times New Roman" w:cs="Times New Roman"/>
                <w:highlight w:val="yellow"/>
              </w:rPr>
              <w:t xml:space="preserve">92/VFI-BC.44.A</w:t>
            </w:r>
            <w:r>
              <w:rPr>
                <w:rFonts w:ascii="Times New Roman" w:hAnsi="Times New Roman" w:eastAsia="Times New Roman" w:cs="Times New Roman"/>
                <w:highlight w:val="yellow"/>
              </w:rPr>
              <w:tab/>
            </w:r>
            <w:r>
              <w:rPr>
                <w:rFonts w:ascii="Times New Roman" w:hAnsi="Times New Roman" w:cs="Times New Roman"/>
                <w:highlight w:val="yellow"/>
              </w:rPr>
            </w:r>
            <w:r>
              <w:rPr>
                <w:rFonts w:ascii="Times New Roman" w:hAnsi="Times New Roman" w:cs="Times New Roman"/>
                <w:highlight w:val="yellow"/>
              </w:rPr>
            </w:r>
          </w:p>
        </w:tc>
        <w:tc>
          <w:tcPr>
            <w:shd w:val="clear" w:color="auto" w:fill="auto"/>
            <w:tcBorders/>
            <w:tcMar>
              <w:left w:w="108" w:type="dxa"/>
              <w:top w:w="0" w:type="dxa"/>
              <w:right w:w="108" w:type="dxa"/>
              <w:bottom w:w="0" w:type="dxa"/>
            </w:tcMar>
            <w:tcW w:w="7087" w:type="dxa"/>
            <w:textDirection w:val="lrTb"/>
            <w:noWrap w:val="false"/>
          </w:tcPr>
          <w:p>
            <w:pPr>
              <w:pBdr/>
              <w:spacing/>
              <w:ind/>
              <w:rPr>
                <w:rFonts w:ascii="Times New Roman" w:hAnsi="Times New Roman" w:cs="Times New Roman"/>
                <w:color w:val="000000" w:themeColor="text1"/>
                <w:highlight w:val="white"/>
              </w:rPr>
            </w:pPr>
            <w:r>
              <w:rPr>
                <w:rFonts w:ascii="Times New Roman" w:hAnsi="Times New Roman" w:eastAsia="Times New Roman" w:cs="Times New Roman"/>
                <w:highlight w:val="white"/>
              </w:rPr>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i/>
                <w:color w:val="000000" w:themeColor="text1"/>
                <w:sz w:val="24"/>
                <w:highlight w:val="white"/>
              </w:rPr>
              <w:t xml:space="preserve">TP. Hà Nội, </w:t>
            </w:r>
            <w:r>
              <w:rPr>
                <w:rFonts w:ascii="Times New Roman" w:hAnsi="Times New Roman" w:eastAsia="Times New Roman" w:cs="Times New Roman"/>
                <w:i/>
                <w:color w:val="000000" w:themeColor="text1"/>
                <w:sz w:val="24"/>
                <w:highlight w:val="white"/>
              </w:rPr>
              <w:t xml:space="preserve">ngày </w:t>
            </w:r>
            <w:r>
              <w:rPr>
                <w:rFonts w:ascii="Times New Roman" w:hAnsi="Times New Roman" w:eastAsia="Times New Roman" w:cs="Times New Roman"/>
                <w:i/>
                <w:color w:val="000000" w:themeColor="text1"/>
                <w:sz w:val="24"/>
                <w:highlight w:val="white"/>
              </w:rPr>
              <w:t xml:space="preserve">8 </w:t>
            </w:r>
            <w:r>
              <w:rPr>
                <w:rFonts w:ascii="Times New Roman" w:hAnsi="Times New Roman" w:eastAsia="Times New Roman" w:cs="Times New Roman"/>
                <w:i/>
                <w:color w:val="000000" w:themeColor="text1"/>
                <w:sz w:val="24"/>
                <w:highlight w:val="white"/>
              </w:rPr>
              <w:t xml:space="preserve">tháng 0</w:t>
            </w:r>
            <w:r>
              <w:rPr>
                <w:rFonts w:ascii="Times New Roman" w:hAnsi="Times New Roman" w:eastAsia="Times New Roman" w:cs="Times New Roman"/>
                <w:i/>
                <w:color w:val="000000" w:themeColor="text1"/>
                <w:sz w:val="24"/>
                <w:highlight w:val="white"/>
              </w:rPr>
              <w:t xml:space="preserve">9  </w:t>
            </w:r>
            <w:r>
              <w:rPr>
                <w:rFonts w:ascii="Times New Roman" w:hAnsi="Times New Roman" w:eastAsia="Times New Roman" w:cs="Times New Roman"/>
                <w:i/>
                <w:color w:val="000000" w:themeColor="text1"/>
                <w:sz w:val="24"/>
                <w:highlight w:val="white"/>
              </w:rPr>
              <w:t xml:space="preserve">năm 2026</w:t>
            </w:r>
            <w:r>
              <w:rPr>
                <w:rFonts w:ascii="Times New Roman" w:hAnsi="Times New Roman" w:cs="Times New Roman"/>
                <w:color w:val="000000" w:themeColor="text1"/>
                <w:highlight w:val="white"/>
              </w:rPr>
            </w:r>
            <w:r>
              <w:rPr>
                <w:rFonts w:ascii="Times New Roman" w:hAnsi="Times New Roman" w:cs="Times New Roman"/>
                <w:color w:val="000000" w:themeColor="text1"/>
                <w:highlight w:val="white"/>
              </w:rPr>
            </w:r>
          </w:p>
        </w:tc>
      </w:tr>
    </w:tbl>
    <w:p>
      <w:pPr>
        <w:pStyle w:val="1026"/>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w:t>
      </w:r>
      <w:r>
        <w:rPr>
          <w:b/>
          <w:sz w:val="30"/>
          <w:szCs w:val="30"/>
          <w:highlight w:val="white"/>
          <w:lang w:val="pt-BR"/>
        </w:rPr>
        <w:t xml:space="preserve">T QUẢ TH</w:t>
      </w:r>
      <w:r>
        <w:rPr>
          <w:b/>
          <w:sz w:val="30"/>
          <w:szCs w:val="30"/>
          <w:highlight w:val="white"/>
          <w:lang w:val="pt-BR"/>
        </w:rPr>
        <w:t xml:space="preserve">ẨM ĐỊNH GIÁ</w:t>
      </w:r>
      <w:r>
        <w:rPr>
          <w:i/>
          <w:iCs/>
          <w:sz w:val="30"/>
          <w:szCs w:val="30"/>
          <w:highlight w:val="white"/>
        </w:rPr>
      </w:r>
      <w:r>
        <w:rPr>
          <w:i/>
          <w:iCs/>
          <w:sz w:val="30"/>
          <w:szCs w:val="30"/>
          <w:highlight w:val="white"/>
        </w:rPr>
      </w:r>
    </w:p>
    <w:p>
      <w:pPr>
        <w:pStyle w:val="1006"/>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275/2026/1392/VFI-CT.44.A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8 tháng 9 năm 2026</w:t>
      </w:r>
      <w:r>
        <w:rPr>
          <w:b w:val="0"/>
          <w:i/>
          <w:spacing w:val="-6"/>
          <w:sz w:val="24"/>
          <w:szCs w:val="24"/>
          <w:highlight w:val="white"/>
          <w:lang w:val="pt-BR"/>
        </w:rPr>
        <w:t xml:space="preserve">)</w:t>
      </w:r>
      <w:r>
        <w:rPr>
          <w:b w:val="0"/>
          <w:i/>
          <w:spacing w:val="-6"/>
          <w:sz w:val="24"/>
          <w:szCs w:val="24"/>
          <w:highlight w:val="white"/>
        </w:rPr>
      </w:r>
      <w:r>
        <w:rPr>
          <w:b w:val="0"/>
          <w:i/>
          <w:spacing w:val="-6"/>
          <w:sz w:val="24"/>
          <w:szCs w:val="24"/>
          <w:highlight w:val="white"/>
        </w:rPr>
      </w:r>
    </w:p>
    <w:p>
      <w:pPr>
        <w:pStyle w:val="1006"/>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rPr>
      </w:r>
      <w:r>
        <w:rPr>
          <w:b w:val="0"/>
          <w:i/>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Đơn vị thẩm định</w:t>
            </w:r>
            <w:r>
              <w:rPr>
                <w:highlight w:val="white"/>
              </w:rPr>
            </w:r>
            <w:r>
              <w:rPr>
                <w:highlight w:val="white"/>
              </w:rPr>
            </w:r>
          </w:p>
        </w:tc>
        <w:tc>
          <w:tcPr>
            <w:tcBorders/>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highlight w:val="white"/>
              </w:rPr>
            </w:pPr>
            <w:r>
              <w:rPr>
                <w:rFonts w:ascii="Times New Roman" w:hAnsi="Times New Roman" w:eastAsia="Times New Roman" w:cs="Times New Roman"/>
                <w:b/>
                <w:color w:val="000000"/>
                <w:spacing w:val="-4"/>
                <w:sz w:val="24"/>
                <w:highlight w:val="white"/>
              </w:rPr>
              <w:t xml:space="preserve">CÔNG TY CỔ PHẦN THẨM ĐỊNH VÀ ĐẦU TƯ TÀI CHÍNH HOA SEN</w:t>
            </w:r>
            <w:r>
              <w:rPr>
                <w:highlight w:val="white"/>
              </w:rPr>
            </w:r>
            <w:r>
              <w:rPr>
                <w:highlight w:val="white"/>
              </w:rPr>
            </w:r>
          </w:p>
        </w:tc>
      </w:tr>
      <w:tr>
        <w:trPr>
          <w:trHeight w:val="20"/>
        </w:trPr>
        <w:tc>
          <w:tcPr>
            <w:tcBorders/>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Địa chỉ trụ sở</w:t>
            </w:r>
            <w:r>
              <w:rPr>
                <w:highlight w:val="white"/>
              </w:rPr>
            </w:r>
            <w:r>
              <w:rPr>
                <w:highlight w:val="white"/>
              </w:rPr>
            </w:r>
          </w:p>
        </w:tc>
        <w:tc>
          <w:tcPr>
            <w:tcBorders/>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highlight w:val="white"/>
              </w:rPr>
            </w:pPr>
            <w:r>
              <w:rPr>
                <w:rFonts w:ascii="Times New Roman" w:hAnsi="Times New Roman" w:eastAsia="Times New Roman" w:cs="Times New Roman"/>
                <w:color w:val="000000"/>
                <w:spacing w:val="-2"/>
                <w:sz w:val="24"/>
                <w:highlight w:val="white"/>
              </w:rPr>
              <w:t xml:space="preserve">BT5 - 23, Khu đô thị mới Văn Phú, Phường Kiến Hưng, Thành phố Hà Nội</w:t>
            </w:r>
            <w:r>
              <w:rPr>
                <w:highlight w:val="white"/>
              </w:rPr>
            </w:r>
            <w:r>
              <w:rPr>
                <w:highlight w:val="white"/>
              </w:rPr>
            </w:r>
          </w:p>
        </w:tc>
      </w:tr>
      <w:tr>
        <w:trPr>
          <w:trHeight w:val="20"/>
        </w:trPr>
        <w:tc>
          <w:tcPr>
            <w:tcBorders/>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Điện thoại</w:t>
            </w:r>
            <w:r>
              <w:rPr>
                <w:highlight w:val="white"/>
              </w:rPr>
            </w:r>
            <w:r>
              <w:rPr>
                <w:highlight w:val="white"/>
              </w:rPr>
            </w:r>
          </w:p>
        </w:tc>
        <w:tc>
          <w:tcPr>
            <w:tcBorders/>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024 2264 4333</w:t>
            </w:r>
            <w:r>
              <w:rPr>
                <w:highlight w:val="white"/>
              </w:rPr>
            </w:r>
            <w:r>
              <w:rPr>
                <w:highlight w:val="white"/>
              </w:rPr>
            </w:r>
          </w:p>
        </w:tc>
      </w:tr>
      <w:tr>
        <w:trPr>
          <w:trHeight w:val="20"/>
        </w:trPr>
        <w:tc>
          <w:tcPr>
            <w:tcBorders/>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Mã số thuế</w:t>
            </w:r>
            <w:r>
              <w:rPr>
                <w:highlight w:val="white"/>
              </w:rPr>
            </w:r>
            <w:r>
              <w:rPr>
                <w:highlight w:val="white"/>
              </w:rPr>
            </w:r>
          </w:p>
        </w:tc>
        <w:tc>
          <w:tcPr>
            <w:tcBorders/>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0102708994</w:t>
            </w:r>
            <w:r>
              <w:rPr>
                <w:highlight w:val="white"/>
              </w:rPr>
            </w:r>
            <w:r>
              <w:rPr>
                <w:highlight w:val="white"/>
              </w:rPr>
            </w:r>
          </w:p>
        </w:tc>
      </w:tr>
      <w:tr>
        <w:trPr>
          <w:trHeight w:val="20"/>
        </w:trPr>
        <w:tc>
          <w:tcPr>
            <w:tcBorders/>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GCN đủ điều kiện hành nghề</w:t>
            </w:r>
            <w:r>
              <w:rPr>
                <w:highlight w:val="white"/>
              </w:rPr>
            </w:r>
            <w:r>
              <w:rPr>
                <w:highlight w:val="white"/>
              </w:rPr>
            </w:r>
          </w:p>
        </w:tc>
        <w:tc>
          <w:tcPr>
            <w:tcBorders/>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275/TĐG</w:t>
            </w:r>
            <w:r>
              <w:rPr>
                <w:highlight w:val="white"/>
              </w:rPr>
            </w:r>
            <w:r>
              <w:rPr>
                <w:highlight w:val="white"/>
              </w:rPr>
            </w:r>
          </w:p>
        </w:tc>
      </w:tr>
      <w:tr>
        <w:trPr>
          <w:trHeight w:val="20"/>
        </w:trPr>
        <w:tc>
          <w:tcPr>
            <w:tcBorders/>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Tài khoản số</w:t>
            </w:r>
            <w:r>
              <w:rPr>
                <w:highlight w:val="white"/>
              </w:rPr>
            </w:r>
            <w:r>
              <w:rPr>
                <w:highlight w:val="white"/>
              </w:rPr>
            </w:r>
          </w:p>
        </w:tc>
        <w:tc>
          <w:tcPr>
            <w:tcBorders/>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pacing w:val="-4"/>
                <w:sz w:val="24"/>
                <w:highlight w:val="white"/>
              </w:rPr>
              <w:t xml:space="preserve">1505112366666 tại Agribank Chi nhánh Hà Nội II</w:t>
            </w:r>
            <w:r>
              <w:rPr>
                <w:highlight w:val="white"/>
              </w:rPr>
            </w:r>
            <w:r>
              <w:rPr>
                <w:highlight w:val="white"/>
              </w:rPr>
            </w:r>
          </w:p>
        </w:tc>
      </w:tr>
      <w:tr>
        <w:trPr>
          <w:trHeight w:val="20"/>
        </w:trPr>
        <w:tc>
          <w:tcPr>
            <w:tcBorders/>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Đại diện</w:t>
            </w:r>
            <w:r>
              <w:rPr>
                <w:highlight w:val="white"/>
              </w:rPr>
            </w:r>
            <w:r>
              <w:rPr>
                <w:highlight w:val="white"/>
              </w:rPr>
            </w:r>
          </w:p>
        </w:tc>
        <w:tc>
          <w:tcPr>
            <w:tcBorders/>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b/>
                <w:color w:val="000000"/>
                <w:sz w:val="24"/>
                <w:highlight w:val="white"/>
              </w:rPr>
              <w:t xml:space="preserve">Ông Vũ Văn Quân</w:t>
            </w:r>
            <w:r>
              <w:rPr>
                <w:highlight w:val="white"/>
              </w:rPr>
            </w:r>
            <w:r>
              <w:rPr>
                <w:highlight w:val="white"/>
              </w:rPr>
            </w:r>
          </w:p>
        </w:tc>
      </w:tr>
      <w:tr>
        <w:trPr>
          <w:trHeight w:val="20"/>
        </w:trPr>
        <w:tc>
          <w:tcPr>
            <w:tcBorders/>
            <w:tcW w:w="255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Chức vụ</w:t>
            </w:r>
            <w:r>
              <w:rPr>
                <w:highlight w:val="white"/>
              </w:rPr>
            </w:r>
            <w:r>
              <w:rPr>
                <w:highlight w:val="white"/>
              </w:rPr>
            </w:r>
          </w:p>
        </w:tc>
        <w:tc>
          <w:tcPr>
            <w:tcBorders/>
            <w:tcW w:w="28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b/>
                <w:color w:val="000000"/>
                <w:sz w:val="24"/>
                <w:highlight w:val="white"/>
              </w:rPr>
              <w:t xml:space="preserve">Chủ tịch HĐQT kiêm Tổng Giám Đốc</w:t>
            </w:r>
            <w:r>
              <w:rPr>
                <w:highlight w:val="white"/>
              </w:rPr>
            </w:r>
            <w:r>
              <w:rPr>
                <w:highlight w:val="white"/>
              </w:rPr>
            </w:r>
          </w:p>
        </w:tc>
      </w:tr>
    </w:tbl>
    <w:p>
      <w:pPr>
        <w:pStyle w:val="1027"/>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rPr>
      </w:r>
      <w:r>
        <w:rPr>
          <w:b/>
          <w:bCs/>
          <w:highlight w:val="white"/>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rPr>
      </w:r>
      <w:r>
        <w:rPr>
          <w:b/>
          <w:bCs/>
          <w:highlight w:val="white"/>
        </w:rPr>
      </w:r>
    </w:p>
    <w:tbl>
      <w:tblPr>
        <w:tblW w:w="9747" w:type="dxa"/>
        <w:tblBorders/>
        <w:tblLook w:val="04A0" w:firstRow="1" w:lastRow="0" w:firstColumn="1" w:lastColumn="0" w:noHBand="0" w:noVBand="1"/>
      </w:tblPr>
      <w:tblGrid>
        <w:gridCol w:w="2517"/>
        <w:gridCol w:w="284"/>
        <w:gridCol w:w="6941"/>
        <w:gridCol w:w="4"/>
        <w:gridCol w:w="2"/>
      </w:tblGrid>
      <w:tr>
        <w:trPr>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Tên khách hàng</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pacing w:val="-4"/>
                <w:sz w:val="24"/>
                <w:highlight w:val="white"/>
              </w:rPr>
              <w:t xml:space="preserve">CÔNG TY TNHH PHÁT TRIỂN CÔNG NGHỆ HÀ THẮNG</w:t>
            </w:r>
            <w:r>
              <w:rPr>
                <w:highlight w:val="white"/>
              </w:rPr>
            </w:r>
            <w:r>
              <w:rPr>
                <w:highlight w:val="white"/>
              </w:rPr>
            </w:r>
          </w:p>
        </w:tc>
        <w:tc>
          <w:tcPr>
            <w:gridSpan w:val="2"/>
            <w:tcBorders/>
            <w:tcMar>
              <w:left w:w="0" w:type="dxa"/>
              <w:top w:w="0" w:type="dxa"/>
              <w:right w:w="0" w:type="dxa"/>
              <w:bottom w:w="0" w:type="dxa"/>
            </w:tcMar>
            <w:tcW w:w="6"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Địa chỉ trụ sở</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pacing w:val="-2"/>
                <w:sz w:val="24"/>
                <w:highlight w:val="white"/>
              </w:rPr>
              <w:t xml:space="preserve">Số 17, ngõ 167 Giải Phóng, phường Bạch Mai, Thành phố Hà Nội</w:t>
            </w:r>
            <w:r>
              <w:rPr>
                <w:highlight w:val="white"/>
              </w:rPr>
            </w:r>
            <w:r>
              <w:rPr>
                <w:highlight w:val="white"/>
              </w:rPr>
            </w:r>
          </w:p>
        </w:tc>
        <w:tc>
          <w:tcPr>
            <w:gridSpan w:val="2"/>
            <w:tcBorders/>
            <w:tcMar>
              <w:left w:w="0" w:type="dxa"/>
              <w:top w:w="0" w:type="dxa"/>
              <w:right w:w="0" w:type="dxa"/>
              <w:bottom w:w="0" w:type="dxa"/>
            </w:tcMar>
            <w:tcW w:w="6"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Mã số thuế</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0105418958</w:t>
            </w:r>
            <w:r>
              <w:rPr>
                <w:highlight w:val="white"/>
              </w:rPr>
            </w:r>
            <w:r>
              <w:rPr>
                <w:highlight w:val="white"/>
              </w:rPr>
            </w:r>
          </w:p>
        </w:tc>
        <w:tc>
          <w:tcPr>
            <w:gridSpan w:val="2"/>
            <w:tcBorders/>
            <w:tcMar>
              <w:left w:w="0" w:type="dxa"/>
              <w:top w:w="0" w:type="dxa"/>
              <w:right w:w="0" w:type="dxa"/>
              <w:bottom w:w="0" w:type="dxa"/>
            </w:tcMar>
            <w:tcW w:w="6"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Đại diện</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b/>
                <w:color w:val="000000"/>
                <w:sz w:val="24"/>
                <w:highlight w:val="white"/>
              </w:rPr>
              <w:t xml:space="preserve">Ông Nguyễn Văn Thắng</w:t>
            </w:r>
            <w:r>
              <w:rPr>
                <w:highlight w:val="white"/>
              </w:rPr>
            </w:r>
            <w:r>
              <w:rPr>
                <w:highlight w:val="white"/>
              </w:rPr>
            </w:r>
          </w:p>
        </w:tc>
        <w:tc>
          <w:tcPr>
            <w:gridSpan w:val="2"/>
            <w:tcBorders/>
            <w:tcMar>
              <w:left w:w="0" w:type="dxa"/>
              <w:top w:w="0" w:type="dxa"/>
              <w:right w:w="0" w:type="dxa"/>
              <w:bottom w:w="0" w:type="dxa"/>
            </w:tcMar>
            <w:tcW w:w="6"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trHeight w:val="20"/>
        </w:trPr>
        <w:tc>
          <w:tcPr>
            <w:tcBorders/>
            <w:tcW w:w="25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Chức vụ</w:t>
            </w:r>
            <w:r>
              <w:rPr>
                <w:highlight w:val="white"/>
              </w:rPr>
            </w:r>
            <w:r>
              <w:rPr>
                <w:highlight w:val="white"/>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white"/>
              </w:rPr>
            </w:pPr>
            <w:r>
              <w:rPr>
                <w:rFonts w:ascii="Times New Roman" w:hAnsi="Times New Roman" w:eastAsia="Times New Roman" w:cs="Times New Roman"/>
                <w:b/>
                <w:color w:val="000000"/>
                <w:sz w:val="24"/>
                <w:highlight w:val="white"/>
              </w:rPr>
              <w:t xml:space="preserve">Giám đốc</w:t>
            </w:r>
            <w:r>
              <w:rPr>
                <w:highlight w:val="white"/>
              </w:rPr>
            </w:r>
            <w:r>
              <w:rPr>
                <w:highlight w:val="white"/>
              </w:rPr>
            </w:r>
          </w:p>
        </w:tc>
        <w:tc>
          <w:tcPr>
            <w:gridSpan w:val="2"/>
            <w:tcBorders/>
            <w:tcMar>
              <w:left w:w="0" w:type="dxa"/>
              <w:top w:w="0" w:type="dxa"/>
              <w:right w:w="0" w:type="dxa"/>
              <w:bottom w:w="0" w:type="dxa"/>
            </w:tcMar>
            <w:tcW w:w="6"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gridAfter w:val="1"/>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Tài sản thẩm định giá</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Quyền sử dụng đất tại thửa đất số: 37(5), tờ bản đồ số 1 có địa chỉ: Thôn Phù Liễn, xã Bắc Hồng, huyện Đông Anh, Thành phố Hà Nội </w:t>
            </w:r>
            <w:r>
              <w:rPr>
                <w:rFonts w:ascii="Times New Roman" w:hAnsi="Times New Roman" w:eastAsia="Times New Roman" w:cs="Times New Roman"/>
                <w:i/>
                <w:color w:val="000000"/>
                <w:sz w:val="24"/>
                <w:highlight w:val="white"/>
              </w:rPr>
              <w:t xml:space="preserve">(Nay là xã Phúc Thịnh, Thành phố Hà Nội)</w:t>
            </w:r>
            <w:r>
              <w:rPr>
                <w:rFonts w:ascii="Times New Roman" w:hAnsi="Times New Roman" w:eastAsia="Times New Roman" w:cs="Times New Roman"/>
                <w:color w:val="000000"/>
                <w:sz w:val="24"/>
                <w:highlight w:val="white"/>
              </w:rPr>
              <w:t xml:space="preserve"> theo Giấy chứng nhận quyền sử dụng đất quyền sở hữu nhà ở và tài sản khác gắn liền với đất số: BG 109434, số vào sổ cấp GCN: 1420.QĐ-UBND.2011/CH 00263.2011 do Uỷ ban nhân dân huyện Đông Anh cấp ngày 04/5/2011; Chủ sử dụng đất là Ông Nguyễn Văn Thắng.</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gridAfter w:val="1"/>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Mục đích thẩm định giá</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highlight w:val="white"/>
              </w:rPr>
            </w:pPr>
            <w:r>
              <w:rPr>
                <w:rFonts w:ascii="Times New Roman" w:hAnsi="Times New Roman" w:eastAsia="Times New Roman" w:cs="Times New Roman"/>
                <w:color w:val="000000"/>
                <w:spacing w:val="-4"/>
                <w:sz w:val="24"/>
                <w:highlight w:val="white"/>
              </w:rPr>
              <w:t xml:space="preserve">Kết quả thẩm định giá để phục vụ công tác vay vốn tại tổ chức tín dụng.</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gridAfter w:val="1"/>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pacing w:val="-12"/>
                <w:sz w:val="24"/>
                <w:highlight w:val="white"/>
              </w:rPr>
              <w:t xml:space="preserve">Cơ sở giá trị thẩm định giá</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highlight w:val="white"/>
              </w:rPr>
            </w:pPr>
            <w:r>
              <w:rPr>
                <w:rFonts w:ascii="Times New Roman" w:hAnsi="Times New Roman" w:eastAsia="Times New Roman" w:cs="Times New Roman"/>
                <w:color w:val="000000"/>
                <w:spacing w:val="-4"/>
                <w:sz w:val="24"/>
                <w:highlight w:val="white"/>
              </w:rPr>
              <w:t xml:space="preserve">Giá trị thị trường.</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gridAfter w:val="1"/>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pacing w:val="-6"/>
                <w:sz w:val="24"/>
                <w:highlight w:val="white"/>
              </w:rPr>
              <w:t xml:space="preserve">Thời điểm thẩm định giá</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Tháng </w:t>
            </w:r>
            <w:r>
              <w:rPr>
                <w:rFonts w:ascii="Times New Roman" w:hAnsi="Times New Roman" w:eastAsia="Times New Roman" w:cs="Times New Roman"/>
                <w:color w:val="000000"/>
                <w:sz w:val="24"/>
                <w:highlight w:val="white"/>
              </w:rPr>
              <w:t xml:space="preserve">09</w:t>
            </w:r>
            <w:r>
              <w:rPr>
                <w:rFonts w:ascii="Times New Roman" w:hAnsi="Times New Roman" w:eastAsia="Times New Roman" w:cs="Times New Roman"/>
                <w:color w:val="000000"/>
                <w:sz w:val="24"/>
                <w:highlight w:val="white"/>
              </w:rPr>
              <w:t xml:space="preserve">/2026.</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gridAfter w:val="1"/>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pacing w:val="-6"/>
                <w:sz w:val="24"/>
                <w:highlight w:val="white"/>
              </w:rPr>
              <w:t xml:space="preserve">Địa điểm thẩm định giá</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Xã Phúc Thịnh, Thành phố Hà Nội</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gridAfter w:val="1"/>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pacing w:val="-6"/>
                <w:sz w:val="24"/>
                <w:highlight w:val="white"/>
              </w:rPr>
              <w:t xml:space="preserve">Vị trí tài sản thẩm định </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0"/>
              <w:ind w:right="0" w:firstLine="0" w:left="0"/>
              <w:rPr>
                <w:highlight w:val="white"/>
              </w:rPr>
            </w:pPr>
            <w:r>
              <w:rPr>
                <w:rFonts w:ascii="Times New Roman" w:hAnsi="Times New Roman" w:eastAsia="Times New Roman" w:cs="Times New Roman"/>
                <w:color w:val="000000"/>
                <w:sz w:val="24"/>
                <w:highlight w:val="white"/>
              </w:rPr>
              <w:t xml:space="preserve">(21.180508, 105.798808)</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r>
        <w:trPr>
          <w:gridAfter w:val="1"/>
          <w:trHeight w:val="20"/>
        </w:trPr>
        <w:tc>
          <w:tcPr>
            <w:tcBorders/>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pacing w:val="-6"/>
                <w:sz w:val="24"/>
                <w:highlight w:val="white"/>
              </w:rPr>
              <w:t xml:space="preserve">Thời điểm khảo sát</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Ngày </w:t>
            </w:r>
            <w:r>
              <w:rPr>
                <w:rFonts w:ascii="Times New Roman" w:hAnsi="Times New Roman" w:eastAsia="Times New Roman" w:cs="Times New Roman"/>
                <w:color w:val="000000"/>
                <w:sz w:val="24"/>
                <w:highlight w:val="white"/>
              </w:rPr>
              <w:t xml:space="preserve">05/</w:t>
            </w:r>
            <w:r>
              <w:rPr>
                <w:rFonts w:ascii="Times New Roman" w:hAnsi="Times New Roman" w:eastAsia="Times New Roman" w:cs="Times New Roman"/>
                <w:color w:val="000000"/>
                <w:sz w:val="24"/>
                <w:highlight w:val="white"/>
              </w:rPr>
              <w:t xml:space="preserve">0</w:t>
            </w:r>
            <w:r>
              <w:rPr>
                <w:rFonts w:ascii="Times New Roman" w:hAnsi="Times New Roman" w:eastAsia="Times New Roman" w:cs="Times New Roman"/>
                <w:color w:val="000000"/>
                <w:sz w:val="24"/>
                <w:highlight w:val="white"/>
              </w:rPr>
              <w:t xml:space="preserve">9</w:t>
            </w:r>
            <w:r>
              <w:rPr>
                <w:rFonts w:ascii="Times New Roman" w:hAnsi="Times New Roman" w:eastAsia="Times New Roman" w:cs="Times New Roman"/>
                <w:color w:val="000000"/>
                <w:sz w:val="24"/>
                <w:highlight w:val="white"/>
              </w:rPr>
              <w:t xml:space="preserve">/2026.</w:t>
            </w:r>
            <w:r>
              <w:rPr>
                <w:highlight w:val="white"/>
              </w:rPr>
            </w:r>
            <w:r>
              <w:rPr>
                <w:highlight w:val="white"/>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highlight w:val="white"/>
              </w:rPr>
            </w:pPr>
            <w:r>
              <w:rPr>
                <w:highlight w:val="white"/>
              </w:rPr>
            </w:r>
            <w:r>
              <w:rPr>
                <w:highlight w:val="white"/>
              </w:rPr>
            </w:r>
            <w:r>
              <w:rPr>
                <w:highlight w:val="white"/>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rPr>
      </w:r>
      <w:r>
        <w:rPr>
          <w:b/>
          <w:bCs/>
          <w:spacing w:val="-6"/>
          <w:highlight w:val="white"/>
        </w:rPr>
      </w:r>
    </w:p>
    <w:p>
      <w:pPr>
        <w:pStyle w:val="1027"/>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rPr>
      </w:r>
      <w:r>
        <w:rPr>
          <w:highlight w:val="white"/>
        </w:rPr>
      </w:r>
    </w:p>
    <w:p>
      <w:pPr>
        <w:pStyle w:val="1027"/>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rPr>
      </w:r>
      <w:r>
        <w:rPr>
          <w:b/>
          <w:bCs/>
          <w:highlight w:val="white"/>
        </w:rPr>
      </w:r>
    </w:p>
    <w:p>
      <w:pPr>
        <w:pStyle w:val="1027"/>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rPr>
      </w:r>
      <w:r>
        <w:rPr>
          <w:b/>
          <w:highlight w:val="white"/>
        </w:rPr>
      </w:r>
    </w:p>
    <w:p>
      <w:pPr>
        <w:pStyle w:val="1027"/>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rPr>
      </w:r>
      <w:r>
        <w:rPr>
          <w:highlight w:val="white"/>
        </w:rPr>
      </w:r>
    </w:p>
    <w:p>
      <w:pPr>
        <w:pStyle w:val="1027"/>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rPr>
      </w:r>
      <w:r>
        <w:rPr>
          <w:highlight w:val="white"/>
        </w:rPr>
      </w:r>
    </w:p>
    <w:p>
      <w:pPr>
        <w:pStyle w:val="1027"/>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rPr>
      </w:r>
      <w:r>
        <w:rPr>
          <w:b/>
          <w:highlight w:val="white"/>
        </w:rPr>
      </w:r>
    </w:p>
    <w:p>
      <w:pPr>
        <w:pStyle w:val="1027"/>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rPr>
      </w:r>
      <w:r>
        <w:rPr>
          <w:b/>
          <w:highlight w:val="white"/>
        </w:rPr>
      </w:r>
    </w:p>
    <w:p>
      <w:pPr>
        <w:pStyle w:val="1027"/>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rPr>
      </w:r>
      <w:r>
        <w:rPr>
          <w:b/>
          <w:highlight w:val="white"/>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highlight w:val="white"/>
        </w:rPr>
      </w:pPr>
      <w:r>
        <w:rPr>
          <w:rFonts w:ascii="Times New Roman" w:hAnsi="Times New Roman" w:eastAsia="Times New Roman" w:cs="Times New Roman"/>
          <w:color w:val="000000"/>
          <w:sz w:val="24"/>
          <w:highlight w:val="white"/>
        </w:rPr>
        <w:t xml:space="preserve">Giấy chứng nhận quyền sử dụng đất quyền sở hữu nhà ở và tài sản khác gắn liền với đất số: BG 109434, số vào sổ cấp GCN: 1420.QĐ-UBND.2011/CH 00263.2011 do Uỷ ban nhân dân huyện Đông Anh cấp ngày 04/5/2011; Chủ sử dụng đất là Ông Nguyễn Văn Thắng.</w:t>
      </w:r>
      <w:r>
        <w:rPr>
          <w:highlight w:val="white"/>
        </w:rPr>
      </w:r>
      <w:r>
        <w:rPr>
          <w:highlight w:val="white"/>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27"/>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275/2026/1392/VFI-HĐTĐ.44.A ngày 03/09/2026 giữa </w:t>
      </w:r>
      <w:r>
        <w:rPr>
          <w:rFonts w:ascii="Times New Roman" w:hAnsi="Times New Roman" w:eastAsia="Times New Roman" w:cs="Times New Roman"/>
          <w:color w:val="000000"/>
          <w:spacing w:val="-4"/>
          <w:sz w:val="24"/>
          <w:highlight w:val="white"/>
        </w:rPr>
        <w:t xml:space="preserve">Công ty TNHH Phát triển Công nghệ Hà Thắng</w:t>
      </w:r>
      <w:r>
        <w:rPr>
          <w:rFonts w:ascii="Times New Roman" w:hAnsi="Times New Roman" w:eastAsia="Times New Roman" w:cs="Times New Roman"/>
          <w:color w:val="000000"/>
          <w:sz w:val="24"/>
          <w:highlight w:val="white"/>
        </w:rPr>
        <w:t xml:space="preserve"> </w:t>
      </w:r>
      <w:r>
        <w:rPr>
          <w:color w:val="000000" w:themeColor="text1"/>
          <w:highlight w:val="white"/>
          <w:lang w:val="pt-BR"/>
        </w:rPr>
        <w:t xml:space="preserve">với Công ty Cổ phần Thẩm định và Đầu tư Tài chính Hoa Sen.</w:t>
      </w:r>
      <w:r>
        <w:rPr>
          <w:b/>
          <w:highlight w:val="white"/>
        </w:rPr>
      </w:r>
      <w:r>
        <w:rPr>
          <w:b/>
          <w:highlight w:val="white"/>
        </w:rPr>
      </w:r>
    </w:p>
    <w:p>
      <w:pPr>
        <w:pStyle w:val="1027"/>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rPr>
      </w:r>
      <w:r>
        <w:rPr>
          <w:b/>
          <w:highlight w:val="white"/>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b/>
          <w:i/>
          <w:color w:val="000000"/>
          <w:sz w:val="24"/>
          <w:highlight w:val="white"/>
        </w:rPr>
        <w:t xml:space="preserve">Bất động sản Hà Nội 2025: Những điểm nhấn nổi bật nửa đầu năm</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i/>
          <w:color w:val="000000"/>
          <w:sz w:val="24"/>
          <w:highlight w:val="white"/>
        </w:rPr>
        <w:tab/>
        <w:t xml:space="preserve">Giao dịch chững, người mua thận trọng khi xuống tiền</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Theo dữ liệu của One Mount Group, trong quý 1/2025, thị trường bất động sản Hà Nội ghi nhận tổng cộng 18.300 giao dịch, trong đó bao gồm 8.300 giao dịch sơ cấp (mua trực tiếp từ chủ đầu tư) và 10.100 giao dịch thứ cấp (chuyển nhượng lại trên thị trường). </w:t>
      </w:r>
      <w:r>
        <w:rPr>
          <w:rFonts w:ascii="Times New Roman" w:hAnsi="Times New Roman" w:eastAsia="Times New Roman" w:cs="Times New Roman"/>
          <w:color w:val="000000"/>
          <w:sz w:val="24"/>
          <w:highlight w:val="white"/>
        </w:rPr>
        <w:t xml:space="preserve">Con số này giảm 14% so với cùng kỳ năm 2024. Sự sụt giảm nhẹ về lượng giao dịch phản ánh tâm lý thận trọng của nhà đầu tư và người mua ở thực, trong bối cảnh các yếu tố vĩ mô như siết tín dụng, thủ tục pháp lý và quá trình thanh lọc các dự án kém minh bạch</w:t>
      </w:r>
      <w:r>
        <w:rPr>
          <w:rFonts w:ascii="Times New Roman" w:hAnsi="Times New Roman" w:eastAsia="Times New Roman" w:cs="Times New Roman"/>
          <w:color w:val="000000"/>
          <w:sz w:val="24"/>
          <w:highlight w:val="white"/>
        </w:rPr>
        <w:t xml:space="preserve"> vẫn đang tiếp diễn. Bên cạnh đó, giá bất động sản Hà Nội đặc biệt là phân khúc chung cư tăng mạnh trong thời gian dài cũng khiến người mua nhà gặp nhiều khó khăn hơn khi muốn tiếp cận sản phẩm.</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i/>
          <w:color w:val="000000"/>
          <w:sz w:val="24"/>
          <w:highlight w:val="white"/>
        </w:rPr>
        <w:tab/>
        <w:t xml:space="preserve">Thanh khoản phân hóa theo khu vực</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Giao dịch tại khu vực trung tâm Hà Nội như Ba Đình, Hoàn Kiếm, Đống Đa giảm rõ rệt – chủ yếu do giá bán quá cao và quỹ đất hạn chế. Ngược lại, các khu vực ngoại thành như Đông Anh, Hoài Đức, Thanh Trì, Gia Lâm lại ghi nhận mức độ quan tâm và thanh khoản t</w:t>
      </w:r>
      <w:r>
        <w:rPr>
          <w:rFonts w:ascii="Times New Roman" w:hAnsi="Times New Roman" w:eastAsia="Times New Roman" w:cs="Times New Roman"/>
          <w:color w:val="000000"/>
          <w:sz w:val="24"/>
          <w:highlight w:val="white"/>
        </w:rPr>
        <w:t xml:space="preserve">ích cực hơn, đặc biệt là trong phân khúc nhà ở gắn liền với đất và căn hộ trung cấp. Theo One Mount Group, lượng tiêu thụ căn hộ mở mới trong quý 1/2025 giảm khoảng 3.200 căn, tương ứng 71% theo quý và 23% theo năm. Tỷ lệ hấp thụ lũy kế trong quý chỉ đạt 8</w:t>
      </w:r>
      <w:r>
        <w:rPr>
          <w:rFonts w:ascii="Times New Roman" w:hAnsi="Times New Roman" w:eastAsia="Times New Roman" w:cs="Times New Roman"/>
          <w:color w:val="000000"/>
          <w:sz w:val="24"/>
          <w:highlight w:val="white"/>
        </w:rPr>
        <w:t xml:space="preserve">0%. Ngoài ra, tình trạng trầm lắng cục bộ cũng diễn ra, khi phân khúc đất nền và nhà phố tại nội đô giảm nhiệt rõ rệt, trong khi một số khu vực vùng ven lại giữ được sức hút nhờ giá mềm và quy hoạch hạ tầng thuận lợi.</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i/>
          <w:color w:val="000000"/>
          <w:sz w:val="24"/>
          <w:highlight w:val="white"/>
        </w:rPr>
        <w:tab/>
        <w:t xml:space="preserve">Nguồn cung dự án mới cải thiện nhưng chưa bùng nổ</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Tình trạng khan hiếm dự án mở bán mới vẫn tiếp tục diễn ra với thị trường Hà Nội. Tuy nhiên, từ đầu năm 2025, tình hình đã bắt đầu có dấu hiệu cải thiện nhẹ khi một số chủ đầu tư giới thiệu dự án ra thị trường. Các dự án mới tập trung ở một số dự án lớn t</w:t>
      </w:r>
      <w:r>
        <w:rPr>
          <w:rFonts w:ascii="Times New Roman" w:hAnsi="Times New Roman" w:eastAsia="Times New Roman" w:cs="Times New Roman"/>
          <w:color w:val="000000"/>
          <w:sz w:val="24"/>
          <w:highlight w:val="white"/>
        </w:rPr>
        <w:t xml:space="preserve">ại Gia Lâm, Đông Anh và Thạch Thất, chủ yếu thuộc phân khúc cao cấp, hạng sang. Nhiều chủ đầu tư đang đẩy nhanh tiến độ pháp lý để kịp giới thiệu sản phẩm ra thị trường trong nửa cuối năm 2025 – đặc biệt trong bối cảnh tâm lý người mua đang dần khởi sắc tr</w:t>
      </w:r>
      <w:r>
        <w:rPr>
          <w:rFonts w:ascii="Times New Roman" w:hAnsi="Times New Roman" w:eastAsia="Times New Roman" w:cs="Times New Roman"/>
          <w:color w:val="000000"/>
          <w:sz w:val="24"/>
          <w:highlight w:val="white"/>
        </w:rPr>
        <w:t xml:space="preserve">ở lại.</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i/>
          <w:color w:val="000000"/>
          <w:sz w:val="24"/>
          <w:highlight w:val="white"/>
        </w:rPr>
        <w:tab/>
        <w:t xml:space="preserve">Tín Hiệu phục hồi từ nhu cầu thực</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Theo dữ liệu trực tuyến của Batdongsan.com.vn, từ đầu tháng 3, lượt tìm kiếm BĐS Hà Nội hồi phục trở lại khi ghi nhận mức tăng 27% so với tháng 2. Số liệu từ Savills và các sàn giao dịch lớn cho thấy mức độ quan tâm tới căn hộ trung cấp và nhà thấp tầng đ</w:t>
      </w:r>
      <w:r>
        <w:rPr>
          <w:rFonts w:ascii="Times New Roman" w:hAnsi="Times New Roman" w:eastAsia="Times New Roman" w:cs="Times New Roman"/>
          <w:color w:val="000000"/>
          <w:sz w:val="24"/>
          <w:highlight w:val="white"/>
        </w:rPr>
        <w:t xml:space="preserve">ang tăng lên, nhất là ở nhóm khách hàng mua để ở, thay vì đầu cơ. Đây là chỉ dấu tích cực cho thấy thị trường đang trở lại nền tảng thực – thay vì các cơn “sốt ảo” như giai đoạn 2020–2021. Giá nhà đất, đặc biệt là căn hộ tăng cao trong khi nguồn cung khan </w:t>
      </w:r>
      <w:r>
        <w:rPr>
          <w:rFonts w:ascii="Times New Roman" w:hAnsi="Times New Roman" w:eastAsia="Times New Roman" w:cs="Times New Roman"/>
          <w:color w:val="000000"/>
          <w:sz w:val="24"/>
          <w:highlight w:val="white"/>
        </w:rPr>
        <w:t xml:space="preserve">hiếm và tâm lý thận trọng của người mua khiến nhu cầu mua trong giai đoạn này không còn nặng tính đầu cơ, chủ yếu là người có nhu cầu thực mua để an cư. Nhìn chung, thị trường bất động sản Hà Nội đầu năm 2025 đang vận động trong trạng thái ổn định – thanh </w:t>
      </w:r>
      <w:r>
        <w:rPr>
          <w:rFonts w:ascii="Times New Roman" w:hAnsi="Times New Roman" w:eastAsia="Times New Roman" w:cs="Times New Roman"/>
          <w:color w:val="000000"/>
          <w:sz w:val="24"/>
          <w:highlight w:val="white"/>
        </w:rPr>
        <w:t xml:space="preserve">lọc – tích lũy, với thanh khoản tập trung tại các phân khúc có giá hợp lý và pháp lý rõ ràng. Tâm lý người mua cải thiện, nhưng vẫn chọn lọc và thận trọng trước khi xuống tiền.</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b/>
          <w:i/>
          <w:color w:val="000000"/>
          <w:sz w:val="24"/>
          <w:highlight w:val="white"/>
        </w:rPr>
        <w:tab/>
        <w:t xml:space="preserve">Nhận định chuyên gia và dự báo thị trường BĐS Hà Nội 2025</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b/>
          <w:i/>
          <w:color w:val="000000"/>
          <w:sz w:val="24"/>
          <w:highlight w:val="white"/>
        </w:rPr>
        <w:tab/>
      </w:r>
      <w:r>
        <w:rPr>
          <w:rFonts w:ascii="Times New Roman" w:hAnsi="Times New Roman" w:eastAsia="Times New Roman" w:cs="Times New Roman"/>
          <w:color w:val="000000"/>
          <w:sz w:val="24"/>
          <w:highlight w:val="white"/>
        </w:rPr>
        <w:t xml:space="preserve">Trong bối cảnh thị trường đang từng bước ổn định và dần định hình sau giai đoạn siết tín dụng và thanh lọc đầu tư, các chuyên gia cho rằng năm 2025 sẽ là “bản lề” quan trọng cho chu kỳ phục hồi của BĐS Hà Nội.</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i/>
          <w:color w:val="000000"/>
          <w:sz w:val="24"/>
          <w:highlight w:val="white"/>
        </w:rPr>
        <w:tab/>
        <w:t xml:space="preserve">Tín hiệu phục hồi bền vững từ nhu cầu thực</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Theo báo cáo của Savills Việt Nam và các đơn vị nghiên cứu thị trường lớn như DKRA, Batdongsan.com.vn, lượng quan tâm tới bất động sản tại Hà Nội đã tăng trở lại trong quý 1/2025, đặc biệt ở nhóm khách hàng mua để ở và tích sản trung – dài hạn. “Nhu cầu t</w:t>
      </w:r>
      <w:r>
        <w:rPr>
          <w:rFonts w:ascii="Times New Roman" w:hAnsi="Times New Roman" w:eastAsia="Times New Roman" w:cs="Times New Roman"/>
          <w:color w:val="000000"/>
          <w:sz w:val="24"/>
          <w:highlight w:val="white"/>
        </w:rPr>
        <w:t xml:space="preserve">hực vẫn đang chiếm tỷ trọng lớn. Người mua hiện nay không còn chạy theo ‘sóng ngắn’ mà có xu hướng lựa chọn sản phẩm rõ pháp lý, chủ đầu tư uy tín và vị trí kết nối tốt,” – ông Troy Griffiths, Phó Tổng giám đốc Savills Việt Nam nhận định.</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i/>
          <w:color w:val="000000"/>
          <w:sz w:val="24"/>
          <w:highlight w:val="white"/>
        </w:rPr>
        <w:tab/>
        <w:t xml:space="preserve">Sự trở lại thận trọng của nhà đầu tư F0, F1</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Mặc dù thị trường chưa xuất hiện làn sóng đầu tư ồ ạt, nhưng nhà đầu tư F0 và F1 bắt đầu quay trở lại, đặc biệt ở các phân khúc như đất nền ven đô, căn hộ trung cấp có hỗ trợ tài chính. Tuy nhiên, so với giai đoạn 2021–2022, dòng tiền hiện nay tập trung h</w:t>
      </w:r>
      <w:r>
        <w:rPr>
          <w:rFonts w:ascii="Times New Roman" w:hAnsi="Times New Roman" w:eastAsia="Times New Roman" w:cs="Times New Roman"/>
          <w:color w:val="000000"/>
          <w:sz w:val="24"/>
          <w:highlight w:val="white"/>
        </w:rPr>
        <w:t xml:space="preserve">ơn, chọn lọc hơn và hướng tới mức sinh lời ổn định thay vì kỳ vọng siêu lợi nhuận.</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i/>
          <w:color w:val="000000"/>
          <w:sz w:val="24"/>
          <w:highlight w:val="white"/>
        </w:rPr>
        <w:tab/>
        <w:t xml:space="preserve">Tác động từ chính sách và tín dụng</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Chính sách vĩ mô sẽ tiếp tục là yếu tố then chốt chi phối thị trường. Việc Ngân hàng Nhà nước giảm lãi suất điều hành từ quý 4/2024 đã bắt đầu có tác dụng kích cầu, tuy nhiên tín dụng bất động sản vẫn đang bị kiểm soát chặt với những phân khúc có yếu tố đ</w:t>
      </w:r>
      <w:r>
        <w:rPr>
          <w:rFonts w:ascii="Times New Roman" w:hAnsi="Times New Roman" w:eastAsia="Times New Roman" w:cs="Times New Roman"/>
          <w:color w:val="000000"/>
          <w:sz w:val="24"/>
          <w:highlight w:val="white"/>
        </w:rPr>
        <w:t xml:space="preserve">ầu cơ cao. Đồng thời, Luật Đất đai 2024 (có hiệu lực từ 1/1/2025) cũng tạo kỳ vọng giúp tháo gỡ các vướng mắc pháp lý, đẩy nhanh quá trình phê duyệt dự án và cải thiện nguồn cung trong trung hạn.</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i/>
          <w:color w:val="000000"/>
          <w:sz w:val="24"/>
          <w:highlight w:val="white"/>
        </w:rPr>
        <w:tab/>
        <w:t xml:space="preserve">Ba kịch bản phát triển từ 2025–2030</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Theo nhóm chuyên gia tại Hội Môi giới Bất động sản Việt Nam (VARS), thị trường Hà Nội có thể diễn biến theo ba kịch bản chính:</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Kịch bản thứ nhất là thị trường ổn định – phục hồi chậm: Nếu chính sách tiếp tục thận trọng, thị trường sẽ tăng trưởng nhẹ và bền vững trong 2–3 năm tới.</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Kịch bản thứ hai là thị trường phục hồi mạnh: Trong trường hợp tín dụng được nới lỏng, pháp lý được tháo gỡ triệt để, thị trường có thể phục hồi rõ nét từ 2026.</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Kịch bản thứ ba là thị trường tăng trưởng nóng trở lại: Nếu xuất hiện cú hích lớn từ chính sách ưu đãi (gói tín dụng, ưu đãi thuế…), thị trường có thể bùng nổ, nhưng cũng kèm theo rủi ro nếu không kiểm soát tốt đầu cơ.</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Thị trường bất động sản Hà Nội đầu 2025 đang đi theo hướng phục hồi chậm nhưng chắc, với sự dẫn dắt từ nhu cầu thực và yếu tố pháp lý. Đây là thời điểm nhà đầu tư cần “chơi dài hơi” – đặt niềm tin vào những khu vực có quy hoạch rõ ràng, pháp lý minh bạch </w:t>
      </w:r>
      <w:r>
        <w:rPr>
          <w:rFonts w:ascii="Times New Roman" w:hAnsi="Times New Roman" w:eastAsia="Times New Roman" w:cs="Times New Roman"/>
          <w:color w:val="000000"/>
          <w:sz w:val="24"/>
          <w:highlight w:val="white"/>
        </w:rPr>
        <w:t xml:space="preserve">và tiềm năng tăng trưởng bền vững. Như vậy, dù còn nhiều khó khăn nhưng thị trường bất động sản Hà Nội trong nửa đầu năm 2025 cho thấy nhiều tín hiệu tích cực sau giai đoạn điều chỉnh kéo dài. Dù chưa có sự bùng nổ rõ nét, nhưng sự ổn định về thanh khoản, </w:t>
      </w:r>
      <w:r>
        <w:rPr>
          <w:rFonts w:ascii="Times New Roman" w:hAnsi="Times New Roman" w:eastAsia="Times New Roman" w:cs="Times New Roman"/>
          <w:color w:val="000000"/>
          <w:sz w:val="24"/>
          <w:highlight w:val="white"/>
        </w:rPr>
        <w:t xml:space="preserve">sự trở lại của nhà đầu tư cá nhân, cùng với các chính sách tháo gỡ pháp lý và tín dụng đang dần tạo dựng nền tảng cho một chu kỳ tăng trưởng bền vững hơn.</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highlight w:val="white"/>
        </w:rPr>
      </w:pPr>
      <w:r>
        <w:rPr>
          <w:rFonts w:ascii="Times New Roman" w:hAnsi="Times New Roman" w:eastAsia="Times New Roman" w:cs="Times New Roman"/>
          <w:i/>
          <w:color w:val="000000"/>
          <w:sz w:val="24"/>
          <w:highlight w:val="white"/>
        </w:rPr>
        <w:t xml:space="preserve">(Nguồn tham khảo: https://batdongsan.com.vn/tin-tuc/thi-truong-bat-dong-san-ha-noi-836237)</w:t>
      </w:r>
      <w:r>
        <w:rPr>
          <w:highlight w:val="white"/>
        </w:rPr>
      </w:r>
      <w:r>
        <w:rPr>
          <w:highlight w:val="white"/>
        </w:rPr>
      </w:r>
    </w:p>
    <w:p>
      <w:pPr>
        <w:pStyle w:val="1027"/>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rPr>
      </w:r>
      <w:r>
        <w:rPr>
          <w:b/>
          <w:bCs/>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20"/>
        <w:gridCol w:w="2236"/>
        <w:gridCol w:w="2126"/>
        <w:gridCol w:w="2126"/>
        <w:gridCol w:w="2007"/>
      </w:tblGrid>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r>
              <w:rPr>
                <w:highlight w:val="white"/>
              </w:rPr>
            </w:r>
          </w:p>
        </w:tc>
        <w:tc>
          <w:tcPr>
            <w:gridSpan w:val="4"/>
            <w:tcBorders/>
            <w:tcW w:w="84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b/>
                <w:color w:val="000000"/>
                <w:sz w:val="24"/>
                <w:highlight w:val="white"/>
              </w:rPr>
              <w:t xml:space="preserve">Quyền sử dụng đất tại thửa đất số: 37(5), tờ bản đồ số 1 có địa chỉ: Thôn Phù Liễn, xã Bắc Hồng, huyện Đông Anh, Thành phố Hà Nội </w:t>
            </w:r>
            <w:r>
              <w:rPr>
                <w:rFonts w:ascii="Times New Roman" w:hAnsi="Times New Roman" w:eastAsia="Times New Roman" w:cs="Times New Roman"/>
                <w:b/>
                <w:i/>
                <w:color w:val="000000"/>
                <w:sz w:val="24"/>
                <w:highlight w:val="white"/>
              </w:rPr>
              <w:t xml:space="preserve">(Nay là xã Phúc Thịnh, Thành phố Hà Nội)</w:t>
            </w:r>
            <w:r>
              <w:rPr>
                <w:rFonts w:ascii="Times New Roman" w:hAnsi="Times New Roman" w:eastAsia="Times New Roman" w:cs="Times New Roman"/>
                <w:b/>
                <w:color w:val="000000"/>
                <w:sz w:val="24"/>
                <w:highlight w:val="white"/>
              </w:rPr>
              <w:t xml:space="preserve"> theo Giấy chứng nhận quyền sử dụng đất quyền sở hữu nhà ở và tài sản khác gắn liền với đất số: BG 109434, số vào sổ cấp GCN: 1420.QĐ-UBND.2011/CH 00263.2011 do Uỷ ban nhân dân huyện Đông Anh cấp ngày 04/5/2011; Chủ sử dụng đất là Ông Nguyễn Văn Thắng.</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1.</w:t>
            </w:r>
            <w:r>
              <w:rPr>
                <w:highlight w:val="white"/>
              </w:rPr>
            </w:r>
            <w:r>
              <w:rPr>
                <w:highlight w:val="white"/>
              </w:rPr>
            </w:r>
          </w:p>
        </w:tc>
        <w:tc>
          <w:tcPr>
            <w:gridSpan w:val="4"/>
            <w:tcBorders/>
            <w:tcW w:w="84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Nội dung Thửa đất theo Hồ sơ pháp lý</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Thửa đất số:</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37(5)</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Tờ bản đồ số:</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1</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Thôn Phù Liễn, xã Bắc Hồng, huyện Đông Anh, Thành phố Hà Nội </w:t>
            </w:r>
            <w:r>
              <w:rPr>
                <w:rFonts w:ascii="Times New Roman" w:hAnsi="Times New Roman" w:eastAsia="Times New Roman" w:cs="Times New Roman"/>
                <w:i/>
                <w:color w:val="000000"/>
                <w:sz w:val="24"/>
                <w:highlight w:val="white"/>
              </w:rPr>
              <w:t xml:space="preserve">(Nay là xã Phúc Thịnh, Thành phố Hà Nội)</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Diện tích (m²):</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52,3</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Hình thức sử dụng:</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Sử dụng riêng</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Mục đích sử dụng:</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Đất ở tại nông thôn</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Thời hạn sử dụng:</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Lâu dài</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Nguồn gốc sử dụng đất:</w:t>
            </w:r>
            <w:r>
              <w:rPr>
                <w:highlight w:val="white"/>
              </w:rPr>
            </w:r>
            <w:r>
              <w:rPr>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left"/>
              <w:rPr>
                <w:highlight w:val="white"/>
              </w:rPr>
            </w:pPr>
            <w:r>
              <w:rPr>
                <w:rFonts w:ascii="Times New Roman" w:hAnsi="Times New Roman" w:eastAsia="Times New Roman" w:cs="Times New Roman"/>
                <w:color w:val="000000"/>
                <w:sz w:val="24"/>
                <w:highlight w:val="white"/>
              </w:rPr>
              <w:t xml:space="preserve">Nhận chuyển nhượng QSD đất theo hợp đồng số </w:t>
            </w:r>
            <w:r>
              <w:rPr>
                <w:rFonts w:ascii="Times New Roman" w:hAnsi="Times New Roman" w:eastAsia="Times New Roman" w:cs="Times New Roman"/>
                <w:color w:val="000000"/>
                <w:sz w:val="24"/>
                <w:highlight w:val="white"/>
              </w:rPr>
              <w:t xml:space="preserve">1413/CNQSDĐ/2011 do văn phòng công chứng Đông Anh chứng thực ngày 06/04/2011</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shd w:val="nil" w:color="auto"/>
              <w:spacing/>
              <w:ind/>
              <w:rPr>
                <w:highlight w:val="white"/>
                <w14:ligatures w14:val="none"/>
              </w:rPr>
            </w:pPr>
            <w:r>
              <w:rPr>
                <w:highlight w:val="white"/>
              </w:rPr>
              <w:t xml:space="preserve">Thông tin quy hoạch:</w:t>
            </w:r>
            <w:r>
              <w:rPr>
                <w:highlight w:val="white"/>
                <w14:ligatures w14:val="none"/>
              </w:rPr>
            </w:r>
            <w:r>
              <w:rPr>
                <w:highlight w:val="white"/>
                <w14:ligatures w14:val="non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ff0000"/>
                <w:sz w:val="24"/>
                <w:szCs w:val="24"/>
                <w:highlight w:val="white"/>
                <w14:ligatures w14:val="none"/>
              </w:rPr>
            </w:pPr>
            <w:r>
              <w:rPr>
                <w:rFonts w:ascii="Times New Roman" w:hAnsi="Times New Roman" w:eastAsia="Times New Roman" w:cs="Times New Roman"/>
                <w:color w:val="ff0000"/>
                <w:sz w:val="24"/>
                <w:szCs w:val="24"/>
                <w:highlight w:val="white"/>
              </w:rPr>
            </w:r>
            <w:r>
              <w:rPr>
                <w:rFonts w:ascii="Times New Roman" w:hAnsi="Times New Roman" w:eastAsia="Times New Roman" w:cs="Times New Roman"/>
                <w:color w:val="ff0000"/>
                <w:sz w:val="24"/>
                <w:szCs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ff0000"/>
                <w:sz w:val="24"/>
                <w:szCs w:val="24"/>
                <w:highlight w:val="white"/>
              </w:rPr>
              <w:t xml:space="preserve">định vị trí tài sản thuộc quy hoạch đất ở</w:t>
            </w:r>
            <w:r>
              <w:rPr>
                <w:rFonts w:ascii="Times New Roman" w:hAnsi="Times New Roman" w:eastAsia="Times New Roman" w:cs="Times New Roman"/>
                <w:color w:val="ff0000"/>
                <w:sz w:val="24"/>
                <w:szCs w:val="24"/>
                <w:highlight w:val="white"/>
              </w:rPr>
              <w:t xml:space="preserve">.</w:t>
            </w:r>
            <w:r>
              <w:rPr>
                <w:rFonts w:ascii="Times New Roman" w:hAnsi="Times New Roman" w:eastAsia="Times New Roman" w:cs="Times New Roman"/>
                <w:color w:val="ff0000"/>
                <w:sz w:val="24"/>
                <w:szCs w:val="24"/>
                <w:highlight w:val="white"/>
                <w14:ligatures w14:val="none"/>
              </w:rPr>
            </w:r>
            <w:r>
              <w:rPr>
                <w:rFonts w:ascii="Times New Roman" w:hAnsi="Times New Roman" w:eastAsia="Times New Roman" w:cs="Times New Roman"/>
                <w:color w:val="ff0000"/>
                <w:sz w:val="24"/>
                <w:szCs w:val="24"/>
                <w:highlight w:val="white"/>
                <w14:ligatures w14:val="none"/>
              </w:rPr>
            </w:r>
          </w:p>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highlight w:val="white"/>
              </w:rPr>
              <mc:AlternateContent>
                <mc:Choice Requires="wpg">
                  <w:drawing>
                    <wp:inline xmlns:wp="http://schemas.openxmlformats.org/drawingml/2006/wordprocessingDrawing" distT="0" distB="0" distL="0" distR="0">
                      <wp:extent cx="3918339" cy="205214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32956" name=""/>
                              <pic:cNvPicPr>
                                <a:picLocks noChangeAspect="1"/>
                              </pic:cNvPicPr>
                              <pic:nvPr/>
                            </pic:nvPicPr>
                            <pic:blipFill rotWithShape="1">
                              <a:blip r:embed="rId17"/>
                              <a:stretch/>
                            </pic:blipFill>
                            <pic:spPr bwMode="auto">
                              <a:xfrm flipH="0" flipV="0">
                                <a:off x="0" y="0"/>
                                <a:ext cx="3918339" cy="20521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8.53pt;height:161.59pt;mso-wrap-distance-left:0.00pt;mso-wrap-distance-top:0.00pt;mso-wrap-distance-right:0.00pt;mso-wrap-distance-bottom:0.00pt;z-index:1;" stroked="false">
                      <v:imagedata r:id="rId17" o:title=""/>
                      <o:lock v:ext="edit" rotation="t"/>
                    </v:shape>
                  </w:pict>
                </mc:Fallback>
              </mc:AlternateConten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gridSpan w:val="4"/>
            <w:tcBorders/>
            <w:tcW w:w="84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Về đất:</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2.1</w:t>
            </w:r>
            <w:r>
              <w:rPr>
                <w:highlight w:val="white"/>
              </w:rPr>
            </w:r>
            <w:r>
              <w:rPr>
                <w:highlight w:val="white"/>
              </w:rPr>
            </w:r>
          </w:p>
        </w:tc>
        <w:tc>
          <w:tcPr>
            <w:gridSpan w:val="4"/>
            <w:tcBorders/>
            <w:tcW w:w="84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Vị trí; Giao thông;</w:t>
            </w:r>
            <w:r>
              <w:rPr>
                <w:highlight w:val="white"/>
              </w:rPr>
            </w:r>
            <w:r>
              <w:rPr>
                <w:highlight w:val="white"/>
              </w:rPr>
            </w:r>
          </w:p>
        </w:tc>
      </w:tr>
      <w:tr>
        <w:trPr>
          <w:trHeight w:val="296"/>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Đường tiếp giáp chính:</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Đường nhựa</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Số mặt tiền:</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01 mặt tiền</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Mặt cắt đường/ngõ nhỏ nhất từ đường chính dẫn đến tài sản thẩm định giá (m):</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Khoảng 2m</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Mặt cắt đường/ngõ trước mặt tài sản thẩm định giá (m):</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Khoảng 2,6m</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Khoảng cách đến trục đường chính (m):</w:t>
            </w:r>
            <w:r>
              <w:rPr>
                <w:highlight w:val="white"/>
              </w:rPr>
            </w:r>
            <w:r>
              <w:rPr>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Tài sản nằm tại Thôn Phù Liễn, xã Phúc Thịnh, Thành phố Hà Nội; cách đường trục chính khoảng 110m</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Các hướng tiếp giáp:</w:t>
            </w:r>
            <w:r>
              <w:rPr>
                <w:highlight w:val="white"/>
              </w:rPr>
            </w:r>
            <w:r>
              <w:rPr>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Hướng Nam: Tiếp giáp đường nhựa khoảng 2,6m.</w:t>
            </w:r>
            <w:r>
              <w:rPr>
                <w:highlight w:val="white"/>
              </w:rPr>
            </w:r>
            <w:r>
              <w:rPr>
                <w:highlight w:val="white"/>
              </w:rPr>
            </w:r>
          </w:p>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Các hướng khác: Tiếp giáp các thửa đất khác.</w:t>
            </w:r>
            <w:r>
              <w:rPr>
                <w:highlight w:val="white"/>
              </w:rPr>
            </w:r>
            <w:r>
              <w:rPr>
                <w:highlight w:val="white"/>
              </w:rPr>
            </w:r>
          </w:p>
        </w:tc>
      </w:tr>
      <w:tr>
        <w:trPr>
          <w:trHeight w:val="313"/>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tcBorders/>
            <w:tcW w:w="84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Vị trí trê</w:t>
            </w:r>
            <w:commentRangeStart w:id="0"/>
            <w:r>
              <w:rPr>
                <w:rFonts w:ascii="Times New Roman" w:hAnsi="Times New Roman" w:eastAsia="Times New Roman" w:cs="Times New Roman"/>
                <w:color w:val="000000"/>
                <w:sz w:val="24"/>
                <w:highlight w:val="white"/>
              </w:rPr>
              <w:t xml:space="preserve">n bản đồ vệ tinh</w:t>
            </w:r>
            <w:commentRangeEnd w:id="0"/>
            <w:r>
              <w:commentReference w:id="0"/>
            </w:r>
            <w:r>
              <w:rPr>
                <w:rFonts w:ascii="Times New Roman" w:hAnsi="Times New Roman" w:eastAsia="Times New Roman" w:cs="Times New Roman"/>
                <w:color w:val="000000"/>
                <w:sz w:val="24"/>
                <w:highlight w:val="white"/>
              </w:rPr>
              <w:t xml:space="preserve">: (21.180508, 105.798808)</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tcBorders/>
            <w:tcW w:w="84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highlight w:val="white"/>
              </w:rPr>
            </w:r>
            <w:r>
              <mc:AlternateContent>
                <mc:Choice Requires="wpg">
                  <w:drawing>
                    <wp:inline xmlns:wp="http://schemas.openxmlformats.org/drawingml/2006/wordprocessingDrawing" distT="0" distB="0" distL="0" distR="0">
                      <wp:extent cx="6106455" cy="299144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59867" name=""/>
                              <pic:cNvPicPr>
                                <a:picLocks noChangeAspect="1"/>
                              </pic:cNvPicPr>
                              <pic:nvPr/>
                            </pic:nvPicPr>
                            <pic:blipFill rotWithShape="1">
                              <a:blip r:embed="rId18"/>
                              <a:stretch/>
                            </pic:blipFill>
                            <pic:spPr bwMode="auto">
                              <a:xfrm flipH="0" flipV="0">
                                <a:off x="0" y="0"/>
                                <a:ext cx="6106454" cy="29914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80.82pt;height:235.55pt;mso-wrap-distance-left:0.00pt;mso-wrap-distance-top:0.00pt;mso-wrap-distance-right:0.00pt;mso-wrap-distance-bottom:0.00pt;z-index:1;" stroked="false">
                      <v:imagedata r:id="rId18" o:title=""/>
                      <o:lock v:ext="edit" rotation="t"/>
                    </v:shape>
                  </w:pict>
                </mc:Fallback>
              </mc:AlternateConten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2.2.</w:t>
            </w:r>
            <w:r>
              <w:rPr>
                <w:highlight w:val="white"/>
              </w:rPr>
            </w:r>
            <w:r>
              <w:rPr>
                <w:highlight w:val="white"/>
              </w:rPr>
            </w:r>
          </w:p>
        </w:tc>
        <w:tc>
          <w:tcPr>
            <w:gridSpan w:val="4"/>
            <w:tcBorders/>
            <w:tcW w:w="84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Diện tích; Kích thước; Hình dáng</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Diện tích sử dụng riêng thực tế (m²):</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52,3</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Diện tích sử dụng chung thực tế (m²):</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0</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Mặt tiền (m):</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4,20</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Chiều sâu (m): </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12,2-12,34</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Hình dáng:</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Hình </w:t>
            </w:r>
            <w:r>
              <w:rPr>
                <w:rFonts w:ascii="Times New Roman" w:hAnsi="Times New Roman" w:eastAsia="Times New Roman" w:cs="Times New Roman"/>
                <w:color w:val="000000"/>
                <w:sz w:val="24"/>
                <w:highlight w:val="white"/>
              </w:rPr>
              <w:t xml:space="preserve">chữ </w:t>
            </w:r>
            <w:r>
              <w:rPr>
                <w:rFonts w:ascii="Times New Roman" w:hAnsi="Times New Roman" w:eastAsia="Times New Roman" w:cs="Times New Roman"/>
                <w:color w:val="000000"/>
                <w:sz w:val="24"/>
                <w:highlight w:val="white"/>
              </w:rPr>
              <w:t xml:space="preserve">nhật </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Hướng:</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Nam</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2.3.</w:t>
            </w:r>
            <w:r>
              <w:rPr>
                <w:highlight w:val="white"/>
              </w:rPr>
            </w:r>
            <w:r>
              <w:rPr>
                <w:highlight w:val="white"/>
              </w:rPr>
            </w:r>
          </w:p>
        </w:tc>
        <w:tc>
          <w:tcPr>
            <w:gridSpan w:val="4"/>
            <w:tcBorders/>
            <w:tcW w:w="84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Điều kiện kinh doanh; Hạ tầng nội bộ; Hạ tầng xung quanh</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Hạ tầng nội bộ:</w:t>
            </w:r>
            <w:r>
              <w:rPr>
                <w:highlight w:val="white"/>
              </w:rPr>
            </w:r>
            <w:r>
              <w:rPr>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Hạ tầng cấp nước: Nước máy, </w:t>
            </w:r>
            <w:r>
              <w:rPr>
                <w:highlight w:val="white"/>
              </w:rPr>
            </w:r>
            <w:r>
              <w:rPr>
                <w:highlight w:val="white"/>
              </w:rPr>
            </w:r>
          </w:p>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Hạ tầng thoát nước: Rãnh có nắp, </w:t>
            </w:r>
            <w:r>
              <w:rPr>
                <w:highlight w:val="white"/>
              </w:rPr>
            </w:r>
            <w:r>
              <w:rPr>
                <w:highlight w:val="white"/>
              </w:rPr>
            </w:r>
          </w:p>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Hạ tầng cấp điện: Điện lưới, </w:t>
            </w:r>
            <w:r>
              <w:rPr>
                <w:highlight w:val="white"/>
              </w:rPr>
            </w:r>
            <w:r>
              <w:rPr>
                <w:highlight w:val="white"/>
              </w:rPr>
            </w:r>
          </w:p>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Hạ tầng thông tin liên lạc: Điện thoại, Mạng internet, Truyền hình cáp</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Hạ tầng xung quanh:</w:t>
            </w:r>
            <w:r>
              <w:rPr>
                <w:highlight w:val="white"/>
              </w:rPr>
            </w:r>
            <w:r>
              <w:rPr>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Môi trường trong lành, an ninh đảm bảo, dân trí tốt</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Mật độ dân cư:</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Đông đúc</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Đời sống dân cư:</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Ổn định</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Lợi thế kinh doanh:</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Phù hợp để ở</w:t>
            </w:r>
            <w:r>
              <w:rPr>
                <w:highlight w:val="white"/>
              </w:rPr>
            </w:r>
            <w:r>
              <w:rPr>
                <w:highlight w:val="whit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Khả năng chuyển nhượng:</w:t>
            </w:r>
            <w:r>
              <w:rPr>
                <w:highlight w:val="white"/>
              </w:rPr>
            </w:r>
            <w:r>
              <w:rPr>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Tốt </w:t>
            </w:r>
            <w:r>
              <w:rPr>
                <w:highlight w:val="white"/>
              </w:rPr>
            </w:r>
            <w:r>
              <w:rPr>
                <w:highlight w:val="white"/>
              </w:rPr>
            </w:r>
          </w:p>
        </w:tc>
      </w:tr>
      <w:tr>
        <w:trPr>
          <w:trHeight w:val="20"/>
        </w:trPr>
        <w:tc>
          <w:tcPr>
            <w:tcBorders/>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3.</w:t>
            </w:r>
            <w:r>
              <w:rPr>
                <w:highlight w:val="white"/>
              </w:rPr>
            </w:r>
            <w:r>
              <w:rPr>
                <w:highlight w:val="white"/>
              </w:rPr>
            </w:r>
          </w:p>
        </w:tc>
        <w:tc>
          <w:tcPr>
            <w:gridSpan w:val="4"/>
            <w:tcBorders/>
            <w:tcW w:w="84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Tài sản gắn liền với đất</w:t>
            </w:r>
            <w:r>
              <w:rPr>
                <w:rFonts w:ascii="Times New Roman" w:hAnsi="Times New Roman" w:eastAsia="Times New Roman" w:cs="Times New Roman"/>
                <w:b/>
                <w:i/>
                <w:color w:val="000000"/>
                <w:sz w:val="24"/>
                <w:highlight w:val="white"/>
              </w:rPr>
              <w:t xml:space="preserve"> (Đất trống)</w:t>
            </w:r>
            <w:r>
              <w:rPr>
                <w:highlight w:val="white"/>
              </w:rPr>
            </w:r>
            <w:r>
              <w:rPr>
                <w:highlight w:val="white"/>
              </w:rPr>
            </w:r>
          </w:p>
        </w:tc>
      </w:tr>
    </w:tbl>
    <w:p>
      <w:pPr>
        <w:pBdr/>
        <w:spacing/>
        <w:ind/>
        <w:rPr>
          <w:b/>
          <w:bCs/>
          <w:highlight w:val="white"/>
          <w:shd w:val="clear" w:color="auto" w:fill="ffffff"/>
        </w:rPr>
      </w:pPr>
      <w:r>
        <w:rPr>
          <w:b/>
          <w:bCs/>
          <w:highlight w:val="white"/>
          <w:shd w:val="clear" w:color="auto" w:fill="ffffff"/>
        </w:rPr>
      </w:r>
      <w:r>
        <w:rPr>
          <w:b/>
          <w:bCs/>
          <w:highlight w:val="white"/>
          <w:shd w:val="clear" w:color="auto" w:fill="ffffff"/>
        </w:rPr>
      </w:r>
      <w:r>
        <w:rPr>
          <w:b/>
          <w:bCs/>
          <w:highlight w:val="white"/>
          <w:shd w:val="clear" w:color="auto" w:fill="ffffff"/>
        </w:rPr>
      </w:r>
    </w:p>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none"/>
          <w:u w:val="single"/>
        </w:rPr>
      </w:r>
      <w:r>
        <w:rPr>
          <w:b/>
          <w:bCs/>
          <w:highlight w:val="none"/>
          <w:u w:val="single"/>
        </w:rPr>
      </w:r>
      <w:r>
        <w:rPr>
          <w:b/>
          <w:bCs/>
          <w:highlight w:val="white"/>
          <w:u w:val="single"/>
        </w:rPr>
      </w:r>
    </w:p>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p>
      <w:pPr>
        <w:pBdr/>
        <w:spacing w:line="235" w:lineRule="auto"/>
        <w:ind w:left="284"/>
        <w:jc w:val="both"/>
        <w:rPr>
          <w:b/>
          <w:bCs/>
          <w:highlight w:val="non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non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w:t>
            </w:r>
            <w:r>
              <w:rPr>
                <w:highlight w:val="white"/>
                <w:lang w:eastAsia="ko-KR"/>
              </w:rPr>
              <w:t xml:space="preserve">ha)&lt;</w:t>
            </w:r>
            <w:r>
              <w:rPr>
                <w:highlight w:val="white"/>
                <w:lang w:eastAsia="ko-KR"/>
              </w:rPr>
              <w:t xml:space="preserve">5ha</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 phục, Long phục) xe lao xuống, gió tạt thẳng sát khí, không tụ</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Style w:val="1027"/>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rPr>
      </w:r>
      <w:r>
        <w:rPr>
          <w:b/>
          <w:highlight w:val="white"/>
        </w:rPr>
      </w:r>
    </w:p>
    <w:p>
      <w:pPr>
        <w:pStyle w:val="1027"/>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rPr>
      </w:r>
      <w:r>
        <w:rPr>
          <w:spacing w:val="-2"/>
          <w:highlight w:val="white"/>
        </w:rPr>
      </w:r>
    </w:p>
    <w:p>
      <w:pPr>
        <w:pStyle w:val="1027"/>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rPr>
      </w:r>
      <w:r>
        <w:rPr>
          <w:spacing w:val="-2"/>
          <w:highlight w:val="white"/>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rPr>
      </w:r>
      <w:r>
        <w:rPr>
          <w:b/>
          <w:bCs/>
          <w:highlight w:val="white"/>
        </w:rPr>
      </w:r>
    </w:p>
    <w:p>
      <w:pPr>
        <w:pStyle w:val="1027"/>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rPr>
      </w:r>
      <w:r>
        <w:rPr>
          <w:highlight w:val="white"/>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rPr>
      </w:r>
      <w:r>
        <w:rPr>
          <w:highlight w:val="white"/>
        </w:rPr>
      </w:r>
    </w:p>
    <w:p>
      <w:pPr>
        <w:pStyle w:val="1027"/>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rPr>
      </w:r>
      <w:r>
        <w:rPr>
          <w:b/>
          <w:highlight w:val="white"/>
        </w:rPr>
      </w:r>
    </w:p>
    <w:p>
      <w:pPr>
        <w:pStyle w:val="1027"/>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rPr>
      </w:r>
      <w:r>
        <w:rPr>
          <w:bCs/>
          <w:highlight w:val="white"/>
        </w:rPr>
      </w:r>
    </w:p>
    <w:p>
      <w:pPr>
        <w:pStyle w:val="1027"/>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rPr>
      </w:r>
      <w:r>
        <w:rPr>
          <w:bCs/>
          <w:highlight w:val="white"/>
        </w:rPr>
      </w:r>
    </w:p>
    <w:p>
      <w:pPr>
        <w:pStyle w:val="1027"/>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rPr>
      </w:r>
      <w:r>
        <w:rPr>
          <w:b/>
          <w:highlight w:val="white"/>
        </w:rPr>
      </w:r>
    </w:p>
    <w:p>
      <w:pPr>
        <w:pStyle w:val="1027"/>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rPr>
      </w:r>
      <w:r>
        <w:rPr>
          <w:spacing w:val="-4"/>
          <w:highlight w:val="white"/>
        </w:rPr>
      </w:r>
    </w:p>
    <w:p>
      <w:pPr>
        <w:pStyle w:val="1027"/>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rPr>
      </w:r>
      <w:r>
        <w:rPr>
          <w:highlight w:val="white"/>
        </w:rPr>
      </w:r>
    </w:p>
    <w:p>
      <w:pPr>
        <w:pStyle w:val="1027"/>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rPr>
      </w:r>
      <w:r>
        <w:rPr>
          <w:b/>
          <w:highlight w:val="white"/>
        </w:rPr>
      </w:r>
    </w:p>
    <w:p>
      <w:pPr>
        <w:pStyle w:val="1027"/>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highlight w:val="white"/>
          <w:lang w:val="nl-NL"/>
        </w:rPr>
        <w:t xml:space="preserve">hội,…</w:t>
      </w:r>
      <w:r>
        <w:rPr>
          <w:highlight w:val="white"/>
          <w:lang w:val="nl-NL"/>
        </w:rPr>
        <w:t xml:space="preserve"> với tài sản thẩm định giá, cụ thể như sau:</w:t>
      </w:r>
      <w:r>
        <w:rPr>
          <w:bCs/>
          <w:highlight w:val="white"/>
        </w:rPr>
      </w:r>
      <w:r>
        <w:rPr>
          <w:bCs/>
          <w:highlight w:val="white"/>
        </w:rPr>
      </w:r>
    </w:p>
    <w:p>
      <w:pPr>
        <w:pStyle w:val="1027"/>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rPr>
      </w:r>
      <w:r>
        <w:rPr>
          <w:b/>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465"/>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1</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2"/>
                <w:highlight w:val="white"/>
              </w:rPr>
              <w:t xml:space="preserve">Địa chỉ</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Thôn Phù Liễn, xã Bắc Hồng, huyện Đông Anh, Thành phố Hà Nội</w:t>
            </w:r>
            <w:r>
              <w:rPr>
                <w:rFonts w:ascii="Times New Roman" w:hAnsi="Times New Roman" w:eastAsia="Times New Roman" w:cs="Times New Roman"/>
                <w:i/>
                <w:color w:val="000000"/>
                <w:sz w:val="22"/>
                <w:highlight w:val="white"/>
              </w:rPr>
              <w:t xml:space="preserve"> (Nay là xã Phúc Thịnh, Thành phố Hà Nội)</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Thôn Phù Liễn, xã Bắc Hồng, huyện Đông Anh, Thành phố Hà Nội </w:t>
            </w:r>
            <w:r>
              <w:rPr>
                <w:rFonts w:ascii="Times New Roman" w:hAnsi="Times New Roman" w:eastAsia="Times New Roman" w:cs="Times New Roman"/>
                <w:i/>
                <w:color w:val="000000"/>
                <w:sz w:val="22"/>
                <w:highlight w:val="white"/>
              </w:rPr>
              <w:t xml:space="preserve">(Nay là xã Phúc Thịnh, Thành phố Hà Nội)</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Thôn Phù Liễn, xã Bắc Hồng, huyện Đông Anh, Thành phố Hà Nội</w:t>
            </w:r>
            <w:r>
              <w:rPr>
                <w:rFonts w:ascii="Times New Roman" w:hAnsi="Times New Roman" w:eastAsia="Times New Roman" w:cs="Times New Roman"/>
                <w:i/>
                <w:color w:val="000000"/>
                <w:sz w:val="22"/>
                <w:highlight w:val="white"/>
              </w:rPr>
              <w:t xml:space="preserve"> (Nay là xã Phúc Thịnh, Thành phố Hà Nội)</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Thôn Phù Liễn, xã Bắc Hồng, huyện Đông Anh, Thành phố Hà Nội </w:t>
            </w:r>
            <w:r>
              <w:rPr>
                <w:rFonts w:ascii="Times New Roman" w:hAnsi="Times New Roman" w:eastAsia="Times New Roman" w:cs="Times New Roman"/>
                <w:i/>
                <w:color w:val="000000"/>
                <w:sz w:val="22"/>
                <w:highlight w:val="white"/>
              </w:rPr>
              <w:t xml:space="preserve">(Nay là xã Phúc Thịnh, Thành phố Hà Nội)</w:t>
            </w:r>
            <w:r>
              <w:rPr>
                <w:highlight w:val="white"/>
              </w:rPr>
            </w:r>
            <w:r>
              <w:rPr>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https://www.facebook.com/groups/batdongsandonganhhanoi8888/permalink/3252962581550999/</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https://www.facebook.com/groups/batdongsandonganhhanoi8888/permalink/3253824288131495/</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https://guland.vn/post/co-hoi-vang-so-huu-lo-dat-808m2-tai-phu-lien-bac-hong-1464574</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0982907427</w:t>
            </w:r>
            <w:r>
              <w:rPr>
                <w:sz w:val="22"/>
                <w:szCs w:val="22"/>
                <w:highlight w:val="white"/>
              </w:rPr>
              <w:t xml:space="preserve"> </w:t>
            </w:r>
            <w:r>
              <w:rPr>
                <w:sz w:val="22"/>
                <w:szCs w:val="22"/>
                <w:highlight w:val="white"/>
              </w:rPr>
              <w:br/>
              <w:t xml:space="preserve">(</w:t>
            </w:r>
            <w:r>
              <w:rPr>
                <w:sz w:val="22"/>
                <w:szCs w:val="22"/>
                <w:highlight w:val="white"/>
              </w:rPr>
              <w:t xml:space="preserve">Sale Kim Thoa</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 0978288516  </w:t>
              <w:br/>
              <w:t xml:space="preserve"> (Sale H</w:t>
            </w:r>
            <w:r>
              <w:rPr>
                <w:rFonts w:ascii="Times New Roman" w:hAnsi="Times New Roman" w:eastAsia="Times New Roman" w:cs="Times New Roman"/>
                <w:color w:val="000000"/>
                <w:sz w:val="22"/>
                <w:highlight w:val="white"/>
              </w:rPr>
              <w:t xml:space="preserve">à</w:t>
            </w:r>
            <w:r>
              <w:rPr>
                <w:rFonts w:ascii="Times New Roman" w:hAnsi="Times New Roman" w:eastAsia="Times New Roman" w:cs="Times New Roman"/>
                <w:color w:val="000000"/>
                <w:sz w:val="22"/>
                <w:highlight w:val="white"/>
              </w:rPr>
              <w:t xml:space="preserve"> Duy Bình)</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0385999322</w:t>
            </w:r>
            <w:r>
              <w:rPr>
                <w:sz w:val="22"/>
                <w:szCs w:val="22"/>
                <w:highlight w:val="white"/>
              </w:rPr>
              <w:br/>
            </w:r>
            <w:r>
              <w:rPr>
                <w:sz w:val="22"/>
                <w:szCs w:val="22"/>
                <w:highlight w:val="white"/>
              </w:rPr>
              <w:t xml:space="preserve">(</w:t>
            </w:r>
            <w:r>
              <w:rPr>
                <w:sz w:val="22"/>
                <w:szCs w:val="22"/>
                <w:highlight w:val="white"/>
              </w:rPr>
              <w:t xml:space="preserve">Cương</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 Đang giao dịch</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Giấy chứng nhận Quyền sử dụng đất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Giấy chứng nhận Quyền sử dụng đất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Giấy chứng nhận Quyền sử dụng đất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Giấy chứng nhận Quyền sử dụng đất</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9</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2"/>
                <w:highlight w:val="white"/>
              </w:rPr>
              <w:t xml:space="preserve">Vị trí</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Tài sản nằm tại Thôn Phù Liễn, xã Phúc Thịnh, Thành phố Hà Nội; cách đường trục chính khoảng 110m</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Tài sản nằm tại Thôn Phù Liễn, xã Phúc Thịnh, Thành phố Hà Nội; cách đường trục chính khoảng 130m</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Tài sản nằm tại Thôn Phù Liễn, xã Phúc Thịnh, Thành phố Hà Nội; cách đường trục chính khoảng 110m</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Tài sản nằm tại Thôn Phù Liễn, xã Phúc Thịnh, Thành phố Hà Nội; cách đường trục chính khoảng </w:t>
            </w:r>
            <w:r>
              <w:rPr>
                <w:rFonts w:ascii="Times New Roman" w:hAnsi="Times New Roman" w:eastAsia="Times New Roman" w:cs="Times New Roman"/>
                <w:color w:val="000000"/>
                <w:sz w:val="22"/>
                <w:highlight w:val="white"/>
              </w:rPr>
              <w:t xml:space="preserve">200</w:t>
            </w:r>
            <w:r>
              <w:rPr>
                <w:rFonts w:ascii="Times New Roman" w:hAnsi="Times New Roman" w:eastAsia="Times New Roman" w:cs="Times New Roman"/>
                <w:color w:val="000000"/>
                <w:sz w:val="22"/>
                <w:highlight w:val="white"/>
              </w:rPr>
              <w:t xml:space="preserve">m</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1</w:t>
            </w: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Mặt cắt đường trước đất khoảng 2,6m, mặt đường nhỏ nhất vào tài sản khoảng 2m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Mặt cắt đường trước đất khoảng 2,6m, mặt đường nhỏ nhất vào tài sản khoảng 2m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Mặt cắt đường trước đất khoảng 2,6m, mặt đường nhỏ nhất vào tài sản khoảng 2m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3m</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52,3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52,4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80,8</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t xml:space="preserve">65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5,25</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Nở hậu</w:t>
            </w:r>
            <w:r>
              <w:rPr>
                <w:color w:val="000000"/>
                <w:sz w:val="22"/>
                <w:szCs w:val="22"/>
                <w:highlight w:val="white"/>
              </w:rPr>
            </w:r>
            <w:r>
              <w:rPr>
                <w:color w:val="000000"/>
                <w:sz w:val="22"/>
                <w:szCs w:val="22"/>
                <w:highlight w:val="white"/>
              </w:rPr>
            </w:r>
          </w:p>
        </w:tc>
      </w:tr>
      <w:tr>
        <w:trPr>
          <w:trHeight w:val="59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highlight w:val="white"/>
              </w:rPr>
            </w:pPr>
            <w:r>
              <w:rPr>
                <w:rFonts w:ascii="Times New Roman" w:hAnsi="Times New Roman" w:eastAsia="Times New Roman" w:cs="Times New Roman"/>
                <w:color w:val="000000"/>
                <w:sz w:val="22"/>
                <w:highlight w:val="white"/>
              </w:rPr>
              <w:t xml:space="preserve">1</w:t>
            </w:r>
            <w:r>
              <w:rPr>
                <w:rFonts w:ascii="Times New Roman" w:hAnsi="Times New Roman" w:eastAsia="Times New Roman" w:cs="Times New Roman"/>
                <w:color w:val="000000"/>
                <w:sz w:val="22"/>
                <w:highlight w:val="white"/>
              </w:rPr>
              <w:t xml:space="preserve">6</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highlight w:val="white"/>
              </w:rPr>
            </w:pPr>
            <w:r>
              <w:rPr>
                <w:rFonts w:ascii="Times New Roman" w:hAnsi="Times New Roman" w:eastAsia="Times New Roman" w:cs="Times New Roman"/>
                <w:color w:val="000000"/>
                <w:sz w:val="22"/>
                <w:highlight w:val="white"/>
              </w:rPr>
              <w:t xml:space="preserve">Tài sản trên đất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highlight w:val="white"/>
              </w:rPr>
            </w:pPr>
            <w:r>
              <w:rPr>
                <w:rFonts w:ascii="Times New Roman" w:hAnsi="Times New Roman" w:eastAsia="Times New Roman" w:cs="Times New Roman"/>
                <w:color w:val="000000"/>
                <w:sz w:val="22"/>
                <w:highlight w:val="white"/>
              </w:rPr>
              <w:t xml:space="preserve"> </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highlight w:val="white"/>
              </w:rPr>
            </w:pPr>
            <w:r>
              <w:rPr>
                <w:rFonts w:ascii="Times New Roman" w:hAnsi="Times New Roman" w:eastAsia="Times New Roman" w:cs="Times New Roman"/>
                <w:color w:val="000000"/>
                <w:sz w:val="22"/>
                <w:highlight w:val="white"/>
              </w:rPr>
              <w:t xml:space="preserve">Đất trống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highlight w:val="white"/>
              </w:rPr>
            </w:pPr>
            <w:r>
              <w:rPr>
                <w:rFonts w:ascii="Times New Roman" w:hAnsi="Times New Roman" w:eastAsia="Times New Roman" w:cs="Times New Roman"/>
                <w:color w:val="000000"/>
                <w:sz w:val="22"/>
                <w:highlight w:val="white"/>
              </w:rPr>
              <w:t xml:space="preserve">Đất trống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highlight w:val="white"/>
              </w:rPr>
            </w:pPr>
            <w:r>
              <w:rPr>
                <w:rFonts w:ascii="Times New Roman" w:hAnsi="Times New Roman" w:eastAsia="Times New Roman" w:cs="Times New Roman"/>
                <w:color w:val="000000"/>
                <w:sz w:val="22"/>
                <w:highlight w:val="white"/>
              </w:rPr>
              <w:t xml:space="preserve">Đất trống</w:t>
            </w:r>
            <w:r>
              <w:rPr>
                <w:highlight w:val="white"/>
              </w:rPr>
            </w:r>
            <w:r>
              <w:rPr>
                <w:highlight w:val="white"/>
              </w:rPr>
            </w:r>
          </w:p>
        </w:tc>
      </w:tr>
      <w:tr>
        <w:trPr>
          <w:trHeight w:val="17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left"/>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2.9</w:t>
            </w:r>
            <w:r>
              <w:rPr>
                <w:color w:val="000000" w:themeColor="text1"/>
                <w:sz w:val="22"/>
                <w:szCs w:val="22"/>
                <w:highlight w:val="white"/>
              </w:rPr>
              <w:t xml:space="preserve">5</w:t>
            </w:r>
            <w:r>
              <w:rPr>
                <w:color w:val="000000" w:themeColor="text1"/>
                <w:sz w:val="22"/>
                <w:szCs w:val="22"/>
                <w:highlight w:val="white"/>
              </w:rPr>
              <w:t xml:space="preserve">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2.</w:t>
            </w:r>
            <w:r>
              <w:rPr>
                <w:sz w:val="22"/>
                <w:szCs w:val="22"/>
                <w:highlight w:val="white"/>
              </w:rPr>
              <w:t xml:space="preserve">8</w:t>
            </w:r>
            <w:r>
              <w:rPr>
                <w:sz w:val="22"/>
                <w:szCs w:val="22"/>
                <w:highlight w:val="white"/>
              </w:rPr>
              <w:t xml:space="preserve">82</w:t>
            </w:r>
            <w:r>
              <w:rPr>
                <w:sz w:val="22"/>
                <w:szCs w:val="22"/>
                <w:highlight w:val="white"/>
              </w:rPr>
              <w:t xml:space="preserve">.</w:t>
            </w:r>
            <w:r>
              <w:rPr>
                <w:sz w:val="22"/>
                <w:szCs w:val="22"/>
                <w:highlight w:val="white"/>
              </w:rPr>
              <w:t xml:space="preserve">000.</w:t>
            </w:r>
            <w:r>
              <w:rPr>
                <w:sz w:val="22"/>
                <w:szCs w:val="22"/>
                <w:highlight w:val="white"/>
              </w:rPr>
              <w:t xml:space="preserve">000</w:t>
            </w:r>
            <w:r>
              <w:rPr>
                <w:sz w:val="22"/>
                <w:szCs w:val="22"/>
                <w:highlight w:val="white"/>
              </w:rPr>
            </w:r>
            <w:r>
              <w:rPr>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abs>
                <w:tab w:val="center" w:leader="none" w:pos="763"/>
              </w:tabs>
              <w:spacing/>
              <w:ind/>
              <w:jc w:val="left"/>
              <w:rPr>
                <w:color w:val="000000"/>
                <w:sz w:val="22"/>
                <w:szCs w:val="22"/>
                <w:highlight w:val="white"/>
              </w:rPr>
            </w:pPr>
            <w:r>
              <w:rPr>
                <w:color w:val="000000" w:themeColor="text1"/>
                <w:sz w:val="22"/>
                <w:szCs w:val="22"/>
                <w:highlight w:val="none"/>
              </w:rPr>
              <w:t xml:space="preserve">  </w:t>
            </w:r>
            <w:r>
              <w:rPr>
                <w:color w:val="000000" w:themeColor="text1"/>
                <w:sz w:val="22"/>
                <w:szCs w:val="22"/>
                <w:highlight w:val="white"/>
              </w:rPr>
              <w:t xml:space="preserve">4.770.000.000</w:t>
            </w:r>
            <w:r>
              <w:rPr>
                <w:color w:val="000000"/>
                <w:sz w:val="22"/>
                <w:szCs w:val="22"/>
                <w:highlight w:val="white"/>
              </w:rPr>
              <w:tab/>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2.610.000.000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14:ligatures w14:val="none"/>
              </w:rPr>
            </w:pPr>
            <w:r>
              <w:rPr>
                <w:color w:val="000000"/>
                <w:sz w:val="22"/>
                <w:szCs w:val="22"/>
                <w:highlight w:val="white"/>
              </w:rPr>
            </w:r>
            <w:r>
              <w:rPr>
                <w:sz w:val="22"/>
                <w:szCs w:val="22"/>
                <w:highlight w:val="white"/>
              </w:rPr>
              <w:t xml:space="preserve">2.700.000.000</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4.293.000.000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0</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2.610.000.000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r>
            <w:r>
              <w:rPr>
                <w:color w:val="000000"/>
                <w:sz w:val="22"/>
                <w:szCs w:val="22"/>
                <w:highlight w:val="white"/>
              </w:rPr>
              <w:t xml:space="preserve">2.</w:t>
            </w:r>
            <w:r>
              <w:rPr>
                <w:color w:val="000000"/>
                <w:sz w:val="22"/>
                <w:szCs w:val="22"/>
                <w:highlight w:val="white"/>
              </w:rPr>
              <w:t xml:space="preserve">593.</w:t>
            </w:r>
            <w:r>
              <w:rPr>
                <w:color w:val="000000"/>
                <w:sz w:val="22"/>
                <w:szCs w:val="22"/>
                <w:highlight w:val="white"/>
              </w:rPr>
              <w:t xml:space="preserve">800.</w:t>
            </w:r>
            <w:r>
              <w:rPr>
                <w:color w:val="000000"/>
                <w:sz w:val="22"/>
                <w:szCs w:val="22"/>
                <w:highlight w:val="white"/>
              </w:rPr>
              <w:t xml:space="preserve">000</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4.293.000.000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QSDĐ (đồng/m²)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abs>
                <w:tab w:val="center" w:leader="none" w:pos="763"/>
              </w:tabs>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 51.526.718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53.131.188</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rPr>
      </w:r>
      <w:r>
        <w:rPr>
          <w:b/>
          <w:highlight w:val="whit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rPr>
      </w:r>
      <w:r>
        <w:rPr>
          <w:highlight w:val="white"/>
        </w:rPr>
      </w:r>
    </w:p>
    <w:p>
      <w:pPr>
        <w:pStyle w:val="1027"/>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rPr>
      </w:r>
      <w:r>
        <w:rPr>
          <w:b/>
          <w:highlight w:val="white"/>
        </w:rPr>
      </w:r>
    </w:p>
    <w:tbl>
      <w:tblPr>
        <w:tblInd w:w="-114"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46"/>
        <w:gridCol w:w="1765"/>
        <w:gridCol w:w="1030"/>
        <w:gridCol w:w="1522"/>
        <w:gridCol w:w="1522"/>
        <w:gridCol w:w="1525"/>
        <w:gridCol w:w="1559"/>
      </w:tblGrid>
      <w:tr>
        <w:trPr>
          <w:trHeight w:val="20"/>
          <w:tblHeader/>
        </w:trPr>
        <w:tc>
          <w:tcPr>
            <w:shd w:val="clear" w:color="000000" w:fill="ffffff"/>
            <w:tcBorders/>
            <w:tcW w:w="746"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746"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QSDĐ thị trường (Ước tính sau thương lượng)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2.610.000.000</w:t>
            </w:r>
            <w:r>
              <w:rPr>
                <w:color w:val="000000"/>
                <w:sz w:val="20"/>
                <w:szCs w:val="20"/>
                <w:highlight w:val="white"/>
              </w:rPr>
            </w:r>
            <w:r>
              <w:rPr>
                <w:color w:val="000000"/>
                <w:sz w:val="20"/>
                <w:szCs w:val="20"/>
                <w:highlight w:val="white"/>
              </w:rPr>
            </w:r>
          </w:p>
        </w:tc>
        <w:tc>
          <w:tcPr>
            <w:shd w:val="clear" w:color="000000" w:fill="ffffff"/>
            <w:tcBorders/>
            <w:tcW w:w="1525" w:type="dxa"/>
            <w:vAlign w:val="center"/>
            <w:textDirection w:val="lrTb"/>
            <w:noWrap w:val="false"/>
          </w:tcPr>
          <w:p>
            <w:pPr>
              <w:pBdr/>
              <w:spacing/>
              <w:ind/>
              <w:jc w:val="center"/>
              <w:rPr>
                <w:color w:val="000000" w:themeColor="text1"/>
                <w:sz w:val="22"/>
                <w:szCs w:val="22"/>
                <w:highlight w:val="white"/>
                <w14:ligatures w14:val="none"/>
              </w:rPr>
            </w:pPr>
            <w:r>
              <w:rPr>
                <w:color w:val="000000"/>
                <w:sz w:val="22"/>
                <w:szCs w:val="22"/>
                <w:highlight w:val="white"/>
              </w:rPr>
            </w:r>
            <w:r>
              <w:rPr>
                <w:color w:val="000000" w:themeColor="text1"/>
                <w:sz w:val="22"/>
                <w:szCs w:val="22"/>
                <w:highlight w:val="white"/>
              </w:rPr>
              <w:t xml:space="preserve">2.700.000.000</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59"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4.293.000.000</w:t>
            </w:r>
            <w:r>
              <w:rPr>
                <w:color w:val="000000"/>
                <w:sz w:val="20"/>
                <w:szCs w:val="20"/>
                <w:highlight w:val="white"/>
              </w:rPr>
            </w:r>
            <w:r>
              <w:rPr>
                <w:color w:val="000000"/>
                <w:sz w:val="20"/>
                <w:szCs w:val="20"/>
                <w:highlight w:val="white"/>
              </w:rPr>
            </w:r>
          </w:p>
        </w:tc>
      </w:tr>
      <w:tr>
        <w:trPr>
          <w:trHeight w:val="20"/>
        </w:trPr>
        <w:tc>
          <w:tcPr>
            <w:shd w:val="clear" w:color="000000" w:fill="ffffff"/>
            <w:tcBorders/>
            <w:tcW w:w="746"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đất ước tính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tabs>
                <w:tab w:val="center" w:leader="none" w:pos="763"/>
              </w:tabs>
              <w:spacing/>
              <w:ind/>
              <w:jc w:val="center"/>
              <w:rPr>
                <w:color w:val="000000"/>
                <w:sz w:val="22"/>
                <w:szCs w:val="22"/>
                <w:highlight w:val="white"/>
              </w:rPr>
            </w:pPr>
            <w:r>
              <w:rPr>
                <w:color w:val="000000" w:themeColor="text1"/>
                <w:sz w:val="22"/>
                <w:szCs w:val="22"/>
                <w:highlight w:val="white"/>
              </w:rPr>
              <w:t xml:space="preserve"> 51.526.718 </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53.131.188</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Giấy chứng nhận quyền sử dụng đấ</w:t>
            </w:r>
            <w:r>
              <w:rPr>
                <w:b/>
                <w:bCs/>
                <w:color w:val="000000" w:themeColor="text1"/>
                <w:sz w:val="22"/>
                <w:szCs w:val="22"/>
                <w:highlight w:val="white"/>
              </w:rPr>
              <w:t xml:space="preserve">t</w:t>
            </w:r>
            <w:r>
              <w:rPr>
                <w:b/>
                <w:bCs/>
                <w:color w:val="000000"/>
                <w:sz w:val="22"/>
                <w:szCs w:val="22"/>
                <w:highlight w:val="white"/>
              </w:rPr>
            </w:r>
            <w:r>
              <w:rPr>
                <w:b/>
                <w:bCs/>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tabs>
                <w:tab w:val="center" w:leader="none" w:pos="763"/>
              </w:tabs>
              <w:spacing/>
              <w:ind/>
              <w:jc w:val="center"/>
              <w:rPr>
                <w:color w:val="000000"/>
                <w:sz w:val="22"/>
                <w:szCs w:val="22"/>
                <w:highlight w:val="white"/>
              </w:rPr>
            </w:pPr>
            <w:r>
              <w:rPr>
                <w:color w:val="000000" w:themeColor="text1"/>
                <w:sz w:val="22"/>
                <w:szCs w:val="22"/>
                <w:highlight w:val="white"/>
              </w:rPr>
              <w:t xml:space="preserve"> 51.526.718 </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53.131.188</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Mục đích sử dụng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Đất ở nông thôn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Đất ở nông thôn</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Đất ở nông thôn</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Đất ở nông thôn</w:t>
            </w:r>
            <w:r>
              <w:rPr>
                <w:b/>
                <w:bCs/>
                <w:color w:val="000000"/>
                <w:sz w:val="22"/>
                <w:szCs w:val="22"/>
                <w:highlight w:val="white"/>
              </w:rPr>
            </w:r>
            <w:r>
              <w:rPr>
                <w:b/>
                <w:bCs/>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tabs>
                <w:tab w:val="center" w:leader="none" w:pos="763"/>
              </w:tabs>
              <w:spacing/>
              <w:ind/>
              <w:jc w:val="center"/>
              <w:rPr>
                <w:color w:val="000000"/>
                <w:sz w:val="22"/>
                <w:szCs w:val="22"/>
                <w:highlight w:val="white"/>
              </w:rPr>
            </w:pPr>
            <w:r>
              <w:rPr>
                <w:color w:val="000000" w:themeColor="text1"/>
                <w:sz w:val="22"/>
                <w:szCs w:val="22"/>
                <w:highlight w:val="white"/>
              </w:rPr>
              <w:t xml:space="preserve"> 51.526.718 </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53.131.188</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Thời hạn sử dụng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tabs>
                <w:tab w:val="center" w:leader="none" w:pos="763"/>
              </w:tabs>
              <w:spacing/>
              <w:ind/>
              <w:jc w:val="center"/>
              <w:rPr>
                <w:color w:val="000000"/>
                <w:sz w:val="22"/>
                <w:szCs w:val="22"/>
                <w:highlight w:val="white"/>
              </w:rPr>
            </w:pPr>
            <w:r>
              <w:rPr>
                <w:color w:val="000000" w:themeColor="text1"/>
                <w:sz w:val="22"/>
                <w:szCs w:val="22"/>
                <w:highlight w:val="white"/>
              </w:rPr>
              <w:t xml:space="preserve"> 51.526.718 </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53.131.188</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sz w:val="24"/>
                <w:highlight w:val="white"/>
              </w:rPr>
            </w:pPr>
            <w:r>
              <w:rPr>
                <w:rFonts w:ascii="Times New Roman" w:hAnsi="Times New Roman" w:eastAsia="Times New Roman" w:cs="Times New Roman"/>
                <w:b/>
                <w:bCs/>
                <w:color w:val="000000"/>
                <w:sz w:val="22"/>
                <w:highlight w:val="white"/>
              </w:rPr>
              <w:t xml:space="preserve">Tài sản nằm tại Thôn Phù Liễn, xã Phúc Thịnh, Thành phố Hà Nội; cách đường trục chính khoảng 110m</w:t>
            </w:r>
            <w:r>
              <w:rPr>
                <w:rFonts w:ascii="Times New Roman" w:hAnsi="Times New Roman" w:eastAsia="Times New Roman" w:cs="Times New Roman"/>
                <w:b/>
                <w:bCs/>
                <w:sz w:val="24"/>
                <w:highlight w:val="white"/>
              </w:rPr>
            </w:r>
            <w:r>
              <w:rPr>
                <w:rFonts w:ascii="Times New Roman" w:hAnsi="Times New Roman" w:eastAsia="Times New Roman" w:cs="Times New Roman"/>
                <w:b/>
                <w:bCs/>
                <w:sz w:val="24"/>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sz w:val="24"/>
                <w:highlight w:val="white"/>
              </w:rPr>
            </w:pPr>
            <w:r>
              <w:rPr>
                <w:rFonts w:ascii="Times New Roman" w:hAnsi="Times New Roman" w:eastAsia="Times New Roman" w:cs="Times New Roman"/>
                <w:b/>
                <w:bCs/>
                <w:color w:val="000000"/>
                <w:sz w:val="22"/>
                <w:highlight w:val="white"/>
              </w:rPr>
              <w:t xml:space="preserve">Tài sản nằm tại Thôn Phù Liễn, xã Phúc Thịnh, Thành phố Hà Nội; cách đường trục chính khoảng 130m</w:t>
            </w:r>
            <w:r>
              <w:rPr>
                <w:rFonts w:ascii="Times New Roman" w:hAnsi="Times New Roman" w:eastAsia="Times New Roman" w:cs="Times New Roman"/>
                <w:b/>
                <w:bCs/>
                <w:sz w:val="24"/>
                <w:highlight w:val="white"/>
              </w:rPr>
            </w:r>
            <w:r>
              <w:rPr>
                <w:rFonts w:ascii="Times New Roman" w:hAnsi="Times New Roman" w:eastAsia="Times New Roman" w:cs="Times New Roman"/>
                <w:b/>
                <w:bCs/>
                <w:sz w:val="24"/>
                <w:highlight w:val="white"/>
              </w:rPr>
            </w:r>
          </w:p>
        </w:tc>
        <w:tc>
          <w:tcPr>
            <w:shd w:val="clear" w:color="000000" w:fill="ffffff"/>
            <w:tcBorders/>
            <w:tcW w:w="152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sz w:val="24"/>
                <w:highlight w:val="white"/>
              </w:rPr>
            </w:pPr>
            <w:r>
              <w:rPr>
                <w:rFonts w:ascii="Times New Roman" w:hAnsi="Times New Roman" w:eastAsia="Times New Roman" w:cs="Times New Roman"/>
                <w:b/>
                <w:bCs/>
                <w:color w:val="000000"/>
                <w:sz w:val="22"/>
                <w:highlight w:val="white"/>
              </w:rPr>
              <w:t xml:space="preserve">Tài sản nằm tại Thôn Phù Liễn, xã Phúc Thịnh, Thành phố Hà Nội; cách đường trục chính khoảng 110m</w:t>
            </w:r>
            <w:r>
              <w:rPr>
                <w:rFonts w:ascii="Times New Roman" w:hAnsi="Times New Roman" w:eastAsia="Times New Roman" w:cs="Times New Roman"/>
                <w:b/>
                <w:bCs/>
                <w:sz w:val="24"/>
                <w:highlight w:val="white"/>
              </w:rPr>
            </w:r>
            <w:r>
              <w:rPr>
                <w:rFonts w:ascii="Times New Roman" w:hAnsi="Times New Roman" w:eastAsia="Times New Roman" w:cs="Times New Roman"/>
                <w:b/>
                <w:bCs/>
                <w:sz w:val="24"/>
                <w:highlight w:val="white"/>
              </w:rPr>
            </w:r>
          </w:p>
        </w:tc>
        <w:tc>
          <w:tcPr>
            <w:shd w:val="clear" w:color="000000" w:fill="ffffff"/>
            <w:tcBorders/>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sz w:val="24"/>
                <w:highlight w:val="white"/>
              </w:rPr>
            </w:pPr>
            <w:r>
              <w:rPr>
                <w:rFonts w:ascii="Times New Roman" w:hAnsi="Times New Roman" w:eastAsia="Times New Roman" w:cs="Times New Roman"/>
                <w:b/>
                <w:bCs/>
                <w:color w:val="000000"/>
                <w:sz w:val="22"/>
                <w:highlight w:val="white"/>
              </w:rPr>
              <w:t xml:space="preserve">Tài sản nằm tại Thôn Phù Liễn, xã Phúc Thịnh, Thành phố Hà Nội; cách đường trục chính khoảng </w:t>
            </w:r>
            <w:r>
              <w:rPr>
                <w:rFonts w:ascii="Times New Roman" w:hAnsi="Times New Roman" w:eastAsia="Times New Roman" w:cs="Times New Roman"/>
                <w:b/>
                <w:bCs/>
                <w:color w:val="000000"/>
                <w:sz w:val="22"/>
                <w:highlight w:val="white"/>
              </w:rPr>
              <w:t xml:space="preserve">200</w:t>
            </w:r>
            <w:r>
              <w:rPr>
                <w:rFonts w:ascii="Times New Roman" w:hAnsi="Times New Roman" w:eastAsia="Times New Roman" w:cs="Times New Roman"/>
                <w:b/>
                <w:bCs/>
                <w:color w:val="000000"/>
                <w:sz w:val="22"/>
                <w:highlight w:val="white"/>
              </w:rPr>
              <w:t xml:space="preserve">m</w:t>
            </w:r>
            <w:r>
              <w:rPr>
                <w:rFonts w:ascii="Times New Roman" w:hAnsi="Times New Roman" w:eastAsia="Times New Roman" w:cs="Times New Roman"/>
                <w:b/>
                <w:bCs/>
                <w:sz w:val="24"/>
                <w:highlight w:val="white"/>
              </w:rPr>
            </w:r>
            <w:r>
              <w:rPr>
                <w:rFonts w:ascii="Times New Roman" w:hAnsi="Times New Roman" w:eastAsia="Times New Roman" w:cs="Times New Roman"/>
                <w:b/>
                <w:bCs/>
                <w:sz w:val="24"/>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tabs>
                <w:tab w:val="center" w:leader="none" w:pos="763"/>
              </w:tabs>
              <w:spacing/>
              <w:ind/>
              <w:jc w:val="center"/>
              <w:rPr>
                <w:color w:val="000000"/>
                <w:sz w:val="22"/>
                <w:szCs w:val="22"/>
                <w:highlight w:val="white"/>
              </w:rPr>
            </w:pPr>
            <w:r>
              <w:rPr>
                <w:color w:val="000000" w:themeColor="text1"/>
                <w:sz w:val="22"/>
                <w:szCs w:val="22"/>
                <w:highlight w:val="white"/>
              </w:rPr>
              <w:t xml:space="preserve"> 51.526.718 </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53.131.188</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Giao thông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Đường nhựa không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Đường nhựa không có vỉa hè</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Đường nhựa không có vỉa hè</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Đường nhựa không có vỉa hè</w:t>
            </w:r>
            <w:r>
              <w:rPr>
                <w:b/>
                <w:bCs/>
                <w:color w:val="000000"/>
                <w:sz w:val="22"/>
                <w:szCs w:val="22"/>
                <w:highlight w:val="white"/>
              </w:rPr>
            </w:r>
            <w:r>
              <w:rPr>
                <w:b/>
                <w:bCs/>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tabs>
                <w:tab w:val="center" w:leader="none" w:pos="763"/>
              </w:tabs>
              <w:spacing/>
              <w:ind/>
              <w:jc w:val="center"/>
              <w:rPr>
                <w:color w:val="000000"/>
                <w:sz w:val="22"/>
                <w:szCs w:val="22"/>
                <w:highlight w:val="white"/>
              </w:rPr>
            </w:pPr>
            <w:r>
              <w:rPr>
                <w:color w:val="000000" w:themeColor="text1"/>
                <w:sz w:val="22"/>
                <w:szCs w:val="22"/>
                <w:highlight w:val="white"/>
              </w:rPr>
              <w:t xml:space="preserve"> 51.526.718 </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53.131.188</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b w:val="0"/>
                <w:bCs w:val="0"/>
                <w:color w:val="000000"/>
                <w:sz w:val="22"/>
                <w:szCs w:val="22"/>
                <w:highlight w:val="white"/>
              </w:rPr>
            </w:pPr>
            <w:r>
              <w:rPr>
                <w:b w:val="0"/>
                <w:bCs w:val="0"/>
                <w:color w:val="000000" w:themeColor="text1"/>
                <w:sz w:val="22"/>
                <w:szCs w:val="22"/>
                <w:highlight w:val="white"/>
              </w:rPr>
              <w:t xml:space="preserve">C.6</w:t>
            </w:r>
            <w:r>
              <w:rPr>
                <w:b w:val="0"/>
                <w:bCs w:val="0"/>
                <w:color w:val="000000"/>
                <w:sz w:val="22"/>
                <w:szCs w:val="22"/>
                <w:highlight w:val="white"/>
              </w:rPr>
            </w:r>
            <w:r>
              <w:rPr>
                <w:b w:val="0"/>
                <w:bCs w:val="0"/>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yellow"/>
              </w:rPr>
            </w:pPr>
            <w:r>
              <w:rPr>
                <w:b/>
                <w:bCs/>
                <w:color w:val="000000" w:themeColor="text1"/>
                <w:sz w:val="22"/>
                <w:szCs w:val="22"/>
                <w:highlight w:val="yellow"/>
              </w:rPr>
              <w:t xml:space="preserve">Độ rộng đường trước tài sả</w:t>
            </w:r>
            <w:r>
              <w:rPr>
                <w:b/>
                <w:bCs/>
                <w:color w:val="000000" w:themeColor="text1"/>
                <w:sz w:val="22"/>
                <w:szCs w:val="22"/>
                <w:highlight w:val="yellow"/>
              </w:rPr>
              <w:t xml:space="preserve">n</w:t>
            </w:r>
            <w:r>
              <w:rPr>
                <w:b/>
                <w:bCs/>
                <w:color w:val="000000" w:themeColor="text1"/>
                <w:sz w:val="22"/>
                <w:szCs w:val="22"/>
                <w:highlight w:val="yellow"/>
              </w:rPr>
              <w:t xml:space="preserve"> </w:t>
            </w:r>
            <w:r>
              <w:rPr>
                <w:b/>
                <w:bCs/>
                <w:color w:val="000000"/>
                <w:sz w:val="22"/>
                <w:szCs w:val="22"/>
                <w:highlight w:val="yellow"/>
              </w:rPr>
            </w:r>
            <w:r>
              <w:rPr>
                <w:b/>
                <w:bCs/>
                <w:color w:val="000000"/>
                <w:sz w:val="22"/>
                <w:szCs w:val="22"/>
                <w:highlight w:val="yellow"/>
              </w:rPr>
            </w:r>
          </w:p>
        </w:tc>
        <w:tc>
          <w:tcPr>
            <w:shd w:val="clear" w:color="000000" w:fill="ffffff"/>
            <w:tcBorders/>
            <w:tcW w:w="1030" w:type="dxa"/>
            <w:vAlign w:val="center"/>
            <w:textDirection w:val="lrTb"/>
            <w:noWrap w:val="false"/>
          </w:tcPr>
          <w:p>
            <w:pPr>
              <w:pBdr/>
              <w:spacing/>
              <w:ind/>
              <w:jc w:val="center"/>
              <w:rPr>
                <w:b/>
                <w:bCs/>
                <w:color w:val="000000"/>
                <w:sz w:val="22"/>
                <w:szCs w:val="22"/>
                <w:highlight w:val="yellow"/>
              </w:rPr>
            </w:pPr>
            <w:r>
              <w:rPr>
                <w:b/>
                <w:bCs/>
                <w:color w:val="000000" w:themeColor="text1"/>
                <w:sz w:val="22"/>
                <w:szCs w:val="22"/>
                <w:highlight w:val="yellow"/>
              </w:rPr>
              <w:t xml:space="preserve"> </w:t>
            </w:r>
            <w:r>
              <w:rPr>
                <w:b/>
                <w:bCs/>
                <w:color w:val="000000"/>
                <w:sz w:val="22"/>
                <w:szCs w:val="22"/>
                <w:highlight w:val="yellow"/>
              </w:rPr>
              <w:t xml:space="preserve"> </w:t>
            </w:r>
            <w:r>
              <w:rPr>
                <w:b/>
                <w:bCs/>
                <w:color w:val="000000"/>
                <w:sz w:val="22"/>
                <w:szCs w:val="22"/>
                <w:highlight w:val="yellow"/>
              </w:rPr>
              <w:t xml:space="preserve">m</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Mặt cắt đường trước đất khoảng 2,6m, mặt đường nhỏ nhất vào tài sản khoảng 2m</w:t>
            </w:r>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Mặt cắt đường trước đất khoảng 2,6m, mặt đường nhỏ nhất vào tài sản khoảng 2m</w:t>
            </w:r>
            <w:r/>
            <w:r/>
          </w:p>
        </w:tc>
        <w:tc>
          <w:tcPr>
            <w:shd w:val="clear" w:color="000000" w:fill="ffffff"/>
            <w:tcBorders/>
            <w:tcW w:w="152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Mặt cắt đường trước đất khoảng 2,6m, mặt đường nhỏ nhất vào tài sản khoảng 2m</w:t>
            </w:r>
            <w:r/>
            <w:r/>
          </w:p>
        </w:tc>
        <w:tc>
          <w:tcPr>
            <w:shd w:val="clear" w:color="000000" w:fill="ffffff"/>
            <w:tcBorders/>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3m</w:t>
            </w:r>
            <w: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-1.593.936</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tabs>
                <w:tab w:val="center" w:leader="none" w:pos="763"/>
              </w:tabs>
              <w:spacing/>
              <w:ind/>
              <w:jc w:val="center"/>
              <w:rPr>
                <w:color w:val="000000"/>
                <w:sz w:val="22"/>
                <w:szCs w:val="22"/>
                <w:highlight w:val="white"/>
              </w:rPr>
            </w:pPr>
            <w:r>
              <w:rPr>
                <w:color w:val="000000" w:themeColor="text1"/>
                <w:sz w:val="22"/>
                <w:szCs w:val="22"/>
                <w:highlight w:val="white"/>
              </w:rPr>
              <w:t xml:space="preserve"> 51.526.718</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51.537.252</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w:t>
            </w: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đất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52,3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52</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52</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80,8</w:t>
            </w:r>
            <w:r>
              <w:rPr>
                <w:b/>
                <w:bCs/>
                <w:color w:val="000000"/>
                <w:sz w:val="22"/>
                <w:szCs w:val="22"/>
                <w:highlight w:val="white"/>
              </w:rPr>
            </w:r>
            <w:r>
              <w:rPr>
                <w:b/>
                <w:bCs/>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2.125.248</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tabs>
                <w:tab w:val="center" w:leader="none" w:pos="763"/>
              </w:tabs>
              <w:spacing/>
              <w:ind/>
              <w:jc w:val="center"/>
              <w:rPr>
                <w:color w:val="000000"/>
                <w:sz w:val="22"/>
                <w:szCs w:val="22"/>
                <w:highlight w:val="white"/>
              </w:rPr>
            </w:pPr>
            <w:r>
              <w:rPr>
                <w:color w:val="000000" w:themeColor="text1"/>
                <w:sz w:val="22"/>
                <w:szCs w:val="22"/>
                <w:highlight w:val="white"/>
              </w:rPr>
              <w:t xml:space="preserve"> 51.526.718 </w:t>
            </w:r>
            <w:r>
              <w:rPr>
                <w:color w:val="000000"/>
                <w:sz w:val="22"/>
                <w:szCs w:val="22"/>
                <w:highlight w:val="white"/>
              </w:rPr>
            </w:r>
            <w:r>
              <w:rPr>
                <w:color w:val="000000"/>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53.662.500</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w:t>
            </w: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Mặt tiền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4,2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4,1</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4,</w:t>
            </w:r>
            <w:r>
              <w:rPr>
                <w:b/>
                <w:bCs/>
                <w:color w:val="000000"/>
                <w:sz w:val="22"/>
                <w:szCs w:val="22"/>
                <w:highlight w:val="white"/>
              </w:rPr>
              <w:t xml:space="preserve">65</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5,25</w:t>
            </w:r>
            <w:r>
              <w:rPr>
                <w:b/>
                <w:bCs/>
                <w:color w:val="000000"/>
                <w:sz w:val="22"/>
                <w:szCs w:val="22"/>
                <w:highlight w:val="white"/>
              </w:rPr>
            </w:r>
            <w:r>
              <w:rPr>
                <w:b/>
                <w:bCs/>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themeColor="text1"/>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-2.656.559</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51.526.718 </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51.005.941</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C.9</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tiếp giáp</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51.526.718 </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51.005.941</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Hình dáng thửa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Nở hậu</w:t>
            </w:r>
            <w:r>
              <w:rPr>
                <w:b/>
                <w:bCs/>
                <w:color w:val="000000"/>
                <w:sz w:val="22"/>
                <w:szCs w:val="22"/>
                <w:highlight w:val="white"/>
              </w:rPr>
            </w:r>
            <w:r>
              <w:rPr>
                <w:b/>
                <w:bCs/>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-2.656.559</w:t>
            </w:r>
            <w:r>
              <w:rPr>
                <w:color w:val="000000"/>
                <w:sz w:val="22"/>
                <w:szCs w:val="22"/>
                <w:highlight w:val="white"/>
              </w:rPr>
            </w:r>
            <w:r>
              <w:rPr>
                <w:color w:val="000000"/>
                <w:sz w:val="22"/>
                <w:szCs w:val="22"/>
                <w:highlight w:val="white"/>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50.192.308</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51.526.718</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48.349.382</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 giá chỉ dẫn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50.192.308</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r>
            <w:r>
              <w:rPr>
                <w:b/>
                <w:bCs/>
                <w:color w:val="000000" w:themeColor="text1"/>
                <w:sz w:val="22"/>
                <w:szCs w:val="22"/>
                <w:highlight w:val="white"/>
              </w:rPr>
              <w:t xml:space="preserve">51.526.718</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48.349.382</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trị trung bình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606"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50.022.803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độ chênh 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0,34%</w:t>
            </w:r>
            <w:r>
              <w:rPr>
                <w:color w:val="000000"/>
                <w:sz w:val="22"/>
                <w:szCs w:val="22"/>
                <w:highlight w:val="white"/>
              </w:rPr>
            </w:r>
            <w:r>
              <w:rPr>
                <w:color w:val="000000"/>
                <w:sz w:val="22"/>
                <w:szCs w:val="22"/>
                <w:highlight w:val="white"/>
              </w:rPr>
            </w:r>
          </w:p>
        </w:tc>
        <w:tc>
          <w:tcPr>
            <w:shd w:val="clear" w:color="000000" w:fill="ffffff"/>
            <w:tcBorders/>
            <w:tcW w:w="152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3,01%</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-3,35%</w:t>
            </w:r>
            <w:r>
              <w:rPr>
                <w:color w:val="000000"/>
                <w:sz w:val="22"/>
                <w:szCs w:val="22"/>
                <w:highlight w:val="white"/>
              </w:rPr>
            </w:r>
            <w:r>
              <w:rPr>
                <w:color w:val="000000"/>
                <w:sz w:val="22"/>
                <w:szCs w:val="22"/>
                <w:highlight w:val="white"/>
              </w:rPr>
            </w:r>
          </w:p>
        </w:tc>
      </w:tr>
      <w:tr>
        <w:trPr>
          <w:trHeight w:val="20"/>
        </w:trPr>
        <w:tc>
          <w:tcPr>
            <w:shd w:val="clear" w:color="000000" w:fill="ffffff"/>
            <w:tcBorders/>
            <w:tcW w:w="746"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 hợp các số liệu điều chỉnh tại mục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0</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5"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0</w:t>
            </w:r>
            <w:r>
              <w:rPr>
                <w:b/>
                <w:bCs/>
                <w:color w:val="000000"/>
                <w:sz w:val="22"/>
                <w:szCs w:val="22"/>
                <w:highlight w:val="white"/>
              </w:rPr>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9.032.302</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số lần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w:t>
            </w:r>
            <w:r>
              <w:rPr>
                <w:sz w:val="22"/>
                <w:szCs w:val="22"/>
                <w:highlight w:val="white"/>
              </w:rPr>
            </w:r>
            <w:r>
              <w:rPr>
                <w:sz w:val="22"/>
                <w:szCs w:val="22"/>
                <w:highlight w:val="white"/>
              </w:rPr>
            </w:r>
          </w:p>
        </w:tc>
        <w:tc>
          <w:tcPr>
            <w:shd w:val="clear" w:color="000000" w:fill="ffffff"/>
            <w:tcBorders/>
            <w:tcW w:w="1525"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w:t>
            </w:r>
            <w:r>
              <w:rPr>
                <w:sz w:val="22"/>
                <w:szCs w:val="22"/>
                <w:highlight w:val="white"/>
              </w:rPr>
            </w:r>
            <w:r>
              <w:rPr>
                <w:sz w:val="22"/>
                <w:szCs w:val="22"/>
                <w:highlight w:val="white"/>
              </w:rPr>
            </w:r>
          </w:p>
        </w:tc>
        <w:tc>
          <w:tcPr>
            <w:shd w:val="clear" w:color="000000" w:fill="ffffff"/>
            <w:tcBorders/>
            <w:tcW w:w="1559"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 độ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- 0%</w:t>
            </w:r>
            <w:r>
              <w:rPr>
                <w:sz w:val="22"/>
                <w:szCs w:val="22"/>
                <w:highlight w:val="white"/>
              </w:rPr>
            </w:r>
            <w:r>
              <w:rPr>
                <w:sz w:val="22"/>
                <w:szCs w:val="22"/>
                <w:highlight w:val="white"/>
              </w:rPr>
            </w:r>
          </w:p>
        </w:tc>
        <w:tc>
          <w:tcPr>
            <w:shd w:val="clear" w:color="000000" w:fill="ffffff"/>
            <w:tcBorders/>
            <w:tcW w:w="1525"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- 0%</w:t>
            </w:r>
            <w:r>
              <w:rPr>
                <w:sz w:val="22"/>
                <w:szCs w:val="22"/>
                <w:highlight w:val="white"/>
              </w:rPr>
            </w:r>
            <w:r>
              <w:rPr>
                <w:sz w:val="22"/>
                <w:szCs w:val="22"/>
                <w:highlight w:val="white"/>
              </w:rPr>
            </w:r>
          </w:p>
        </w:tc>
        <w:tc>
          <w:tcPr>
            <w:shd w:val="clear" w:color="000000" w:fill="ffffff"/>
            <w:tcBorders/>
            <w:tcW w:w="1559"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thuần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w:t>
            </w:r>
            <w:r>
              <w:rPr>
                <w:sz w:val="22"/>
                <w:szCs w:val="22"/>
                <w:highlight w:val="white"/>
              </w:rPr>
            </w:r>
            <w:r>
              <w:rPr>
                <w:sz w:val="22"/>
                <w:szCs w:val="22"/>
                <w:highlight w:val="white"/>
              </w:rPr>
            </w:r>
          </w:p>
        </w:tc>
        <w:tc>
          <w:tcPr>
            <w:shd w:val="clear" w:color="000000" w:fill="ffffff"/>
            <w:tcBorders/>
            <w:tcW w:w="1525"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w:t>
            </w:r>
            <w:r>
              <w:rPr>
                <w:sz w:val="22"/>
                <w:szCs w:val="22"/>
                <w:highlight w:val="white"/>
              </w:rPr>
            </w:r>
            <w:r>
              <w:rPr>
                <w:sz w:val="22"/>
                <w:szCs w:val="22"/>
                <w:highlight w:val="white"/>
              </w:rPr>
            </w:r>
          </w:p>
        </w:tc>
        <w:tc>
          <w:tcPr>
            <w:shd w:val="clear" w:color="000000" w:fill="ffffff"/>
            <w:tcBorders/>
            <w:tcW w:w="1559"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4.781.806</w:t>
            </w:r>
            <w:r>
              <w:rPr>
                <w:sz w:val="22"/>
                <w:szCs w:val="22"/>
                <w:highlight w:val="white"/>
              </w:rPr>
            </w:r>
            <w:r>
              <w:rPr>
                <w:sz w:val="22"/>
                <w:szCs w:val="22"/>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 -3,35</w:t>
      </w:r>
      <w:r>
        <w:rPr>
          <w:highlight w:val="white"/>
        </w:rPr>
        <w:t xml:space="preserve">% đến</w:t>
      </w:r>
      <w:r>
        <w:rPr>
          <w:highlight w:val="white"/>
        </w:rPr>
        <w:t xml:space="preserve"> </w:t>
      </w:r>
      <w:r>
        <w:rPr>
          <w:highlight w:val="white"/>
        </w:rPr>
        <w:t xml:space="preserve"> </w:t>
      </w:r>
      <w:r>
        <w:rPr>
          <w:highlight w:val="white"/>
        </w:rPr>
        <w:t xml:space="preserve">3,01</w:t>
      </w:r>
      <w:r>
        <w:rPr>
          <w:highlight w:val="white"/>
        </w:rPr>
        <w:t xml:space="preserve">%, </w:t>
      </w:r>
      <w:r>
        <w:rPr>
          <w:highlight w:val="white"/>
        </w:rPr>
        <w:t xml:space="preserve">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non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non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1009"/>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50.192.308</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16.734.115</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none"/>
              </w:rPr>
              <w:t xml:space="preserve">   </w:t>
            </w:r>
            <w:r>
              <w:rPr>
                <w:color w:val="000000" w:themeColor="text1"/>
                <w:sz w:val="22"/>
                <w:szCs w:val="22"/>
                <w:highlight w:val="white"/>
              </w:rPr>
              <w:t xml:space="preserve">51.526.718 </w:t>
            </w:r>
            <w:r>
              <w:rPr>
                <w:color w:val="000000"/>
                <w:sz w:val="22"/>
                <w:szCs w:val="22"/>
                <w:highlight w:val="white"/>
              </w:rPr>
              <w:tab/>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17.173.855</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48.349.382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16.114.849</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50.022.819</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50.000.000</w:t>
            </w:r>
            <w:r>
              <w:rPr>
                <w:b/>
                <w:bCs/>
                <w:color w:val="000000"/>
                <w:highlight w:val="white"/>
              </w:rPr>
            </w:r>
            <w:r>
              <w:rPr>
                <w:b/>
                <w:bCs/>
                <w:color w:val="000000"/>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50.000.000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27"/>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rPr>
      </w:r>
      <w:r>
        <w:rPr>
          <w:b/>
          <w:highlight w:val="white"/>
        </w:rPr>
      </w:r>
    </w:p>
    <w:p>
      <w:pPr>
        <w:pStyle w:val="1027"/>
        <w:pBdr/>
        <w:tabs>
          <w:tab w:val="left" w:leader="none" w:pos="993"/>
        </w:tabs>
        <w:spacing w:after="120" w:before="120" w:line="276" w:lineRule="auto"/>
        <w:ind w:left="0"/>
        <w:jc w:val="both"/>
        <w:rPr>
          <w:highlight w:val="white"/>
        </w:rPr>
      </w:pPr>
      <w:r>
        <w:rPr>
          <w:highlight w:val="white"/>
          <w:lang w:val="pt-BR"/>
        </w:rPr>
        <w:t xml:space="preserve">Dựa trên các lập luận trên, </w:t>
      </w:r>
      <w:r>
        <w:rPr>
          <w:highlight w:val="white"/>
          <w:lang w:val="pt-BR"/>
        </w:rPr>
        <w:t xml:space="preserve">T</w:t>
      </w:r>
      <w:r>
        <w:rPr>
          <w:highlight w:val="white"/>
          <w:lang w:val="pt-BR"/>
        </w:rPr>
        <w:t xml:space="preserve">ổ</w:t>
      </w:r>
      <w:r>
        <w:rPr>
          <w:highlight w:val="white"/>
          <w:lang w:val="pt-BR"/>
        </w:rPr>
        <w:t xml:space="preserve"> thẩm định ước tính giá trị </w:t>
      </w:r>
      <w:r>
        <w:rPr>
          <w:highlight w:val="white"/>
          <w:lang w:val="vi-VN"/>
        </w:rPr>
        <w:t xml:space="preserve">tài sản thẩm định giá</w:t>
      </w:r>
      <w:r>
        <w:rPr>
          <w:highlight w:val="white"/>
          <w:lang w:val="pt-BR"/>
        </w:rPr>
        <w:t xml:space="preserve"> </w:t>
      </w:r>
      <w:r>
        <w:rPr>
          <w:highlight w:val="white"/>
          <w:lang w:val="de-DE"/>
        </w:rPr>
        <w:t xml:space="preserve">chưa bao gồm các loại thuế, phí và lệ phí liên quan đến việc chuyển nhượng tài sản</w:t>
      </w:r>
      <w:r>
        <w:rPr>
          <w:highlight w:val="white"/>
          <w:lang w:val="pt-BR"/>
        </w:rPr>
        <w:t xml:space="preserve"> tại thời điểm thẩm định giá </w:t>
      </w:r>
      <w:r>
        <w:rPr>
          <w:highlight w:val="white"/>
        </w:rPr>
        <w:t xml:space="preserve">tháng 09/2026</w:t>
      </w:r>
      <w:r>
        <w:rPr>
          <w:highlight w:val="white"/>
        </w:rPr>
        <w:t xml:space="preserve"> </w:t>
      </w:r>
      <w:r>
        <w:rPr>
          <w:highlight w:val="white"/>
        </w:rPr>
        <w:t xml:space="preserve">ước tính </w:t>
      </w:r>
      <w:r>
        <w:rPr>
          <w:highlight w:val="white"/>
        </w:rPr>
        <w:t xml:space="preserve">như sau</w:t>
      </w:r>
      <w:r>
        <w:rPr>
          <w:highlight w:val="white"/>
        </w:rPr>
        <w:t xml:space="preserve">:</w:t>
      </w:r>
      <w:r>
        <w:rPr>
          <w:highlight w:val="white"/>
        </w:rPr>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97"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81"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89"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70"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467" w:type="pct"/>
            <w:vAlign w:val="center"/>
            <w:textDirection w:val="lrTb"/>
            <w:noWrap w:val="false"/>
          </w:tcPr>
          <w:p>
            <w:pPr>
              <w:pBdr/>
              <w:tabs>
                <w:tab w:val="center" w:leader="none" w:pos="3096"/>
              </w:tabs>
              <w:spacing w:after="40" w:before="40" w:line="288" w:lineRule="auto"/>
              <w:ind/>
              <w:jc w:val="both"/>
              <w:rPr>
                <w:b/>
                <w:bCs/>
                <w:highlight w:val="white"/>
              </w:rPr>
            </w:pPr>
            <w:r>
              <w:rPr>
                <w:b/>
                <w:bCs/>
                <w:highlight w:val="white"/>
              </w:rPr>
            </w:r>
            <w:r>
              <w:rPr>
                <w:rFonts w:ascii="Times New Roman" w:hAnsi="Times New Roman" w:eastAsia="Times New Roman" w:cs="Times New Roman"/>
                <w:b/>
                <w:color w:val="000000"/>
                <w:sz w:val="24"/>
                <w:highlight w:val="white"/>
              </w:rPr>
              <w:t xml:space="preserve">Quyền sử dụng đất tại thửa đất số: 37(5), tờ bản đồ số 1 có địa chỉ: Thôn Phù Liễn, xã Bắc Hồng, huyện Đông Anh, Thành phố Hà Nội (</w:t>
            </w:r>
            <w:r>
              <w:rPr>
                <w:rFonts w:ascii="Times New Roman" w:hAnsi="Times New Roman" w:eastAsia="Times New Roman" w:cs="Times New Roman"/>
                <w:b/>
                <w:i/>
                <w:color w:val="000000"/>
                <w:sz w:val="24"/>
                <w:highlight w:val="white"/>
              </w:rPr>
              <w:t xml:space="preserve">Nay là xã Phúc Thịnh, Thành phố Hà Nội)</w:t>
            </w:r>
            <w:r>
              <w:rPr>
                <w:rFonts w:ascii="Times New Roman" w:hAnsi="Times New Roman" w:eastAsia="Times New Roman" w:cs="Times New Roman"/>
                <w:b/>
                <w:color w:val="000000"/>
                <w:sz w:val="24"/>
                <w:highlight w:val="white"/>
              </w:rPr>
              <w:t xml:space="preserve"> theo Giấy chứng nhận quyền sử dụng đất quyền sở hữu nhà ở và tài sản khác gắn liền với đất số: BG 109434, số vào sổ cấp GCN: 1420.QĐ-UBND.2011/CH 00263.2011 do Uỷ ban nhân dân huyện Đông Anh cấp ngày 04/5/2011; Chủ sử dụng đất là Ông Nguyễn Văn Thắng</w:t>
            </w:r>
            <w:r>
              <w:rPr>
                <w:b/>
                <w:bCs/>
                <w:highlight w:val="white"/>
              </w:rPr>
              <w:tab/>
            </w:r>
            <w:r>
              <w:rPr>
                <w:b/>
                <w:bCs/>
                <w:highlight w:val="white"/>
              </w:rPr>
            </w:r>
            <w:r>
              <w:rPr>
                <w:b/>
                <w:bCs/>
                <w:highlight w:val="white"/>
              </w:rPr>
            </w:r>
          </w:p>
        </w:tc>
        <w:tc>
          <w:tcPr>
            <w:shd w:val="clear" w:color="000000" w:fill="ffffff"/>
            <w:tcBorders/>
            <w:tcW w:w="1170"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97"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nông thôn</w:t>
            </w:r>
            <w:r>
              <w:rPr>
                <w:b w:val="0"/>
                <w:bCs w:val="0"/>
                <w:highlight w:val="white"/>
              </w:rPr>
            </w:r>
            <w:r>
              <w:rPr>
                <w:b w:val="0"/>
                <w:bCs w:val="0"/>
                <w:highlight w:val="white"/>
              </w:rPr>
            </w:r>
          </w:p>
        </w:tc>
        <w:tc>
          <w:tcPr>
            <w:tcBorders/>
            <w:tcW w:w="981"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52,3</w:t>
            </w:r>
            <w:r>
              <w:rPr>
                <w:color w:val="000000"/>
                <w:highlight w:val="white"/>
              </w:rPr>
            </w:r>
            <w:r>
              <w:rPr>
                <w:color w:val="000000"/>
                <w:highlight w:val="white"/>
              </w:rPr>
            </w:r>
          </w:p>
        </w:tc>
        <w:tc>
          <w:tcPr>
            <w:shd w:val="clear" w:color="000000" w:fill="ffffff"/>
            <w:tcBorders/>
            <w:tcW w:w="1389"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50.000.000</w:t>
            </w:r>
            <w:r>
              <w:rPr>
                <w:highlight w:val="white"/>
              </w:rPr>
            </w:r>
            <w:r>
              <w:rPr>
                <w:highlight w:val="white"/>
              </w:rPr>
            </w:r>
          </w:p>
        </w:tc>
        <w:tc>
          <w:tcPr>
            <w:shd w:val="clear" w:color="000000" w:fill="ffffff"/>
            <w:tcBorders/>
            <w:tcW w:w="1170" w:type="pct"/>
            <w:vAlign w:val="center"/>
            <w:textDirection w:val="lrTb"/>
            <w:noWrap w:val="false"/>
          </w:tcPr>
          <w:p>
            <w:pPr>
              <w:pBdr/>
              <w:spacing w:after="40" w:before="40" w:line="288" w:lineRule="auto"/>
              <w:ind/>
              <w:jc w:val="center"/>
              <w:rPr>
                <w:b w:val="0"/>
                <w:bCs w:val="0"/>
                <w:highlight w:val="white"/>
              </w:rPr>
            </w:pPr>
            <w:r>
              <w:rPr>
                <w:b w:val="0"/>
                <w:bCs w:val="0"/>
                <w:color w:val="000000" w:themeColor="text1"/>
                <w:highlight w:val="white"/>
              </w:rPr>
              <w:t xml:space="preserve">2.615.000.000</w:t>
            </w:r>
            <w:r>
              <w:rPr>
                <w:b w:val="0"/>
                <w:bCs w:val="0"/>
                <w:highlight w:val="white"/>
              </w:rPr>
            </w:r>
            <w:r>
              <w:rPr>
                <w:b w:val="0"/>
                <w:bCs w:val="0"/>
                <w:highlight w:val="white"/>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70" w:type="pct"/>
            <w:vAlign w:val="center"/>
            <w:textDirection w:val="lrTb"/>
            <w:noWrap/>
          </w:tcPr>
          <w:p>
            <w:pPr>
              <w:pBdr/>
              <w:spacing w:after="40" w:before="40" w:line="288" w:lineRule="auto"/>
              <w:ind/>
              <w:jc w:val="center"/>
              <w:rPr>
                <w:b/>
                <w:bCs/>
                <w:color w:val="000000"/>
                <w:highlight w:val="white"/>
              </w:rPr>
            </w:pPr>
            <w:r>
              <w:rPr>
                <w:b/>
                <w:bCs/>
                <w:highlight w:val="white"/>
              </w:rPr>
              <w:t xml:space="preserve">2.615.000.000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Hai tỷ sáu trăm mười lăm triệu đồng chẵn</w:t>
            </w:r>
            <w:r>
              <w:rPr>
                <w:b/>
                <w:bCs/>
                <w:i/>
                <w:iCs/>
                <w:color w:val="000000"/>
                <w:highlight w:val="white"/>
              </w:rPr>
              <w:t xml:space="preserve">./.)</w:t>
            </w:r>
            <w:r>
              <w:rPr>
                <w:b/>
                <w:bCs/>
                <w:i/>
                <w:iCs/>
                <w:color w:val="000000"/>
                <w:highlight w:val="white"/>
              </w:rPr>
            </w:r>
            <w:r>
              <w:rPr>
                <w:b/>
                <w:bCs/>
                <w:i/>
                <w:iCs/>
                <w:color w:val="000000"/>
                <w:highlight w:val="white"/>
              </w:rPr>
            </w:r>
          </w:p>
        </w:tc>
      </w:tr>
    </w:tbl>
    <w:p>
      <w:pPr>
        <w:pStyle w:val="1027"/>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rPr>
      </w:r>
      <w:r>
        <w:rPr>
          <w:b/>
          <w:highlight w:val="white"/>
        </w:rPr>
      </w:r>
    </w:p>
    <w:p>
      <w:pPr>
        <w:pStyle w:val="1027"/>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rPr>
      </w:r>
      <w:r>
        <w:rPr>
          <w:b/>
          <w:highlight w:val="white"/>
        </w:rPr>
      </w:r>
    </w:p>
    <w:p>
      <w:pPr>
        <w:pStyle w:val="1027"/>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rPr>
      </w:r>
      <w:r>
        <w:rPr>
          <w:rFonts w:ascii="Times New Roman Bold" w:hAnsi="Times New Roman Bold"/>
          <w:b/>
          <w:bCs/>
          <w:spacing w:val="-4"/>
          <w:highlight w:val="white"/>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rPr>
      </w:r>
      <w:r>
        <w:rPr>
          <w:highlight w:val="white"/>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rPr>
      </w:r>
      <w:r>
        <w:rPr>
          <w:highlight w:val="white"/>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rPr>
      </w:r>
      <w:r>
        <w:rPr>
          <w:highlight w:val="white"/>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rPr>
      </w:r>
      <w:r>
        <w:rPr>
          <w:highlight w:val="white"/>
        </w:rPr>
      </w:r>
    </w:p>
    <w:p>
      <w:pPr>
        <w:pStyle w:val="1027"/>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rPr>
      </w:r>
      <w:r>
        <w:rPr>
          <w:highlight w:val="white"/>
        </w:rPr>
      </w:r>
    </w:p>
    <w:p>
      <w:pPr>
        <w:pStyle w:val="1027"/>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rPr>
      </w:r>
      <w:r>
        <w:rPr>
          <w:highlight w:val="white"/>
        </w:rPr>
      </w:r>
    </w:p>
    <w:p>
      <w:pPr>
        <w:pStyle w:val="1027"/>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rPr>
      </w:r>
      <w:r>
        <w:rPr>
          <w:highlight w:val="white"/>
        </w:rPr>
      </w:r>
    </w:p>
    <w:p>
      <w:pPr>
        <w:pStyle w:val="1027"/>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rPr>
      </w:r>
      <w:r>
        <w:rPr>
          <w:rFonts w:ascii="Times New Roman Bold" w:hAnsi="Times New Roman Bold"/>
          <w:b/>
          <w:spacing w:val="-4"/>
          <w:highlight w:val="white"/>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rPr>
      </w:r>
      <w:r>
        <w:rPr>
          <w:highlight w:val="white"/>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rPr>
      </w:r>
      <w:r>
        <w:rPr>
          <w:highlight w:val="white"/>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rPr>
      </w:r>
      <w:r>
        <w:rPr>
          <w:highlight w:val="white"/>
        </w:rPr>
      </w:r>
    </w:p>
    <w:p>
      <w:pPr>
        <w:pStyle w:val="1027"/>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rPr>
      </w:r>
      <w:r>
        <w:rPr>
          <w:b/>
          <w:highlight w:val="white"/>
        </w:rPr>
      </w:r>
    </w:p>
    <w:p>
      <w:pPr>
        <w:pStyle w:val="1027"/>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rPr>
      </w:r>
      <w:r>
        <w:rPr>
          <w:b/>
          <w:spacing w:val="2"/>
          <w:highlight w:val="white"/>
        </w:rPr>
      </w:r>
    </w:p>
    <w:p>
      <w:pPr>
        <w:pStyle w:val="1027"/>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rPr>
      </w:r>
      <w:r>
        <w:rPr>
          <w:b/>
          <w:highlight w:val="white"/>
        </w:rPr>
      </w:r>
    </w:p>
    <w:p>
      <w:pPr>
        <w:pStyle w:val="1027"/>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rPr>
      </w:r>
      <w:r>
        <w:rPr>
          <w:highlight w:val="white"/>
        </w:rPr>
      </w:r>
    </w:p>
    <w:p>
      <w:pPr>
        <w:pStyle w:val="1027"/>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w:t>
      </w:r>
      <w:r>
        <w:rPr>
          <w:iCs/>
          <w:highlight w:val="white"/>
          <w:lang w:val="pt-BR"/>
        </w:rPr>
        <w:t xml:space="preserve">đất  đã</w:t>
      </w:r>
      <w:r>
        <w:rPr>
          <w:iCs/>
          <w:highlight w:val="white"/>
          <w:lang w:val="pt-BR"/>
        </w:rPr>
        <w:t xml:space="preserve"> cung cấp cho chúng tôi.</w:t>
      </w:r>
      <w:r>
        <w:rPr>
          <w:highlight w:val="white"/>
          <w:shd w:val="clear" w:color="auto" w:fill="ffffff"/>
        </w:rPr>
      </w:r>
      <w:r>
        <w:rPr>
          <w:highlight w:val="white"/>
          <w:shd w:val="clear" w:color="auto" w:fill="ffffff"/>
        </w:rPr>
      </w:r>
    </w:p>
    <w:p>
      <w:pPr>
        <w:pStyle w:val="1027"/>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rPr>
      </w:r>
      <w:r>
        <w:rPr>
          <w:highlight w:val="white"/>
        </w:rPr>
      </w:r>
    </w:p>
    <w:p>
      <w:pPr>
        <w:pStyle w:val="1027"/>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rPr>
      </w:r>
      <w:r>
        <w:rPr>
          <w:highlight w:val="white"/>
        </w:rPr>
      </w:r>
    </w:p>
    <w:p>
      <w:pPr>
        <w:pStyle w:val="1027"/>
        <w:numPr>
          <w:ilvl w:val="0"/>
          <w:numId w:val="3"/>
        </w:numPr>
        <w:pBdr/>
        <w:tabs>
          <w:tab w:val="left" w:leader="none" w:pos="993"/>
        </w:tabs>
        <w:spacing w:after="120" w:before="120" w:line="288" w:lineRule="auto"/>
        <w:ind/>
        <w:jc w:val="both"/>
        <w:rPr>
          <w:highlight w:val="white"/>
        </w:rPr>
      </w:pPr>
      <w:r>
        <w:rPr>
          <w:highlight w:val="white"/>
          <w:lang w:val="vi-VN" w:bidi="vi-VN"/>
        </w:rPr>
      </w:r>
      <w:r>
        <w:rPr>
          <w:highlight w:val="white"/>
          <w:lang w:val="vi-VN" w:bidi="vi-VN"/>
        </w:rPr>
        <w:t xml:space="preserve">T</w:t>
      </w:r>
      <w:r>
        <w:rPr>
          <w:highlight w:val="white"/>
          <w:lang w:val="vi-VN" w:bidi="vi-VN"/>
        </w:rPr>
        <w:t xml:space="preserve">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highlight w:val="white"/>
          <w:lang w:val="vi-VN" w:bidi="vi-VN"/>
        </w:rPr>
        <w:t xml:space="preserve">mô tả, nên nguồn định vị các TSSS chỉ mang tính chính xác tương đối. Khách hàng và các bên thứ ba khi sử dụng kết quả thẩm định giá cần lưu ý khi sử dụng Chứng thư thẩm định giá.</w:t>
      </w:r>
      <w:r>
        <w:rPr>
          <w:highlight w:val="white"/>
        </w:rPr>
      </w:r>
      <w:r>
        <w:rPr>
          <w:highlight w:val="white"/>
        </w:rPr>
      </w:r>
    </w:p>
    <w:p>
      <w:pPr>
        <w:pStyle w:val="1027"/>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rPr>
      </w:r>
      <w:r>
        <w:rPr>
          <w:bCs/>
          <w:highlight w:val="white"/>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r>
        <w:rPr>
          <w:highlight w:val="white"/>
        </w:rPr>
      </w:r>
      <w:r>
        <w:rPr>
          <w:highlight w:val="white"/>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r>
      <w:bookmarkEnd w:id="4"/>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highlight w:val="white"/>
        </w:rPr>
      </w:r>
      <w:r>
        <w:rPr>
          <w:highlight w:val="white"/>
        </w:rPr>
      </w:r>
    </w:p>
    <w:p>
      <w:pPr>
        <w:pStyle w:val="1027"/>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rPr>
      </w:r>
      <w:r>
        <w:rPr>
          <w:bCs/>
          <w:highlight w:val="white"/>
        </w:rPr>
      </w:r>
    </w:p>
    <w:p>
      <w:pPr>
        <w:pStyle w:val="1027"/>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rPr>
      </w:r>
      <w:r>
        <w:rPr>
          <w:highlight w:val="white"/>
        </w:rPr>
      </w:r>
    </w:p>
    <w:p>
      <w:pPr>
        <w:pBdr/>
        <w:shd w:val="nil" w:color="auto"/>
        <w:spacing/>
        <w:ind/>
        <w:rPr>
          <w:highlight w:val="white"/>
        </w:rPr>
      </w:pPr>
      <w:r>
        <w:rPr>
          <w:highlight w:val="white"/>
          <w:lang w:val="pt-BR"/>
        </w:rPr>
        <w:br w:type="page" w:clear="all"/>
      </w:r>
      <w:r>
        <w:rPr>
          <w:highlight w:val="white"/>
        </w:rPr>
      </w:r>
      <w:r>
        <w:rPr>
          <w:highlight w:val="white"/>
        </w:rPr>
      </w:r>
    </w:p>
    <w:p>
      <w:pPr>
        <w:pStyle w:val="1027"/>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275/2026/1392/VFI-CT.44.A</w:t>
      </w:r>
      <w:r>
        <w:rPr>
          <w:color w:val="ff0000"/>
          <w:highlight w:val="white"/>
          <w:lang w:val="vi-VN"/>
        </w:rPr>
        <w:t xml:space="preserve"> </w:t>
      </w:r>
      <w:r>
        <w:rPr>
          <w:color w:val="000000" w:themeColor="text1"/>
          <w:highlight w:val="white"/>
        </w:rPr>
        <w:t xml:space="preserve">ngày 8 tháng 9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rPr>
      </w:r>
      <w:r>
        <w:rPr>
          <w:highlight w:val="white"/>
        </w:rPr>
      </w:r>
    </w:p>
    <w:p>
      <w:pPr>
        <w:pStyle w:val="1027"/>
        <w:pBdr/>
        <w:tabs>
          <w:tab w:val="left" w:leader="none" w:pos="993"/>
        </w:tabs>
        <w:spacing w:after="120" w:before="120" w:line="288" w:lineRule="auto"/>
        <w:ind w:left="0"/>
        <w:jc w:val="both"/>
        <w:rPr>
          <w:highlight w:val="white"/>
        </w:rPr>
      </w:pPr>
      <w:r>
        <w:rPr>
          <w:highlight w:val="white"/>
          <w:lang w:val="vi-VN" w:bidi="vi-VN"/>
        </w:rPr>
      </w:r>
      <w:r>
        <w:rPr>
          <w:highlight w:val="white"/>
        </w:rPr>
      </w:r>
      <w:r>
        <w:rPr>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rPr>
            </w:r>
            <w:r>
              <w:rPr>
                <w:rFonts w:eastAsia="Calibri"/>
                <w:b/>
                <w:highlight w:val="white"/>
              </w:rPr>
            </w:r>
          </w:p>
        </w:tc>
      </w:tr>
    </w:tbl>
    <w:p>
      <w:pPr>
        <w:pBdr/>
        <w:spacing w:after="200" w:line="276" w:lineRule="auto"/>
        <w:ind/>
        <w:jc w:val="center"/>
        <w:rPr>
          <w:b/>
          <w:highlight w:val="white"/>
          <w:u w:val="single"/>
        </w:rPr>
      </w:pPr>
      <w:r>
        <w:rPr>
          <w:b/>
          <w:highlight w:val="white"/>
          <w:u w:val="single"/>
          <w:lang w:val="vi-VN"/>
        </w:rPr>
      </w:r>
      <w:r>
        <w:rPr>
          <w:b/>
          <w:highlight w:val="white"/>
          <w:u w:val="single"/>
        </w:rPr>
      </w:r>
      <w:r>
        <w:rPr>
          <w:b/>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highlight w:val="white"/>
                <w:lang w:val="pt-BR"/>
              </w:rPr>
              <w:t xml:space="preserve">Lê </w:t>
            </w:r>
            <w:r>
              <w:rPr>
                <w:rFonts w:eastAsia="Calibri"/>
                <w:b/>
                <w:bCs/>
                <w:highlight w:val="white"/>
                <w:lang w:val="pt-BR"/>
              </w:rPr>
              <w:t xml:space="preserve">Đ</w:t>
            </w:r>
            <w:r>
              <w:rPr>
                <w:rFonts w:eastAsia="Calibri"/>
                <w:b/>
                <w:bCs/>
                <w:highlight w:val="white"/>
                <w:lang w:val="pt-BR"/>
              </w:rPr>
              <w:t xml:space="preserve">ình </w:t>
            </w:r>
            <w:r>
              <w:rPr>
                <w:rFonts w:eastAsia="Calibri"/>
                <w:b/>
                <w:bCs/>
                <w:highlight w:val="white"/>
                <w:lang w:val="pt-BR"/>
              </w:rPr>
              <w:t xml:space="preserve">Duy</w:t>
            </w:r>
            <w:r>
              <w:rPr>
                <w:rFonts w:eastAsia="Calibri"/>
                <w:b/>
                <w:bCs/>
                <w:highlight w:val="white"/>
              </w:rPr>
            </w:r>
            <w:r>
              <w:rPr>
                <w:rFonts w:eastAsia="Calibri"/>
                <w:b/>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rPr>
            </w:r>
            <w:r>
              <w:rPr>
                <w:rFonts w:eastAsia="Calibri"/>
                <w:b/>
                <w:highlight w:val="white"/>
              </w:rPr>
            </w:r>
          </w:p>
        </w:tc>
      </w:tr>
    </w:tbl>
    <w:p>
      <w:pPr>
        <w:pBdr/>
        <w:spacing w:after="200" w:line="276" w:lineRule="auto"/>
        <w:ind/>
        <w:rPr>
          <w:b/>
          <w:highlight w:val="white"/>
          <w:u w:val="single"/>
        </w:rPr>
      </w:pPr>
      <w:r>
        <w:rPr>
          <w:b/>
          <w:highlight w:val="white"/>
          <w:u w:val="single"/>
          <w:lang w:val="vi-VN"/>
        </w:rPr>
      </w:r>
      <w:r>
        <w:rPr>
          <w:b/>
          <w:highlight w:val="white"/>
          <w:u w:val="single"/>
        </w:rPr>
      </w:r>
      <w:r>
        <w:rPr>
          <w:b/>
          <w:highlight w:val="white"/>
          <w:u w:val="single"/>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rPr>
      </w:r>
      <w:r>
        <w:rPr>
          <w:b/>
          <w:highlight w:val="white"/>
          <w:u w:val="single"/>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275/2026/1392/VFI-BC.44.A</w:t>
      </w:r>
      <w:r>
        <w:rPr>
          <w:i/>
          <w:highlight w:val="white"/>
          <w:lang w:val="pt-BR"/>
        </w:rPr>
        <w:t xml:space="preserve"> </w:t>
      </w:r>
      <w:r>
        <w:rPr>
          <w:i/>
          <w:highlight w:val="white"/>
          <w:lang w:val="pt-BR"/>
        </w:rPr>
        <w:t xml:space="preserve">ngày </w:t>
      </w:r>
      <w:r>
        <w:rPr>
          <w:i/>
          <w:highlight w:val="white"/>
          <w:lang w:val="pt-BR"/>
        </w:rPr>
        <w:t xml:space="preserve">8 tháng </w:t>
      </w:r>
      <w:r>
        <w:rPr>
          <w:i/>
          <w:highlight w:val="white"/>
          <w:lang w:val="pt-BR"/>
        </w:rPr>
        <w:t xml:space="preserve">9 năm 2026</w:t>
      </w:r>
      <w:r>
        <w:rPr>
          <w:i/>
          <w:highlight w:val="white"/>
          <w:lang w:val="pt-BR"/>
        </w:rPr>
        <w:t xml:space="preserve"> </w:t>
      </w:r>
      <w:r>
        <w:rPr>
          <w:i/>
          <w:highlight w:val="white"/>
          <w:lang w:val="pt-BR"/>
        </w:rPr>
        <w:t xml:space="preserve">của </w:t>
      </w:r>
      <w:r>
        <w:rPr>
          <w:i/>
          <w:highlight w:val="white"/>
        </w:rPr>
      </w:r>
      <w:r>
        <w:rPr>
          <w:i/>
          <w:highlight w:val="white"/>
        </w:rPr>
      </w:r>
    </w:p>
    <w:p>
      <w:pPr>
        <w:pBdr/>
        <w:spacing w:after="120"/>
        <w:ind/>
        <w:jc w:val="center"/>
        <w:rPr>
          <w:i/>
          <w:highlight w:val="white"/>
        </w:rPr>
      </w:pPr>
      <w:r>
        <w:rPr>
          <w:i/>
          <w:highlight w:val="white"/>
          <w:lang w:val="pt-BR"/>
        </w:rPr>
        <w:t xml:space="preserve">Công ty Cổ phần Thẩm địn</w:t>
      </w:r>
      <w:r>
        <w:rPr>
          <w:i/>
          <w:highlight w:val="white"/>
          <w:lang w:val="pt-BR"/>
        </w:rPr>
        <w:t xml:space="preserve">h và Đầu tư T</w:t>
      </w:r>
      <w:r>
        <w:rPr>
          <w:i/>
          <w:highlight w:val="white"/>
          <w:lang w:val="pt-BR"/>
        </w:rPr>
        <w:t xml:space="preserve">ài chính Hoa Sen)</w:t>
      </w:r>
      <w:r>
        <w:rPr>
          <w:i/>
          <w:highlight w:val="white"/>
        </w:rPr>
      </w:r>
      <w:r>
        <w:rPr>
          <w:i/>
          <w:highlight w:val="white"/>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Tổng quan tài</w:t>
            </w:r>
            <w:r>
              <w:rPr>
                <w:b/>
                <w:bCs/>
                <w:i/>
                <w:highlight w:val="white"/>
                <w:lang w:val="pt-BR"/>
              </w:rPr>
              <w:t xml:space="preserve"> sản</w:t>
            </w:r>
            <w:r>
              <w:rPr>
                <w:b/>
                <w:bCs/>
                <w:i/>
                <w:highlight w:val="white"/>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19" o:title=""/>
                      <o:lock v:ext="edit" rotation="t"/>
                    </v:shape>
                  </w:pict>
                </mc:Fallback>
              </mc:AlternateContent>
            </w:r>
            <w:r>
              <w:rPr>
                <w:i/>
                <w:highlight w:val="white"/>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highlight w:val="white"/>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Người khảo sát</w:t>
            </w:r>
            <w:r>
              <w:rPr>
                <w:b/>
                <w:bCs/>
                <w:i/>
                <w:highlight w:val="white"/>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mc:AlternateContent>
                <mc:Choice Requires="wpg">
                  <w:drawing>
                    <wp:inline xmlns:wp="http://schemas.openxmlformats.org/drawingml/2006/wordprocessingDrawing" distT="0" distB="0" distL="0" distR="0">
                      <wp:extent cx="2540000" cy="2519546"/>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flipH="0" flipV="0">
                                <a:off x="0" y="0"/>
                                <a:ext cx="2539999" cy="251954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98.39pt;mso-wrap-distance-left:0.00pt;mso-wrap-distance-top:0.00pt;mso-wrap-distance-right:0.00pt;mso-wrap-distance-bottom:0.00pt;z-index:1;" stroked="false">
                      <v:imagedata r:id="rId21" o:title=""/>
                      <o:lock v:ext="edit" rotation="t"/>
                    </v:shape>
                  </w:pict>
                </mc:Fallback>
              </mc:AlternateContent>
            </w:r>
            <w:r>
              <w:rPr>
                <w:i/>
                <w:highlight w:val="white"/>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581471" cy="239456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07770" name=""/>
                              <pic:cNvPicPr>
                                <a:picLocks noChangeAspect="1"/>
                              </pic:cNvPicPr>
                              <pic:nvPr/>
                            </pic:nvPicPr>
                            <pic:blipFill rotWithShape="1">
                              <a:blip r:embed="rId22"/>
                              <a:stretch/>
                            </pic:blipFill>
                            <pic:spPr bwMode="auto">
                              <a:xfrm flipH="0" flipV="0">
                                <a:off x="0" y="0"/>
                                <a:ext cx="2581470" cy="23945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3.27pt;height:188.55pt;mso-wrap-distance-left:0.00pt;mso-wrap-distance-top:0.00pt;mso-wrap-distance-right:0.00pt;mso-wrap-distance-bottom:0.00pt;z-index:1;" stroked="false">
                      <v:imagedata r:id="rId22" o:title=""/>
                      <o:lock v:ext="edit" rotation="t"/>
                    </v:shape>
                  </w:pict>
                </mc:Fallback>
              </mc:AlternateContent>
            </w:r>
            <w:r>
              <w:rPr>
                <w:i/>
                <w:highlight w:val="white"/>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mc:AlternateContent>
                <mc:Choice Requires="wpg">
                  <w:drawing>
                    <wp:inline xmlns:wp="http://schemas.openxmlformats.org/drawingml/2006/wordprocessingDrawing" distT="0" distB="0" distL="0" distR="0">
                      <wp:extent cx="2540000" cy="216919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flipH="0" flipV="0">
                                <a:off x="0" y="0"/>
                                <a:ext cx="2539999" cy="21691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70.80pt;mso-wrap-distance-left:0.00pt;mso-wrap-distance-top:0.00pt;mso-wrap-distance-right:0.00pt;mso-wrap-distance-bottom:0.00pt;z-index:1;" stroked="false">
                      <v:imagedata r:id="rId23" o:title=""/>
                      <o:lock v:ext="edit" rotation="t"/>
                    </v:shape>
                  </w:pict>
                </mc:Fallback>
              </mc:AlternateContent>
            </w:r>
            <w:r>
              <w:rPr>
                <w:i/>
                <w:highlight w:val="white"/>
              </w:rPr>
            </w:r>
            <w:r>
              <w:rPr>
                <w:i/>
                <w:highlight w:val="white"/>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454515" cy="23001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12849" name=""/>
                              <pic:cNvPicPr>
                                <a:picLocks noChangeAspect="1"/>
                              </pic:cNvPicPr>
                              <pic:nvPr/>
                            </pic:nvPicPr>
                            <pic:blipFill rotWithShape="1">
                              <a:blip r:embed="rId24"/>
                              <a:stretch/>
                            </pic:blipFill>
                            <pic:spPr bwMode="auto">
                              <a:xfrm flipH="0" flipV="0">
                                <a:off x="0" y="0"/>
                                <a:ext cx="2454514" cy="2300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93.27pt;height:181.11pt;mso-wrap-distance-left:0.00pt;mso-wrap-distance-top:0.00pt;mso-wrap-distance-right:0.00pt;mso-wrap-distance-bottom:0.00pt;z-index:1;" stroked="false">
                      <v:imagedata r:id="rId24" o:title=""/>
                      <o:lock v:ext="edit" rotation="t"/>
                    </v:shape>
                  </w:pict>
                </mc:Fallback>
              </mc:AlternateContent>
            </w:r>
            <w:r>
              <w:rPr>
                <w:b/>
                <w:bCs/>
                <w:i/>
                <w:highlight w:val="white"/>
              </w:rPr>
            </w:r>
            <w:r>
              <w:rPr>
                <w:b/>
                <w:bCs/>
                <w:i/>
                <w:highlight w:val="white"/>
              </w:rPr>
            </w:r>
          </w:p>
        </w:tc>
      </w:tr>
    </w:tbl>
    <w:p>
      <w:pPr>
        <w:pBdr/>
        <w:spacing/>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br w:type="page" w:clear="all"/>
      </w:r>
      <w:r>
        <w:rPr>
          <w:highlight w:val="white"/>
        </w:rPr>
      </w:r>
      <w:r>
        <w:rPr>
          <w:highlight w:val="white"/>
        </w:rPr>
      </w:r>
    </w:p>
    <w:p>
      <w:pPr>
        <w:pBdr/>
        <w:spacing w:after="200" w:line="276" w:lineRule="auto"/>
        <w:ind/>
        <w:jc w:val="center"/>
        <w:rPr>
          <w:i/>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THU THẬP THỊ TRƯỜN</w:t>
      </w:r>
      <w:r>
        <w:rPr>
          <w:b/>
          <w:highlight w:val="white"/>
        </w:rPr>
        <w:t xml:space="preserve">G</w:t>
      </w:r>
      <w:r>
        <w:rPr>
          <w:i/>
          <w:highlight w:val="white"/>
        </w:rPr>
      </w:r>
      <w:r>
        <w:rPr>
          <w:i/>
          <w:highlight w:val="white"/>
        </w:rPr>
      </w:r>
    </w:p>
    <w:p>
      <w:pPr>
        <w:pBdr/>
        <w:spacing/>
        <w:ind/>
        <w:jc w:val="center"/>
        <w:rPr>
          <w:i/>
          <w:highlight w:val="white"/>
        </w:rPr>
      </w:pPr>
      <w:r>
        <w:rPr>
          <w:i/>
          <w:highlight w:val="white"/>
          <w:lang w:val="pt-BR"/>
        </w:rPr>
        <w:t xml:space="preserve">(Kèm theo Báo cáo thẩm định số </w:t>
      </w:r>
      <w:r>
        <w:rPr>
          <w:i/>
          <w:highlight w:val="white"/>
        </w:rPr>
        <w:t xml:space="preserve">275/2026/1392/VFI-BC.44.A</w:t>
      </w:r>
      <w:r>
        <w:rPr>
          <w:i/>
          <w:highlight w:val="white"/>
          <w:lang w:val="pt-BR"/>
        </w:rPr>
        <w:t xml:space="preserve"> </w:t>
      </w:r>
      <w:r>
        <w:rPr>
          <w:i/>
          <w:highlight w:val="white"/>
          <w:lang w:val="pt-BR"/>
        </w:rPr>
        <w:t xml:space="preserve">ngày</w:t>
      </w:r>
      <w:r>
        <w:rPr>
          <w:i/>
          <w:highlight w:val="white"/>
          <w:lang w:val="pt-BR"/>
        </w:rPr>
        <w:t xml:space="preserve"> </w:t>
      </w:r>
      <w:r>
        <w:rPr>
          <w:i/>
          <w:highlight w:val="white"/>
          <w:lang w:val="pt-BR"/>
        </w:rPr>
        <w:t xml:space="preserve">8 t</w:t>
      </w:r>
      <w:r>
        <w:rPr>
          <w:i/>
          <w:highlight w:val="white"/>
          <w:lang w:val="pt-BR"/>
        </w:rPr>
        <w:t xml:space="preserve">háng 9 năm 2026</w:t>
      </w:r>
      <w:r>
        <w:rPr>
          <w:i/>
          <w:highlight w:val="white"/>
          <w:lang w:val="pt-BR"/>
        </w:rPr>
        <w:t xml:space="preserve"> </w:t>
      </w:r>
      <w:r>
        <w:rPr>
          <w:i/>
          <w:highlight w:val="white"/>
          <w:lang w:val="pt-BR"/>
        </w:rPr>
        <w:t xml:space="preserve">của </w:t>
      </w:r>
      <w:r>
        <w:rPr>
          <w:i/>
          <w:highlight w:val="white"/>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rPr>
      </w:r>
      <w:r>
        <w:rPr>
          <w:i/>
          <w:highlight w:val="white"/>
        </w:rPr>
      </w:r>
    </w:p>
    <w:p>
      <w:pPr>
        <w:pBdr/>
        <w:spacing w:after="120"/>
        <w:ind/>
        <w:jc w:val="center"/>
        <w:rPr>
          <w:b/>
          <w:bCs/>
          <w:iCs/>
          <w:highlight w:val="white"/>
        </w:rPr>
      </w:pPr>
      <w:r>
        <w:rPr>
          <w:b/>
          <w:bCs/>
          <w:iCs/>
          <w:highlight w:val="white"/>
          <w:lang w:val="pt-BR"/>
        </w:rPr>
        <w:t xml:space="preserve">TSSS1</w:t>
      </w:r>
      <w:r>
        <w:rPr>
          <w:b/>
          <w:bCs/>
          <w:iCs/>
          <w:highlight w:val="white"/>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https://www.facebook.com/groups/batdongsandonganhhanoi8888/permalink/3252962581550999/</w:t>
            </w:r>
            <w:r>
              <w:rPr>
                <w:color w:val="000000" w:themeColor="text1"/>
                <w:sz w:val="22"/>
                <w:szCs w:val="22"/>
                <w:highlight w:val="white"/>
              </w:rPr>
              <w:br/>
              <w:t xml:space="preserve">0982907427</w:t>
            </w:r>
            <w:r>
              <w:rPr>
                <w:sz w:val="22"/>
                <w:szCs w:val="22"/>
                <w:highlight w:val="white"/>
              </w:rPr>
              <w:t xml:space="preserve"> </w:t>
            </w:r>
            <w:r>
              <w:rPr>
                <w:sz w:val="22"/>
                <w:szCs w:val="22"/>
                <w:highlight w:val="white"/>
              </w:rPr>
              <w:br/>
              <w:t xml:space="preserve">(Sale Kim Thoa</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2.9</w:t>
            </w:r>
            <w:r>
              <w:rPr>
                <w:color w:val="000000" w:themeColor="text1"/>
                <w:sz w:val="22"/>
                <w:szCs w:val="22"/>
                <w:highlight w:val="white"/>
              </w:rPr>
              <w:t xml:space="preserve">5</w:t>
            </w:r>
            <w:r>
              <w:rPr>
                <w:color w:val="000000" w:themeColor="text1"/>
                <w:sz w:val="22"/>
                <w:szCs w:val="22"/>
                <w:highlight w:val="white"/>
              </w:rPr>
              <w:t xml:space="preserve">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2.610.000.000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w:t>
            </w:r>
            <w:r>
              <w:rPr>
                <w:color w:val="000000" w:themeColor="text1"/>
                <w:sz w:val="22"/>
                <w:szCs w:val="22"/>
                <w:highlight w:val="white"/>
              </w:rPr>
              <w:t xml:space="preserve"> </w:t>
            </w:r>
            <w:r>
              <w:rPr>
                <w:color w:val="000000" w:themeColor="text1"/>
                <w:sz w:val="22"/>
                <w:szCs w:val="22"/>
                <w:highlight w:val="white"/>
              </w:rPr>
              <w:t xml:space="preserve">9/</w:t>
            </w:r>
            <w:r>
              <w:rPr>
                <w:color w:val="000000" w:themeColor="text1"/>
                <w:sz w:val="22"/>
                <w:szCs w:val="22"/>
                <w:highlight w:val="white"/>
              </w:rPr>
              <w:t xml:space="preserve">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(52m²)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val="0"/>
                <w:bCs w:val="0"/>
                <w:color w:val="000000"/>
                <w:sz w:val="22"/>
                <w:szCs w:val="22"/>
                <w:highlight w:val="white"/>
              </w:rPr>
            </w:pPr>
            <w:r>
              <w:rPr>
                <w:b w:val="0"/>
                <w:bCs w:val="0"/>
                <w:color w:val="000000"/>
                <w:sz w:val="22"/>
                <w:szCs w:val="22"/>
                <w:highlight w:val="white"/>
              </w:rPr>
              <w:t xml:space="preserve">9</w:t>
            </w:r>
            <w:r>
              <w:rPr>
                <w:b w:val="0"/>
                <w:bCs w:val="0"/>
                <w:color w:val="000000"/>
                <w:sz w:val="22"/>
                <w:szCs w:val="22"/>
                <w:highlight w:val="white"/>
              </w:rPr>
            </w:r>
            <w:r>
              <w:rPr>
                <w:b w:val="0"/>
                <w:bCs w:val="0"/>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val="0"/>
                <w:bCs w:val="0"/>
                <w:color w:val="000000"/>
                <w:sz w:val="22"/>
                <w:szCs w:val="22"/>
                <w:highlight w:val="white"/>
              </w:rPr>
            </w:pPr>
            <w:r>
              <w:rPr>
                <w:b w:val="0"/>
                <w:bCs w:val="0"/>
                <w:color w:val="000000"/>
                <w:sz w:val="22"/>
                <w:szCs w:val="22"/>
                <w:highlight w:val="white"/>
              </w:rPr>
              <w:t xml:space="preserve">Vị trí</w:t>
            </w:r>
            <w:r>
              <w:rPr>
                <w:b w:val="0"/>
                <w:bCs w:val="0"/>
                <w:color w:val="000000"/>
                <w:sz w:val="22"/>
                <w:szCs w:val="22"/>
                <w:highlight w:val="white"/>
              </w:rPr>
            </w:r>
            <w:r>
              <w:rPr>
                <w:b w:val="0"/>
                <w:bCs w:val="0"/>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center" w:leader="none" w:pos="2139"/>
              </w:tabs>
              <w:spacing w:line="276" w:lineRule="auto"/>
              <w:ind/>
              <w:jc w:val="center"/>
              <w:rPr>
                <w:b w:val="0"/>
                <w:bCs w:val="0"/>
                <w:sz w:val="22"/>
                <w:szCs w:val="22"/>
                <w:highlight w:val="white"/>
              </w:rPr>
            </w:pPr>
            <w:r>
              <w:rPr>
                <w:b w:val="0"/>
                <w:bCs w:val="0"/>
                <w:color w:val="000000" w:themeColor="text1"/>
                <w:sz w:val="22"/>
                <w:szCs w:val="22"/>
                <w:highlight w:val="white"/>
              </w:rPr>
            </w:r>
            <w:r>
              <w:rPr>
                <w:rFonts w:ascii="Times New Roman" w:hAnsi="Times New Roman" w:eastAsia="Times New Roman" w:cs="Times New Roman"/>
                <w:b w:val="0"/>
                <w:bCs w:val="0"/>
                <w:color w:val="000000"/>
                <w:sz w:val="22"/>
                <w:highlight w:val="white"/>
              </w:rPr>
              <w:t xml:space="preserve">Tài sản </w:t>
            </w:r>
            <w:r>
              <w:rPr>
                <w:rFonts w:ascii="Times New Roman" w:hAnsi="Times New Roman" w:eastAsia="Times New Roman" w:cs="Times New Roman"/>
                <w:b w:val="0"/>
                <w:bCs w:val="0"/>
                <w:color w:val="000000"/>
                <w:sz w:val="22"/>
                <w:highlight w:val="white"/>
              </w:rPr>
              <w:t xml:space="preserve">nằm </w:t>
            </w:r>
            <w:r>
              <w:rPr>
                <w:rFonts w:ascii="Times New Roman" w:hAnsi="Times New Roman" w:eastAsia="Times New Roman" w:cs="Times New Roman"/>
                <w:b w:val="0"/>
                <w:bCs w:val="0"/>
                <w:color w:val="000000"/>
                <w:sz w:val="22"/>
                <w:highlight w:val="white"/>
              </w:rPr>
              <w:t xml:space="preserve">tại: Thôn Phù Liễn, xã Phúc Thịnh, Thành phố Hà Nội; cách đường trục chính khoảng 130m</w:t>
            </w:r>
            <w:r>
              <w:rPr>
                <w:b w:val="0"/>
                <w:bCs w:val="0"/>
                <w:sz w:val="22"/>
                <w:szCs w:val="22"/>
                <w:highlight w:val="white"/>
              </w:rPr>
            </w:r>
            <w:r>
              <w:rPr>
                <w:b w:val="0"/>
                <w:bCs w:val="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không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4,1</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521524"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52152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56.03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highlight w:val="white"/>
              </w:rPr>
              <mc:AlternateContent>
                <mc:Choice Requires="wpg">
                  <w:drawing>
                    <wp:inline xmlns:wp="http://schemas.openxmlformats.org/drawingml/2006/wordprocessingDrawing" distT="0" distB="0" distL="0" distR="0">
                      <wp:extent cx="4062110" cy="925258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75529" name=""/>
                              <pic:cNvPicPr>
                                <a:picLocks noChangeAspect="1"/>
                              </pic:cNvPicPr>
                              <pic:nvPr/>
                            </pic:nvPicPr>
                            <pic:blipFill rotWithShape="1">
                              <a:blip r:embed="rId26"/>
                              <a:stretch/>
                            </pic:blipFill>
                            <pic:spPr bwMode="auto">
                              <a:xfrm>
                                <a:off x="0" y="0"/>
                                <a:ext cx="4062110"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19.85pt;height:728.55pt;mso-wrap-distance-left:0.00pt;mso-wrap-distance-top:0.00pt;mso-wrap-distance-right:0.00pt;mso-wrap-distance-bottom:0.00pt;z-index:1;" stroked="false">
                      <v:imagedata r:id="rId26" o:title=""/>
                      <o:lock v:ext="edit" rotation="t"/>
                    </v:shape>
                  </w:pict>
                </mc:Fallback>
              </mc:AlternateContent>
            </w:r>
            <w:r>
              <w:rPr>
                <w:color w:val="000000"/>
                <w:sz w:val="22"/>
                <w:szCs w:val="22"/>
                <w:highlight w:val="white"/>
              </w:rPr>
            </w:r>
            <w:r>
              <w:rPr>
                <w:color w:val="000000"/>
                <w:sz w:val="22"/>
                <w:szCs w:val="22"/>
                <w:highlight w:val="white"/>
              </w:rPr>
            </w:r>
          </w:p>
        </w:tc>
      </w:tr>
    </w:tbl>
    <w:p>
      <w:pPr>
        <w:pBdr/>
        <w:spacing w:after="120"/>
        <w:ind/>
        <w:jc w:val="center"/>
        <w:rPr>
          <w:i/>
          <w:highlight w:val="white"/>
        </w:rPr>
      </w:pPr>
      <w:r>
        <w:rPr>
          <w:i/>
          <w:highlight w:val="white"/>
          <w:lang w:val="pt-BR"/>
        </w:rPr>
      </w:r>
      <w:r>
        <w:rPr>
          <w:i/>
          <w:highlight w:val="white"/>
        </w:rPr>
      </w:r>
      <w:r>
        <w:rPr>
          <w:i/>
          <w:highlight w:val="white"/>
        </w:rPr>
      </w:r>
    </w:p>
    <w:p>
      <w:pPr>
        <w:pBdr/>
        <w:spacing w:after="200" w:line="276" w:lineRule="auto"/>
        <w:ind/>
        <w:jc w:val="center"/>
        <w:rPr>
          <w:i/>
          <w:highlight w:val="white"/>
        </w:rPr>
      </w:pPr>
      <w:r>
        <w:rPr>
          <w:i/>
          <w:highlight w:val="white"/>
          <w:lang w:val="pt-BR"/>
        </w:rPr>
      </w:r>
      <w:r>
        <w:rPr>
          <w:i/>
          <w:highlight w:val="white"/>
        </w:rPr>
      </w:r>
      <w:r>
        <w:rPr>
          <w:i/>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tc>
      </w:tr>
      <w:tr>
        <w:trPr>
          <w:trHeight w:val="30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t xml:space="preserve">L</w:t>
            </w:r>
            <w:r>
              <w:rPr>
                <w:b/>
                <w:bCs/>
                <w:highlight w:val="white"/>
              </w:rPr>
              <w:t xml:space="preserve">ê </w:t>
            </w:r>
            <w:r>
              <w:rPr>
                <w:b/>
                <w:bCs/>
                <w:highlight w:val="white"/>
              </w:rPr>
              <w:t xml:space="preserve">Đ</w:t>
            </w:r>
            <w:r>
              <w:rPr>
                <w:b/>
                <w:bCs/>
                <w:highlight w:val="white"/>
              </w:rPr>
              <w:t xml:space="preserve">ình </w:t>
            </w:r>
            <w:r>
              <w:rPr>
                <w:b/>
                <w:bCs/>
                <w:highlight w:val="white"/>
              </w:rPr>
              <w:t xml:space="preserve">D</w:t>
            </w:r>
            <w:r>
              <w:rPr>
                <w:b/>
                <w:bCs/>
                <w:highlight w:val="white"/>
              </w:rPr>
              <w:t xml:space="preserve">uy</w:t>
            </w:r>
            <w:r>
              <w:rPr>
                <w:b/>
                <w:bCs/>
                <w:highlight w:val="white"/>
              </w:rPr>
            </w:r>
            <w:r>
              <w:rPr>
                <w:b/>
                <w:bCs/>
                <w:highlight w:val="white"/>
              </w:rPr>
            </w:r>
          </w:p>
        </w:tc>
      </w:tr>
      <w:tr>
        <w:trPr>
          <w:trHeight w:val="298"/>
        </w:trPr>
        <w:tc>
          <w:tcPr>
            <w:tcBorders/>
            <w:tcW w:w="4358"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jc w:val="center"/>
        <w:rPr>
          <w:b/>
          <w:bCs/>
          <w:iCs/>
          <w:highlight w:val="white"/>
        </w:rPr>
      </w:pPr>
      <w:r>
        <w:rPr>
          <w:b/>
          <w:bCs/>
          <w:iCs/>
          <w:highlight w:val="white"/>
          <w:lang w:val="pt-BR"/>
        </w:rPr>
      </w:r>
      <w:r>
        <w:rPr>
          <w:b/>
          <w:bCs/>
          <w:iCs/>
          <w:highlight w:val="white"/>
        </w:rPr>
      </w:r>
      <w:r>
        <w:rPr>
          <w:b/>
          <w:bCs/>
          <w:iCs/>
          <w:highlight w:val="white"/>
        </w:rPr>
      </w:r>
    </w:p>
    <w:p>
      <w:pPr>
        <w:pBdr/>
        <w:spacing w:after="200" w:line="276" w:lineRule="auto"/>
        <w:ind/>
        <w:rPr>
          <w:b/>
          <w:bCs/>
          <w:iCs/>
          <w:highlight w:val="white"/>
        </w:rPr>
      </w:pPr>
      <w:r>
        <w:rPr>
          <w:b/>
          <w:bCs/>
          <w:iCs/>
          <w:highlight w:val="white"/>
          <w:lang w:val="pt-BR"/>
        </w:rPr>
        <w:br w:type="page" w:clear="all"/>
      </w:r>
      <w:r>
        <w:rPr>
          <w:b/>
          <w:bCs/>
          <w:iCs/>
          <w:highlight w:val="white"/>
        </w:rPr>
      </w:r>
      <w:r>
        <w:rPr>
          <w:b/>
          <w:bCs/>
          <w:iCs/>
          <w:highlight w:val="white"/>
        </w:rPr>
      </w:r>
    </w:p>
    <w:p>
      <w:pPr>
        <w:pBdr/>
        <w:spacing w:after="200" w:line="276" w:lineRule="auto"/>
        <w:ind/>
        <w:jc w:val="center"/>
        <w:rPr>
          <w:iCs/>
          <w:highlight w:val="white"/>
        </w:rPr>
      </w:pPr>
      <w:r>
        <w:rPr>
          <w:b/>
          <w:bCs/>
          <w:iCs/>
          <w:highlight w:val="white"/>
          <w:lang w:val="pt-BR"/>
        </w:rPr>
        <w:t xml:space="preserve">TSSS2</w:t>
      </w:r>
      <w:r>
        <w:rPr>
          <w:iCs/>
          <w:highlight w:val="white"/>
        </w:rPr>
      </w:r>
      <w:r>
        <w:rPr>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w:t>
            </w:r>
            <w:r>
              <w:rPr>
                <w:color w:val="000000" w:themeColor="text1"/>
                <w:sz w:val="22"/>
                <w:szCs w:val="22"/>
                <w:highlight w:val="white"/>
              </w:rPr>
              <w:t xml:space="preserve">hệ </w:t>
            </w:r>
            <w:r>
              <w:rPr>
                <w:color w:val="000000" w:themeColor="text1"/>
                <w:sz w:val="22"/>
                <w:szCs w:val="22"/>
                <w:highlight w:val="white"/>
              </w:rPr>
              <w:t xml:space="preserve">trực </w:t>
            </w:r>
            <w:r>
              <w:rPr>
                <w:color w:val="000000" w:themeColor="text1"/>
                <w:sz w:val="22"/>
                <w:szCs w:val="22"/>
                <w:highlight w:val="white"/>
              </w:rPr>
              <w:t xml:space="preserve">tiếp</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sz w:val="22"/>
                <w:szCs w:val="22"/>
                <w:highlight w:val="white"/>
              </w:rPr>
              <w:t xml:space="preserve">2.</w:t>
            </w:r>
            <w:r>
              <w:rPr>
                <w:sz w:val="22"/>
                <w:szCs w:val="22"/>
                <w:highlight w:val="white"/>
              </w:rPr>
              <w:t xml:space="preserve">8</w:t>
            </w:r>
            <w:r>
              <w:rPr>
                <w:sz w:val="22"/>
                <w:szCs w:val="22"/>
                <w:highlight w:val="white"/>
              </w:rPr>
              <w:t xml:space="preserve">82</w:t>
            </w:r>
            <w:r>
              <w:rPr>
                <w:sz w:val="22"/>
                <w:szCs w:val="22"/>
                <w:highlight w:val="white"/>
              </w:rPr>
              <w:t xml:space="preserve">.</w:t>
            </w:r>
            <w:r>
              <w:rPr>
                <w:sz w:val="22"/>
                <w:szCs w:val="22"/>
                <w:highlight w:val="white"/>
              </w:rPr>
              <w:t xml:space="preserve">000.</w:t>
            </w:r>
            <w:r>
              <w:rPr>
                <w:sz w:val="22"/>
                <w:szCs w:val="22"/>
                <w:highlight w:val="white"/>
              </w:rPr>
              <w:t xml:space="preserve">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2.574.</w:t>
            </w:r>
            <w:r>
              <w:rPr>
                <w:color w:val="000000"/>
                <w:sz w:val="22"/>
                <w:szCs w:val="22"/>
                <w:highlight w:val="white"/>
              </w:rPr>
              <w:t xml:space="preserve">000.</w:t>
            </w:r>
            <w:r>
              <w:rPr>
                <w:color w:val="000000"/>
                <w:sz w:val="22"/>
                <w:szCs w:val="22"/>
                <w:highlight w:val="white"/>
              </w:rPr>
              <w:t xml:space="preserve">000</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w:t>
            </w:r>
            <w:r>
              <w:rPr>
                <w:color w:val="000000" w:themeColor="text1"/>
                <w:sz w:val="22"/>
                <w:szCs w:val="22"/>
                <w:highlight w:val="white"/>
              </w:rPr>
              <w:t xml:space="preserve">9/</w:t>
            </w:r>
            <w:r>
              <w:rPr>
                <w:color w:val="000000" w:themeColor="text1"/>
                <w:sz w:val="22"/>
                <w:szCs w:val="22"/>
                <w:highlight w:val="white"/>
              </w:rPr>
              <w:t xml:space="preserve">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(52,4m²)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val="0"/>
                <w:bCs w:val="0"/>
                <w:color w:val="000000"/>
                <w:sz w:val="22"/>
                <w:szCs w:val="22"/>
                <w:highlight w:val="white"/>
              </w:rPr>
            </w:pPr>
            <w:r>
              <w:rPr>
                <w:b w:val="0"/>
                <w:bCs w:val="0"/>
                <w:color w:val="000000"/>
                <w:sz w:val="22"/>
                <w:szCs w:val="22"/>
                <w:highlight w:val="white"/>
              </w:rPr>
              <w:t xml:space="preserve">9</w:t>
            </w:r>
            <w:r>
              <w:rPr>
                <w:b w:val="0"/>
                <w:bCs w:val="0"/>
                <w:color w:val="000000"/>
                <w:sz w:val="22"/>
                <w:szCs w:val="22"/>
                <w:highlight w:val="white"/>
              </w:rPr>
            </w:r>
            <w:r>
              <w:rPr>
                <w:b w:val="0"/>
                <w:bCs w:val="0"/>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val="0"/>
                <w:bCs w:val="0"/>
                <w:color w:val="000000"/>
                <w:sz w:val="22"/>
                <w:szCs w:val="22"/>
                <w:highlight w:val="white"/>
              </w:rPr>
            </w:pPr>
            <w:r>
              <w:rPr>
                <w:b w:val="0"/>
                <w:bCs w:val="0"/>
                <w:color w:val="000000"/>
                <w:sz w:val="22"/>
                <w:szCs w:val="22"/>
                <w:highlight w:val="white"/>
              </w:rPr>
              <w:t xml:space="preserve">Vị trí</w:t>
            </w:r>
            <w:r>
              <w:rPr>
                <w:b w:val="0"/>
                <w:bCs w:val="0"/>
                <w:color w:val="000000"/>
                <w:sz w:val="22"/>
                <w:szCs w:val="22"/>
                <w:highlight w:val="white"/>
              </w:rPr>
            </w:r>
            <w:r>
              <w:rPr>
                <w:b w:val="0"/>
                <w:bCs w:val="0"/>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val="0"/>
                <w:bCs w:val="0"/>
                <w:sz w:val="22"/>
                <w:szCs w:val="22"/>
                <w:highlight w:val="white"/>
              </w:rPr>
            </w:pPr>
            <w:r>
              <w:rPr>
                <w:b w:val="0"/>
                <w:bCs w:val="0"/>
                <w:color w:val="000000" w:themeColor="text1"/>
                <w:sz w:val="22"/>
                <w:szCs w:val="22"/>
                <w:highlight w:val="white"/>
              </w:rPr>
              <w:t xml:space="preserve">Tài sản </w:t>
            </w:r>
            <w:r>
              <w:rPr>
                <w:b w:val="0"/>
                <w:bCs w:val="0"/>
                <w:color w:val="000000" w:themeColor="text1"/>
                <w:sz w:val="22"/>
                <w:szCs w:val="22"/>
                <w:highlight w:val="white"/>
              </w:rPr>
              <w:t xml:space="preserve">nằm</w:t>
            </w:r>
            <w:r>
              <w:rPr>
                <w:b w:val="0"/>
                <w:bCs w:val="0"/>
                <w:color w:val="000000" w:themeColor="text1"/>
                <w:sz w:val="22"/>
                <w:szCs w:val="22"/>
                <w:highlight w:val="white"/>
              </w:rPr>
              <w:t xml:space="preserve"> tại:</w:t>
            </w:r>
            <w:r>
              <w:rPr>
                <w:rFonts w:ascii="Times New Roman" w:hAnsi="Times New Roman" w:eastAsia="Times New Roman" w:cs="Times New Roman"/>
                <w:b w:val="0"/>
                <w:bCs w:val="0"/>
                <w:color w:val="000000"/>
                <w:sz w:val="22"/>
                <w:highlight w:val="white"/>
              </w:rPr>
              <w:t xml:space="preserve"> Thôn Phù Liễn, xã Phúc Thịnh, Thành phố Hà Nội; cách đường trục chính khoảng 130m</w:t>
            </w:r>
            <w:r>
              <w:rPr>
                <w:b w:val="0"/>
                <w:bCs w:val="0"/>
                <w:sz w:val="22"/>
                <w:szCs w:val="22"/>
                <w:highlight w:val="white"/>
              </w:rPr>
            </w:r>
            <w:r>
              <w:rPr>
                <w:b w:val="0"/>
                <w:bCs w:val="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không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52,4</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4,65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highlight w:val="white"/>
              </w:rPr>
              <mc:AlternateContent>
                <mc:Choice Requires="wpg">
                  <w:drawing>
                    <wp:inline xmlns:wp="http://schemas.openxmlformats.org/drawingml/2006/wordprocessingDrawing" distT="0" distB="0" distL="0" distR="0">
                      <wp:extent cx="4062110" cy="925258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495204" name=""/>
                              <pic:cNvPicPr>
                                <a:picLocks noChangeAspect="1"/>
                              </pic:cNvPicPr>
                              <pic:nvPr/>
                            </pic:nvPicPr>
                            <pic:blipFill rotWithShape="1">
                              <a:blip r:embed="rId27"/>
                              <a:stretch/>
                            </pic:blipFill>
                            <pic:spPr bwMode="auto">
                              <a:xfrm>
                                <a:off x="0" y="0"/>
                                <a:ext cx="4062110"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19.85pt;height:728.55pt;mso-wrap-distance-left:0.00pt;mso-wrap-distance-top:0.00pt;mso-wrap-distance-right:0.00pt;mso-wrap-distance-bottom:0.00pt;z-index:1;" stroked="false">
                      <v:imagedata r:id="rId27" o:title=""/>
                      <o:lock v:ext="edit" rotation="t"/>
                    </v:shape>
                  </w:pict>
                </mc:Fallback>
              </mc:AlternateConten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tc>
      </w:tr>
    </w:tbl>
    <w:p>
      <w:pPr>
        <w:pBdr/>
        <w:spacing w:after="200" w:line="276" w:lineRule="auto"/>
        <w:ind/>
        <w:jc w:val="center"/>
        <w:rPr>
          <w:iCs/>
          <w:highlight w:val="white"/>
        </w:rPr>
      </w:pPr>
      <w:r>
        <w:rPr>
          <w:iCs/>
          <w:highlight w:val="white"/>
          <w:lang w:val="pt-BR"/>
        </w:rPr>
      </w:r>
      <w:r>
        <w:rPr>
          <w:iCs/>
          <w:highlight w:val="white"/>
        </w:rPr>
      </w:r>
      <w:r>
        <w:rPr>
          <w:iCs/>
          <w:highlight w:val="white"/>
        </w:rPr>
      </w:r>
    </w:p>
    <w:tbl>
      <w:tblPr>
        <w:tblInd w:w="108" w:type="dxa"/>
        <w:tblW w:w="9203" w:type="dxa"/>
        <w:tblBorders/>
        <w:tblLook w:val="04A0" w:firstRow="1" w:lastRow="0" w:firstColumn="1" w:lastColumn="0" w:noHBand="0" w:noVBand="1"/>
      </w:tblPr>
      <w:tblGrid>
        <w:gridCol w:w="4427"/>
        <w:gridCol w:w="4776"/>
      </w:tblGrid>
      <w:tr>
        <w:trPr>
          <w:trHeight w:val="22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rPr>
                <w:b/>
                <w:bCs/>
                <w:highlight w:val="white"/>
              </w:rPr>
            </w:pPr>
            <w:r>
              <w:rPr>
                <w:b/>
                <w:bCs/>
                <w:highlight w:val="white"/>
              </w:rPr>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L</w:t>
            </w:r>
            <w:r>
              <w:rPr>
                <w:b/>
                <w:bCs/>
                <w:highlight w:val="white"/>
              </w:rPr>
              <w:t xml:space="preserve">ê </w:t>
            </w:r>
            <w:r>
              <w:rPr>
                <w:b/>
                <w:bCs/>
                <w:highlight w:val="white"/>
              </w:rPr>
              <w:t xml:space="preserve">Đ</w:t>
            </w:r>
            <w:r>
              <w:rPr>
                <w:b/>
                <w:bCs/>
                <w:highlight w:val="white"/>
              </w:rPr>
              <w:t xml:space="preserve">ình </w:t>
            </w:r>
            <w:r>
              <w:rPr>
                <w:b/>
                <w:bCs/>
                <w:highlight w:val="white"/>
              </w:rPr>
              <w:t xml:space="preserve">D</w:t>
            </w:r>
            <w:r>
              <w:rPr>
                <w:b/>
                <w:bCs/>
                <w:highlight w:val="white"/>
              </w:rPr>
              <w:t xml:space="preserve">uy</w:t>
            </w:r>
            <w:r>
              <w:rPr>
                <w:b/>
                <w:bCs/>
                <w:highlight w:val="white"/>
              </w:rPr>
            </w:r>
            <w:r>
              <w:rPr>
                <w:b/>
                <w:bCs/>
                <w:highlight w:val="white"/>
              </w:rPr>
            </w:r>
          </w:p>
          <w:p>
            <w:pPr>
              <w:pBdr/>
              <w:spacing/>
              <w:ind/>
              <w:jc w:val="center"/>
              <w:rPr>
                <w:highlight w:val="white"/>
              </w:rPr>
            </w:pPr>
            <w:r>
              <w:rPr>
                <w:highlight w:val="white"/>
              </w:rPr>
            </w:r>
            <w:r>
              <w:rPr>
                <w:highlight w:val="white"/>
              </w:rPr>
            </w:r>
            <w:r>
              <w:rPr>
                <w:highlight w:val="white"/>
              </w:rPr>
            </w:r>
          </w:p>
        </w:tc>
      </w:tr>
    </w:tbl>
    <w:p>
      <w:pPr>
        <w:pBdr/>
        <w:spacing w:after="200" w:line="276" w:lineRule="auto"/>
        <w:ind/>
        <w:rPr>
          <w:iCs/>
          <w:highlight w:val="white"/>
        </w:rPr>
      </w:pPr>
      <w:r>
        <w:rPr>
          <w:iCs/>
          <w:highlight w:val="white"/>
          <w:lang w:val="pt-BR"/>
        </w:rPr>
      </w:r>
      <w:r>
        <w:rPr>
          <w:iCs/>
          <w:highlight w:val="white"/>
        </w:rPr>
      </w:r>
      <w:r>
        <w:rPr>
          <w:iCs/>
          <w:highlight w:val="white"/>
        </w:rPr>
      </w:r>
    </w:p>
    <w:p>
      <w:pPr>
        <w:pBdr/>
        <w:spacing w:after="200" w:line="276" w:lineRule="auto"/>
        <w:ind/>
        <w:rPr>
          <w:iCs/>
          <w:highlight w:val="white"/>
        </w:rPr>
      </w:pPr>
      <w:r>
        <w:rPr>
          <w:iCs/>
          <w:highlight w:val="white"/>
          <w:lang w:val="pt-BR"/>
        </w:rPr>
        <w:br w:type="page" w:clear="all"/>
      </w:r>
      <w:r>
        <w:rPr>
          <w:iCs/>
          <w:highlight w:val="white"/>
        </w:rPr>
      </w:r>
      <w:r>
        <w:rPr>
          <w:iCs/>
          <w:highlight w:val="white"/>
        </w:rPr>
      </w:r>
    </w:p>
    <w:p>
      <w:pPr>
        <w:pBdr/>
        <w:spacing w:after="200" w:line="276" w:lineRule="auto"/>
        <w:ind/>
        <w:jc w:val="center"/>
        <w:rPr>
          <w:b/>
          <w:bCs/>
          <w:iCs/>
          <w:highlight w:val="white"/>
        </w:rPr>
      </w:pPr>
      <w:r>
        <w:rPr>
          <w:b/>
          <w:bCs/>
          <w:iCs/>
          <w:highlight w:val="white"/>
          <w:lang w:val="pt-BR"/>
        </w:rPr>
        <w:t xml:space="preserve">TSSS 3</w:t>
      </w:r>
      <w:r>
        <w:rPr>
          <w:b/>
          <w:bCs/>
          <w:iCs/>
          <w:highlight w:val="white"/>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https://guland.vn/post/co-hoi-vang-so-huu-lo-dat-808m2-tai-phu-lien-bac-hong-1464574</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0385999322</w:t>
            </w:r>
            <w:r>
              <w:rPr>
                <w:sz w:val="22"/>
                <w:szCs w:val="22"/>
                <w:highlight w:val="white"/>
              </w:rPr>
              <w:t xml:space="preserve"> </w:t>
            </w:r>
            <w:r>
              <w:rPr>
                <w:sz w:val="22"/>
                <w:szCs w:val="22"/>
                <w:highlight w:val="white"/>
              </w:rPr>
              <w:br/>
              <w:t xml:space="preserve">(Cương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4.770.000.000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4.293.000.000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w:t>
            </w:r>
            <w:r>
              <w:rPr>
                <w:color w:val="000000" w:themeColor="text1"/>
                <w:sz w:val="22"/>
                <w:szCs w:val="22"/>
                <w:highlight w:val="white"/>
              </w:rPr>
              <w:t xml:space="preserve">giao </w:t>
            </w:r>
            <w:r>
              <w:rPr>
                <w:color w:val="000000" w:themeColor="text1"/>
                <w:sz w:val="22"/>
                <w:szCs w:val="22"/>
                <w:highlight w:val="white"/>
              </w:rPr>
              <w:t xml:space="preserve">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(80,8m²)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color w:val="000000" w:themeColor="text1"/>
                <w:sz w:val="22"/>
                <w:szCs w:val="22"/>
                <w:highlight w:val="white"/>
              </w:rPr>
              <w:t xml:space="preserve">Tài sản </w:t>
            </w:r>
            <w:r>
              <w:rPr>
                <w:color w:val="000000" w:themeColor="text1"/>
                <w:sz w:val="22"/>
                <w:szCs w:val="22"/>
                <w:highlight w:val="white"/>
              </w:rPr>
              <w:t xml:space="preserve">nằm</w:t>
            </w:r>
            <w:r>
              <w:rPr>
                <w:color w:val="000000" w:themeColor="text1"/>
                <w:sz w:val="22"/>
                <w:szCs w:val="22"/>
                <w:highlight w:val="white"/>
              </w:rPr>
              <w:t xml:space="preserve"> tại:</w:t>
            </w:r>
            <w:r>
              <w:rPr>
                <w:rFonts w:ascii="Times New Roman" w:hAnsi="Times New Roman" w:eastAsia="Times New Roman" w:cs="Times New Roman"/>
                <w:color w:val="000000"/>
                <w:sz w:val="22"/>
                <w:highlight w:val="white"/>
              </w:rPr>
              <w:t xml:space="preserve"> Thôn Phù Liễn, xã Phúc Thịnh, Thành phố Hà Nội; cách đường trục chính khoảng </w:t>
            </w:r>
            <w:r>
              <w:rPr>
                <w:rFonts w:ascii="Times New Roman" w:hAnsi="Times New Roman" w:eastAsia="Times New Roman" w:cs="Times New Roman"/>
                <w:color w:val="000000"/>
                <w:sz w:val="22"/>
                <w:highlight w:val="white"/>
              </w:rPr>
              <w:t xml:space="preserve">200</w:t>
            </w:r>
            <w:r>
              <w:rPr>
                <w:rFonts w:ascii="Times New Roman" w:hAnsi="Times New Roman" w:eastAsia="Times New Roman" w:cs="Times New Roman"/>
                <w:color w:val="000000"/>
                <w:sz w:val="22"/>
                <w:highlight w:val="white"/>
              </w:rPr>
              <w:t xml:space="preserve">m</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không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80,8</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5,25</w:t>
            </w:r>
            <w:r>
              <w:rPr>
                <w:sz w:val="22"/>
                <w:szCs w:val="22"/>
                <w:highlight w:val="white"/>
              </w:rPr>
            </w:r>
            <w:r>
              <w:rPr>
                <w:sz w:val="22"/>
                <w:szCs w:val="22"/>
                <w:highlight w:val="white"/>
              </w:rPr>
            </w:r>
          </w:p>
        </w:tc>
      </w:tr>
      <w:tr>
        <w:trPr>
          <w:trHeight w:val="32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Nở hậu</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 ảnh đăng bán:</w:t>
            </w:r>
            <w:r>
              <w:rPr>
                <w:b/>
                <w:bCs/>
                <w:color w:val="000000"/>
                <w:sz w:val="22"/>
                <w:szCs w:val="22"/>
                <w:highlight w:val="white"/>
              </w:rPr>
            </w:r>
            <w:r>
              <w:rPr>
                <w:b/>
                <w:bCs/>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456929"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456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29.68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423333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33.3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iCs/>
          <w:highlight w:val="white"/>
        </w:rPr>
      </w:r>
      <w:r>
        <w:rPr>
          <w:iCs/>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Lê </w:t>
            </w:r>
            <w:r>
              <w:rPr>
                <w:b/>
                <w:bCs/>
                <w:highlight w:val="white"/>
              </w:rPr>
              <w:t xml:space="preserve">Đ</w:t>
            </w:r>
            <w:r>
              <w:rPr>
                <w:b/>
                <w:bCs/>
                <w:highlight w:val="white"/>
              </w:rPr>
              <w:t xml:space="preserve">ình </w:t>
            </w:r>
            <w:r>
              <w:rPr>
                <w:b/>
                <w:bCs/>
                <w:highlight w:val="white"/>
              </w:rPr>
              <w:t xml:space="preserve">Duy</w:t>
            </w:r>
            <w:r>
              <w:rPr>
                <w:b/>
                <w:bCs/>
                <w:highlight w:val="white"/>
              </w:rPr>
            </w:r>
            <w:r>
              <w:rPr>
                <w:b/>
                <w:bCs/>
                <w:highlight w:val="white"/>
              </w:rPr>
            </w:r>
          </w:p>
        </w:tc>
      </w:tr>
    </w:tbl>
    <w:p>
      <w:pPr>
        <w:pBdr/>
        <w:shd w:val="nil" w:color="auto"/>
        <w:spacing/>
        <w:ind/>
        <w:rPr>
          <w:highlight w:val="white"/>
        </w:rPr>
      </w:pPr>
      <w:r>
        <w:rPr>
          <w:iCs/>
          <w:highlight w:val="white"/>
          <w:lang w:val="pt-BR"/>
        </w:rPr>
        <w:br w:type="page" w:clear="all"/>
      </w:r>
      <w:r>
        <w:rPr>
          <w:highlight w:val="white"/>
        </w:rPr>
      </w:r>
      <w:r>
        <w:rPr>
          <w:highlight w:val="white"/>
        </w:rPr>
      </w:r>
    </w:p>
    <w:p>
      <w:pPr>
        <w:pBdr/>
        <w:shd w:val="nil" w:color="auto"/>
        <w:spacing/>
        <w:ind/>
        <w:jc w:val="center"/>
        <w:rPr>
          <w:highlight w:val="white"/>
        </w:rPr>
      </w:pPr>
      <w:r>
        <w:rPr>
          <w:b/>
          <w:bCs/>
          <w:iCs/>
          <w:highlight w:val="white"/>
          <w:lang w:val="pt-BR"/>
        </w:rPr>
        <w:t xml:space="preserve">THÔNG </w:t>
      </w:r>
      <w:r>
        <w:rPr>
          <w:b/>
          <w:bCs/>
          <w:iCs/>
          <w:highlight w:val="white"/>
          <w:lang w:val="pt-BR"/>
        </w:rPr>
        <w:t xml:space="preserve">TIN </w:t>
      </w:r>
      <w:r>
        <w:rPr>
          <w:b/>
          <w:bCs/>
          <w:iCs/>
          <w:highlight w:val="white"/>
          <w:lang w:val="pt-BR"/>
        </w:rPr>
        <w:t xml:space="preserve">TÀI </w:t>
      </w:r>
      <w:r>
        <w:rPr>
          <w:b/>
          <w:bCs/>
          <w:iCs/>
          <w:highlight w:val="white"/>
          <w:lang w:val="pt-BR"/>
        </w:rPr>
        <w:t xml:space="preserve">SẢN </w:t>
      </w:r>
      <w:r>
        <w:rPr>
          <w:highlight w:val="white"/>
        </w:rPr>
      </w:r>
      <w:r>
        <w:rPr>
          <w:highlight w:val="white"/>
        </w:rPr>
      </w:r>
    </w:p>
    <w:p>
      <w:pPr>
        <w:pBdr/>
        <w:shd w:val="nil" w:color="000000"/>
        <w:spacing/>
        <w:ind/>
        <w:jc w:val="center"/>
        <w:rPr>
          <w:highlight w:val="white"/>
        </w:rPr>
      </w:pPr>
      <w:r>
        <w:rPr>
          <w:iCs/>
          <w:highlight w:val="white"/>
          <w:lang w:val="pt-BR"/>
        </w:rPr>
      </w:r>
      <w:r>
        <w:rPr>
          <w:highlight w:val="white"/>
        </w:rPr>
        <mc:AlternateContent>
          <mc:Choice Requires="wpg">
            <w:drawing>
              <wp:inline xmlns:wp="http://schemas.openxmlformats.org/drawingml/2006/wordprocessingDrawing" distT="0" distB="0" distL="0" distR="0">
                <wp:extent cx="6048375" cy="8066532"/>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78696" name=""/>
                        <pic:cNvPicPr>
                          <a:picLocks noChangeAspect="1"/>
                        </pic:cNvPicPr>
                        <pic:nvPr/>
                      </pic:nvPicPr>
                      <pic:blipFill rotWithShape="1">
                        <a:blip r:embed="rId30"/>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16pt;mso-wrap-distance-left:0.00pt;mso-wrap-distance-top:0.00pt;mso-wrap-distance-right:0.00pt;mso-wrap-distance-bottom:0.00pt;z-index:1;" stroked="false">
                <v:imagedata r:id="rId30" o:title=""/>
                <o:lock v:ext="edit" rotation="t"/>
              </v:shape>
            </w:pict>
          </mc:Fallback>
        </mc:AlternateContent>
      </w:r>
      <w:r>
        <w:rPr>
          <w:iCs/>
          <w:highlight w:val="white"/>
          <w:lang w:val="pt-BR"/>
        </w:rPr>
        <w:br w:type="page" w:clear="all"/>
      </w:r>
      <w:r>
        <w:rPr>
          <w:highlight w:val="white"/>
        </w:rPr>
      </w:r>
      <w:r>
        <w:rPr>
          <w:highlight w:val="white"/>
        </w:rPr>
      </w:r>
    </w:p>
    <w:p>
      <w:pPr>
        <w:pBdr/>
        <w:shd w:val="nil" w:color="auto"/>
        <w:spacing/>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806767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86398" name=""/>
                        <pic:cNvPicPr>
                          <a:picLocks noChangeAspect="1"/>
                        </pic:cNvPicPr>
                        <pic:nvPr/>
                      </pic:nvPicPr>
                      <pic:blipFill rotWithShape="1">
                        <a:blip r:embed="rId31"/>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25pt;mso-wrap-distance-left:0.00pt;mso-wrap-distance-top:0.00pt;mso-wrap-distance-right:0.00pt;mso-wrap-distance-bottom:0.00pt;z-index:1;" stroked="false">
                <v:imagedata r:id="rId31" o:title=""/>
                <o:lock v:ext="edit" rotation="t"/>
              </v:shape>
            </w:pict>
          </mc:Fallback>
        </mc:AlternateContent>
      </w:r>
      <w:r>
        <w:rPr>
          <w:highlight w:val="white"/>
        </w:rPr>
        <w:br w:type="page" w:clear="all"/>
      </w:r>
      <w:r>
        <w:rPr>
          <w:highlight w:val="white"/>
        </w:rPr>
      </w:r>
      <w:r>
        <w:rPr>
          <w:highlight w:val="white"/>
        </w:rPr>
      </w:r>
    </w:p>
    <w:p>
      <w:pPr>
        <w:pBdr/>
        <w:shd w:val="nil" w:color="auto"/>
        <w:spacing/>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806653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69131" name=""/>
                        <pic:cNvPicPr>
                          <a:picLocks noChangeAspect="1"/>
                        </pic:cNvPicPr>
                        <pic:nvPr/>
                      </pic:nvPicPr>
                      <pic:blipFill rotWithShape="1">
                        <a:blip r:embed="rId32"/>
                        <a:stretch/>
                      </pic:blipFill>
                      <pic:spPr bwMode="auto">
                        <a:xfrm rot="0" flipH="0" flipV="0">
                          <a:off x="0" y="0"/>
                          <a:ext cx="6048374" cy="80665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16pt;mso-wrap-distance-left:0.00pt;mso-wrap-distance-top:0.00pt;mso-wrap-distance-right:0.00pt;mso-wrap-distance-bottom:0.00pt;rotation:0;z-index:1;" stroked="false">
                <v:imagedata r:id="rId32" o:title=""/>
                <o:lock v:ext="edit" rotation="t"/>
              </v:shape>
            </w:pict>
          </mc:Fallback>
        </mc:AlternateContent>
      </w:r>
      <w:r>
        <w:rPr>
          <w:highlight w:val="white"/>
        </w:rPr>
        <w:br w:type="page" w:clear="all"/>
      </w:r>
      <w:r>
        <w:rPr>
          <w:highlight w:val="white"/>
        </w:rPr>
        <mc:AlternateContent>
          <mc:Choice Requires="wpg">
            <w:drawing>
              <wp:inline xmlns:wp="http://schemas.openxmlformats.org/drawingml/2006/wordprocessingDrawing" distT="0" distB="0" distL="0" distR="0">
                <wp:extent cx="5715340" cy="925258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01566" name=""/>
                        <pic:cNvPicPr>
                          <a:picLocks noChangeAspect="1"/>
                        </pic:cNvPicPr>
                        <pic:nvPr/>
                      </pic:nvPicPr>
                      <pic:blipFill rotWithShape="1">
                        <a:blip r:embed="rId33"/>
                        <a:stretch/>
                      </pic:blipFill>
                      <pic:spPr bwMode="auto">
                        <a:xfrm flipH="0" flipV="0">
                          <a:off x="0" y="0"/>
                          <a:ext cx="5715339"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50.03pt;height:728.55pt;mso-wrap-distance-left:0.00pt;mso-wrap-distance-top:0.00pt;mso-wrap-distance-right:0.00pt;mso-wrap-distance-bottom:0.00pt;z-index:1;" stroked="false">
                <v:imagedata r:id="rId33" o:title=""/>
                <o:lock v:ext="edit" rotation="t"/>
              </v:shape>
            </w:pict>
          </mc:Fallback>
        </mc:AlternateContent>
      </w:r>
      <w:r>
        <w:rPr>
          <w:highlight w:val="white"/>
        </w:rPr>
      </w:r>
      <w:r>
        <w:rPr>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9-15T11:25:49Z" w:initials="NTTD">
    <w:p w14:paraId="00000001" w14:textId="00000001">
      <w:pPr>
        <w:spacing w:line="240" w:after="0" w:lineRule="auto" w:before="0"/>
        <w:ind w:firstLine="0" w:left="0" w:right="0"/>
        <w:jc w:val="left"/>
      </w:pPr>
      <w:r>
        <w:rPr>
          <w:rFonts w:eastAsia="Arial" w:ascii="Arial" w:hAnsi="Arial" w:cs="Arial"/>
          <w:sz w:val="22"/>
        </w:rPr>
        <w:t xml:space="preserve">Thiếu ảnh tương quan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7020884" w16cex:dateUtc="2026-09-15T04:25:49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7702088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C5D9EA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pn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pn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comments" Target="comments.xml" /><Relationship Id="rId35" Type="http://schemas.microsoft.com/office/2011/relationships/commentsExtended" Target="commentsExtended.xml" /><Relationship Id="rId36" Type="http://schemas.microsoft.com/office/2018/08/relationships/commentsExtensible" Target="commentsExtensible.xml" /><Relationship Id="rId37" Type="http://schemas.microsoft.com/office/2016/09/relationships/commentsIds" Target="commentsIds.xml" /><Relationship Id="rId3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295</cp:revision>
  <dcterms:created xsi:type="dcterms:W3CDTF">2025-09-15T09:58:00Z</dcterms:created>
  <dcterms:modified xsi:type="dcterms:W3CDTF">2026-09-15T05:19:06Z</dcterms:modified>
</cp:coreProperties>
</file>