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5064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5064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rFonts w:ascii="Times New Roman" w:hAnsi="Times New Roman" w:cs="Times New Roman"/>
                                <w:b/>
                                <w:color w:val="990000"/>
                                <w:sz w:val="30"/>
                                <w:szCs w:val="30"/>
                              </w:rPr>
                            </w:pPr>
                            <w:r>
                              <w:rPr>
                                <w:rFonts w:ascii="Times New Roman" w:hAnsi="Times New Roman" w:eastAsia="Times New Roman" w:cs="Times New Roman"/>
                                <w:b/>
                                <w:color w:val="17365d" w:themeColor="text2" w:themeShade="BF"/>
                                <w:sz w:val="30"/>
                                <w:szCs w:val="30"/>
                              </w:rPr>
                              <w:t xml:space="preserve">CHỨNG THƯ</w:t>
                            </w:r>
                            <w:r>
                              <w:rPr>
                                <w:rFonts w:ascii="Times New Roman" w:hAnsi="Times New Roman" w:eastAsia="Times New Roman" w:cs="Times New Roman"/>
                                <w:b/>
                                <w:color w:val="17365d" w:themeColor="text2" w:themeShade="BF"/>
                                <w:sz w:val="30"/>
                                <w:szCs w:val="30"/>
                              </w:rPr>
                              <w:t xml:space="preserve">,</w:t>
                            </w:r>
                            <w:r>
                              <w:rPr>
                                <w:rFonts w:ascii="Times New Roman" w:hAnsi="Times New Roman" w:eastAsia="Times New Roman" w:cs="Times New Roman"/>
                                <w:b/>
                                <w:color w:val="17365d" w:themeColor="text2" w:themeShade="BF"/>
                                <w:sz w:val="30"/>
                                <w:szCs w:val="30"/>
                              </w:rPr>
                              <w:t xml:space="preserve"> BÁO CÁO THẨM ĐỊNH GIÁ</w:t>
                            </w:r>
                            <w:r>
                              <w:rPr>
                                <w:rFonts w:ascii="Times New Roman" w:hAnsi="Times New Roman" w:cs="Times New Roman"/>
                                <w:b/>
                                <w:color w:val="990000"/>
                                <w:sz w:val="30"/>
                                <w:szCs w:val="30"/>
                              </w:rPr>
                            </w:r>
                            <w:r>
                              <w:rPr>
                                <w:rFonts w:ascii="Times New Roman" w:hAnsi="Times New Roman" w:cs="Times New Roman"/>
                                <w:b/>
                                <w:color w:val="990000"/>
                                <w:sz w:val="30"/>
                                <w:szCs w:val="30"/>
                              </w:rPr>
                            </w:r>
                          </w:p>
                          <w:p>
                            <w:pPr>
                              <w:pBdr/>
                              <w:spacing w:after="120" w:before="120" w:line="276" w:lineRule="auto"/>
                              <w:ind/>
                              <w:jc w:val="center"/>
                              <w:rPr>
                                <w:rFonts w:ascii="Times New Roman" w:hAnsi="Times New Roman" w:cs="Times New Roman"/>
                                <w:b/>
                                <w:sz w:val="24"/>
                                <w:szCs w:val="24"/>
                              </w:rPr>
                            </w:pPr>
                            <w:r>
                              <w:rPr>
                                <w:rFonts w:ascii="Times New Roman" w:hAnsi="Times New Roman" w:eastAsia="Times New Roman" w:cs="Times New Roman"/>
                                <w:b/>
                              </w:rPr>
                              <w:t xml:space="preserve">Số:</w:t>
                            </w:r>
                            <w:r>
                              <w:rPr>
                                <w:rFonts w:ascii="Times New Roman" w:hAnsi="Times New Roman" w:eastAsia="Times New Roman" w:cs="Times New Roman"/>
                                <w:b/>
                                <w:bCs/>
                              </w:rPr>
                              <w:t xml:space="preserve"> </w:t>
                            </w:r>
                            <w:r>
                              <w:rPr>
                                <w:rFonts w:ascii="Times New Roman" w:hAnsi="Times New Roman" w:eastAsia="Times New Roman" w:cs="Times New Roman"/>
                                <w:b/>
                                <w:bCs/>
                                <w:color w:val="081b3a"/>
                                <w:spacing w:val="3"/>
                                <w:sz w:val="24"/>
                                <w:szCs w:val="24"/>
                                <w:highlight w:val="white"/>
                              </w:rPr>
                              <w:t xml:space="preserve">275/2026/1288/VFI-CT.57.A</w:t>
                            </w:r>
                            <w:r>
                              <w:rPr>
                                <w:rFonts w:ascii="Times New Roman" w:hAnsi="Times New Roman" w:cs="Times New Roman"/>
                                <w:b/>
                                <w:sz w:val="24"/>
                                <w:szCs w:val="24"/>
                              </w:rPr>
                            </w:r>
                            <w:r>
                              <w:rPr>
                                <w:rFonts w:ascii="Times New Roman" w:hAnsi="Times New Roman" w:cs="Times New Roman"/>
                                <w:b/>
                                <w:sz w:val="24"/>
                                <w:szCs w:val="24"/>
                              </w:rPr>
                            </w:r>
                          </w:p>
                          <w:p>
                            <w:pPr>
                              <w:pBdr/>
                              <w:tabs>
                                <w:tab w:val="left" w:leader="none" w:pos="3002"/>
                              </w:tabs>
                              <w:spacing w:after="120" w:before="120" w:line="276" w:lineRule="auto"/>
                              <w:ind/>
                              <w:jc w:val="center"/>
                              <w:rPr>
                                <w:rFonts w:ascii="Times New Roman" w:hAnsi="Times New Roman" w:cs="Times New Roman"/>
                                <w:b/>
                              </w:rPr>
                            </w:pPr>
                            <w:r>
                              <w:rPr>
                                <w:rFonts w:ascii="Times New Roman" w:hAnsi="Times New Roman" w:eastAsia="Times New Roman" w:cs="Times New Roman"/>
                                <w:b/>
                                <w:lang w:val="pt-BR"/>
                              </w:rPr>
                              <w:t xml:space="preserve">Khách hàng yêu cầu: </w:t>
                            </w:r>
                            <w:r>
                              <w:rPr>
                                <w:rFonts w:ascii="Times New Roman" w:hAnsi="Times New Roman" w:eastAsia="Times New Roman" w:cs="Times New Roman"/>
                                <w:b/>
                                <w:color w:val="000000" w:themeColor="text1"/>
                                <w:lang w:val="pt-BR"/>
                              </w:rPr>
                              <w:t xml:space="preserve">ÔNG CHU ĐỨC HOÀI HỒNG</w:t>
                            </w:r>
                            <w:r>
                              <w:rPr>
                                <w:rFonts w:ascii="Times New Roman" w:hAnsi="Times New Roman" w:cs="Times New Roman"/>
                                <w:b/>
                              </w:rPr>
                            </w:r>
                            <w:r>
                              <w:rPr>
                                <w:rFonts w:ascii="Times New Roman" w:hAnsi="Times New Roman" w:cs="Times New Roman"/>
                                <w:b/>
                              </w:rPr>
                            </w:r>
                          </w:p>
                          <w:p>
                            <w:pPr>
                              <w:pBdr>
                                <w:top w:val="none" w:color="000000" w:sz="4" w:space="0"/>
                                <w:left w:val="none" w:color="000000" w:sz="4" w:space="0"/>
                                <w:bottom w:val="none" w:color="000000" w:sz="4" w:space="0"/>
                                <w:right w:val="none" w:color="000000" w:sz="4" w:space="0"/>
                              </w:pBdr>
                              <w:spacing w:after="120" w:before="120" w:line="312" w:lineRule="auto"/>
                              <w:ind w:right="0" w:firstLine="0" w:left="283"/>
                              <w:jc w:val="both"/>
                              <w:rPr>
                                <w:rFonts w:ascii="Times New Roman" w:hAnsi="Times New Roman" w:cs="Times New Roman"/>
                              </w:rPr>
                            </w:pPr>
                            <w:r>
                              <w:rPr>
                                <w:rFonts w:ascii="Times New Roman" w:hAnsi="Times New Roman" w:eastAsia="Times New Roman" w:cs="Times New Roman"/>
                                <w:b/>
                              </w:rPr>
                              <w:t xml:space="preserve">Tài sản thẩm </w:t>
                            </w:r>
                            <w:r>
                              <w:rPr>
                                <w:rFonts w:ascii="Times New Roman" w:hAnsi="Times New Roman" w:eastAsia="Times New Roman" w:cs="Times New Roman"/>
                                <w:b/>
                              </w:rPr>
                              <w:t xml:space="preserve">định: </w:t>
                            </w:r>
                            <w:r>
                              <w:rPr>
                                <w:rFonts w:ascii="Times New Roman" w:hAnsi="Times New Roman" w:eastAsia="Times New Roman" w:cs="Times New Roman"/>
                                <w:color w:val="000000"/>
                                <w:sz w:val="24"/>
                              </w:rPr>
                              <w:t xml:space="preserve">Quyền sử dụng đất và tài sản gắn liền với đất tại thửa đất số: 119, tờ bản đồ số: 23 có địa chỉ tại: Số 04 khu BH 02 – ô số 4 lô OTM-3, khu đô thị Vinhomes Imperia, phường Thượng Lý, quận Hồng Bàng, thành phố Hải Phòng </w:t>
                            </w:r>
                            <w:r>
                              <w:rPr>
                                <w:rFonts w:ascii="Times New Roman" w:hAnsi="Times New Roman" w:eastAsia="Times New Roman" w:cs="Times New Roman"/>
                                <w:i/>
                                <w:color w:val="000000"/>
                                <w:sz w:val="24"/>
                              </w:rPr>
                              <w:t xml:space="preserve">(Nay là Phường Hồng Bàng, Thành phố Hải Phòng)</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CX 578549, số vào sổ cấp GCN: CH 00922  do Ủy Ban Nhân Dân Quận Hồng Bàng  cấp ngày 02/7/2020; Chủ sử dụng đất là ông Chu Đức Hoài Hồng và vợ là bà Nguyễn Thị </w:t>
                            </w:r>
                            <w:r>
                              <w:rPr>
                                <w:rFonts w:ascii="Times New Roman" w:hAnsi="Times New Roman" w:eastAsia="Times New Roman" w:cs="Times New Roman"/>
                                <w:color w:val="000000"/>
                                <w:sz w:val="24"/>
                              </w:rPr>
                              <w:t xml:space="preserve">Thu Trang</w:t>
                            </w:r>
                            <w:r>
                              <w:rPr>
                                <w:rFonts w:ascii="Times New Roman" w:hAnsi="Times New Roman" w:eastAsia="Times New Roman" w:cs="Times New Roman"/>
                                <w:i/>
                                <w:color w:val="000000"/>
                                <w:sz w:val="24"/>
                              </w:rPr>
                              <w:t xml:space="preserve">.</w:t>
                            </w:r>
                            <w:r>
                              <w:rPr>
                                <w:rFonts w:ascii="Times New Roman" w:hAnsi="Times New Roman" w:cs="Times New Roman"/>
                              </w:rPr>
                            </w:r>
                            <w:r>
                              <w:rPr>
                                <w:rFonts w:ascii="Times New Roman" w:hAnsi="Times New Roman" w:cs="Times New Roman"/>
                              </w:rPr>
                            </w:r>
                          </w:p>
                          <w:p>
                            <w:pPr>
                              <w:pBdr/>
                              <w:spacing w:after="120" w:before="120" w:line="360" w:lineRule="auto"/>
                              <w:ind/>
                              <w:jc w:val="center"/>
                              <w:rPr>
                                <w:rFonts w:ascii="Times New Roman" w:hAnsi="Times New Roman" w:cs="Times New Roman"/>
                                <w:bCs/>
                                <w:i/>
                                <w:iCs/>
                              </w:rPr>
                            </w:pPr>
                            <w:r>
                              <w:rPr>
                                <w:rFonts w:ascii="Times New Roman" w:hAnsi="Times New Roman" w:eastAsia="Times New Roman" w:cs="Times New Roman"/>
                                <w:b/>
                                <w:bCs/>
                                <w:lang w:val="pt-BR"/>
                              </w:rPr>
                              <w:t xml:space="preserve">Thời điểm thẩm định: </w:t>
                            </w:r>
                            <w:r>
                              <w:rPr>
                                <w:rFonts w:ascii="Times New Roman" w:hAnsi="Times New Roman" w:eastAsia="Times New Roman" w:cs="Times New Roman"/>
                                <w:color w:val="000000" w:themeColor="text1"/>
                                <w:lang w:val="pt-BR"/>
                              </w:rPr>
                              <w:t xml:space="preserve">Tháng 08/2026</w:t>
                            </w:r>
                            <w:r>
                              <w:rPr>
                                <w:rFonts w:ascii="Times New Roman" w:hAnsi="Times New Roman" w:eastAsia="Times New Roman" w:cs="Times New Roman"/>
                                <w:lang w:val="pt-BR"/>
                              </w:rPr>
                              <w:t xml:space="preserve">.</w:t>
                            </w:r>
                            <w:r>
                              <w:rPr>
                                <w:rFonts w:ascii="Times New Roman" w:hAnsi="Times New Roman" w:cs="Times New Roman"/>
                                <w:bCs/>
                                <w:i/>
                                <w:iCs/>
                              </w:rPr>
                            </w:r>
                            <w:r>
                              <w:rPr>
                                <w:rFonts w:ascii="Times New Roman" w:hAnsi="Times New Roman" w:cs="Times New Roman"/>
                                <w:bCs/>
                                <w:i/>
                                <w:iCs/>
                              </w:rPr>
                            </w:r>
                          </w:p>
                          <w:p>
                            <w:pPr>
                              <w:pBdr/>
                              <w:spacing w:after="120" w:before="120" w:line="276" w:lineRule="auto"/>
                              <w:ind/>
                              <w:jc w:val="center"/>
                              <w:rPr>
                                <w:rFonts w:ascii="Times New Roman" w:hAnsi="Times New Roman" w:cs="Times New Roman"/>
                                <w:b/>
                                <w:color w:val="0070c0"/>
                                <w:sz w:val="26"/>
                                <w:szCs w:val="26"/>
                              </w:rPr>
                            </w:pPr>
                            <w:r>
                              <w:rPr>
                                <w:rFonts w:ascii="Times New Roman" w:hAnsi="Times New Roman" w:eastAsia="Times New Roman" w:cs="Times New Roman"/>
                                <w:b/>
                                <w:color w:val="0070c0"/>
                                <w:sz w:val="26"/>
                                <w:szCs w:val="26"/>
                                <w:lang w:val="pt-BR"/>
                              </w:rPr>
                            </w:r>
                            <w:r>
                              <w:rPr>
                                <w:rFonts w:ascii="Times New Roman" w:hAnsi="Times New Roman" w:cs="Times New Roman"/>
                                <w:b/>
                                <w:color w:val="0070c0"/>
                                <w:sz w:val="26"/>
                                <w:szCs w:val="26"/>
                              </w:rPr>
                            </w:r>
                            <w:r>
                              <w:rPr>
                                <w:rFonts w:ascii="Times New Roman" w:hAnsi="Times New Roman" w:cs="Times New Roman"/>
                                <w:b/>
                                <w:color w:val="0070c0"/>
                                <w:sz w:val="26"/>
                                <w:szCs w:val="26"/>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6.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rFonts w:ascii="Times New Roman" w:hAnsi="Times New Roman" w:cs="Times New Roman"/>
                          <w:b/>
                          <w:color w:val="990000"/>
                          <w:sz w:val="30"/>
                          <w:szCs w:val="30"/>
                        </w:rPr>
                      </w:pPr>
                      <w:r>
                        <w:rPr>
                          <w:rFonts w:ascii="Times New Roman" w:hAnsi="Times New Roman" w:eastAsia="Times New Roman" w:cs="Times New Roman"/>
                          <w:b/>
                          <w:color w:val="17365d" w:themeColor="text2" w:themeShade="BF"/>
                          <w:sz w:val="30"/>
                          <w:szCs w:val="30"/>
                        </w:rPr>
                        <w:t xml:space="preserve">CHỨNG THƯ</w:t>
                      </w:r>
                      <w:r>
                        <w:rPr>
                          <w:rFonts w:ascii="Times New Roman" w:hAnsi="Times New Roman" w:eastAsia="Times New Roman" w:cs="Times New Roman"/>
                          <w:b/>
                          <w:color w:val="17365d" w:themeColor="text2" w:themeShade="BF"/>
                          <w:sz w:val="30"/>
                          <w:szCs w:val="30"/>
                        </w:rPr>
                        <w:t xml:space="preserve">,</w:t>
                      </w:r>
                      <w:r>
                        <w:rPr>
                          <w:rFonts w:ascii="Times New Roman" w:hAnsi="Times New Roman" w:eastAsia="Times New Roman" w:cs="Times New Roman"/>
                          <w:b/>
                          <w:color w:val="17365d" w:themeColor="text2" w:themeShade="BF"/>
                          <w:sz w:val="30"/>
                          <w:szCs w:val="30"/>
                        </w:rPr>
                        <w:t xml:space="preserve"> BÁO CÁO THẨM ĐỊNH GIÁ</w:t>
                      </w:r>
                      <w:r>
                        <w:rPr>
                          <w:rFonts w:ascii="Times New Roman" w:hAnsi="Times New Roman" w:cs="Times New Roman"/>
                          <w:b/>
                          <w:color w:val="990000"/>
                          <w:sz w:val="30"/>
                          <w:szCs w:val="30"/>
                        </w:rPr>
                      </w:r>
                      <w:r>
                        <w:rPr>
                          <w:rFonts w:ascii="Times New Roman" w:hAnsi="Times New Roman" w:cs="Times New Roman"/>
                          <w:b/>
                          <w:color w:val="990000"/>
                          <w:sz w:val="30"/>
                          <w:szCs w:val="30"/>
                        </w:rPr>
                      </w:r>
                    </w:p>
                    <w:p>
                      <w:pPr>
                        <w:pBdr/>
                        <w:spacing w:after="120" w:before="120" w:line="276" w:lineRule="auto"/>
                        <w:ind/>
                        <w:jc w:val="center"/>
                        <w:rPr>
                          <w:rFonts w:ascii="Times New Roman" w:hAnsi="Times New Roman" w:cs="Times New Roman"/>
                          <w:b/>
                          <w:sz w:val="24"/>
                          <w:szCs w:val="24"/>
                        </w:rPr>
                      </w:pPr>
                      <w:r>
                        <w:rPr>
                          <w:rFonts w:ascii="Times New Roman" w:hAnsi="Times New Roman" w:eastAsia="Times New Roman" w:cs="Times New Roman"/>
                          <w:b/>
                        </w:rPr>
                        <w:t xml:space="preserve">Số:</w:t>
                      </w:r>
                      <w:r>
                        <w:rPr>
                          <w:rFonts w:ascii="Times New Roman" w:hAnsi="Times New Roman" w:eastAsia="Times New Roman" w:cs="Times New Roman"/>
                          <w:b/>
                          <w:bCs/>
                        </w:rPr>
                        <w:t xml:space="preserve"> </w:t>
                      </w:r>
                      <w:r>
                        <w:rPr>
                          <w:rFonts w:ascii="Times New Roman" w:hAnsi="Times New Roman" w:eastAsia="Times New Roman" w:cs="Times New Roman"/>
                          <w:b/>
                          <w:bCs/>
                          <w:color w:val="081b3a"/>
                          <w:spacing w:val="3"/>
                          <w:sz w:val="24"/>
                          <w:szCs w:val="24"/>
                          <w:highlight w:val="white"/>
                        </w:rPr>
                        <w:t xml:space="preserve">275/2026/1288/VFI-CT.57.A</w:t>
                      </w:r>
                      <w:r>
                        <w:rPr>
                          <w:rFonts w:ascii="Times New Roman" w:hAnsi="Times New Roman" w:cs="Times New Roman"/>
                          <w:b/>
                          <w:sz w:val="24"/>
                          <w:szCs w:val="24"/>
                        </w:rPr>
                      </w:r>
                      <w:r>
                        <w:rPr>
                          <w:rFonts w:ascii="Times New Roman" w:hAnsi="Times New Roman" w:cs="Times New Roman"/>
                          <w:b/>
                          <w:sz w:val="24"/>
                          <w:szCs w:val="24"/>
                        </w:rPr>
                      </w:r>
                    </w:p>
                    <w:p>
                      <w:pPr>
                        <w:pBdr/>
                        <w:tabs>
                          <w:tab w:val="left" w:leader="none" w:pos="3002"/>
                        </w:tabs>
                        <w:spacing w:after="120" w:before="120" w:line="276" w:lineRule="auto"/>
                        <w:ind/>
                        <w:jc w:val="center"/>
                        <w:rPr>
                          <w:rFonts w:ascii="Times New Roman" w:hAnsi="Times New Roman" w:cs="Times New Roman"/>
                          <w:b/>
                        </w:rPr>
                      </w:pPr>
                      <w:r>
                        <w:rPr>
                          <w:rFonts w:ascii="Times New Roman" w:hAnsi="Times New Roman" w:eastAsia="Times New Roman" w:cs="Times New Roman"/>
                          <w:b/>
                          <w:lang w:val="pt-BR"/>
                        </w:rPr>
                        <w:t xml:space="preserve">Khách hàng yêu cầu: </w:t>
                      </w:r>
                      <w:r>
                        <w:rPr>
                          <w:rFonts w:ascii="Times New Roman" w:hAnsi="Times New Roman" w:eastAsia="Times New Roman" w:cs="Times New Roman"/>
                          <w:b/>
                          <w:color w:val="000000" w:themeColor="text1"/>
                          <w:lang w:val="pt-BR"/>
                        </w:rPr>
                        <w:t xml:space="preserve">ÔNG CHU ĐỨC HOÀI HỒNG</w:t>
                      </w:r>
                      <w:r>
                        <w:rPr>
                          <w:rFonts w:ascii="Times New Roman" w:hAnsi="Times New Roman" w:cs="Times New Roman"/>
                          <w:b/>
                        </w:rPr>
                      </w:r>
                      <w:r>
                        <w:rPr>
                          <w:rFonts w:ascii="Times New Roman" w:hAnsi="Times New Roman" w:cs="Times New Roman"/>
                          <w:b/>
                        </w:rPr>
                      </w:r>
                    </w:p>
                    <w:p>
                      <w:pPr>
                        <w:pBdr>
                          <w:top w:val="none" w:color="000000" w:sz="4" w:space="0"/>
                          <w:left w:val="none" w:color="000000" w:sz="4" w:space="0"/>
                          <w:bottom w:val="none" w:color="000000" w:sz="4" w:space="0"/>
                          <w:right w:val="none" w:color="000000" w:sz="4" w:space="0"/>
                        </w:pBdr>
                        <w:spacing w:after="120" w:before="120" w:line="312" w:lineRule="auto"/>
                        <w:ind w:right="0" w:firstLine="0" w:left="283"/>
                        <w:jc w:val="both"/>
                        <w:rPr>
                          <w:rFonts w:ascii="Times New Roman" w:hAnsi="Times New Roman" w:cs="Times New Roman"/>
                        </w:rPr>
                      </w:pPr>
                      <w:r>
                        <w:rPr>
                          <w:rFonts w:ascii="Times New Roman" w:hAnsi="Times New Roman" w:eastAsia="Times New Roman" w:cs="Times New Roman"/>
                          <w:b/>
                        </w:rPr>
                        <w:t xml:space="preserve">Tài sản thẩm </w:t>
                      </w:r>
                      <w:r>
                        <w:rPr>
                          <w:rFonts w:ascii="Times New Roman" w:hAnsi="Times New Roman" w:eastAsia="Times New Roman" w:cs="Times New Roman"/>
                          <w:b/>
                        </w:rPr>
                        <w:t xml:space="preserve">định: </w:t>
                      </w:r>
                      <w:r>
                        <w:rPr>
                          <w:rFonts w:ascii="Times New Roman" w:hAnsi="Times New Roman" w:eastAsia="Times New Roman" w:cs="Times New Roman"/>
                          <w:color w:val="000000"/>
                          <w:sz w:val="24"/>
                        </w:rPr>
                        <w:t xml:space="preserve">Quyền sử dụng đất và tài sản gắn liền với đất tại thửa đất số: 119, tờ bản đồ số: 23 có địa chỉ tại: Số 04 khu BH 02 – ô số 4 lô OTM-3, khu đô thị Vinhomes Imperia, phường Thượng Lý, quận Hồng Bàng, thành phố Hải Phòng </w:t>
                      </w:r>
                      <w:r>
                        <w:rPr>
                          <w:rFonts w:ascii="Times New Roman" w:hAnsi="Times New Roman" w:eastAsia="Times New Roman" w:cs="Times New Roman"/>
                          <w:i/>
                          <w:color w:val="000000"/>
                          <w:sz w:val="24"/>
                        </w:rPr>
                        <w:t xml:space="preserve">(Nay là Phường Hồng Bàng, Thành phố Hải Phòng)</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CX 578549, số vào sổ cấp GCN: CH 00922  do Ủy Ban Nhân Dân Quận Hồng Bàng  cấp ngày 02/7/2020; Chủ sử dụng đất là ông Chu Đức Hoài Hồng và vợ là bà Nguyễn Thị </w:t>
                      </w:r>
                      <w:r>
                        <w:rPr>
                          <w:rFonts w:ascii="Times New Roman" w:hAnsi="Times New Roman" w:eastAsia="Times New Roman" w:cs="Times New Roman"/>
                          <w:color w:val="000000"/>
                          <w:sz w:val="24"/>
                        </w:rPr>
                        <w:t xml:space="preserve">Thu Trang</w:t>
                      </w:r>
                      <w:r>
                        <w:rPr>
                          <w:rFonts w:ascii="Times New Roman" w:hAnsi="Times New Roman" w:eastAsia="Times New Roman" w:cs="Times New Roman"/>
                          <w:i/>
                          <w:color w:val="000000"/>
                          <w:sz w:val="24"/>
                        </w:rPr>
                        <w:t xml:space="preserve">.</w:t>
                      </w:r>
                      <w:r>
                        <w:rPr>
                          <w:rFonts w:ascii="Times New Roman" w:hAnsi="Times New Roman" w:cs="Times New Roman"/>
                        </w:rPr>
                      </w:r>
                      <w:r>
                        <w:rPr>
                          <w:rFonts w:ascii="Times New Roman" w:hAnsi="Times New Roman" w:cs="Times New Roman"/>
                        </w:rPr>
                      </w:r>
                    </w:p>
                    <w:p>
                      <w:pPr>
                        <w:pBdr/>
                        <w:spacing w:after="120" w:before="120" w:line="360" w:lineRule="auto"/>
                        <w:ind/>
                        <w:jc w:val="center"/>
                        <w:rPr>
                          <w:rFonts w:ascii="Times New Roman" w:hAnsi="Times New Roman" w:cs="Times New Roman"/>
                          <w:bCs/>
                          <w:i/>
                          <w:iCs/>
                        </w:rPr>
                      </w:pPr>
                      <w:r>
                        <w:rPr>
                          <w:rFonts w:ascii="Times New Roman" w:hAnsi="Times New Roman" w:eastAsia="Times New Roman" w:cs="Times New Roman"/>
                          <w:b/>
                          <w:bCs/>
                          <w:lang w:val="pt-BR"/>
                        </w:rPr>
                        <w:t xml:space="preserve">Thời điểm thẩm định: </w:t>
                      </w:r>
                      <w:r>
                        <w:rPr>
                          <w:rFonts w:ascii="Times New Roman" w:hAnsi="Times New Roman" w:eastAsia="Times New Roman" w:cs="Times New Roman"/>
                          <w:color w:val="000000" w:themeColor="text1"/>
                          <w:lang w:val="pt-BR"/>
                        </w:rPr>
                        <w:t xml:space="preserve">Tháng 08/2026</w:t>
                      </w:r>
                      <w:r>
                        <w:rPr>
                          <w:rFonts w:ascii="Times New Roman" w:hAnsi="Times New Roman" w:eastAsia="Times New Roman" w:cs="Times New Roman"/>
                          <w:lang w:val="pt-BR"/>
                        </w:rPr>
                        <w:t xml:space="preserve">.</w:t>
                      </w:r>
                      <w:r>
                        <w:rPr>
                          <w:rFonts w:ascii="Times New Roman" w:hAnsi="Times New Roman" w:cs="Times New Roman"/>
                          <w:bCs/>
                          <w:i/>
                          <w:iCs/>
                        </w:rPr>
                      </w:r>
                      <w:r>
                        <w:rPr>
                          <w:rFonts w:ascii="Times New Roman" w:hAnsi="Times New Roman" w:cs="Times New Roman"/>
                          <w:bCs/>
                          <w:i/>
                          <w:iCs/>
                        </w:rPr>
                      </w:r>
                    </w:p>
                    <w:p>
                      <w:pPr>
                        <w:pBdr/>
                        <w:spacing w:after="120" w:before="120" w:line="276" w:lineRule="auto"/>
                        <w:ind/>
                        <w:jc w:val="center"/>
                        <w:rPr>
                          <w:rFonts w:ascii="Times New Roman" w:hAnsi="Times New Roman" w:cs="Times New Roman"/>
                          <w:b/>
                          <w:color w:val="0070c0"/>
                          <w:sz w:val="26"/>
                          <w:szCs w:val="26"/>
                        </w:rPr>
                      </w:pPr>
                      <w:r>
                        <w:rPr>
                          <w:rFonts w:ascii="Times New Roman" w:hAnsi="Times New Roman" w:eastAsia="Times New Roman" w:cs="Times New Roman"/>
                          <w:b/>
                          <w:color w:val="0070c0"/>
                          <w:sz w:val="26"/>
                          <w:szCs w:val="26"/>
                          <w:lang w:val="pt-BR"/>
                        </w:rPr>
                      </w:r>
                      <w:r>
                        <w:rPr>
                          <w:rFonts w:ascii="Times New Roman" w:hAnsi="Times New Roman" w:cs="Times New Roman"/>
                          <w:b/>
                          <w:color w:val="0070c0"/>
                          <w:sz w:val="26"/>
                          <w:szCs w:val="26"/>
                        </w:rPr>
                      </w:r>
                      <w:r>
                        <w:rPr>
                          <w:rFonts w:ascii="Times New Roman" w:hAnsi="Times New Roman" w:cs="Times New Roman"/>
                          <w:b/>
                          <w:color w:val="0070c0"/>
                          <w:sz w:val="26"/>
                          <w:szCs w:val="26"/>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right"/>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4-23</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3"/>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24</w:t>
            </w:r>
            <w:r>
              <w:rPr>
                <w:b/>
                <w:bCs/>
              </w:rPr>
            </w:r>
            <w:r>
              <w:rPr>
                <w:b/>
                <w:bCs/>
              </w:rPr>
            </w:r>
          </w:p>
        </w:tc>
      </w:tr>
      <w:tr>
        <w:trPr/>
        <w:tc>
          <w:tcPr>
            <w:tcBorders/>
            <w:tcMar>
              <w:left w:w="108" w:type="dxa"/>
              <w:right w:w="108" w:type="dxa"/>
            </w:tcMar>
            <w:tcW w:w="7280" w:type="dxa"/>
            <w:vAlign w:val="center"/>
            <w:textDirection w:val="lrTb"/>
            <w:noWrap w:val="false"/>
          </w:tcPr>
          <w:p>
            <w:pPr>
              <w:pStyle w:val="1033"/>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25-32</w:t>
            </w:r>
            <w:r>
              <w:rPr>
                <w:b/>
                <w:bCs/>
              </w:rPr>
            </w:r>
            <w:r>
              <w:rPr>
                <w:b/>
                <w:bCs/>
              </w:rPr>
            </w:r>
          </w:p>
        </w:tc>
      </w:tr>
    </w:tbl>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3"/>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32"/>
              <w:pBdr/>
              <w:spacing w:after="60"/>
              <w:ind/>
              <w:rPr>
                <w:rFonts w:ascii="Times New Roman" w:hAnsi="Times New Roman" w:cs="Times New Roman"/>
                <w:b w:val="0"/>
                <w:bCs/>
                <w:i/>
                <w:color w:val="000000" w:themeColor="text1"/>
                <w:sz w:val="24"/>
                <w:szCs w:val="24"/>
              </w:rPr>
            </w:pPr>
            <w:r>
              <w:rPr>
                <w:rStyle w:val="1031"/>
                <w:rFonts w:ascii="Times New Roman" w:hAnsi="Times New Roman" w:eastAsia="Times New Roman" w:cs="Times New Roman"/>
                <w:b w:val="0"/>
                <w:bCs w:val="0"/>
                <w:i/>
                <w:iCs/>
                <w:color w:val="000000" w:themeColor="text1"/>
                <w:sz w:val="24"/>
                <w:szCs w:val="24"/>
                <w:lang w:val="pt-BR"/>
              </w:rPr>
              <w:t xml:space="preserve">Số: </w:t>
            </w:r>
            <w:r>
              <w:rPr>
                <w:rFonts w:ascii="Times New Roman" w:hAnsi="Times New Roman" w:eastAsia="Times New Roman" w:cs="Times New Roman"/>
                <w:b w:val="0"/>
                <w:bCs w:val="0"/>
                <w:i/>
                <w:iCs/>
                <w:color w:val="081b3a"/>
                <w:spacing w:val="3"/>
                <w:sz w:val="24"/>
                <w:szCs w:val="24"/>
                <w:highlight w:val="white"/>
              </w:rPr>
              <w:t xml:space="preserve">275/2026/1288/VFI-CT.57.A</w:t>
            </w:r>
            <w:r>
              <w:rPr>
                <w:rFonts w:ascii="Times New Roman" w:hAnsi="Times New Roman" w:cs="Times New Roman"/>
                <w:b w:val="0"/>
                <w:bCs/>
                <w:i/>
                <w:color w:val="000000" w:themeColor="text1"/>
                <w:sz w:val="24"/>
                <w:szCs w:val="24"/>
              </w:rPr>
            </w:r>
            <w:r>
              <w:rPr>
                <w:rFonts w:ascii="Times New Roman" w:hAnsi="Times New Roman" w:cs="Times New Roman"/>
                <w:b w:val="0"/>
                <w:bCs/>
                <w:i/>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1032"/>
              <w:pBdr/>
              <w:spacing w:after="60"/>
              <w:ind w:right="-56"/>
              <w:jc w:val="right"/>
              <w:rPr>
                <w:color w:val="000000" w:themeColor="text1"/>
                <w:sz w:val="24"/>
                <w:szCs w:val="24"/>
                <w:lang w:val="vi-VN"/>
              </w:rPr>
            </w:pPr>
            <w:r>
              <w:rPr>
                <w:rStyle w:val="1031"/>
                <w:rFonts w:ascii="Times New Roman" w:hAnsi="Times New Roman"/>
                <w:i/>
                <w:color w:val="auto"/>
              </w:rPr>
              <w:t xml:space="preserve">TP. Hà Nội</w:t>
            </w:r>
            <w:r>
              <w:rPr>
                <w:rStyle w:val="1031"/>
                <w:rFonts w:ascii="Times New Roman" w:hAnsi="Times New Roman"/>
                <w:i/>
                <w:color w:val="auto"/>
                <w:lang w:val="vi-VN"/>
              </w:rPr>
              <w:t xml:space="preserve">, </w:t>
            </w:r>
            <w:r>
              <w:rPr>
                <w:rStyle w:val="1031"/>
                <w:rFonts w:ascii="Times New Roman" w:hAnsi="Times New Roman"/>
                <w:i/>
                <w:color w:val="000000" w:themeColor="text1"/>
                <w:lang w:val="vi-VN"/>
              </w:rPr>
              <w:t xml:space="preserve">ngày 18 tháng 8 năm 2026</w:t>
            </w:r>
            <w:r>
              <w:rPr>
                <w:color w:val="000000" w:themeColor="text1"/>
                <w:sz w:val="24"/>
                <w:szCs w:val="24"/>
                <w:lang w:val="vi-VN"/>
              </w:rPr>
            </w:r>
            <w:r>
              <w:rPr>
                <w:color w:val="000000" w:themeColor="text1"/>
                <w:sz w:val="24"/>
                <w:szCs w:val="24"/>
                <w:lang w:val="vi-VN"/>
              </w:rPr>
            </w:r>
          </w:p>
        </w:tc>
      </w:tr>
    </w:tbl>
    <w:p>
      <w:pPr>
        <w:pStyle w:val="1032"/>
        <w:pBdr/>
        <w:spacing w:after="120" w:before="200" w:line="288" w:lineRule="auto"/>
        <w:ind/>
        <w:jc w:val="center"/>
        <w:rPr>
          <w:rStyle w:val="1031"/>
          <w:rFonts w:ascii="Times New Roman" w:hAnsi="Times New Roman"/>
          <w:b/>
          <w:bCs/>
          <w:color w:val="auto"/>
          <w:sz w:val="30"/>
          <w:szCs w:val="30"/>
          <w:lang w:val="vi-VN"/>
        </w:rPr>
      </w:pPr>
      <w:r>
        <w:rPr>
          <w:rStyle w:val="1031"/>
          <w:rFonts w:ascii="Times New Roman" w:hAnsi="Times New Roman"/>
          <w:b/>
          <w:bCs/>
          <w:color w:val="auto"/>
          <w:sz w:val="30"/>
          <w:szCs w:val="30"/>
          <w:lang w:val="vi-VN"/>
        </w:rPr>
        <w:t xml:space="preserve">CHỨNG THƯ THẨM ĐỊNH GIÁ</w:t>
      </w:r>
      <w:r>
        <w:rPr>
          <w:rStyle w:val="1031"/>
          <w:rFonts w:ascii="Times New Roman" w:hAnsi="Times New Roman"/>
          <w:b/>
          <w:bCs/>
          <w:color w:val="auto"/>
          <w:sz w:val="30"/>
          <w:szCs w:val="30"/>
          <w:lang w:val="vi-VN"/>
        </w:rPr>
      </w:r>
      <w:r>
        <w:rPr>
          <w:rStyle w:val="1031"/>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CHU ĐỨC HOÀI HỒNG</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275/2026/1288/VFI-HĐTĐ.57.A</w:t>
      </w:r>
      <w:r>
        <w:rPr>
          <w:spacing w:val="-4"/>
          <w:lang w:val="vi-VN"/>
        </w:rPr>
        <w:t xml:space="preserve"> ký ngày </w:t>
      </w:r>
      <w:r>
        <w:rPr>
          <w:color w:val="000000" w:themeColor="text1"/>
          <w:spacing w:val="-4"/>
        </w:rPr>
        <w:t xml:space="preserve">17 tháng 8 năm 2026</w:t>
      </w:r>
      <w:r>
        <w:rPr>
          <w:spacing w:val="-4"/>
          <w:lang w:val="vi-VN"/>
        </w:rPr>
        <w:t xml:space="preserve"> </w:t>
      </w:r>
      <w:r>
        <w:rPr>
          <w:spacing w:val="-4"/>
          <w:lang w:val="vi-VN"/>
        </w:rPr>
        <w:t xml:space="preserve">giữa </w:t>
      </w:r>
      <w:r>
        <w:rPr>
          <w:color w:val="000000" w:themeColor="text1"/>
          <w:spacing w:val="-4"/>
        </w:rPr>
        <w:t xml:space="preserve">Ông Chu Đức Hoài Hồng</w:t>
      </w:r>
      <w:r>
        <w:rPr>
          <w:bCs/>
        </w:rPr>
        <w:t xml:space="preserve">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275/2026/1288/VFI-BC.57.A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18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0" w:line="288" w:lineRule="auto"/>
              <w:ind w:right="0" w:firstLine="0" w:left="0"/>
              <w:rPr/>
            </w:pPr>
            <w:r>
              <w:rPr>
                <w:rFonts w:ascii="Times New Roman" w:hAnsi="Times New Roman" w:eastAsia="Times New Roman" w:cs="Times New Roman"/>
                <w:b/>
                <w:color w:val="000000"/>
                <w:spacing w:val="-8"/>
                <w:sz w:val="24"/>
              </w:rPr>
              <w:t xml:space="preserve">ÔNG CHU ĐỨC HOÀI HỒNG</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031081010180</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1981</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An Hồng, An Dương, Hải Phòng</w:t>
            </w:r>
            <w:r>
              <w:rPr>
                <w:rFonts w:ascii="Times New Roman" w:hAnsi="Times New Roman" w:eastAsia="Times New Roman" w:cs="Times New Roman"/>
                <w:sz w:val="24"/>
              </w:rPr>
            </w:r>
            <w:r>
              <w:rPr>
                <w:rFonts w:ascii="Times New Roman" w:hAnsi="Times New Roman" w:eastAsia="Times New Roman" w:cs="Times New Roman"/>
                <w:sz w:val="24"/>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rFonts w:ascii="Times New Roman" w:hAnsi="Times New Roman" w:eastAsia="Times New Roman" w:cs="Times New Roman"/>
          <w:color w:val="000000"/>
          <w:sz w:val="24"/>
        </w:rPr>
        <w:t xml:space="preserve">Giá trị quyền sử dụng đất và tài sản gắn liền với đất tại thửa đất số: 119, tờ bản đồ số: 23 có địa chỉ tại: Số 04 khu BH 02 – ô số 4 lô OTM-3, khu đô thị Vinhomes Imperia, phường Thượng Lý, quận Hồng Bàng, thành phố Hải Phòng </w:t>
      </w:r>
      <w:r>
        <w:rPr>
          <w:rFonts w:ascii="Times New Roman" w:hAnsi="Times New Roman" w:eastAsia="Times New Roman" w:cs="Times New Roman"/>
          <w:i/>
          <w:color w:val="000000"/>
          <w:sz w:val="24"/>
        </w:rPr>
        <w:t xml:space="preserve">(Nay là Phường Hồng Bàng, Thành phố Hải Phòng)</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CX 578549, số vào sổ cấp GCN: CH 00922  do Ủy Ban Nhân Dân Quận Hồng Bàng  cấp ngày 02/7/2020; Chủ sử dụng đất là ông Chu Đức Hoài Hồng và vợ là bà Nguyễn Thị </w:t>
      </w:r>
      <w:r>
        <w:rPr>
          <w:rFonts w:ascii="Times New Roman" w:hAnsi="Times New Roman" w:eastAsia="Times New Roman" w:cs="Times New Roman"/>
          <w:color w:val="000000"/>
          <w:sz w:val="24"/>
        </w:rPr>
        <w:t xml:space="preserve">Thu Trang</w:t>
      </w:r>
      <w:r>
        <w:rPr>
          <w:rFonts w:ascii="Times New Roman" w:hAnsi="Times New Roman" w:eastAsia="Times New Roman" w:cs="Times New Roman"/>
          <w:i/>
          <w:color w:val="000000"/>
          <w:sz w:val="24"/>
        </w:rPr>
        <w:t xml:space="preserve">.</w:t>
      </w:r>
      <w:r>
        <w:rPr>
          <w:rFonts w:ascii="Times New Roman" w:hAnsi="Times New Roman" w:eastAsia="Times New Roman" w:cs="Times New Roman"/>
          <w:sz w:val="24"/>
        </w:rPr>
      </w: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08/2026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21"/>
        <w:gridCol w:w="2283"/>
        <w:gridCol w:w="1276"/>
        <w:gridCol w:w="1701"/>
        <w:gridCol w:w="1559"/>
        <w:gridCol w:w="1985"/>
      </w:tblGrid>
      <w:tr>
        <w:trPr>
          <w:trHeight w:val="20"/>
        </w:trPr>
        <w:tc>
          <w:tcPr>
            <w:shd w:val="clear" w:color="000000" w:fill="ffffff"/>
            <w:tcBorders/>
            <w:tcW w:w="721"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283"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276"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701"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CLCL (%)</w:t>
            </w:r>
            <w:r/>
          </w:p>
        </w:tc>
        <w:tc>
          <w:tcPr>
            <w:shd w:val="clear" w:color="000000" w:fill="ffffff"/>
            <w:tcBorders/>
            <w:tcW w:w="1985"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721"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4"/>
            <w:shd w:val="clear" w:color="000000" w:fill="ffffff"/>
            <w:tcBorders/>
            <w:tcW w:w="6819"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b/>
                <w:bCs/>
              </w:rPr>
            </w:pPr>
            <w:r>
              <w:rPr>
                <w:rFonts w:ascii="Times New Roman" w:hAnsi="Times New Roman" w:eastAsia="Times New Roman" w:cs="Times New Roman"/>
                <w:b/>
                <w:bCs/>
                <w:color w:val="000000"/>
                <w:sz w:val="24"/>
              </w:rPr>
              <w:t xml:space="preserve">Quyền sử dụng đất và tài sản gắn liền với đất tại thửa đất số: 119, tờ bản đồ số: 23 có địa chỉ tại: Số 04 khu BH 02 – ô số 4 lô OTM-3, khu đô thị Vinhomes Imperia, phường Thượng Lý, quận Hồng Bàng, thành phố Hải Phòng </w:t>
            </w:r>
            <w:r>
              <w:rPr>
                <w:rFonts w:ascii="Times New Roman" w:hAnsi="Times New Roman" w:eastAsia="Times New Roman" w:cs="Times New Roman"/>
                <w:b/>
                <w:bCs/>
                <w:i/>
                <w:color w:val="000000"/>
                <w:sz w:val="24"/>
              </w:rPr>
              <w:t xml:space="preserve">(Nay là Phường Hồng Bàng, Thành phố Hải Phòng)</w:t>
            </w:r>
            <w:r>
              <w:rPr>
                <w:rFonts w:ascii="Times New Roman" w:hAnsi="Times New Roman" w:eastAsia="Times New Roman" w:cs="Times New Roman"/>
                <w:b/>
                <w:bCs/>
                <w:color w:val="000000"/>
                <w:sz w:val="24"/>
              </w:rPr>
              <w:t xml:space="preserve"> theo Giấy chứng nhận quyền sử dụng đất, quyền sở hữu nhà ở và tài sản khác gắn liền với đất số: CX 578549, số vào sổ cấp GCN: CH 00922  do Ủy Ban Nhân Dân Quận Hồng Bàng  cấp ngày 02/7/2020; Chủ sử dụng đất là ông Chu Đức Hoài Hồng và vợ là bà Nguyễn Thị </w:t>
            </w:r>
            <w:r>
              <w:rPr>
                <w:rFonts w:ascii="Times New Roman" w:hAnsi="Times New Roman" w:eastAsia="Times New Roman" w:cs="Times New Roman"/>
                <w:b/>
                <w:bCs/>
                <w:color w:val="000000"/>
                <w:sz w:val="24"/>
              </w:rPr>
              <w:t xml:space="preserve">Thu Trang</w:t>
            </w:r>
            <w:r>
              <w:rPr>
                <w:rFonts w:ascii="Times New Roman" w:hAnsi="Times New Roman" w:eastAsia="Times New Roman" w:cs="Times New Roman"/>
                <w:b/>
                <w:bCs/>
                <w:i/>
                <w:color w:val="000000"/>
                <w:sz w:val="24"/>
              </w:rPr>
              <w:t xml:space="preserve">.</w:t>
            </w:r>
            <w:r>
              <w:rPr>
                <w:b/>
                <w:bCs/>
              </w:rPr>
            </w:r>
            <w:r>
              <w:rPr>
                <w:b/>
                <w:bCs/>
              </w:rPr>
            </w:r>
          </w:p>
          <w:p>
            <w:pPr>
              <w:pBdr/>
              <w:spacing/>
              <w:ind/>
              <w:rPr>
                <w:b/>
                <w:bCs/>
              </w:rPr>
            </w:pPr>
            <w:r>
              <w:rPr>
                <w:b/>
                <w:bCs/>
              </w:rPr>
            </w:r>
            <w:r>
              <w:rPr>
                <w:b/>
                <w:bCs/>
              </w:rPr>
            </w:r>
            <w:r>
              <w:rPr>
                <w:b/>
                <w:bCs/>
              </w:rPr>
            </w:r>
          </w:p>
        </w:tc>
        <w:tc>
          <w:tcPr>
            <w:shd w:val="clear" w:color="000000" w:fill="ffffff"/>
            <w:tcBorders/>
            <w:tcW w:w="1985"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721" w:type="dxa"/>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2283" w:type="dxa"/>
            <w:vAlign w:val="center"/>
            <w:textDirection w:val="lrTb"/>
            <w:noWrap w:val="false"/>
          </w:tcPr>
          <w:p>
            <w:pPr>
              <w:pBdr/>
              <w:spacing w:after="40" w:before="40" w:line="288" w:lineRule="auto"/>
              <w:ind/>
              <w:rPr/>
            </w:pPr>
            <w:r>
              <w:rPr>
                <w:b/>
                <w:bCs/>
              </w:rPr>
              <w:t xml:space="preserve">Đất ở tại đô thị</w:t>
            </w:r>
            <w:r/>
          </w:p>
        </w:tc>
        <w:tc>
          <w:tcPr>
            <w:tcBorders/>
            <w:tcW w:w="1276" w:type="dxa"/>
            <w:vAlign w:val="center"/>
            <w:textDirection w:val="lrTb"/>
            <w:noWrap/>
          </w:tcPr>
          <w:p>
            <w:pPr>
              <w:pBdr/>
              <w:spacing w:after="40" w:before="40" w:line="288" w:lineRule="auto"/>
              <w:ind/>
              <w:jc w:val="center"/>
              <w:rPr>
                <w:color w:val="000000"/>
              </w:rPr>
            </w:pPr>
            <w:r>
              <w:rPr>
                <w:color w:val="000000" w:themeColor="text1"/>
              </w:rPr>
              <w:t xml:space="preserve">108,5</w:t>
            </w:r>
            <w:r>
              <w:rPr>
                <w:color w:val="000000"/>
              </w:rPr>
            </w:r>
            <w:r>
              <w:rPr>
                <w:color w:val="000000"/>
              </w:rPr>
            </w:r>
          </w:p>
        </w:tc>
        <w:tc>
          <w:tcPr>
            <w:shd w:val="clear" w:color="000000" w:fill="ffffff"/>
            <w:tcBorders/>
            <w:tcW w:w="1701" w:type="dxa"/>
            <w:vAlign w:val="center"/>
            <w:textDirection w:val="lrTb"/>
            <w:noWrap w:val="false"/>
          </w:tcPr>
          <w:p>
            <w:pPr>
              <w:pBdr/>
              <w:spacing w:after="40" w:before="40" w:line="288" w:lineRule="auto"/>
              <w:ind/>
              <w:jc w:val="center"/>
              <w:rPr/>
            </w:pPr>
            <w:r>
              <w:rPr>
                <w:color w:val="000000" w:themeColor="text1"/>
              </w:rPr>
              <w:t xml:space="preserve">174.000.000</w:t>
            </w:r>
            <w:r/>
          </w:p>
        </w:tc>
        <w:tc>
          <w:tcPr>
            <w:shd w:val="clear" w:color="000000" w:fill="ffffff"/>
            <w:tcBorders/>
            <w:tcW w:w="1559" w:type="dxa"/>
            <w:vAlign w:val="center"/>
            <w:textDirection w:val="lrTb"/>
            <w:noWrap w:val="false"/>
          </w:tcPr>
          <w:p>
            <w:pPr>
              <w:pBdr/>
              <w:spacing/>
              <w:ind/>
              <w:rPr>
                <w:color w:val="000000" w:themeColor="text1"/>
              </w:rPr>
            </w:pPr>
            <w:r>
              <w:rPr>
                <w:color w:val="000000" w:themeColor="text1"/>
              </w:rPr>
            </w:r>
            <w:r>
              <w:rPr>
                <w:color w:val="000000" w:themeColor="text1"/>
              </w:rPr>
            </w:r>
            <w:r>
              <w:rPr>
                <w:color w:val="000000" w:themeColor="text1"/>
              </w:rPr>
            </w:r>
          </w:p>
        </w:tc>
        <w:tc>
          <w:tcPr>
            <w:shd w:val="clear" w:color="000000" w:fill="ffffff"/>
            <w:tcBorders/>
            <w:tcW w:w="1985" w:type="dxa"/>
            <w:vAlign w:val="center"/>
            <w:textDirection w:val="lrTb"/>
            <w:noWrap w:val="false"/>
          </w:tcPr>
          <w:p>
            <w:pPr>
              <w:pBdr/>
              <w:spacing w:after="40" w:before="40" w:line="288" w:lineRule="auto"/>
              <w:ind/>
              <w:jc w:val="center"/>
              <w:rPr/>
            </w:pPr>
            <w:r>
              <w:rPr>
                <w:color w:val="000000" w:themeColor="text1"/>
              </w:rPr>
              <w:t xml:space="preserve">18.879.000.000</w:t>
            </w:r>
            <w:r/>
          </w:p>
        </w:tc>
      </w:tr>
      <w:tr>
        <w:trPr>
          <w:trHeight w:val="20"/>
        </w:trPr>
        <w:tc>
          <w:tcPr>
            <w:shd w:val="clear" w:color="000000" w:fill="ffffff"/>
            <w:tcBorders/>
            <w:tcW w:w="721" w:type="dxa"/>
            <w:vAlign w:val="center"/>
            <w:textDirection w:val="lrTb"/>
            <w:noWrap w:val="false"/>
          </w:tcPr>
          <w:p>
            <w:pPr>
              <w:pBdr/>
              <w:spacing w:after="40" w:before="40" w:line="288" w:lineRule="auto"/>
              <w:ind/>
              <w:jc w:val="center"/>
              <w:rPr/>
            </w:pPr>
            <w:r>
              <w:rPr>
                <w:b/>
                <w:bCs/>
              </w:rPr>
              <w:t xml:space="preserve">2</w:t>
            </w:r>
            <w:r/>
          </w:p>
        </w:tc>
        <w:tc>
          <w:tcPr>
            <w:shd w:val="clear" w:color="000000" w:fill="ffffff"/>
            <w:tcBorders/>
            <w:tcW w:w="2283" w:type="dxa"/>
            <w:vAlign w:val="center"/>
            <w:textDirection w:val="lrTb"/>
            <w:noWrap w:val="false"/>
          </w:tcPr>
          <w:p>
            <w:pPr>
              <w:pBdr/>
              <w:spacing w:after="40" w:before="40" w:line="288" w:lineRule="auto"/>
              <w:ind/>
              <w:rPr/>
            </w:pPr>
            <w:r>
              <w:rPr>
                <w:b/>
                <w:bCs/>
              </w:rPr>
              <w:t xml:space="preserve">Nhà biệt thự 5 tầng + 1 tum</w:t>
            </w:r>
            <w:r/>
          </w:p>
        </w:tc>
        <w:tc>
          <w:tcPr>
            <w:tcBorders/>
            <w:tcW w:w="1276" w:type="dxa"/>
            <w:vAlign w:val="center"/>
            <w:textDirection w:val="lrTb"/>
            <w:noWrap/>
          </w:tcPr>
          <w:p>
            <w:pPr>
              <w:pBdr/>
              <w:spacing w:after="40" w:before="40" w:line="288" w:lineRule="auto"/>
              <w:ind/>
              <w:jc w:val="center"/>
              <w:rPr>
                <w:color w:val="000000"/>
              </w:rPr>
            </w:pPr>
            <w:r>
              <w:rPr>
                <w:color w:val="000000" w:themeColor="text1"/>
              </w:rPr>
              <w:t xml:space="preserve">398,2</w:t>
            </w:r>
            <w:r>
              <w:rPr>
                <w:color w:val="000000"/>
              </w:rPr>
            </w:r>
            <w:r>
              <w:rPr>
                <w:color w:val="000000"/>
              </w:rPr>
            </w:r>
          </w:p>
        </w:tc>
        <w:tc>
          <w:tcPr>
            <w:shd w:val="clear" w:color="000000" w:fill="ffffff"/>
            <w:tcBorders/>
            <w:tcW w:w="1701" w:type="dxa"/>
            <w:vAlign w:val="center"/>
            <w:textDirection w:val="lrTb"/>
            <w:noWrap w:val="false"/>
          </w:tcPr>
          <w:p>
            <w:pPr>
              <w:pBdr/>
              <w:spacing w:after="40" w:before="40" w:line="288" w:lineRule="auto"/>
              <w:ind/>
              <w:jc w:val="center"/>
              <w:rPr/>
            </w:pPr>
            <w:r>
              <w:rPr>
                <w:color w:val="000000" w:themeColor="text1"/>
              </w:rPr>
              <w:t xml:space="preserve">9.970.116</w:t>
            </w:r>
            <w:r/>
          </w:p>
        </w:tc>
        <w:tc>
          <w:tcPr>
            <w:shd w:val="clear" w:color="000000" w:fill="ffffff"/>
            <w:tcBorders/>
            <w:tcW w:w="1559" w:type="dxa"/>
            <w:vAlign w:val="center"/>
            <w:textDirection w:val="lrTb"/>
            <w:noWrap w:val="false"/>
          </w:tcPr>
          <w:p>
            <w:pPr>
              <w:pBdr/>
              <w:spacing/>
              <w:ind/>
              <w:jc w:val="center"/>
              <w:rPr>
                <w:color w:val="000000" w:themeColor="text1"/>
                <w:highlight w:val="none"/>
              </w:rPr>
            </w:pPr>
            <w:r>
              <w:rPr>
                <w:color w:val="000000" w:themeColor="text1"/>
              </w:rPr>
              <w:t xml:space="preserve">84%</w:t>
            </w:r>
            <w:r>
              <w:rPr>
                <w:color w:val="000000" w:themeColor="text1"/>
                <w:highlight w:val="none"/>
              </w:rPr>
            </w:r>
            <w:r>
              <w:rPr>
                <w:color w:val="000000" w:themeColor="text1"/>
                <w:highlight w:val="none"/>
              </w:rPr>
            </w:r>
          </w:p>
        </w:tc>
        <w:tc>
          <w:tcPr>
            <w:shd w:val="clear" w:color="000000" w:fill="ffffff"/>
            <w:tcBorders/>
            <w:tcW w:w="1985" w:type="dxa"/>
            <w:vAlign w:val="center"/>
            <w:textDirection w:val="lrTb"/>
            <w:noWrap w:val="false"/>
          </w:tcPr>
          <w:p>
            <w:pPr>
              <w:pBdr/>
              <w:spacing w:after="40" w:before="40" w:line="288" w:lineRule="auto"/>
              <w:ind/>
              <w:jc w:val="center"/>
              <w:rPr/>
            </w:pPr>
            <w:r>
              <w:rPr>
                <w:color w:val="000000" w:themeColor="text1"/>
              </w:rPr>
              <w:t xml:space="preserve">3.334.884.160</w:t>
            </w:r>
            <w:r/>
          </w:p>
        </w:tc>
      </w:tr>
      <w:tr>
        <w:trPr>
          <w:trHeight w:val="20"/>
        </w:trPr>
        <w:tc>
          <w:tcPr>
            <w:gridSpan w:val="5"/>
            <w:tcBorders/>
            <w:tcW w:w="7540"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985" w:type="dxa"/>
            <w:vAlign w:val="center"/>
            <w:textDirection w:val="lrTb"/>
            <w:noWrap/>
          </w:tcPr>
          <w:p>
            <w:pPr>
              <w:pBdr/>
              <w:spacing w:after="40" w:before="40" w:line="288" w:lineRule="auto"/>
              <w:ind/>
              <w:jc w:val="center"/>
              <w:rPr>
                <w:b/>
                <w:bCs/>
                <w:color w:val="000000"/>
              </w:rPr>
            </w:pPr>
            <w:r>
              <w:t xml:space="preserve">22.213.884.160</w:t>
            </w:r>
            <w:r>
              <w:rPr>
                <w:b/>
                <w:bCs/>
                <w:color w:val="000000"/>
              </w:rPr>
            </w:r>
            <w:r>
              <w:rPr>
                <w:b/>
                <w:bCs/>
                <w:color w:val="000000"/>
              </w:rPr>
            </w:r>
          </w:p>
        </w:tc>
      </w:tr>
      <w:tr>
        <w:trPr>
          <w:trHeight w:val="20"/>
        </w:trPr>
        <w:tc>
          <w:tcPr>
            <w:gridSpan w:val="5"/>
            <w:tcBorders/>
            <w:tcW w:w="7540"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985" w:type="dxa"/>
            <w:vAlign w:val="center"/>
            <w:textDirection w:val="lrTb"/>
            <w:noWrap/>
          </w:tcPr>
          <w:p>
            <w:pPr>
              <w:pBdr/>
              <w:spacing w:after="40" w:before="40" w:line="288" w:lineRule="auto"/>
              <w:ind/>
              <w:jc w:val="center"/>
              <w:rPr>
                <w:b/>
                <w:bCs/>
                <w:color w:val="000000"/>
              </w:rPr>
            </w:pPr>
            <w:r>
              <w:rPr>
                <w:b/>
                <w:bCs/>
                <w:color w:val="000000"/>
              </w:rPr>
              <w:t xml:space="preserve">22.213.900.000</w:t>
            </w:r>
            <w:r>
              <w:rPr>
                <w:b/>
                <w:bCs/>
                <w:color w:val="000000"/>
              </w:rPr>
            </w:r>
            <w:r>
              <w:rPr>
                <w:b/>
                <w:bCs/>
                <w:color w:val="000000"/>
              </w:rPr>
            </w:r>
          </w:p>
        </w:tc>
      </w:tr>
      <w:tr>
        <w:trPr>
          <w:trHeight w:val="20"/>
        </w:trPr>
        <w:tc>
          <w:tcPr>
            <w:gridSpan w:val="6"/>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Hai mươi hai tỷ hai trăm mười ba triệu chín trăm nghìn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spacing w:val="-4"/>
          <w:lang w:val="pt-BR"/>
        </w:rPr>
      </w:pPr>
      <w:r>
        <w:rPr>
          <w:lang w:val="pt-BR"/>
        </w:rPr>
        <w:t xml:space="preserve">- </w:t>
      </w:r>
      <w:r>
        <w:rPr>
          <w:lang w:val="pt-BR"/>
        </w:rPr>
        <w:t xml:space="preserve">Chi tiết như Báo cáo kèm theo.</w:t>
      </w:r>
      <w:r>
        <w:rPr>
          <w:rFonts w:eastAsia="Calibri"/>
          <w:b/>
          <w:spacing w:val="-4"/>
          <w:lang w:val="pt-BR"/>
        </w:rPr>
      </w:r>
      <w:r>
        <w:rPr>
          <w:rFonts w:eastAsia="Calibri"/>
          <w:b/>
          <w:spacing w:val="-4"/>
          <w:lang w:val="pt-BR"/>
        </w:rPr>
      </w:r>
    </w:p>
    <w:p>
      <w:pPr>
        <w:pBdr/>
        <w:spacing w:after="120" w:before="120" w:line="312" w:lineRule="auto"/>
        <w:ind/>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54"/>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3"/>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2"/>
              <w:pBdr/>
              <w:spacing w:after="60"/>
              <w:ind/>
              <w:rPr>
                <w:rFonts w:ascii="Times New Roman" w:hAnsi="Times New Roman" w:cs="Times New Roman"/>
                <w:color w:val="000000" w:themeColor="text1"/>
                <w:sz w:val="24"/>
                <w:szCs w:val="24"/>
              </w:rPr>
            </w:pPr>
            <w:r>
              <w:rPr>
                <w:rStyle w:val="1031"/>
                <w:rFonts w:ascii="Times New Roman" w:hAnsi="Times New Roman" w:eastAsia="Times New Roman" w:cs="Times New Roman"/>
                <w:color w:val="000000" w:themeColor="text1"/>
                <w:sz w:val="24"/>
                <w:szCs w:val="24"/>
                <w:lang w:val="pt-BR"/>
              </w:rPr>
              <w:t xml:space="preserve">Số: </w:t>
            </w:r>
            <w:r>
              <w:rPr>
                <w:rFonts w:ascii="Times New Roman" w:hAnsi="Times New Roman" w:eastAsia="Times New Roman" w:cs="Times New Roman"/>
                <w:color w:val="081b3a"/>
                <w:spacing w:val="3"/>
                <w:sz w:val="24"/>
                <w:szCs w:val="24"/>
                <w:highlight w:val="white"/>
              </w:rPr>
              <w:t xml:space="preserve">275/2026/1288/VFI-BC.57.A</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1032"/>
              <w:pBdr/>
              <w:spacing w:after="60"/>
              <w:ind w:right="-56"/>
              <w:jc w:val="right"/>
              <w:rPr>
                <w:color w:val="000000" w:themeColor="text1"/>
                <w:sz w:val="24"/>
                <w:szCs w:val="24"/>
                <w:lang w:val="vi-VN"/>
              </w:rPr>
            </w:pPr>
            <w:r>
              <w:rPr>
                <w:rStyle w:val="1031"/>
                <w:rFonts w:ascii="Times New Roman" w:hAnsi="Times New Roman"/>
                <w:i/>
                <w:color w:val="auto"/>
              </w:rPr>
              <w:t xml:space="preserve">TP. Hà Nội</w:t>
            </w:r>
            <w:r>
              <w:rPr>
                <w:rStyle w:val="1031"/>
                <w:rFonts w:ascii="Times New Roman" w:hAnsi="Times New Roman"/>
                <w:i/>
                <w:color w:val="auto"/>
                <w:lang w:val="vi-VN"/>
              </w:rPr>
              <w:t xml:space="preserve">, </w:t>
            </w:r>
            <w:r>
              <w:rPr>
                <w:rStyle w:val="1031"/>
                <w:rFonts w:ascii="Times New Roman" w:hAnsi="Times New Roman"/>
                <w:i/>
                <w:color w:val="000000" w:themeColor="text1"/>
                <w:lang w:val="vi-VN"/>
              </w:rPr>
              <w:t xml:space="preserve">ngày 18 tháng 8 năm 2026</w:t>
            </w:r>
            <w:r>
              <w:rPr>
                <w:color w:val="000000" w:themeColor="text1"/>
                <w:sz w:val="24"/>
                <w:szCs w:val="24"/>
                <w:lang w:val="vi-VN"/>
              </w:rPr>
            </w:r>
            <w:r>
              <w:rPr>
                <w:color w:val="000000" w:themeColor="text1"/>
                <w:sz w:val="24"/>
                <w:szCs w:val="24"/>
                <w:lang w:val="vi-VN"/>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32"/>
              <w:pBdr/>
              <w:spacing w:after="60"/>
              <w:ind/>
              <w:rPr>
                <w:rStyle w:val="1031"/>
                <w:rFonts w:ascii="Times New Roman" w:hAnsi="Times New Roman"/>
                <w:color w:val="000000" w:themeColor="text1"/>
                <w:lang w:val="pt-BR"/>
              </w:rPr>
            </w:pPr>
            <w:r>
              <w:rPr>
                <w:rStyle w:val="1031"/>
                <w:rFonts w:ascii="Times New Roman" w:hAnsi="Times New Roman"/>
                <w:color w:val="000000" w:themeColor="text1"/>
                <w:lang w:val="pt-BR"/>
              </w:rPr>
            </w:r>
            <w:r>
              <w:rPr>
                <w:rStyle w:val="1031"/>
                <w:rFonts w:ascii="Times New Roman" w:hAnsi="Times New Roman"/>
                <w:color w:val="000000" w:themeColor="text1"/>
                <w:lang w:val="pt-BR"/>
              </w:rPr>
            </w:r>
            <w:r>
              <w:rPr>
                <w:rStyle w:val="1031"/>
                <w:rFonts w:ascii="Times New Roman" w:hAnsi="Times New Roman"/>
                <w:color w:val="000000" w:themeColor="text1"/>
                <w:lang w:val="pt-BR"/>
              </w:rPr>
            </w:r>
          </w:p>
        </w:tc>
        <w:tc>
          <w:tcPr>
            <w:shd w:val="clear" w:color="auto" w:fill="auto"/>
            <w:tcBorders/>
            <w:tcMar>
              <w:left w:w="108" w:type="dxa"/>
              <w:top w:w="0" w:type="dxa"/>
              <w:right w:w="108" w:type="dxa"/>
              <w:bottom w:w="0" w:type="dxa"/>
            </w:tcMar>
            <w:tcW w:w="5412" w:type="dxa"/>
            <w:textDirection w:val="lrTb"/>
            <w:noWrap w:val="false"/>
          </w:tcPr>
          <w:p>
            <w:pPr>
              <w:pStyle w:val="1032"/>
              <w:pBdr/>
              <w:spacing w:after="60"/>
              <w:ind w:right="-56"/>
              <w:rPr>
                <w:rStyle w:val="1031"/>
                <w:rFonts w:ascii="Times New Roman" w:hAnsi="Times New Roman"/>
                <w:i/>
                <w:color w:val="auto"/>
              </w:rPr>
            </w:pPr>
            <w:r>
              <w:rPr>
                <w:rFonts w:ascii="Times New Roman" w:hAnsi="Times New Roman"/>
                <w:i/>
                <w:color w:val="auto"/>
              </w:rPr>
            </w:r>
            <w:r>
              <w:rPr>
                <w:rStyle w:val="1031"/>
                <w:rFonts w:ascii="Times New Roman" w:hAnsi="Times New Roman"/>
                <w:i/>
                <w:color w:val="auto"/>
              </w:rPr>
            </w:r>
            <w:r>
              <w:rPr>
                <w:rStyle w:val="1031"/>
                <w:rFonts w:ascii="Times New Roman" w:hAnsi="Times New Roman"/>
                <w:i/>
                <w:color w:val="auto"/>
              </w:rPr>
            </w:r>
          </w:p>
        </w:tc>
      </w:tr>
    </w:tbl>
    <w:p>
      <w:pPr>
        <w:pStyle w:val="1032"/>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2"/>
        <w:pBdr/>
        <w:tabs>
          <w:tab w:val="left" w:leader="none" w:pos="0"/>
          <w:tab w:val="left" w:leader="none" w:pos="4820"/>
        </w:tabs>
        <w:spacing w:after="200" w:before="100" w:line="340" w:lineRule="atLeast"/>
        <w:ind w:hanging="180"/>
        <w:rPr>
          <w:rFonts w:ascii="Times New Roman" w:hAnsi="Times New Roman" w:cs="Times New Roman"/>
          <w:b w:val="0"/>
          <w:bCs/>
          <w:i/>
          <w:spacing w:val="-6"/>
          <w:sz w:val="24"/>
          <w:szCs w:val="24"/>
        </w:rPr>
      </w:pPr>
      <w:r>
        <w:rPr>
          <w:rFonts w:ascii="Times New Roman" w:hAnsi="Times New Roman" w:eastAsia="Times New Roman" w:cs="Times New Roman"/>
          <w:b w:val="0"/>
          <w:bCs w:val="0"/>
          <w:i/>
          <w:iCs/>
          <w:spacing w:val="-6"/>
          <w:sz w:val="24"/>
          <w:szCs w:val="24"/>
          <w:lang w:val="pt-BR"/>
        </w:rPr>
        <w:t xml:space="preserve">(Kèm t</w:t>
      </w:r>
      <w:r>
        <w:rPr>
          <w:rFonts w:ascii="Times New Roman" w:hAnsi="Times New Roman" w:eastAsia="Times New Roman" w:cs="Times New Roman"/>
          <w:b w:val="0"/>
          <w:bCs w:val="0"/>
          <w:i/>
          <w:iCs/>
          <w:spacing w:val="-6"/>
          <w:sz w:val="24"/>
          <w:szCs w:val="24"/>
          <w:lang w:val="pt-BR"/>
        </w:rPr>
        <w:t xml:space="preserve">heo Chứng thư thẩm định giá số:</w:t>
      </w:r>
      <w:r>
        <w:rPr>
          <w:rFonts w:ascii="Times New Roman" w:hAnsi="Times New Roman" w:eastAsia="Times New Roman" w:cs="Times New Roman"/>
          <w:b w:val="0"/>
          <w:bCs w:val="0"/>
          <w:i/>
          <w:iCs/>
          <w:spacing w:val="-6"/>
          <w:sz w:val="24"/>
          <w:szCs w:val="24"/>
          <w:lang w:val="pt-BR"/>
        </w:rPr>
        <w:t xml:space="preserve"> </w:t>
      </w:r>
      <w:r>
        <w:rPr>
          <w:rFonts w:ascii="Times New Roman" w:hAnsi="Times New Roman" w:eastAsia="Times New Roman" w:cs="Times New Roman"/>
          <w:b w:val="0"/>
          <w:bCs w:val="0"/>
          <w:i/>
          <w:iCs/>
          <w:color w:val="081b3a"/>
          <w:spacing w:val="3"/>
          <w:sz w:val="23"/>
          <w:highlight w:val="white"/>
        </w:rPr>
        <w:t xml:space="preserve">275/2026/1288/VFI-CT.57.A</w:t>
      </w:r>
      <w:r>
        <w:rPr>
          <w:rFonts w:ascii="Times New Roman" w:hAnsi="Times New Roman" w:eastAsia="Times New Roman" w:cs="Times New Roman"/>
          <w:b w:val="0"/>
          <w:bCs w:val="0"/>
          <w:i/>
          <w:iCs/>
          <w:color w:val="081b3a"/>
          <w:spacing w:val="3"/>
          <w:sz w:val="23"/>
          <w:highlight w:val="none"/>
        </w:rPr>
        <w:t xml:space="preserve"> </w:t>
      </w:r>
      <w:r>
        <w:rPr>
          <w:rFonts w:ascii="Times New Roman" w:hAnsi="Times New Roman" w:eastAsia="Times New Roman" w:cs="Times New Roman"/>
          <w:b w:val="0"/>
          <w:bCs w:val="0"/>
          <w:i/>
          <w:iCs/>
          <w:color w:val="000000" w:themeColor="text1"/>
          <w:spacing w:val="-6"/>
          <w:sz w:val="24"/>
          <w:szCs w:val="24"/>
          <w:lang w:val="pt-BR"/>
        </w:rPr>
        <w:t xml:space="preserve">ngày 18 tháng 8 năm 2026</w:t>
      </w:r>
      <w:r>
        <w:rPr>
          <w:rFonts w:ascii="Times New Roman" w:hAnsi="Times New Roman" w:eastAsia="Times New Roman" w:cs="Times New Roman"/>
          <w:b w:val="0"/>
          <w:bCs w:val="0"/>
          <w:i/>
          <w:iCs/>
          <w:spacing w:val="-6"/>
          <w:sz w:val="24"/>
          <w:szCs w:val="24"/>
          <w:lang w:val="pt-BR"/>
        </w:rPr>
        <w:t xml:space="preserve">)</w:t>
      </w:r>
      <w:r>
        <w:rPr>
          <w:rFonts w:ascii="Times New Roman" w:hAnsi="Times New Roman" w:cs="Times New Roman"/>
          <w:b w:val="0"/>
          <w:bCs/>
          <w:i/>
          <w:spacing w:val="-6"/>
          <w:sz w:val="24"/>
          <w:szCs w:val="24"/>
        </w:rPr>
      </w:r>
      <w:r>
        <w:rPr>
          <w:rFonts w:ascii="Times New Roman" w:hAnsi="Times New Roman" w:cs="Times New Roman"/>
          <w:b w:val="0"/>
          <w:bCs/>
          <w:i/>
          <w:spacing w:val="-6"/>
          <w:sz w:val="24"/>
          <w:szCs w:val="24"/>
        </w:rPr>
      </w:r>
    </w:p>
    <w:p>
      <w:pPr>
        <w:pStyle w:val="1012"/>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3"/>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0"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pacing w:val="-8"/>
                <w:sz w:val="24"/>
              </w:rPr>
              <w:t xml:space="preserve">ÔNG CHU ĐỨC HOÀI HỒNG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031081010180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1981</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An Hồng, An Dương, Hải Phòng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rFonts w:ascii="Times New Roman" w:hAnsi="Times New Roman" w:eastAsia="Times New Roman" w:cs="Times New Roman"/>
                <w:color w:val="000000"/>
                <w:sz w:val="24"/>
              </w:rPr>
              <w:t xml:space="preserve">Giá trị quyền sử dụng đất và tài sản gắn liền với đất tại thửa đất số: 119, tờ bản đồ số: 23 có địa chỉ tại: Số 04 khu BH 02 – ô số 4 lô OTM-3, khu đô thị Vinhomes Imperia, phường Thượng Lý, quận Hồng Bàng, thành phố Hải Phòng </w:t>
            </w:r>
            <w:r>
              <w:rPr>
                <w:rFonts w:ascii="Times New Roman" w:hAnsi="Times New Roman" w:eastAsia="Times New Roman" w:cs="Times New Roman"/>
                <w:i/>
                <w:color w:val="000000"/>
                <w:sz w:val="24"/>
              </w:rPr>
              <w:t xml:space="preserve">(Nay là Phường Hồng Bàng, Thành phố Hải Phòng)</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CX 578549, số vào sổ cấp GCN: CH 00922  do Ủy Ban Nhân Dân Quận Hồng Bàng  cấp ngày 02/7/2020; Chủ sử dụng đất là ông Chu Đức Hoài Hồng và vợ là bà Nguyễn Thị </w:t>
            </w:r>
            <w:r>
              <w:rPr>
                <w:rFonts w:ascii="Times New Roman" w:hAnsi="Times New Roman" w:eastAsia="Times New Roman" w:cs="Times New Roman"/>
                <w:color w:val="000000"/>
                <w:sz w:val="24"/>
              </w:rPr>
              <w:t xml:space="preserve">Thu Trang</w:t>
            </w:r>
            <w:r>
              <w:rPr>
                <w:rFonts w:ascii="Times New Roman" w:hAnsi="Times New Roman" w:eastAsia="Times New Roman" w:cs="Times New Roman"/>
                <w:i/>
                <w:color w:val="000000"/>
                <w:sz w:val="24"/>
              </w:rPr>
              <w:t xml:space="preserve">.</w:t>
            </w:r>
            <w:r>
              <w:rPr>
                <w:rFonts w:ascii="Times New Roman" w:hAnsi="Times New Roman" w:eastAsia="Times New Roman" w:cs="Times New Roman"/>
                <w:sz w:val="24"/>
              </w:rPr>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Hồng Bàng, Thành phố Hải Phòng</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3"/>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(20.862777777778, 106.66294444444)</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3"/>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3"/>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3"/>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3"/>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 Giá số 16/2023/QH15 ngày 19/6/2023;</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3"/>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3"/>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3"/>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3"/>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pacing w:val="-4"/>
          <w:sz w:val="24"/>
        </w:rPr>
        <w:t xml:space="preserve">Quyết định số 425/QĐ-BXD-2026 của Bộ Xây dựng về việc Công bố suất vốn đầu tư xây dựng công trình và giá xây dựng tổng hợp bộ phận kết cấu công trình năm 2025;</w:t>
      </w:r>
      <w:r>
        <w:rPr>
          <w:rFonts w:ascii="Times New Roman" w:hAnsi="Times New Roman" w:eastAsia="Times New Roman" w:cs="Times New Roman"/>
          <w:sz w:val="24"/>
        </w:rPr>
      </w:r>
      <w:r/>
    </w:p>
    <w:p>
      <w:pPr>
        <w:pStyle w:val="1033"/>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3"/>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3"/>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3"/>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Bdr/>
        <w:tabs>
          <w:tab w:val="left" w:leader="none" w:pos="993"/>
        </w:tabs>
        <w:spacing w:after="120" w:before="120" w:line="276" w:lineRule="auto"/>
        <w:ind w:firstLine="0" w:left="360"/>
        <w:jc w:val="both"/>
        <w:rPr>
          <w:i/>
          <w:iCs/>
          <w:lang w:val="pt-BR"/>
        </w:rPr>
      </w:pPr>
      <w:r>
        <w:rPr>
          <w:rFonts w:ascii="Times New Roman" w:hAnsi="Times New Roman" w:eastAsia="Times New Roman" w:cs="Times New Roman"/>
          <w:color w:val="000000"/>
          <w:sz w:val="24"/>
        </w:rPr>
        <w:t xml:space="preserve">Giấy chứng nhận quyền sử dụng đất, quyền sở hữu nhà ở và tài sản khác gắn liền với đất số: CX 578549, số vào sổ cấp GCN: CH 00922  do Ủy Ban Nhân Dân Quận Hồng Bàng  cấp ngày 02/7/2020; Chủ sử dụng đất là ông Chu Đức Hoài Hồng và vợ là bà Nguyễn Thị Thu Tr</w:t>
      </w:r>
      <w:r>
        <w:rPr>
          <w:rFonts w:ascii="Times New Roman" w:hAnsi="Times New Roman" w:eastAsia="Times New Roman" w:cs="Times New Roman"/>
          <w:color w:val="000000"/>
          <w:sz w:val="24"/>
        </w:rPr>
        <w:t xml:space="preserve">ang</w:t>
      </w:r>
      <w:r>
        <w:rPr>
          <w:rFonts w:ascii="Times New Roman" w:hAnsi="Times New Roman" w:eastAsia="Times New Roman" w:cs="Times New Roman"/>
          <w:i/>
          <w:color w:val="000000"/>
          <w:sz w:val="24"/>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3"/>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275/2026/1288/VFI-HĐTĐ.57.A ngày 17/08/2026 giữa Ông Chu Đức Hoài Hồng với Công ty Cổ phần Thẩm định và Đầu tư Tài chính Hoa Sen.</w:t>
      </w:r>
      <w:r>
        <w:rPr>
          <w:b/>
          <w:lang w:val="pt-BR"/>
        </w:rPr>
      </w:r>
      <w:r>
        <w:rPr>
          <w:b/>
          <w:lang w:val="pt-BR"/>
        </w:rPr>
      </w:r>
    </w:p>
    <w:p>
      <w:pPr>
        <w:pStyle w:val="1033"/>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rPr>
          <w:i/>
          <w:iCs/>
          <w:lang w:val="pt-BR"/>
        </w:rPr>
      </w:pPr>
      <w:r>
        <w:rPr>
          <w:shd w:val="clear" w:color="auto" w:fill="ffffff"/>
        </w:rPr>
        <w:t xml:space="preserve">Vinhomes Imperia Hải Phòng - KĐT Xi Măng Hải Phòng là dự án khu đô thị cao cấp được Tập đoàn Vingroup đầu tư và phát triển năm 2016 và hoàn thành vào năm 2020 tạ</w:t>
      </w:r>
      <w:r>
        <w:rPr>
          <w:shd w:val="clear" w:color="auto" w:fill="ffffff"/>
        </w:rPr>
        <w:t xml:space="preserve">i thành phố cảng. Các căn hộ tại Vinhomes Imperia Hải Phòng của Vingroup được mệnh danh là "khu nghĩ dưỡng xanh giữa lòng đô thị", mang lại cuộc sống lý tưởng và vô cùng cao cấp cho các khách hàng.</w:t>
        <w:br/>
        <w:t xml:space="preserve">Đây là dự án được Công ty Humphrey &amp; Partners (Mỹ) thực hi</w:t>
      </w:r>
      <w:r>
        <w:rPr>
          <w:shd w:val="clear" w:color="auto" w:fill="ffffff"/>
        </w:rPr>
        <w:t xml:space="preserve">ện tư vấn thiết kế, đem tới không gian sống thoáng đãng, gần gũi giữa con người và thiên nhiên. Không gian dự án được thiết kế thấp dần về phía sông Cấm nhằm tạo ra sự tiếp nối hài hoà cùng cảnh quan sinh thái của khu vực ven sông.</w:t>
        <w:br/>
        <w:t xml:space="preserve">Dự án Vinhomes Imperia đ</w:t>
      </w:r>
      <w:r>
        <w:rPr>
          <w:shd w:val="clear" w:color="auto" w:fill="ffffff"/>
        </w:rPr>
        <w:t xml:space="preserve">ược chủ đầu tư Vingroup hướng đến một cuộc sống tiện nghi, nâng cao đời sống tinh thần và kiến lập môi trường sống lành mạnh, hiện đại cho cư dân. Dự án Vinhomes Imperia Hải Phòng được phát triển với mô hình “thành phố trong lòng thành phố” thông qua sự bố</w:t>
      </w:r>
      <w:r>
        <w:rPr>
          <w:shd w:val="clear" w:color="auto" w:fill="ffffff"/>
        </w:rPr>
        <w:t xml:space="preserve"> trí hợp lý của các cụm công trình chức năng, tiện ích dịch vụ sang trọng đáp ứng mọi nhu cầu của cư dân nơi đây.</w:t>
        <w:br/>
        <w:t xml:space="preserve">Trung tâm thương mại với đầy đủ dịch vụ mua sắm, ẩm thực, vui chơi giải trí, rạp chiếu phim và Gym &amp; Spa…</w:t>
        <w:br/>
        <w:t xml:space="preserve">Khu đô thị Vinhomes Imperia Hải Phòn</w:t>
      </w:r>
      <w:r>
        <w:rPr>
          <w:shd w:val="clear" w:color="auto" w:fill="ffffff"/>
        </w:rPr>
        <w:t xml:space="preserve">g được xây dựng với mật độ thấp chỉ chiếm từ 30-40%, không gian còn lại được dành cho công viên, vườn nướng và các không gian xanh khác. Vinhomes Imperia Hải Phòng sẽ mang tới cho cư dân một không gian sống trong lành, thân thiện với thiên nhiên, góp phần </w:t>
      </w:r>
      <w:r>
        <w:rPr>
          <w:shd w:val="clear" w:color="auto" w:fill="ffffff"/>
        </w:rPr>
        <w:t xml:space="preserve">cải tạo môi trường cảnh quan và hệ sinh thái tại thành phố cảng với gần 600.000m2 diện tích đất sử dụng trong xây dựng bể bơi, vườn hoa, cây xanh bên cạnh dòng sông Cấm.</w:t>
        <w:br/>
        <w:t xml:space="preserve">Vinhomes Imperia Hải Phòng có quy mô trên 785.000m2. Khu đô thị này được quy hoạch bao</w:t>
      </w:r>
      <w:r>
        <w:rPr>
          <w:shd w:val="clear" w:color="auto" w:fill="ffffff"/>
        </w:rPr>
        <w:t xml:space="preserve"> gồm các khu tiện ích chức năng như khu văn phòng, khu tổ hợp khách sạn, khu thương mại dịch vụ, khu trung tâm thương mại, khu công viên chuyên đề và những khu nhà ở kết hợp với dịch vụ thương mại. Do đó, các thương hiệu như VinMec, VinCom hay Vinschool...</w:t>
      </w:r>
      <w:r>
        <w:rPr>
          <w:i/>
          <w:iCs/>
          <w:lang w:val="pt-BR"/>
        </w:rPr>
      </w:r>
      <w:r>
        <w:rPr>
          <w:i/>
          <w:iCs/>
          <w:lang w:val="pt-BR"/>
        </w:rPr>
      </w:r>
    </w:p>
    <w:p>
      <w:pPr>
        <w:pStyle w:val="1033"/>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b/>
                <w:bCs/>
              </w:rPr>
            </w:pPr>
            <w:r>
              <w:rPr>
                <w:rFonts w:ascii="Times New Roman" w:hAnsi="Times New Roman" w:eastAsia="Times New Roman" w:cs="Times New Roman"/>
                <w:b/>
                <w:bCs/>
                <w:color w:val="000000"/>
                <w:sz w:val="24"/>
              </w:rPr>
              <w:t xml:space="preserve">Quyền sử dụng đất và tài sản gắn liền với đất tại thửa đất số: 119, tờ bản đồ số: 23 có địa chỉ tại: Số 04 khu BH 02 – ô số 4 lô OTM-3, khu đô thị Vinhomes Imperia, phường Thượng Lý, quận Hồng Bàng, thành phố Hải Phòng </w:t>
            </w:r>
            <w:r>
              <w:rPr>
                <w:rFonts w:ascii="Times New Roman" w:hAnsi="Times New Roman" w:eastAsia="Times New Roman" w:cs="Times New Roman"/>
                <w:b/>
                <w:bCs/>
                <w:i/>
                <w:color w:val="000000"/>
                <w:sz w:val="24"/>
              </w:rPr>
              <w:t xml:space="preserve">(Nay là Phường Hồng Bàng, Thành phố Hải Phòng)</w:t>
            </w:r>
            <w:r>
              <w:rPr>
                <w:rFonts w:ascii="Times New Roman" w:hAnsi="Times New Roman" w:eastAsia="Times New Roman" w:cs="Times New Roman"/>
                <w:b/>
                <w:bCs/>
                <w:color w:val="000000"/>
                <w:sz w:val="24"/>
              </w:rPr>
              <w:t xml:space="preserve"> theo Giấy chứng nhận quyền sử dụng đất, quyền sở hữu nhà ở và tài sản khác gắn liền với đất số: CX 578549, số vào sổ cấp GCN: CH 00922  do Ủy Ban Nhân Dân Quận Hồng Bàng  cấp ngày 02/7/2020; Chủ sử dụng đất là ông Chu Đức Hoài Hồng và vợ là bà Nguyễn Thị </w:t>
            </w:r>
            <w:r>
              <w:rPr>
                <w:rFonts w:ascii="Times New Roman" w:hAnsi="Times New Roman" w:eastAsia="Times New Roman" w:cs="Times New Roman"/>
                <w:b/>
                <w:bCs/>
                <w:color w:val="000000"/>
                <w:sz w:val="24"/>
              </w:rPr>
              <w:t xml:space="preserve">Thu Trang</w:t>
            </w:r>
            <w:r>
              <w:rPr>
                <w:rFonts w:ascii="Times New Roman" w:hAnsi="Times New Roman" w:eastAsia="Times New Roman" w:cs="Times New Roman"/>
                <w:b/>
                <w:bCs/>
                <w:i/>
                <w:color w:val="000000"/>
                <w:sz w:val="24"/>
              </w:rPr>
              <w:t xml:space="preserve">.</w:t>
            </w:r>
            <w:r>
              <w:rPr>
                <w:b/>
                <w:bCs/>
              </w:rPr>
            </w:r>
            <w:r>
              <w:rPr>
                <w:b/>
                <w:bCs/>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119</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23</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b w:val="0"/>
                <w:bCs w:val="0"/>
                <w:color w:val="000000"/>
              </w:rPr>
            </w:pPr>
            <w:r>
              <w:rPr>
                <w:b w:val="0"/>
                <w:bCs w:val="0"/>
                <w:color w:val="000000"/>
              </w:rPr>
            </w:r>
            <w:r>
              <w:rPr>
                <w:rFonts w:ascii="Times New Roman" w:hAnsi="Times New Roman" w:eastAsia="Times New Roman" w:cs="Times New Roman"/>
                <w:b w:val="0"/>
                <w:bCs w:val="0"/>
                <w:color w:val="000000"/>
                <w:sz w:val="24"/>
              </w:rPr>
              <w:t xml:space="preserve"> Số 04 khu BH 02 – ô số 4 lô OTM-3, khu đô thị Vinhomes Imperia, phường Thượng Lý, quận Hồng Bàng, thành phố Hải Phòng </w:t>
            </w:r>
            <w:r>
              <w:rPr>
                <w:rFonts w:ascii="Times New Roman" w:hAnsi="Times New Roman" w:eastAsia="Times New Roman" w:cs="Times New Roman"/>
                <w:b w:val="0"/>
                <w:bCs w:val="0"/>
                <w:i/>
                <w:color w:val="000000"/>
                <w:sz w:val="24"/>
              </w:rPr>
              <w:t xml:space="preserve">(Nay là Phường Hồng Bàng, Thành phố Hải Phòng)</w:t>
            </w:r>
            <w:r>
              <w:rPr>
                <w:b w:val="0"/>
                <w:bCs w:val="0"/>
                <w:color w:val="000000"/>
              </w:rPr>
            </w:r>
            <w:r>
              <w:rPr>
                <w:b w:val="0"/>
                <w:bCs w:val="0"/>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108,5</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108,5 m2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ind/>
              <w:jc w:val="both"/>
              <w:rPr>
                <w:highlight w:val="none"/>
              </w:rPr>
            </w:pPr>
            <w:r>
              <w:rPr>
                <w:color w:val="000000"/>
              </w:rPr>
            </w:r>
            <w:r>
              <mc:AlternateContent>
                <mc:Choice Requires="wpg">
                  <w:drawing>
                    <wp:inline xmlns:wp="http://schemas.openxmlformats.org/drawingml/2006/wordprocessingDrawing" distT="0" distB="0" distL="0" distR="0">
                      <wp:extent cx="3803239" cy="2392482"/>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843346" name=""/>
                              <pic:cNvPicPr>
                                <a:picLocks noChangeAspect="1"/>
                              </pic:cNvPicPr>
                              <pic:nvPr/>
                            </pic:nvPicPr>
                            <pic:blipFill rotWithShape="1">
                              <a:blip r:embed="rId17"/>
                              <a:stretch/>
                            </pic:blipFill>
                            <pic:spPr bwMode="auto">
                              <a:xfrm flipH="0" flipV="0">
                                <a:off x="0" y="0"/>
                                <a:ext cx="3803239" cy="23924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299.47pt;height:188.38pt;mso-wrap-distance-left:0.00pt;mso-wrap-distance-top:0.00pt;mso-wrap-distance-right:0.00pt;mso-wrap-distance-bottom:0.00pt;z-index:1;" stroked="false">
                      <v:imagedata r:id="rId17" o:title=""/>
                      <o:lock v:ext="edit" rotation="t"/>
                    </v:shape>
                  </w:pict>
                </mc:Fallback>
              </mc:AlternateContent>
            </w:r>
            <w:r>
              <w:rPr>
                <w:highlight w:val="none"/>
              </w:rPr>
            </w:r>
            <w:r>
              <w:rPr>
                <w:highlight w:val="none"/>
              </w:rPr>
            </w:r>
          </w:p>
          <w:p>
            <w:pPr>
              <w:pBdr/>
              <w:spacing/>
              <w:ind/>
              <w:jc w:val="both"/>
              <w:rPr>
                <w:color w:val="000000"/>
              </w:rPr>
            </w:pPr>
            <w:r>
              <w:rPr>
                <w:highlight w:val="none"/>
              </w:rPr>
            </w: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tra cứu quy hoạch online thông qua các trang mạng như Guland/Meeymap, xác đ</w:t>
            </w:r>
            <w:r>
              <w:rPr>
                <w:rFonts w:ascii="Times New Roman" w:hAnsi="Times New Roman" w:eastAsia="Times New Roman" w:cs="Times New Roman"/>
                <w:color w:val="000000"/>
                <w:sz w:val="24"/>
              </w:rPr>
              <w:t xml:space="preserve">ịnh vị trí tài sản thuộc quy hoạch đất ở. </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nhựa</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2 mặt đường trước sau</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15</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15</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Cách DT359 khoảng 200m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 </w:t>
            </w:r>
            <w:r>
              <w:rPr>
                <w:color w:val="000000"/>
              </w:rPr>
            </w:r>
            <w:r>
              <w:rPr>
                <w:color w:val="000000"/>
              </w:rPr>
            </w:r>
          </w:p>
        </w:tc>
        <w:tc>
          <w:tcPr>
            <w:gridSpan w:val="3"/>
            <w:tcBorders/>
            <w:tcW w:w="6259" w:type="dxa"/>
            <w:vAlign w:val="center"/>
            <w:textDirection w:val="lrTb"/>
            <w:noWrap w:val="false"/>
          </w:tcPr>
          <w:p>
            <w:pPr>
              <w:pBdr/>
              <w:spacing/>
              <w:ind/>
              <w:rPr>
                <w:color w:val="000000" w:themeColor="text1"/>
                <w:highlight w:val="none"/>
              </w:rPr>
            </w:pPr>
            <w:r>
              <w:rPr>
                <w:color w:val="000000" w:themeColor="text1"/>
              </w:rPr>
              <w:t xml:space="preserve">Hướng Tây và Đông tiếp giáp với đường giao thông</w:t>
            </w:r>
            <w:r>
              <w:rPr>
                <w:color w:val="000000" w:themeColor="text1"/>
                <w:highlight w:val="none"/>
              </w:rPr>
            </w:r>
            <w:r>
              <w:rPr>
                <w:color w:val="000000" w:themeColor="text1"/>
                <w:highlight w:val="none"/>
              </w:rPr>
            </w:r>
          </w:p>
          <w:p>
            <w:pPr>
              <w:pBdr/>
              <w:spacing/>
              <w:ind/>
              <w:rPr>
                <w:color w:val="000000" w:themeColor="text1"/>
              </w:rPr>
            </w:pPr>
            <w:r>
              <w:rPr>
                <w:color w:val="000000" w:themeColor="text1"/>
                <w:highlight w:val="none"/>
              </w:rPr>
              <w:t xml:space="preserve">Các hướng còn lại tiếp giáp với các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(20.862777777778, 106.66294444444)</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90353"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4990353"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92.94pt;height:200.0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108,5</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Khoảng 7,09</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10,51</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Tây</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Dân cư thông thường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Khá</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highlight w:val="none"/>
              </w:rPr>
            </w:pPr>
            <w:r>
              <w:rPr>
                <w:color w:val="000000"/>
              </w:rPr>
              <w:t xml:space="preserve">+ Tại thời điểm khảo sát dưới sự hướng dẫn của khách hàng cũng như hình ảnh trên sơ đồ tại GCN tài sản trên đất là nhà 5 tầng và 1 tum, diện tích  xây dựng 77,1m2, tổng diện tích sàn 398,2m2 xây dựng năm 2018</w:t>
            </w:r>
            <w:r>
              <w:rPr>
                <w:color w:val="000000"/>
                <w:highlight w:val="none"/>
              </w:rPr>
            </w:r>
            <w:r>
              <w:rPr>
                <w:color w:val="000000"/>
                <w:highlight w:val="none"/>
              </w:rPr>
            </w:r>
          </w:p>
          <w:p>
            <w:pPr>
              <w:pBdr/>
              <w:spacing/>
              <w:ind/>
              <w:jc w:val="both"/>
              <w:rPr>
                <w:color w:val="000000"/>
              </w:rPr>
            </w:pPr>
            <w:r>
              <w:rPr>
                <w:color w:val="000000"/>
                <w:highlight w:val="none"/>
              </w:rPr>
              <w:t xml:space="preserve">+ Tài sản đã được công nhận trên GCN.</w:t>
            </w:r>
            <w:r>
              <w:rPr>
                <w:color w:val="000000"/>
              </w:rPr>
            </w:r>
            <w:r>
              <w:rPr>
                <w:color w:val="000000"/>
              </w:rPr>
            </w:r>
          </w:p>
        </w:tc>
      </w:tr>
    </w:tbl>
    <w:p>
      <w:pPr>
        <w:pBdr/>
        <w:spacing/>
        <w:ind/>
        <w:rPr>
          <w:b/>
          <w:bCs/>
        </w:rPr>
      </w:pPr>
      <w:r>
        <w:rPr>
          <w:b/>
          <w:bCs/>
        </w:rPr>
      </w:r>
      <w:r>
        <w:rPr>
          <w:b/>
          <w:bCs/>
        </w:rPr>
      </w:r>
      <w:r>
        <w:rPr>
          <w:b/>
          <w:bCs/>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S=0.5ha)&lt;5ha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33"/>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3"/>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3"/>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3"/>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3"/>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3"/>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3"/>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3"/>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33"/>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33"/>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3"/>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3"/>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pPr>
        <w:pStyle w:val="1033"/>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3"/>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3"/>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lang w:val="pt-BR"/>
        </w:rPr>
      </w:r>
      <w:r>
        <w:rPr>
          <w:bCs/>
          <w:lang w:val="pt-BR"/>
        </w:rPr>
      </w:r>
    </w:p>
    <w:p>
      <w:pPr>
        <w:pStyle w:val="1033"/>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Dự án Vinhomes Imperia Hải Phòng, Phường Thượng Lý, Quận Hồng Bàng, Tỉnh Hải Phòng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Dự án Vinhomes Imperia Hải Phòng, Phường Thượng Lý, Quận Hồng Bàng, Tỉnh Hải Phòng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Dự án Vinhomes Imperia Hải Phòng, Phường Thượng Lý, Quận Hồng Bàng, Tỉnh Hải Phòng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Dự án Vinhomes Imperia Hải Phòng, Phường Thượng Lý, Quận Hồng Bàng, Tỉnh Hải Phòng</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w:t>
            </w:r>
            <w:r>
              <w:rPr>
                <w:color w:val="000000" w:themeColor="text1"/>
                <w:sz w:val="22"/>
                <w:szCs w:val="22"/>
              </w:rPr>
              <w:t xml:space="preserve">om.vn/ban-nha-biet-thu-lien-ke-phuong-thuong-ly-vinhomes-imperia-hai-phong/sieu-pham-144m-manhattan-thang-may-full-noi-that-ang-cap-gan-truong-hoc-cong-vien-pr45555104?gidzl=rHW-OrFan2_I0JriM_t5Bja3Esf6_C1_pmOxQ4VvoocLK3Te7QtCBvjUDcaUzCqapLimOZInoyXqL-h68G</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0967894490</w:t>
            </w:r>
            <w:r>
              <w:rPr>
                <w:sz w:val="22"/>
                <w:szCs w:val="22"/>
              </w:rPr>
              <w:t xml:space="preserve"> </w:t>
            </w:r>
            <w:r>
              <w:rPr>
                <w:sz w:val="22"/>
                <w:szCs w:val="22"/>
              </w:rPr>
              <w:br/>
              <w:t xml:space="preserve">(</w:t>
            </w:r>
            <w:r>
              <w:rPr>
                <w:sz w:val="22"/>
                <w:szCs w:val="22"/>
              </w:rPr>
              <w:t xml:space="preserve">Hoàng Anh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0979.81.9898</w:t>
            </w:r>
            <w:r>
              <w:rPr>
                <w:sz w:val="22"/>
                <w:szCs w:val="22"/>
              </w:rPr>
              <w:br/>
            </w:r>
            <w:r>
              <w:rPr>
                <w:sz w:val="22"/>
                <w:szCs w:val="22"/>
              </w:rPr>
              <w:t xml:space="preserve">(</w:t>
            </w:r>
            <w:r>
              <w:rPr>
                <w:sz w:val="22"/>
                <w:szCs w:val="22"/>
              </w:rPr>
              <w:t xml:space="preserve">Nguyễn Tùng Anh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0915155999</w:t>
            </w:r>
            <w:r>
              <w:rPr>
                <w:sz w:val="22"/>
                <w:szCs w:val="22"/>
              </w:rPr>
              <w:br/>
            </w:r>
            <w:r>
              <w:rPr>
                <w:sz w:val="22"/>
                <w:szCs w:val="22"/>
              </w:rPr>
              <w:t xml:space="preserve">(</w:t>
            </w:r>
            <w:r>
              <w:rPr>
                <w:sz w:val="22"/>
                <w:szCs w:val="22"/>
              </w:rPr>
              <w:t xml:space="preserve">Nguyên Thắng Vinhomes</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t xml:space="preserve"> 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Đang giao dịch</w:t>
            </w: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Dự án Vinhomes Imperia Hải Phòng, Phường Thượng Lý, Quận Hồng Bàng, Tỉnh Hải Phòng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Dự án Vinhomes Imperia Hải Phòng, Phường Thượng Lý, Quận Hồng Bàng, Tỉnh Hải Phòng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Dự án Vinhomes Imperia Hải Phòng, Phường Thượng Lý, Quận Hồng Bàng, Tỉnh Hải Phòng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Dự án Vinhomes Imperia Hải Phòng, Phường Thượng Lý, Quận Hồng Bàng, Tỉnh Hải Phòng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108,5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144</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Khoảng 7,09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đường trước sau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đường, phố + 1 mặt ngõ</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đường trước sau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đường trước sau</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Khá (Đối diện là Vincom Plaza Imperia Hải Phòng)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Trung bình (Khu làn trong)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Trung bình (Khu làn trong)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Trung bình (Khu làn trong)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Đất/tài sản liền kề, đối diện vườn hoa, khu thể thao, bể bơi (không đối diện nhà ở) để được xe hơi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Tài sản trên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Biệt thự 5 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Biệt thự 4 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Biệt thự 3,5 tầng</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36.000.000.000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26.000.000.000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24.300.000.000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32.400.000.000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23.400.000.000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21.870.000.000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3.559.331.412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2.230.235.188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2.427.045.278</w:t>
            </w:r>
            <w:r>
              <w:rPr>
                <w:color w:val="000000"/>
                <w:sz w:val="22"/>
                <w:szCs w:val="22"/>
              </w:rPr>
            </w:r>
            <w:r>
              <w:rPr>
                <w:color w:val="000000"/>
                <w:sz w:val="22"/>
                <w:szCs w:val="22"/>
              </w:rPr>
            </w:r>
          </w:p>
        </w:tc>
      </w:tr>
      <w:tr>
        <w:trPr>
          <w:trHeight w:val="138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Đơn giá xây dựng theo Quyết định số </w:t>
            </w:r>
            <w:r>
              <w:rPr>
                <w:rFonts w:ascii="Times New Roman" w:hAnsi="Times New Roman" w:eastAsia="Times New Roman" w:cs="Times New Roman"/>
                <w:color w:val="000000"/>
                <w:spacing w:val="-4"/>
                <w:sz w:val="24"/>
              </w:rPr>
              <w:t xml:space="preserve">425/QĐ-BXD ngày 30/3/2026</w:t>
            </w:r>
            <w:r>
              <w:rPr>
                <w:rFonts w:ascii="Times New Roman" w:hAnsi="Times New Roman" w:eastAsia="Times New Roman" w:cs="Times New Roman"/>
                <w:color w:val="000000"/>
                <w:sz w:val="22"/>
              </w:rPr>
              <w:t xml:space="preserve"> của Bộ Xây Dựng (đồng/m²)</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9.970.116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9.970.116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9.970.116</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 Tỷ lệ % CLCL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84</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tcPr>
          <w:p>
            <w:pPr>
              <w:pBdr/>
              <w:spacing/>
              <w:ind/>
              <w:rPr>
                <w:color w:val="000000"/>
                <w:sz w:val="22"/>
                <w:szCs w:val="22"/>
              </w:rPr>
            </w:pPr>
            <w:r>
              <w:rPr>
                <w:color w:val="000000"/>
                <w:sz w:val="22"/>
                <w:szCs w:val="22"/>
              </w:rPr>
              <w:t xml:space="preserve">Tỷ lệ % hoàn thiện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28.840.668.588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21.169.764.812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19.442.954.722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182.535.877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132.311.030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135.020.519</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Tương đồng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dựa trên ba tài sản so sánh tương đồng với tài sản thẩm định giá, Tổ thẩm định phân tích các </w:t>
      </w:r>
      <w:r>
        <w:rPr>
          <w:lang w:val="it-IT"/>
        </w:rPr>
        <w:t xml:space="preserve">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3"/>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28.840.668.588</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21.169.764.812</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19.442.954.722</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182.535.877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132.311.030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135.020.519</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182.535.877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132.311.030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135.020.519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182.535.877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132.311.030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135.020.519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182.535.877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132.311.030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135.020.519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Dự án Vinhomes Imperia Hải Phòng, Phường Thượng Lý, Quận Hồng Bàng, Tỉnh Hải Phòng</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Dự án Vinhomes Imperia Hải Phòng, Phường Thượng Lý, Quận Hồng Bàng, Tỉnh Hải Phòng</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Dự án Vinhomes Imperia Hải Phòng, Phường Thượng Lý, Quận Hồng Bàng, Tỉnh Hải Phòng</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Dự án Vinhomes Imperia Hải Phòng, Phường Thượng Lý, Quận Hồng Bàng, Tỉnh Hải Phòng</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182.535.877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132.311.030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135.020.519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182.535.877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132.311.030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135.020.519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182.535.877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132.311.030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135.020.519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108,5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160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144</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9.126.794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6.615.552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6.751.026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191.662.671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138.926.582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141.771.545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Khoảng 7,09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-3.650.718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-5.292.441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-5.400.821</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188.011.953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133.634.141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136.370.724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đường trước sau</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đường, phố + 1 mặt ngõ</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đường trước sau</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đường trước sau</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-27.380.382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160.631.571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133.634.141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136.370.724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160.631.571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133.634.141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136.370.724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Lợi thế kinh doanh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Khá (Đối diện là Vincom Plaza Imperia Hải Phòng)</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Trung bình (Khu làn trong)</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Trung bình (Khu làn trong)</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Trung bình (Khu làn trong)</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18.253.588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13.231.103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13.502.052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178.885.159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146.865.244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149.872.776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Lợi thế thương mại</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Đất/tài sản liền kề, đối diện vườn hoa, khu thể thao, bể bơi (không đối diện nhà ở) để được xe hơi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18.253.588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13.231.103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13.502.052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197.138.747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160.096.347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163.374.828</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197.138.747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160.096.347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163.374.828</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173.536.641</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13,6%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-7,74%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-5,86%</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76.665.070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38.370.199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39.155.951</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 - 15%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 - 10%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 - 10%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14.602.870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27.785.317</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28.354.309</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highlight w:val="none"/>
        </w:rPr>
      </w:pPr>
      <w:r>
        <w:t xml:space="preserve">Theo số liệu tại mục </w:t>
      </w:r>
      <w:r>
        <w:t xml:space="preserve">D</w:t>
      </w:r>
      <w:r>
        <w:t xml:space="preserve">2, chênh lệch giữa mức giá trung bình của các mức giá chỉ dẫn nằm trong khoảng từ </w:t>
      </w:r>
      <w:r>
        <w:t xml:space="preserve"> </w:t>
      </w:r>
      <w:r>
        <w:t xml:space="preserve">-7,74</w:t>
      </w:r>
      <w:r>
        <w:t xml:space="preserve">% đến </w:t>
      </w:r>
      <w:r>
        <w:t xml:space="preserve">13,6</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highlight w:val="none"/>
        </w:rPr>
      </w:r>
      <w:r>
        <w:rPr>
          <w:highlight w:val="none"/>
        </w:rPr>
      </w:r>
    </w:p>
    <w:p>
      <w:pPr>
        <w:pBdr/>
        <w:spacing w:after="120" w:before="120" w:line="276" w:lineRule="auto"/>
        <w:ind/>
        <w:jc w:val="both"/>
        <w:rPr>
          <w:b/>
          <w:bCs/>
          <w:u w:val="single"/>
        </w:rPr>
      </w:pPr>
      <w:r>
        <w:rPr>
          <w:highlight w:val="none"/>
        </w:rPr>
      </w:r>
      <w:r>
        <w:rPr>
          <w:b/>
          <w:bCs/>
          <w:u w:val="single"/>
        </w:rPr>
      </w:r>
      <w:r>
        <w:rPr>
          <w:b/>
          <w:bCs/>
          <w:u w:val="single"/>
        </w:rPr>
      </w:r>
    </w:p>
    <w:p>
      <w:pPr>
        <w:pBdr/>
        <w:spacing w:after="120" w:before="120" w:line="276" w:lineRule="auto"/>
        <w:ind/>
        <w:rPr>
          <w:b/>
          <w:bCs/>
          <w:i/>
          <w:iCs/>
          <w:highlight w:val="none"/>
          <w:u w:val="single"/>
        </w:rPr>
      </w:pPr>
      <w:r>
        <w:rPr>
          <w:b/>
          <w:bCs/>
          <w:i/>
          <w:iCs/>
          <w:u w:val="single"/>
        </w:rPr>
        <w:t xml:space="preserve">Về thống nhất mức giá chỉ dẫn</w:t>
      </w:r>
      <w:r>
        <w:rPr>
          <w:b/>
          <w:bCs/>
          <w:i/>
          <w:iCs/>
          <w:u w:val="single"/>
        </w:rPr>
        <w:t xml:space="preserve">:</w:t>
      </w:r>
      <w:r>
        <w:rPr>
          <w:b/>
          <w:bCs/>
          <w:i/>
          <w:iCs/>
          <w:highlight w:val="none"/>
          <w:u w:val="single"/>
        </w:rPr>
      </w:r>
      <w:r>
        <w:rPr>
          <w:b/>
          <w:bCs/>
          <w:i/>
          <w:iCs/>
          <w:highlight w:val="none"/>
          <w:u w:val="single"/>
        </w:rPr>
      </w:r>
    </w:p>
    <w:p>
      <w:pPr>
        <w:pBdr/>
        <w:spacing w:after="120" w:before="120" w:line="276" w:lineRule="auto"/>
        <w:ind/>
        <w:rPr>
          <w:b/>
          <w:bCs/>
          <w:i/>
          <w:u w:val="single"/>
        </w:rPr>
      </w:pPr>
      <w:r>
        <w:rPr>
          <w:b/>
          <w:bCs/>
          <w:i/>
          <w:iCs/>
          <w:highlight w:val="none"/>
          <w:u w:val="single"/>
        </w:rPr>
      </w:r>
      <w:r>
        <w:rPr>
          <w:b/>
          <w:bCs/>
          <w:i/>
          <w:u w:val="single"/>
        </w:rPr>
      </w:r>
      <w:r>
        <w:rPr>
          <w:b/>
          <w:bCs/>
          <w:i/>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197.138.747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65.726.058</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160.096.347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53.360.112</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163.374.828</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54.452.830</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173.539.000</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174.000.000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174.000.000</w:t>
      </w:r>
      <w:r>
        <w:rPr>
          <w:b/>
          <w:bCs/>
          <w:color w:val="000000" w:themeColor="text1"/>
        </w:rPr>
        <w:t xml:space="preserve"> </w:t>
      </w:r>
      <w:r>
        <w:rPr>
          <w:b/>
          <w:bCs/>
        </w:rPr>
        <w:t xml:space="preserve">đồng/m².</w:t>
      </w:r>
      <w:r>
        <w:rPr>
          <w:b/>
          <w:bCs/>
        </w:rPr>
      </w:r>
      <w:r>
        <w:rPr>
          <w:b/>
          <w:bCs/>
        </w:rPr>
      </w:r>
    </w:p>
    <w:p>
      <w:pPr>
        <w:pStyle w:val="1033"/>
        <w:numPr>
          <w:ilvl w:val="0"/>
          <w:numId w:val="26"/>
        </w:numPr>
        <w:pBdr/>
        <w:spacing w:after="120" w:before="120" w:line="276" w:lineRule="auto"/>
        <w:ind w:hanging="357" w:left="357"/>
        <w:jc w:val="both"/>
        <w:rPr>
          <w:b/>
          <w:bCs/>
        </w:rPr>
      </w:pPr>
      <w:r>
        <w:rPr>
          <w:b/>
          <w:bCs/>
        </w:rPr>
        <w:t xml:space="preserve">Xác định giá trị tài sản gắn liền với đất</w:t>
      </w:r>
      <w:r>
        <w:rPr>
          <w:b/>
          <w:bCs/>
        </w:rPr>
      </w:r>
      <w:r>
        <w:rPr>
          <w:b/>
          <w:bCs/>
        </w:rPr>
      </w:r>
    </w:p>
    <w:p>
      <w:pPr>
        <w:numPr>
          <w:ilvl w:val="0"/>
          <w:numId w:val="40"/>
        </w:numPr>
        <w:pBdr>
          <w:top w:val="none" w:color="000000" w:sz="4" w:space="0"/>
          <w:left w:val="none" w:color="000000" w:sz="4" w:space="0"/>
          <w:bottom w:val="none" w:color="000000" w:sz="4" w:space="0"/>
          <w:right w:val="none" w:color="000000" w:sz="4" w:space="0"/>
        </w:pBdr>
        <w:spacing w:after="120" w:before="120" w:line="264" w:lineRule="auto"/>
        <w:ind/>
        <w:jc w:val="both"/>
        <w:rPr/>
      </w:pPr>
      <w:r>
        <w:rPr>
          <w:rFonts w:ascii="Times New Roman" w:hAnsi="Times New Roman" w:eastAsia="Times New Roman" w:cs="Times New Roman"/>
          <w:b/>
          <w:color w:val="000000"/>
          <w:sz w:val="24"/>
        </w:rPr>
        <w:t xml:space="preserve">Xác định đơn giá của công trình xây dựng</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right="0" w:firstLine="426" w:left="0"/>
        <w:jc w:val="both"/>
        <w:rPr/>
      </w:pPr>
      <w:r>
        <w:rPr>
          <w:rFonts w:ascii="Times New Roman" w:hAnsi="Times New Roman" w:eastAsia="Times New Roman" w:cs="Times New Roman"/>
          <w:color w:val="000000"/>
          <w:sz w:val="24"/>
        </w:rPr>
        <w:t xml:space="preserve">Qua tham khảo thị trường về đơn giá xây dựng mới đối với công trình nhà 4 tầng, cân nhắc và xem xét với mức độ hoàn thiện của công trình xây dựng hiện có, tổ thẩm định nhận thấy đơn giá vận dụng theo -Quyết định số 425/QĐ-BXD ngày 30 tháng 3 năm 2026 của B</w:t>
      </w:r>
      <w:r>
        <w:rPr>
          <w:rFonts w:ascii="Times New Roman" w:hAnsi="Times New Roman" w:eastAsia="Times New Roman" w:cs="Times New Roman"/>
          <w:color w:val="000000"/>
          <w:sz w:val="24"/>
        </w:rPr>
        <w:t xml:space="preserve">ộ Xây dựng về việc công bố suất vốn đầu tư xây dựng và giá xây dựng tổng hợp bộ phận kết cấu công trình năm 2025 là khá phù hợp với thị trường, theo đó:</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right="0" w:firstLine="426" w:left="0"/>
        <w:jc w:val="both"/>
        <w:rPr/>
      </w:pPr>
      <w:r>
        <w:rPr>
          <w:rFonts w:ascii="Times New Roman" w:hAnsi="Times New Roman" w:eastAsia="Times New Roman" w:cs="Times New Roman"/>
          <w:i/>
          <w:color w:val="000000"/>
          <w:sz w:val="24"/>
        </w:rPr>
        <w:t xml:space="preserve">“Suất vốn đầu tư xây dựng Nhà kiểu biệt thự từ 2 đến 3 tầng, kết cấu khung chịu lực BTCT; tường bao xây gạch; sàn, mái BTCT đổ tại chỗ không có hầm: 10.517.000 đồng/m² sàn.</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right="0" w:firstLine="426" w:left="0"/>
        <w:jc w:val="both"/>
        <w:rPr/>
      </w:pPr>
      <w:r>
        <w:rPr>
          <w:rFonts w:ascii="Times New Roman" w:hAnsi="Times New Roman" w:eastAsia="Times New Roman" w:cs="Times New Roman"/>
          <w:i/>
          <w:color w:val="000000"/>
          <w:sz w:val="24"/>
        </w:rPr>
        <w:t xml:space="preserve">Hệ số điều chỉnh vùng cho Suất đầu tư: Hải Phòng thuộc vùng 2 có hệ số điều chỉnh là 0,948.”</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right="0" w:firstLine="426" w:left="0"/>
        <w:jc w:val="both"/>
        <w:rPr/>
      </w:pPr>
      <w:r>
        <w:rPr>
          <w:rFonts w:ascii="Times New Roman" w:hAnsi="Times New Roman" w:eastAsia="Times New Roman" w:cs="Times New Roman"/>
          <w:i/>
          <w:color w:val="000000"/>
          <w:sz w:val="24"/>
        </w:rPr>
        <w:t xml:space="preserve">Do đó, Tổ thẩm định xác định đơn giá xây mới của công trình xây dựng là: (Suất đầu tư xây dựng) x (Hệ số vùng) = 10.517.000  x 0,948 = 9.970.116 đồng/m² sàn. </w:t>
      </w:r>
      <w:r/>
    </w:p>
    <w:p>
      <w:pPr>
        <w:numPr>
          <w:ilvl w:val="0"/>
          <w:numId w:val="41"/>
        </w:numPr>
        <w:pBdr>
          <w:top w:val="none" w:color="000000" w:sz="4" w:space="0"/>
          <w:left w:val="none" w:color="000000" w:sz="4" w:space="0"/>
          <w:bottom w:val="none" w:color="000000" w:sz="4" w:space="0"/>
          <w:right w:val="none" w:color="000000" w:sz="4" w:space="0"/>
        </w:pBdr>
        <w:spacing w:after="120" w:before="120" w:line="264" w:lineRule="auto"/>
        <w:ind/>
        <w:jc w:val="both"/>
        <w:rPr/>
      </w:pPr>
      <w:r>
        <w:rPr>
          <w:rFonts w:ascii="Times New Roman" w:hAnsi="Times New Roman" w:eastAsia="Times New Roman" w:cs="Times New Roman"/>
          <w:b/>
          <w:color w:val="000000"/>
          <w:sz w:val="24"/>
        </w:rPr>
        <w:t xml:space="preserve">Xác định giá trị hao mòn theo kỹ thuật tuổi đời:</w:t>
      </w:r>
      <w:r/>
    </w:p>
    <w:p>
      <w:pPr>
        <w:pBdr>
          <w:top w:val="none" w:color="000000" w:sz="4" w:space="0"/>
          <w:left w:val="none" w:color="000000" w:sz="4" w:space="0"/>
          <w:bottom w:val="none" w:color="000000" w:sz="4" w:space="0"/>
          <w:right w:val="none" w:color="000000" w:sz="4" w:space="0"/>
        </w:pBdr>
        <w:spacing w:after="80" w:before="80" w:line="264" w:lineRule="auto"/>
        <w:ind w:right="0" w:firstLine="284" w:left="0"/>
        <w:jc w:val="both"/>
        <w:rPr/>
      </w:pPr>
      <w:r>
        <w:rPr>
          <w:rFonts w:ascii="Times New Roman" w:hAnsi="Times New Roman" w:eastAsia="Times New Roman" w:cs="Times New Roman"/>
          <w:color w:val="000000"/>
          <w:spacing w:val="2"/>
          <w:sz w:val="24"/>
        </w:rPr>
        <w:t xml:space="preserve">Tỉ lệ hao mòn được tính toán theo phương pháp tuổi đời:</w:t>
      </w:r>
      <w:r/>
    </w:p>
    <w:p>
      <w:pPr>
        <w:pBdr>
          <w:top w:val="none" w:color="000000" w:sz="4" w:space="0"/>
          <w:left w:val="none" w:color="000000" w:sz="4" w:space="0"/>
          <w:bottom w:val="none" w:color="000000" w:sz="4" w:space="0"/>
          <w:right w:val="none" w:color="000000" w:sz="4" w:space="0"/>
        </w:pBdr>
        <w:spacing w:after="80" w:before="80" w:line="264" w:lineRule="auto"/>
        <w:ind w:right="0" w:firstLine="284" w:left="0"/>
        <w:jc w:val="both"/>
        <w:rPr/>
      </w:pPr>
      <w:r>
        <w:rPr>
          <w:rFonts w:ascii="Times New Roman" w:hAnsi="Times New Roman" w:eastAsia="Times New Roman" w:cs="Times New Roman"/>
          <w:color w:val="000000"/>
          <w:spacing w:val="2"/>
          <w:sz w:val="24"/>
        </w:rPr>
        <w:t xml:space="preserve">Công thức: Tỉ lệ hao mòn = Tuổi đời hiệu quả/ Tuổi đời kinh tế</w:t>
      </w:r>
      <w:r/>
    </w:p>
    <w:p>
      <w:pPr>
        <w:pBdr>
          <w:top w:val="none" w:color="000000" w:sz="4" w:space="0"/>
          <w:left w:val="none" w:color="000000" w:sz="4" w:space="0"/>
          <w:bottom w:val="none" w:color="000000" w:sz="4" w:space="0"/>
          <w:right w:val="none" w:color="000000" w:sz="4" w:space="0"/>
        </w:pBdr>
        <w:spacing w:after="80" w:before="80" w:line="264" w:lineRule="auto"/>
        <w:ind w:right="0" w:firstLine="284" w:left="0"/>
        <w:jc w:val="both"/>
        <w:rPr/>
      </w:pPr>
      <w:r>
        <w:rPr>
          <w:rFonts w:ascii="Times New Roman" w:hAnsi="Times New Roman" w:eastAsia="Times New Roman" w:cs="Times New Roman"/>
          <w:color w:val="000000"/>
          <w:spacing w:val="2"/>
          <w:sz w:val="24"/>
        </w:rPr>
        <w:t xml:space="preserve">Tổ thẩm định giả định rằng công trình xây dựng hoạt động liên tục trong khoảng thời gian trích khấu hao được duy tu, sửa chữa định kỳ và đúng quy trình nên tuổi đời hiệu quả bằng tuổi đời thực tế. Theo thông tin khách hàng cung cấp, công trình được hoàn th</w:t>
      </w:r>
      <w:r>
        <w:rPr>
          <w:rFonts w:ascii="Times New Roman" w:hAnsi="Times New Roman" w:eastAsia="Times New Roman" w:cs="Times New Roman"/>
          <w:color w:val="000000"/>
          <w:spacing w:val="2"/>
          <w:sz w:val="24"/>
        </w:rPr>
        <w:t xml:space="preserve">ành đưa vào sử dụng khoảng năm 2019, do vậy tổ thẩm định xác định tuổi đời hiệu quả của công trình là khoảng 7 năm.</w:t>
      </w:r>
      <w:r/>
    </w:p>
    <w:p>
      <w:pPr>
        <w:pBdr>
          <w:top w:val="none" w:color="000000" w:sz="4" w:space="0"/>
          <w:left w:val="none" w:color="000000" w:sz="4" w:space="0"/>
          <w:bottom w:val="none" w:color="000000" w:sz="4" w:space="0"/>
          <w:right w:val="none" w:color="000000" w:sz="4" w:space="0"/>
        </w:pBdr>
        <w:spacing w:after="80" w:before="80" w:line="264" w:lineRule="auto"/>
        <w:ind w:right="0" w:firstLine="284" w:left="0"/>
        <w:jc w:val="both"/>
        <w:rPr/>
      </w:pPr>
      <w:r>
        <w:rPr>
          <w:rFonts w:ascii="Times New Roman" w:hAnsi="Times New Roman" w:eastAsia="Times New Roman" w:cs="Times New Roman"/>
          <w:color w:val="000000"/>
          <w:sz w:val="24"/>
        </w:rPr>
        <w:t xml:space="preserve">Vận dụng thời gian trích khấu hao TSCĐ tại Thông tư 45/2013/TT-BTC của Bộ Tài Chính về việc hướng dẫn chế độ quản lý, sử dụng và trích khấu hao tài sản cố định ngày 25/4/2013, kết hợp với khảo sát thông tin thị trường và quan sát hiện trạng thực tế công tr</w:t>
      </w:r>
      <w:r>
        <w:rPr>
          <w:rFonts w:ascii="Times New Roman" w:hAnsi="Times New Roman" w:eastAsia="Times New Roman" w:cs="Times New Roman"/>
          <w:color w:val="000000"/>
          <w:sz w:val="24"/>
        </w:rPr>
        <w:t xml:space="preserve">ình, tổ thẩm định xác định tuổi đời kinh tế của tài sản thẩm định là 50 năm. Qua khảo sát thực tế và thông tin khách hàng cung cấp, công trình xây dựng được hoàn thành năm 2018. Do đó, tổ thẩm định để xuất tuổi đời kinh tế của tài sản thẩm định là 50 năm</w:t>
      </w:r>
      <w:r/>
    </w:p>
    <w:tbl>
      <w:tblPr>
        <w:tblStyle w:val="1037"/>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863"/>
        <w:gridCol w:w="1865"/>
        <w:gridCol w:w="2081"/>
        <w:gridCol w:w="2082"/>
        <w:gridCol w:w="2082"/>
        <w:gridCol w:w="2005"/>
        <w:gridCol w:w="76"/>
      </w:tblGrid>
      <w:tr>
        <w:trPr>
          <w:trHeight w:val="600"/>
        </w:trPr>
        <w:tc>
          <w:tcPr>
            <w:shd w:val="clear" w:color="ffffff"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86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Tên tài sản</w:t>
            </w:r>
            <w:r/>
          </w:p>
        </w:tc>
        <w:tc>
          <w:tcPr>
            <w:tcBorders>
              <w:top w:val="single" w:color="000000" w:sz="8" w:space="0"/>
              <w:bottom w:val="single" w:color="000000" w:sz="8" w:space="0"/>
              <w:right w:val="single" w:color="000000" w:sz="8" w:space="0"/>
            </w:tcBorders>
            <w:tcMar>
              <w:left w:w="0" w:type="dxa"/>
              <w:top w:w="0" w:type="dxa"/>
              <w:right w:w="0" w:type="dxa"/>
              <w:bottom w:w="0" w:type="dxa"/>
            </w:tcMar>
            <w:tcW w:w="186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Năm xây dựng hoàn thành</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0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Thời điểm thẩm định</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08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Tuổi đời kinh tế (năm)</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08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Tuổi đời hiệu quả (năm)</w:t>
            </w:r>
            <w:r/>
          </w:p>
        </w:tc>
        <w:tc>
          <w:tcPr>
            <w:gridSpan w:val="2"/>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0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Tỉ lệ hao mòn (%)</w:t>
            </w:r>
            <w:r/>
          </w:p>
        </w:tc>
      </w:tr>
      <w:tr>
        <w:trPr>
          <w:trHeight w:val="620"/>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186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Nhà biệt thự 6 tầng</w:t>
            </w:r>
            <w:r/>
          </w:p>
        </w:tc>
        <w:tc>
          <w:tcPr>
            <w:tcBorders>
              <w:bottom w:val="single" w:color="000000" w:sz="8" w:space="0"/>
              <w:right w:val="single" w:color="000000" w:sz="8" w:space="0"/>
            </w:tcBorders>
            <w:tcMar>
              <w:left w:w="0" w:type="dxa"/>
              <w:top w:w="0" w:type="dxa"/>
              <w:right w:w="0" w:type="dxa"/>
              <w:bottom w:w="0" w:type="dxa"/>
            </w:tcMar>
            <w:tcW w:w="186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2018</w:t>
            </w:r>
            <w:r/>
          </w:p>
        </w:tc>
        <w:tc>
          <w:tcPr>
            <w:shd w:val="clear" w:color="ffffff" w:fill="ffffff"/>
            <w:tcBorders>
              <w:bottom w:val="single" w:color="000000" w:sz="8" w:space="0"/>
              <w:right w:val="single" w:color="000000" w:sz="8" w:space="0"/>
            </w:tcBorders>
            <w:tcMar>
              <w:left w:w="0" w:type="dxa"/>
              <w:top w:w="0" w:type="dxa"/>
              <w:right w:w="0" w:type="dxa"/>
              <w:bottom w:w="0" w:type="dxa"/>
            </w:tcMar>
            <w:tcW w:w="20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2026</w:t>
            </w:r>
            <w:r/>
          </w:p>
        </w:tc>
        <w:tc>
          <w:tcPr>
            <w:shd w:val="clear" w:color="ffffff" w:fill="ffffff"/>
            <w:tcBorders>
              <w:bottom w:val="single" w:color="000000" w:sz="8" w:space="0"/>
              <w:right w:val="single" w:color="000000" w:sz="8" w:space="0"/>
            </w:tcBorders>
            <w:tcMar>
              <w:left w:w="0" w:type="dxa"/>
              <w:top w:w="0" w:type="dxa"/>
              <w:right w:w="0" w:type="dxa"/>
              <w:bottom w:w="0" w:type="dxa"/>
            </w:tcMar>
            <w:tcW w:w="208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50</w:t>
            </w:r>
            <w:r/>
          </w:p>
        </w:tc>
        <w:tc>
          <w:tcPr>
            <w:shd w:val="clear" w:color="ffffff" w:fill="ffffff"/>
            <w:tcBorders>
              <w:bottom w:val="single" w:color="000000" w:sz="8" w:space="0"/>
              <w:right w:val="single" w:color="000000" w:sz="8" w:space="0"/>
            </w:tcBorders>
            <w:tcMar>
              <w:left w:w="0" w:type="dxa"/>
              <w:top w:w="0" w:type="dxa"/>
              <w:right w:w="0" w:type="dxa"/>
              <w:bottom w:w="0" w:type="dxa"/>
            </w:tcMar>
            <w:tcW w:w="208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8</w:t>
            </w:r>
            <w:r/>
          </w:p>
        </w:tc>
        <w:tc>
          <w:tcPr>
            <w:gridSpan w:val="2"/>
            <w:shd w:val="clear" w:color="ffffff" w:fill="ffffff"/>
            <w:tcBorders>
              <w:bottom w:val="single" w:color="000000" w:sz="8" w:space="0"/>
              <w:right w:val="single" w:color="000000" w:sz="8" w:space="0"/>
            </w:tcBorders>
            <w:tcMar>
              <w:left w:w="0" w:type="dxa"/>
              <w:top w:w="0" w:type="dxa"/>
              <w:right w:w="0" w:type="dxa"/>
              <w:bottom w:w="0" w:type="dxa"/>
            </w:tcMar>
            <w:tcW w:w="208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16%</w:t>
            </w:r>
            <w:r/>
          </w:p>
        </w:tc>
      </w:tr>
      <w:tr>
        <w:trPr>
          <w:gridAfter w:val="1"/>
          <w:trHeight w:val="310"/>
        </w:trPr>
        <w:tc>
          <w:tcPr>
            <w:gridSpan w:val="6"/>
            <w:tcBorders/>
            <w:tcMar>
              <w:left w:w="0" w:type="dxa"/>
              <w:top w:w="0" w:type="dxa"/>
              <w:right w:w="0" w:type="dxa"/>
              <w:bottom w:w="0" w:type="dxa"/>
            </w:tcMar>
            <w:tcW w:w="11977"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Tổ thẩm định xác định tỉ lệ hao mòn của tài sản thẩm định là: 16%, tương đương tỷ lệ chất lượng còn lại của tài sản là: 84%</w:t>
            </w:r>
            <w:r/>
          </w:p>
        </w:tc>
      </w:tr>
      <w:tr>
        <w:trPr/>
        <w:tc>
          <w:tcPr>
            <w:tcBorders/>
            <w:tcMar>
              <w:left w:w="0" w:type="dxa"/>
              <w:top w:w="0" w:type="dxa"/>
              <w:right w:w="0" w:type="dxa"/>
              <w:bottom w:w="0" w:type="dxa"/>
            </w:tcMar>
            <w:tcW w:w="1863"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1865"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2081"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2082"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2082"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2005"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76" w:type="dxa"/>
            <w:vAlign w:val="center"/>
            <w:textDirection w:val="lrTb"/>
            <w:noWrap w:val="false"/>
          </w:tcPr>
          <w:p>
            <w:pPr>
              <w:pBdr/>
              <w:spacing w:after="0" w:before="0" w:line="240" w:lineRule="auto"/>
              <w:ind/>
              <w:rPr/>
            </w:pPr>
            <w:r/>
            <w:r/>
          </w:p>
        </w:tc>
      </w:tr>
    </w:tbl>
    <w:p>
      <w:pPr>
        <w:numPr>
          <w:ilvl w:val="0"/>
          <w:numId w:val="42"/>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giá trị của công trình xây dựng trên đất:</w:t>
      </w:r>
      <w:r/>
    </w:p>
    <w:p>
      <w:pPr>
        <w:pBdr>
          <w:top w:val="none" w:color="000000" w:sz="4" w:space="0"/>
          <w:left w:val="none" w:color="000000" w:sz="4" w:space="0"/>
          <w:bottom w:val="none" w:color="000000" w:sz="4" w:space="0"/>
          <w:right w:val="none" w:color="000000" w:sz="4" w:space="0"/>
        </w:pBdr>
        <w:spacing w:after="80" w:before="80" w:line="276" w:lineRule="auto"/>
        <w:ind w:right="0" w:firstLine="284" w:left="0"/>
        <w:jc w:val="both"/>
        <w:rPr/>
      </w:pPr>
      <w:r>
        <w:rPr>
          <w:rFonts w:ascii="Times New Roman" w:hAnsi="Times New Roman" w:eastAsia="Times New Roman" w:cs="Times New Roman"/>
          <w:color w:val="000000"/>
          <w:spacing w:val="2"/>
          <w:sz w:val="24"/>
        </w:rPr>
        <w:t xml:space="preserve">Công thức:</w:t>
      </w:r>
      <w:r/>
    </w:p>
    <w:tbl>
      <w:tblPr>
        <w:tblStyle w:val="1037"/>
        <w:tblInd w:w="25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autofit"/>
        <w:tblLook w:val="04A0" w:firstRow="1" w:lastRow="0" w:firstColumn="1" w:lastColumn="0" w:noHBand="0" w:noVBand="1"/>
      </w:tblPr>
      <w:tblGrid>
        <w:gridCol w:w="1633"/>
        <w:gridCol w:w="341"/>
        <w:gridCol w:w="3673"/>
        <w:gridCol w:w="319"/>
        <w:gridCol w:w="2311"/>
      </w:tblGrid>
      <w:tr>
        <w:trPr>
          <w:trHeight w:val="794"/>
        </w:trPr>
        <w:tc>
          <w:tcPr>
            <w:tcBorders/>
            <w:tcMar>
              <w:left w:w="108" w:type="dxa"/>
              <w:top w:w="0" w:type="dxa"/>
              <w:right w:w="108" w:type="dxa"/>
              <w:bottom w:w="0" w:type="dxa"/>
            </w:tcMar>
            <w:tcW w:w="1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Giá trị ước tính của tài sản</w:t>
            </w:r>
            <w:r/>
          </w:p>
        </w:tc>
        <w:tc>
          <w:tcPr>
            <w:tcBorders/>
            <w:tcMar>
              <w:left w:w="108" w:type="dxa"/>
              <w:top w:w="0" w:type="dxa"/>
              <w:right w:w="108" w:type="dxa"/>
              <w:bottom w:w="0" w:type="dxa"/>
            </w:tcMar>
            <w:tcW w:w="34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367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Chi phí thay thế </w:t>
            </w:r>
            <w:r/>
          </w:p>
          <w:p>
            <w:pPr>
              <w:pBdr>
                <w:top w:val="none" w:color="000000" w:sz="4" w:space="0"/>
                <w:left w:val="none" w:color="000000" w:sz="4" w:space="0"/>
                <w:bottom w:val="none" w:color="000000" w:sz="4" w:space="0"/>
                <w:right w:val="none" w:color="000000" w:sz="4" w:space="0"/>
              </w:pBdr>
              <w:shd w:val="clear" w:color="ffffff" w:fill="ffffff"/>
              <w:spacing w:after="120"/>
              <w:ind w:right="0" w:firstLine="0" w:left="0"/>
              <w:jc w:val="center"/>
              <w:rPr/>
            </w:pPr>
            <w:r>
              <w:rPr>
                <w:rFonts w:ascii="Times New Roman" w:hAnsi="Times New Roman" w:eastAsia="Times New Roman" w:cs="Times New Roman"/>
                <w:color w:val="000000"/>
                <w:sz w:val="24"/>
              </w:rPr>
              <w:t xml:space="preserve">(Giá trị xây mới tài sản-đã bao gồm lợi nhuận của nhà sản xuất/nhà đầu tư)</w:t>
            </w:r>
            <w:r/>
          </w:p>
        </w:tc>
        <w:tc>
          <w:tcPr>
            <w:tcBorders/>
            <w:tcMar>
              <w:left w:w="108" w:type="dxa"/>
              <w:top w:w="0" w:type="dxa"/>
              <w:right w:w="108" w:type="dxa"/>
              <w:bottom w:w="0" w:type="dxa"/>
            </w:tcMar>
            <w:tcW w:w="3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23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Tổng giá trị hao mòn </w:t>
            </w:r>
            <w:r/>
          </w:p>
        </w:tc>
      </w:tr>
    </w:tbl>
    <w:p>
      <w:pPr>
        <w:pBdr/>
        <w:spacing w:after="120" w:before="120" w:line="276" w:lineRule="auto"/>
        <w:ind w:firstLine="0" w:left="0"/>
        <w:jc w:val="both"/>
        <w:rPr>
          <w:b/>
          <w:bCs/>
        </w:rPr>
      </w:pPr>
      <w:r>
        <w:rPr>
          <w:b/>
          <w:bCs/>
          <w:highlight w:val="none"/>
        </w:rPr>
      </w:r>
      <w:r>
        <w:rPr>
          <w:b/>
          <w:bCs/>
        </w:rPr>
      </w:r>
      <w:r>
        <w:rPr>
          <w:b/>
          <w:bCs/>
        </w:rPr>
      </w:r>
    </w:p>
    <w:tbl>
      <w:tblPr>
        <w:tblInd w:w="-114" w:type="dxa"/>
        <w:tblW w:w="96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92"/>
        <w:gridCol w:w="1101"/>
        <w:gridCol w:w="1560"/>
        <w:gridCol w:w="1701"/>
        <w:gridCol w:w="1139"/>
        <w:gridCol w:w="1559"/>
        <w:gridCol w:w="1586"/>
      </w:tblGrid>
      <w:tr>
        <w:trPr>
          <w:trHeight w:val="936"/>
        </w:trPr>
        <w:tc>
          <w:tcPr>
            <w:shd w:val="clear" w:color="000000" w:fill="ffffff"/>
            <w:tcBorders/>
            <w:tcW w:w="992" w:type="dxa"/>
            <w:vAlign w:val="center"/>
            <w:textDirection w:val="lrTb"/>
            <w:noWrap w:val="false"/>
          </w:tcPr>
          <w:p>
            <w:pPr>
              <w:pBdr/>
              <w:spacing w:after="60" w:before="60"/>
              <w:ind/>
              <w:jc w:val="center"/>
              <w:rPr>
                <w:b/>
                <w:bCs/>
                <w:sz w:val="22"/>
                <w:szCs w:val="22"/>
              </w:rPr>
            </w:pPr>
            <w:r>
              <w:rPr>
                <w:b/>
                <w:bCs/>
                <w:sz w:val="22"/>
                <w:szCs w:val="22"/>
              </w:rPr>
              <w:t xml:space="preserve">Tài sản</w:t>
            </w:r>
            <w:r>
              <w:rPr>
                <w:b/>
                <w:bCs/>
                <w:sz w:val="22"/>
                <w:szCs w:val="22"/>
              </w:rPr>
            </w:r>
            <w:r>
              <w:rPr>
                <w:b/>
                <w:bCs/>
                <w:sz w:val="22"/>
                <w:szCs w:val="22"/>
              </w:rPr>
            </w:r>
          </w:p>
        </w:tc>
        <w:tc>
          <w:tcPr>
            <w:shd w:val="clear" w:color="000000" w:fill="ffffff"/>
            <w:tcBorders/>
            <w:tcW w:w="1101" w:type="dxa"/>
            <w:vAlign w:val="center"/>
            <w:textDirection w:val="lrTb"/>
            <w:noWrap w:val="false"/>
          </w:tcPr>
          <w:p>
            <w:pPr>
              <w:pBdr/>
              <w:spacing w:after="60" w:before="60"/>
              <w:ind/>
              <w:jc w:val="center"/>
              <w:rPr>
                <w:b/>
                <w:bCs/>
                <w:sz w:val="22"/>
                <w:szCs w:val="22"/>
              </w:rPr>
            </w:pPr>
            <w:r>
              <w:rPr>
                <w:b/>
                <w:bCs/>
                <w:sz w:val="22"/>
                <w:szCs w:val="22"/>
              </w:rPr>
              <w:t xml:space="preserve">Diện tích sàn (m²)</w:t>
            </w:r>
            <w:r>
              <w:rPr>
                <w:b/>
                <w:bCs/>
                <w:sz w:val="22"/>
                <w:szCs w:val="22"/>
              </w:rPr>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Đơn giá xây dựng mới (đồng/m² sàn)</w:t>
            </w:r>
            <w:r>
              <w:rPr>
                <w:b/>
                <w:bCs/>
                <w:sz w:val="22"/>
                <w:szCs w:val="22"/>
              </w:rPr>
            </w:r>
            <w:r>
              <w:rPr>
                <w:b/>
                <w:bCs/>
                <w:sz w:val="22"/>
                <w:szCs w:val="22"/>
              </w:rPr>
            </w:r>
          </w:p>
        </w:tc>
        <w:tc>
          <w:tcPr>
            <w:shd w:val="clear" w:color="000000" w:fill="ffffff"/>
            <w:tcBorders/>
            <w:tcW w:w="1701" w:type="dxa"/>
            <w:vAlign w:val="center"/>
            <w:textDirection w:val="lrTb"/>
            <w:noWrap w:val="false"/>
          </w:tcPr>
          <w:p>
            <w:pPr>
              <w:pBdr/>
              <w:spacing w:after="60" w:before="60"/>
              <w:ind/>
              <w:jc w:val="center"/>
              <w:rPr>
                <w:b/>
                <w:bCs/>
                <w:sz w:val="22"/>
                <w:szCs w:val="22"/>
              </w:rPr>
            </w:pPr>
            <w:r>
              <w:rPr>
                <w:b/>
                <w:bCs/>
                <w:sz w:val="22"/>
                <w:szCs w:val="22"/>
              </w:rPr>
              <w:t xml:space="preserve">Chi phí thay thế (đồng)</w:t>
            </w:r>
            <w:r>
              <w:rPr>
                <w:b/>
                <w:bCs/>
                <w:sz w:val="22"/>
                <w:szCs w:val="22"/>
              </w:rPr>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Tỷ lệ hao mòn (%)</w:t>
            </w:r>
            <w:r>
              <w:rPr>
                <w:b/>
                <w:bCs/>
                <w:sz w:val="22"/>
                <w:szCs w:val="22"/>
              </w:rPr>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Giá trị hao mòn (đồng)</w:t>
            </w:r>
            <w:r>
              <w:rPr>
                <w:b/>
                <w:bCs/>
                <w:sz w:val="22"/>
                <w:szCs w:val="22"/>
              </w:rPr>
            </w:r>
            <w:r>
              <w:rPr>
                <w:b/>
                <w:bCs/>
                <w:sz w:val="22"/>
                <w:szCs w:val="22"/>
              </w:rPr>
            </w:r>
          </w:p>
        </w:tc>
        <w:tc>
          <w:tcPr>
            <w:shd w:val="clear" w:color="000000" w:fill="ffffff"/>
            <w:tcBorders/>
            <w:tcW w:w="1586" w:type="dxa"/>
            <w:vAlign w:val="center"/>
            <w:textDirection w:val="lrTb"/>
            <w:noWrap w:val="false"/>
          </w:tcPr>
          <w:p>
            <w:pPr>
              <w:pBdr/>
              <w:spacing w:after="60" w:before="60"/>
              <w:ind/>
              <w:jc w:val="center"/>
              <w:rPr>
                <w:b/>
                <w:bCs/>
                <w:sz w:val="22"/>
                <w:szCs w:val="22"/>
              </w:rPr>
            </w:pPr>
            <w:r>
              <w:rPr>
                <w:b/>
                <w:bCs/>
                <w:sz w:val="22"/>
                <w:szCs w:val="22"/>
              </w:rPr>
              <w:t xml:space="preserve">Giá trị thẩm định tại thời điểm thẩm định giá (đồng)</w:t>
            </w:r>
            <w:r>
              <w:rPr>
                <w:b/>
                <w:bCs/>
                <w:sz w:val="22"/>
                <w:szCs w:val="22"/>
              </w:rPr>
            </w:r>
            <w:r>
              <w:rPr>
                <w:b/>
                <w:bCs/>
                <w:sz w:val="22"/>
                <w:szCs w:val="22"/>
              </w:rPr>
            </w:r>
          </w:p>
        </w:tc>
      </w:tr>
      <w:tr>
        <w:trPr>
          <w:trHeight w:val="300"/>
        </w:trPr>
        <w:tc>
          <w:tcPr>
            <w:shd w:val="clear" w:color="000000" w:fill="ffffff"/>
            <w:tcBorders/>
            <w:tcW w:w="992" w:type="dxa"/>
            <w:vAlign w:val="center"/>
            <w:textDirection w:val="lrTb"/>
            <w:noWrap w:val="false"/>
          </w:tcPr>
          <w:p>
            <w:pPr>
              <w:pBdr/>
              <w:spacing w:after="60" w:before="60"/>
              <w:ind/>
              <w:jc w:val="center"/>
              <w:rPr>
                <w:b/>
                <w:bCs/>
                <w:sz w:val="22"/>
                <w:szCs w:val="22"/>
              </w:rPr>
            </w:pPr>
            <w:r>
              <w:rPr>
                <w:b/>
                <w:bCs/>
                <w:sz w:val="22"/>
                <w:szCs w:val="22"/>
              </w:rPr>
              <w:t xml:space="preserve">(1)</w:t>
            </w:r>
            <w:r>
              <w:rPr>
                <w:b/>
                <w:bCs/>
                <w:sz w:val="22"/>
                <w:szCs w:val="22"/>
              </w:rPr>
            </w:r>
            <w:r>
              <w:rPr>
                <w:b/>
                <w:bCs/>
                <w:sz w:val="22"/>
                <w:szCs w:val="22"/>
              </w:rPr>
            </w:r>
          </w:p>
        </w:tc>
        <w:tc>
          <w:tcPr>
            <w:shd w:val="clear" w:color="000000" w:fill="ffffff"/>
            <w:tcBorders/>
            <w:tcW w:w="1101" w:type="dxa"/>
            <w:vAlign w:val="center"/>
            <w:textDirection w:val="lrTb"/>
            <w:noWrap w:val="false"/>
          </w:tcPr>
          <w:p>
            <w:pPr>
              <w:pBdr/>
              <w:spacing w:after="60" w:before="60"/>
              <w:ind/>
              <w:jc w:val="center"/>
              <w:rPr>
                <w:b/>
                <w:bCs/>
                <w:sz w:val="22"/>
                <w:szCs w:val="22"/>
              </w:rPr>
            </w:pPr>
            <w:r>
              <w:rPr>
                <w:b/>
                <w:bCs/>
                <w:sz w:val="22"/>
                <w:szCs w:val="22"/>
              </w:rPr>
              <w:t xml:space="preserve">(2)</w:t>
            </w:r>
            <w:r>
              <w:rPr>
                <w:b/>
                <w:bCs/>
                <w:sz w:val="22"/>
                <w:szCs w:val="22"/>
              </w:rPr>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(3)</w:t>
            </w:r>
            <w:r>
              <w:rPr>
                <w:b/>
                <w:bCs/>
                <w:sz w:val="22"/>
                <w:szCs w:val="22"/>
              </w:rPr>
            </w:r>
            <w:r>
              <w:rPr>
                <w:b/>
                <w:bCs/>
                <w:sz w:val="22"/>
                <w:szCs w:val="22"/>
              </w:rPr>
            </w:r>
          </w:p>
        </w:tc>
        <w:tc>
          <w:tcPr>
            <w:shd w:val="clear" w:color="000000" w:fill="ffffff"/>
            <w:tcBorders/>
            <w:tcW w:w="1701" w:type="dxa"/>
            <w:vAlign w:val="center"/>
            <w:textDirection w:val="lrTb"/>
            <w:noWrap w:val="false"/>
          </w:tcPr>
          <w:p>
            <w:pPr>
              <w:pBdr/>
              <w:spacing w:after="60" w:before="60"/>
              <w:ind/>
              <w:jc w:val="center"/>
              <w:rPr>
                <w:b/>
                <w:bCs/>
                <w:sz w:val="22"/>
                <w:szCs w:val="22"/>
              </w:rPr>
            </w:pPr>
            <w:r>
              <w:rPr>
                <w:b/>
                <w:bCs/>
                <w:sz w:val="22"/>
                <w:szCs w:val="22"/>
              </w:rPr>
              <w:t xml:space="preserve">(4) = (2) * (3)</w:t>
            </w:r>
            <w:r>
              <w:rPr>
                <w:b/>
                <w:bCs/>
                <w:sz w:val="22"/>
                <w:szCs w:val="22"/>
              </w:rPr>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(5)</w:t>
            </w:r>
            <w:r>
              <w:rPr>
                <w:b/>
                <w:bCs/>
                <w:sz w:val="22"/>
                <w:szCs w:val="22"/>
              </w:rPr>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6</w:t>
            </w:r>
            <w:r>
              <w:rPr>
                <w:b/>
                <w:bCs/>
                <w:sz w:val="22"/>
                <w:szCs w:val="22"/>
              </w:rPr>
              <w:t xml:space="preserve">)</w:t>
            </w:r>
            <w:r>
              <w:rPr>
                <w:b/>
                <w:bCs/>
                <w:sz w:val="22"/>
                <w:szCs w:val="22"/>
              </w:rPr>
              <w:t xml:space="preserve">=(4)*(5)</w:t>
            </w:r>
            <w:r>
              <w:rPr>
                <w:b/>
                <w:bCs/>
                <w:sz w:val="22"/>
                <w:szCs w:val="22"/>
              </w:rPr>
            </w:r>
            <w:r>
              <w:rPr>
                <w:b/>
                <w:bCs/>
                <w:sz w:val="22"/>
                <w:szCs w:val="22"/>
              </w:rPr>
            </w:r>
          </w:p>
        </w:tc>
        <w:tc>
          <w:tcPr>
            <w:shd w:val="clear" w:color="000000" w:fill="ffffff"/>
            <w:tcBorders/>
            <w:tcW w:w="1586"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7</w:t>
            </w:r>
            <w:r>
              <w:rPr>
                <w:b/>
                <w:bCs/>
                <w:sz w:val="22"/>
                <w:szCs w:val="22"/>
              </w:rPr>
              <w:t xml:space="preserve">) = (4) - (</w:t>
            </w:r>
            <w:r>
              <w:rPr>
                <w:b/>
                <w:bCs/>
                <w:sz w:val="22"/>
                <w:szCs w:val="22"/>
              </w:rPr>
              <w:t xml:space="preserve">6</w:t>
            </w:r>
            <w:r>
              <w:rPr>
                <w:b/>
                <w:bCs/>
                <w:sz w:val="22"/>
                <w:szCs w:val="22"/>
              </w:rPr>
              <w:t xml:space="preserve">)</w:t>
            </w:r>
            <w:r>
              <w:rPr>
                <w:b/>
                <w:bCs/>
                <w:sz w:val="22"/>
                <w:szCs w:val="22"/>
              </w:rPr>
            </w:r>
            <w:r>
              <w:rPr>
                <w:b/>
                <w:bCs/>
                <w:sz w:val="22"/>
                <w:szCs w:val="22"/>
              </w:rPr>
            </w:r>
          </w:p>
        </w:tc>
      </w:tr>
      <w:tr>
        <w:trPr>
          <w:trHeight w:val="312"/>
        </w:trPr>
        <w:tc>
          <w:tcPr>
            <w:tcBorders/>
            <w:tcW w:w="992" w:type="dxa"/>
            <w:vAlign w:val="center"/>
            <w:textDirection w:val="lrTb"/>
            <w:noWrap w:val="false"/>
          </w:tcPr>
          <w:p>
            <w:pPr>
              <w:pBdr/>
              <w:spacing w:after="60" w:before="60"/>
              <w:ind/>
              <w:jc w:val="center"/>
              <w:rPr>
                <w:sz w:val="22"/>
                <w:szCs w:val="22"/>
              </w:rPr>
            </w:pPr>
            <w:r>
              <w:rPr>
                <w:sz w:val="22"/>
                <w:szCs w:val="22"/>
              </w:rPr>
              <w:t xml:space="preserve">Nhà biệt thự</w:t>
            </w:r>
            <w:r>
              <w:rPr>
                <w:sz w:val="22"/>
                <w:szCs w:val="22"/>
              </w:rPr>
            </w:r>
            <w:r>
              <w:rPr>
                <w:sz w:val="22"/>
                <w:szCs w:val="22"/>
              </w:rPr>
            </w:r>
          </w:p>
        </w:tc>
        <w:tc>
          <w:tcPr>
            <w:tcBorders/>
            <w:tcW w:w="1101" w:type="dxa"/>
            <w:vAlign w:val="center"/>
            <w:textDirection w:val="lrTb"/>
            <w:noWrap/>
          </w:tcPr>
          <w:p>
            <w:pPr>
              <w:pBdr/>
              <w:spacing w:after="60" w:before="60"/>
              <w:ind/>
              <w:jc w:val="center"/>
              <w:rPr>
                <w:sz w:val="22"/>
                <w:szCs w:val="22"/>
              </w:rPr>
            </w:pPr>
            <w:r>
              <w:rPr>
                <w:sz w:val="22"/>
                <w:szCs w:val="22"/>
              </w:rPr>
              <w:t xml:space="preserve">398,2</w:t>
            </w:r>
            <w:r>
              <w:rPr>
                <w:sz w:val="22"/>
                <w:szCs w:val="22"/>
              </w:rPr>
            </w:r>
            <w:r>
              <w:rPr>
                <w:sz w:val="22"/>
                <w:szCs w:val="22"/>
              </w:rPr>
            </w:r>
          </w:p>
        </w:tc>
        <w:tc>
          <w:tcPr>
            <w:tcBorders/>
            <w:tcW w:w="1560" w:type="dxa"/>
            <w:vAlign w:val="center"/>
            <w:textDirection w:val="lrTb"/>
            <w:noWrap/>
          </w:tcPr>
          <w:p>
            <w:pPr>
              <w:pBdr/>
              <w:spacing w:after="60" w:before="60"/>
              <w:ind/>
              <w:jc w:val="center"/>
              <w:rPr>
                <w:sz w:val="22"/>
                <w:szCs w:val="22"/>
              </w:rPr>
            </w:pPr>
            <w:r>
              <w:rPr>
                <w:sz w:val="22"/>
                <w:szCs w:val="22"/>
              </w:rPr>
              <w:t xml:space="preserve">9.970.116</w:t>
            </w:r>
            <w:r>
              <w:rPr>
                <w:sz w:val="22"/>
                <w:szCs w:val="22"/>
              </w:rPr>
            </w:r>
            <w:r>
              <w:rPr>
                <w:sz w:val="22"/>
                <w:szCs w:val="22"/>
              </w:rPr>
            </w:r>
          </w:p>
        </w:tc>
        <w:tc>
          <w:tcPr>
            <w:tcBorders/>
            <w:tcW w:w="1701" w:type="dxa"/>
            <w:vAlign w:val="center"/>
            <w:textDirection w:val="lrTb"/>
            <w:noWrap/>
          </w:tcPr>
          <w:p>
            <w:pPr>
              <w:pBdr/>
              <w:spacing w:after="60" w:before="60"/>
              <w:ind/>
              <w:jc w:val="center"/>
              <w:rPr>
                <w:sz w:val="22"/>
                <w:szCs w:val="22"/>
              </w:rPr>
            </w:pPr>
            <w:r>
              <w:rPr>
                <w:sz w:val="22"/>
                <w:szCs w:val="22"/>
              </w:rPr>
              <w:t xml:space="preserve">3.970.100.191</w:t>
            </w:r>
            <w:r>
              <w:rPr>
                <w:sz w:val="22"/>
                <w:szCs w:val="22"/>
              </w:rPr>
            </w:r>
            <w:r>
              <w:rPr>
                <w:sz w:val="22"/>
                <w:szCs w:val="22"/>
              </w:rPr>
            </w:r>
          </w:p>
        </w:tc>
        <w:tc>
          <w:tcPr>
            <w:tcBorders/>
            <w:tcW w:w="1139" w:type="dxa"/>
            <w:vAlign w:val="center"/>
            <w:textDirection w:val="lrTb"/>
            <w:noWrap w:val="false"/>
          </w:tcPr>
          <w:p>
            <w:pPr>
              <w:pBdr/>
              <w:spacing w:after="60" w:before="60"/>
              <w:ind/>
              <w:jc w:val="center"/>
              <w:rPr>
                <w:sz w:val="22"/>
                <w:szCs w:val="22"/>
              </w:rPr>
            </w:pPr>
            <w:r>
              <w:rPr>
                <w:sz w:val="22"/>
                <w:szCs w:val="22"/>
              </w:rPr>
              <w:t xml:space="preserve">16%</w:t>
            </w:r>
            <w:r>
              <w:rPr>
                <w:sz w:val="22"/>
                <w:szCs w:val="22"/>
              </w:rPr>
            </w:r>
            <w:r>
              <w:rPr>
                <w:sz w:val="22"/>
                <w:szCs w:val="22"/>
              </w:rPr>
            </w:r>
          </w:p>
        </w:tc>
        <w:tc>
          <w:tcPr>
            <w:tcBorders/>
            <w:tcW w:w="1559" w:type="dxa"/>
            <w:vAlign w:val="center"/>
            <w:textDirection w:val="lrTb"/>
            <w:noWrap/>
          </w:tcPr>
          <w:p>
            <w:pPr>
              <w:pBdr/>
              <w:spacing w:after="60" w:before="60"/>
              <w:ind/>
              <w:jc w:val="center"/>
              <w:rPr>
                <w:sz w:val="22"/>
                <w:szCs w:val="22"/>
              </w:rPr>
            </w:pPr>
            <w:r>
              <w:rPr>
                <w:sz w:val="22"/>
                <w:szCs w:val="22"/>
              </w:rPr>
              <w:t xml:space="preserve">635.216.031</w:t>
            </w:r>
            <w:r>
              <w:rPr>
                <w:sz w:val="22"/>
                <w:szCs w:val="22"/>
              </w:rPr>
            </w:r>
            <w:r>
              <w:rPr>
                <w:sz w:val="22"/>
                <w:szCs w:val="22"/>
              </w:rPr>
            </w:r>
          </w:p>
        </w:tc>
        <w:tc>
          <w:tcPr>
            <w:tcBorders/>
            <w:tcW w:w="1586" w:type="dxa"/>
            <w:vAlign w:val="center"/>
            <w:textDirection w:val="lrTb"/>
            <w:noWrap w:val="false"/>
          </w:tcPr>
          <w:p>
            <w:pPr>
              <w:pBdr/>
              <w:spacing w:after="60" w:before="60"/>
              <w:ind/>
              <w:jc w:val="center"/>
              <w:rPr>
                <w:sz w:val="22"/>
                <w:szCs w:val="22"/>
              </w:rPr>
            </w:pPr>
            <w:r>
              <w:rPr>
                <w:sz w:val="22"/>
                <w:szCs w:val="22"/>
              </w:rPr>
              <w:t xml:space="preserve">3.334.884.161</w:t>
            </w:r>
            <w:r>
              <w:rPr>
                <w:sz w:val="22"/>
                <w:szCs w:val="22"/>
              </w:rPr>
            </w:r>
            <w:r>
              <w:rPr>
                <w:sz w:val="22"/>
                <w:szCs w:val="22"/>
              </w:rPr>
            </w:r>
          </w:p>
        </w:tc>
      </w:tr>
    </w:tbl>
    <w:p>
      <w:pPr>
        <w:pStyle w:val="1033"/>
        <w:pBdr/>
        <w:spacing w:after="120" w:before="120" w:line="276" w:lineRule="auto"/>
        <w:ind w:left="357"/>
        <w:jc w:val="both"/>
        <w:rPr>
          <w:b/>
          <w:lang w:val="pt-BR"/>
        </w:rPr>
      </w:pPr>
      <w:r>
        <w:rPr>
          <w:b/>
          <w:lang w:val="pt-BR"/>
        </w:rPr>
      </w:r>
      <w:r>
        <w:rPr>
          <w:b/>
          <w:lang w:val="pt-BR"/>
        </w:rPr>
      </w:r>
      <w:r>
        <w:rPr>
          <w:b/>
          <w:lang w:val="pt-BR"/>
        </w:rPr>
      </w:r>
    </w:p>
    <w:p>
      <w:pPr>
        <w:pStyle w:val="1033"/>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3"/>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08/2026</w:t>
      </w:r>
      <w:r>
        <w:t xml:space="preserve"> </w:t>
      </w:r>
      <w:r>
        <w:t xml:space="preserve">ước tính </w:t>
      </w:r>
      <w:r>
        <w:t xml:space="preserve">như sau</w:t>
      </w:r>
      <w:r>
        <w:t xml:space="preserve">:</w:t>
      </w: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21"/>
        <w:gridCol w:w="2283"/>
        <w:gridCol w:w="1276"/>
        <w:gridCol w:w="1701"/>
        <w:gridCol w:w="1559"/>
        <w:gridCol w:w="1985"/>
      </w:tblGrid>
      <w:tr>
        <w:trPr>
          <w:trHeight w:val="20"/>
        </w:trPr>
        <w:tc>
          <w:tcPr>
            <w:shd w:val="clear" w:color="000000" w:fill="ffffff"/>
            <w:tcBorders/>
            <w:tcW w:w="721"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283"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276"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701"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55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CLCL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000000" w:fill="ffffff"/>
            <w:tcBorders/>
            <w:tcW w:w="1985"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721"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4"/>
            <w:shd w:val="clear" w:color="000000" w:fill="ffffff"/>
            <w:tcBorders/>
            <w:tcW w:w="6819"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rFonts w:ascii="Times New Roman" w:hAnsi="Times New Roman" w:eastAsia="Times New Roman" w:cs="Times New Roman"/>
                <w:b/>
                <w:bCs/>
                <w:sz w:val="24"/>
              </w:rPr>
            </w:pPr>
            <w:r>
              <w:rPr>
                <w:rFonts w:ascii="Times New Roman" w:hAnsi="Times New Roman" w:eastAsia="Times New Roman" w:cs="Times New Roman"/>
                <w:b/>
                <w:bCs/>
                <w:color w:val="000000"/>
                <w:sz w:val="24"/>
              </w:rPr>
              <w:t xml:space="preserve">Quyền sử dụng đất và tài sản gắn liền với đất tại thửa đất số: 119, tờ bản đồ số: 23 có địa chỉ tại: Số 04 khu BH 02 – ô số 4 lô OTM-3, khu đô thị Vinhomes Imperia, phường Thượng Lý, quận Hồng Bàng, thành phố Hải Phòng </w:t>
            </w:r>
            <w:r>
              <w:rPr>
                <w:rFonts w:ascii="Times New Roman" w:hAnsi="Times New Roman" w:eastAsia="Times New Roman" w:cs="Times New Roman"/>
                <w:b/>
                <w:bCs/>
                <w:i/>
                <w:color w:val="000000"/>
                <w:sz w:val="24"/>
              </w:rPr>
              <w:t xml:space="preserve">(Nay là Phường Hồng Bàng, Thành phố Hải Phòng)</w:t>
            </w:r>
            <w:r>
              <w:rPr>
                <w:rFonts w:ascii="Times New Roman" w:hAnsi="Times New Roman" w:eastAsia="Times New Roman" w:cs="Times New Roman"/>
                <w:b/>
                <w:bCs/>
                <w:color w:val="000000"/>
                <w:sz w:val="24"/>
              </w:rPr>
              <w:t xml:space="preserve"> theo Giấy chứng nhận quyền sử dụng đất, quyền sở hữu nhà ở và tài sản khác gắn liền với đất số: CX 578549, số vào sổ cấp GCN: CH 00922  do Ủy Ban Nhân Dân Quận Hồng Bàng  cấp ngày 02/7/2020; Chủ sử dụng đất là ông Chu Đức Hoài Hồng và vợ là bà Nguyễn Thị </w:t>
            </w:r>
            <w:r>
              <w:rPr>
                <w:rFonts w:ascii="Times New Roman" w:hAnsi="Times New Roman" w:eastAsia="Times New Roman" w:cs="Times New Roman"/>
                <w:b/>
                <w:bCs/>
                <w:color w:val="000000"/>
                <w:sz w:val="24"/>
              </w:rPr>
              <w:t xml:space="preserve">Thu Trang</w:t>
            </w:r>
            <w:r>
              <w:rPr>
                <w:rFonts w:ascii="Times New Roman" w:hAnsi="Times New Roman" w:eastAsia="Times New Roman" w:cs="Times New Roman"/>
                <w:b/>
                <w:bCs/>
                <w:i/>
                <w:color w:val="000000"/>
                <w:sz w:val="24"/>
              </w:rPr>
              <w:t xml:space="preserve">.</w:t>
            </w:r>
            <w:r>
              <w:rPr>
                <w:rFonts w:ascii="Times New Roman" w:hAnsi="Times New Roman" w:eastAsia="Times New Roman" w:cs="Times New Roman"/>
                <w:b/>
                <w:bCs/>
                <w:sz w:val="24"/>
              </w:rPr>
            </w:r>
            <w:r>
              <w:rPr>
                <w:rFonts w:ascii="Times New Roman" w:hAnsi="Times New Roman" w:eastAsia="Times New Roman" w:cs="Times New Roman"/>
                <w:b/>
                <w:bCs/>
                <w:sz w:val="24"/>
              </w:rPr>
            </w:r>
          </w:p>
          <w:p>
            <w:pPr>
              <w:pBdr/>
              <w:spacing/>
              <w:ind/>
              <w:rPr>
                <w:b/>
                <w:bCs/>
              </w:rPr>
            </w:pPr>
            <w:r>
              <w:rPr>
                <w:b/>
                <w:bCs/>
              </w:rPr>
            </w:r>
            <w:r>
              <w:rPr>
                <w:b/>
                <w:bCs/>
              </w:rPr>
            </w:r>
            <w:r>
              <w:rPr>
                <w:b/>
                <w:bCs/>
              </w:rPr>
            </w:r>
          </w:p>
        </w:tc>
        <w:tc>
          <w:tcPr>
            <w:shd w:val="clear" w:color="000000" w:fill="ffffff"/>
            <w:tcBorders/>
            <w:tcW w:w="1985"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721" w:type="dxa"/>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2283" w:type="dxa"/>
            <w:vAlign w:val="center"/>
            <w:textDirection w:val="lrTb"/>
            <w:noWrap w:val="false"/>
          </w:tcPr>
          <w:p>
            <w:pPr>
              <w:pBdr/>
              <w:spacing w:after="40" w:before="40" w:line="288" w:lineRule="auto"/>
              <w:ind/>
              <w:rPr/>
            </w:pPr>
            <w:r>
              <w:rPr>
                <w:b/>
                <w:bCs/>
              </w:rPr>
              <w:t xml:space="preserve">Đất ở tại đô thị</w:t>
            </w:r>
            <w:r/>
          </w:p>
        </w:tc>
        <w:tc>
          <w:tcPr>
            <w:tcBorders/>
            <w:tcW w:w="1276" w:type="dxa"/>
            <w:vAlign w:val="center"/>
            <w:textDirection w:val="lrTb"/>
            <w:noWrap/>
          </w:tcPr>
          <w:p>
            <w:pPr>
              <w:pBdr/>
              <w:spacing w:after="40" w:before="40" w:line="288" w:lineRule="auto"/>
              <w:ind/>
              <w:jc w:val="center"/>
              <w:rPr>
                <w:color w:val="000000"/>
              </w:rPr>
            </w:pPr>
            <w:r>
              <w:rPr>
                <w:color w:val="000000" w:themeColor="text1"/>
              </w:rPr>
              <w:t xml:space="preserve">108,5</w:t>
            </w:r>
            <w:r>
              <w:rPr>
                <w:color w:val="000000"/>
              </w:rPr>
            </w:r>
            <w:r>
              <w:rPr>
                <w:color w:val="000000"/>
              </w:rPr>
            </w:r>
          </w:p>
        </w:tc>
        <w:tc>
          <w:tcPr>
            <w:shd w:val="clear" w:color="000000" w:fill="ffffff"/>
            <w:tcBorders/>
            <w:tcW w:w="1701" w:type="dxa"/>
            <w:vAlign w:val="center"/>
            <w:textDirection w:val="lrTb"/>
            <w:noWrap w:val="false"/>
          </w:tcPr>
          <w:p>
            <w:pPr>
              <w:pBdr/>
              <w:spacing w:after="40" w:before="40" w:line="288" w:lineRule="auto"/>
              <w:ind/>
              <w:jc w:val="center"/>
              <w:rPr/>
            </w:pPr>
            <w:r>
              <w:rPr>
                <w:color w:val="000000" w:themeColor="text1"/>
              </w:rPr>
              <w:t xml:space="preserve">174.000.000</w:t>
            </w:r>
            <w:r/>
          </w:p>
        </w:tc>
        <w:tc>
          <w:tcPr>
            <w:shd w:val="clear" w:color="000000" w:fill="ffffff"/>
            <w:tcBorders/>
            <w:tcW w:w="1559" w:type="dxa"/>
            <w:vAlign w:val="center"/>
            <w:textDirection w:val="lrTb"/>
            <w:noWrap w:val="false"/>
          </w:tcPr>
          <w:p>
            <w:pPr>
              <w:pBdr/>
              <w:spacing/>
              <w:ind/>
              <w:rPr>
                <w:color w:val="000000" w:themeColor="text1"/>
              </w:rPr>
            </w:pPr>
            <w:r>
              <w:rPr>
                <w:color w:val="000000" w:themeColor="text1"/>
              </w:rPr>
            </w:r>
            <w:r>
              <w:rPr>
                <w:color w:val="000000" w:themeColor="text1"/>
              </w:rPr>
            </w:r>
            <w:r>
              <w:rPr>
                <w:color w:val="000000" w:themeColor="text1"/>
              </w:rPr>
            </w:r>
          </w:p>
        </w:tc>
        <w:tc>
          <w:tcPr>
            <w:shd w:val="clear" w:color="000000" w:fill="ffffff"/>
            <w:tcBorders/>
            <w:tcW w:w="1985" w:type="dxa"/>
            <w:vAlign w:val="center"/>
            <w:textDirection w:val="lrTb"/>
            <w:noWrap w:val="false"/>
          </w:tcPr>
          <w:p>
            <w:pPr>
              <w:pBdr/>
              <w:spacing w:after="40" w:before="40" w:line="288" w:lineRule="auto"/>
              <w:ind/>
              <w:jc w:val="center"/>
              <w:rPr/>
            </w:pPr>
            <w:r>
              <w:rPr>
                <w:color w:val="000000" w:themeColor="text1"/>
              </w:rPr>
              <w:t xml:space="preserve">18.879.000.000</w:t>
            </w:r>
            <w:r/>
          </w:p>
        </w:tc>
      </w:tr>
      <w:tr>
        <w:trPr>
          <w:trHeight w:val="20"/>
        </w:trPr>
        <w:tc>
          <w:tcPr>
            <w:shd w:val="clear" w:color="000000" w:fill="ffffff"/>
            <w:tcBorders/>
            <w:tcW w:w="721" w:type="dxa"/>
            <w:vAlign w:val="center"/>
            <w:textDirection w:val="lrTb"/>
            <w:noWrap w:val="false"/>
          </w:tcPr>
          <w:p>
            <w:pPr>
              <w:pBdr/>
              <w:spacing w:after="40" w:before="40" w:line="288" w:lineRule="auto"/>
              <w:ind/>
              <w:jc w:val="center"/>
              <w:rPr/>
            </w:pPr>
            <w:r>
              <w:rPr>
                <w:b/>
                <w:bCs/>
              </w:rPr>
              <w:t xml:space="preserve">2</w:t>
            </w:r>
            <w:r/>
          </w:p>
        </w:tc>
        <w:tc>
          <w:tcPr>
            <w:shd w:val="clear" w:color="000000" w:fill="ffffff"/>
            <w:tcBorders/>
            <w:tcW w:w="2283" w:type="dxa"/>
            <w:vAlign w:val="center"/>
            <w:textDirection w:val="lrTb"/>
            <w:noWrap w:val="false"/>
          </w:tcPr>
          <w:p>
            <w:pPr>
              <w:pBdr/>
              <w:spacing w:after="40" w:before="40" w:line="288" w:lineRule="auto"/>
              <w:ind/>
              <w:rPr/>
            </w:pPr>
            <w:r>
              <w:rPr>
                <w:b/>
                <w:bCs/>
              </w:rPr>
              <w:t xml:space="preserve">Nhà biệt thự 5 tầng + 1 tum</w:t>
            </w:r>
            <w:r/>
          </w:p>
        </w:tc>
        <w:tc>
          <w:tcPr>
            <w:tcBorders/>
            <w:tcW w:w="1276" w:type="dxa"/>
            <w:vAlign w:val="center"/>
            <w:textDirection w:val="lrTb"/>
            <w:noWrap/>
          </w:tcPr>
          <w:p>
            <w:pPr>
              <w:pBdr/>
              <w:spacing w:after="40" w:before="40" w:line="288" w:lineRule="auto"/>
              <w:ind/>
              <w:jc w:val="center"/>
              <w:rPr>
                <w:color w:val="000000"/>
              </w:rPr>
            </w:pPr>
            <w:r>
              <w:rPr>
                <w:color w:val="000000" w:themeColor="text1"/>
              </w:rPr>
              <w:t xml:space="preserve">398,2</w:t>
            </w:r>
            <w:r>
              <w:rPr>
                <w:color w:val="000000"/>
              </w:rPr>
            </w:r>
            <w:r>
              <w:rPr>
                <w:color w:val="000000"/>
              </w:rPr>
            </w:r>
          </w:p>
        </w:tc>
        <w:tc>
          <w:tcPr>
            <w:shd w:val="clear" w:color="000000" w:fill="ffffff"/>
            <w:tcBorders/>
            <w:tcW w:w="1701" w:type="dxa"/>
            <w:vAlign w:val="center"/>
            <w:textDirection w:val="lrTb"/>
            <w:noWrap w:val="false"/>
          </w:tcPr>
          <w:p>
            <w:pPr>
              <w:pBdr/>
              <w:spacing w:after="40" w:before="40" w:line="288" w:lineRule="auto"/>
              <w:ind/>
              <w:jc w:val="center"/>
              <w:rPr/>
            </w:pPr>
            <w:r>
              <w:rPr>
                <w:color w:val="000000" w:themeColor="text1"/>
              </w:rPr>
              <w:t xml:space="preserve">9.970.116</w:t>
            </w:r>
            <w:r/>
          </w:p>
        </w:tc>
        <w:tc>
          <w:tcPr>
            <w:shd w:val="clear" w:color="000000" w:fill="ffffff"/>
            <w:tcBorders/>
            <w:tcW w:w="1559" w:type="dxa"/>
            <w:vAlign w:val="center"/>
            <w:textDirection w:val="lrTb"/>
            <w:noWrap w:val="false"/>
          </w:tcPr>
          <w:p>
            <w:pPr>
              <w:pBdr/>
              <w:spacing/>
              <w:ind/>
              <w:jc w:val="center"/>
              <w:rPr>
                <w:color w:val="000000" w:themeColor="text1"/>
                <w:highlight w:val="none"/>
              </w:rPr>
            </w:pPr>
            <w:r>
              <w:rPr>
                <w:color w:val="000000" w:themeColor="text1"/>
              </w:rPr>
              <w:t xml:space="preserve">84%</w:t>
            </w:r>
            <w:r>
              <w:rPr>
                <w:color w:val="000000" w:themeColor="text1"/>
                <w:highlight w:val="none"/>
              </w:rPr>
            </w:r>
            <w:r>
              <w:rPr>
                <w:color w:val="000000" w:themeColor="text1"/>
                <w:highlight w:val="none"/>
              </w:rPr>
            </w:r>
          </w:p>
        </w:tc>
        <w:tc>
          <w:tcPr>
            <w:shd w:val="clear" w:color="000000" w:fill="ffffff"/>
            <w:tcBorders/>
            <w:tcW w:w="1985" w:type="dxa"/>
            <w:vAlign w:val="center"/>
            <w:textDirection w:val="lrTb"/>
            <w:noWrap w:val="false"/>
          </w:tcPr>
          <w:p>
            <w:pPr>
              <w:pBdr/>
              <w:spacing w:after="40" w:before="40" w:line="288" w:lineRule="auto"/>
              <w:ind/>
              <w:jc w:val="center"/>
              <w:rPr/>
            </w:pPr>
            <w:r>
              <w:rPr>
                <w:color w:val="000000" w:themeColor="text1"/>
              </w:rPr>
              <w:t xml:space="preserve">3.334.884.160</w:t>
            </w:r>
            <w:r/>
          </w:p>
        </w:tc>
      </w:tr>
      <w:tr>
        <w:trPr>
          <w:trHeight w:val="20"/>
        </w:trPr>
        <w:tc>
          <w:tcPr>
            <w:gridSpan w:val="5"/>
            <w:tcBorders/>
            <w:tcW w:w="7540"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985" w:type="dxa"/>
            <w:vAlign w:val="center"/>
            <w:textDirection w:val="lrTb"/>
            <w:noWrap/>
          </w:tcPr>
          <w:p>
            <w:pPr>
              <w:pBdr/>
              <w:spacing w:after="40" w:before="40" w:line="288" w:lineRule="auto"/>
              <w:ind/>
              <w:jc w:val="center"/>
              <w:rPr>
                <w:b/>
                <w:bCs/>
                <w:color w:val="000000"/>
              </w:rPr>
            </w:pPr>
            <w:r>
              <w:t xml:space="preserve">22.213.884.160</w:t>
            </w:r>
            <w:r>
              <w:rPr>
                <w:b/>
                <w:bCs/>
                <w:color w:val="000000"/>
              </w:rPr>
            </w:r>
            <w:r>
              <w:rPr>
                <w:b/>
                <w:bCs/>
                <w:color w:val="000000"/>
              </w:rPr>
            </w:r>
          </w:p>
        </w:tc>
      </w:tr>
      <w:tr>
        <w:trPr>
          <w:trHeight w:val="20"/>
        </w:trPr>
        <w:tc>
          <w:tcPr>
            <w:gridSpan w:val="5"/>
            <w:tcBorders/>
            <w:tcW w:w="7540"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985" w:type="dxa"/>
            <w:vAlign w:val="center"/>
            <w:textDirection w:val="lrTb"/>
            <w:noWrap/>
          </w:tcPr>
          <w:p>
            <w:pPr>
              <w:pBdr/>
              <w:spacing w:after="40" w:before="40" w:line="288" w:lineRule="auto"/>
              <w:ind/>
              <w:jc w:val="center"/>
              <w:rPr>
                <w:b/>
                <w:bCs/>
                <w:color w:val="000000"/>
              </w:rPr>
            </w:pPr>
            <w:r>
              <w:rPr>
                <w:b/>
                <w:bCs/>
                <w:color w:val="000000"/>
              </w:rPr>
              <w:t xml:space="preserve">22.213.900.000</w:t>
            </w:r>
            <w:r>
              <w:rPr>
                <w:b/>
                <w:bCs/>
                <w:color w:val="000000"/>
              </w:rPr>
            </w:r>
            <w:r>
              <w:rPr>
                <w:b/>
                <w:bCs/>
                <w:color w:val="000000"/>
              </w:rPr>
            </w:r>
          </w:p>
        </w:tc>
      </w:tr>
      <w:tr>
        <w:trPr>
          <w:trHeight w:val="20"/>
        </w:trPr>
        <w:tc>
          <w:tcPr>
            <w:gridSpan w:val="6"/>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Hai mươi hai tỷ hai trăm mười ba triệu chín trăm nghìn đồng</w:t>
            </w:r>
            <w:r>
              <w:rPr>
                <w:b/>
                <w:bCs/>
                <w:i/>
                <w:iCs/>
                <w:color w:val="000000"/>
              </w:rPr>
              <w:t xml:space="preserve">./.)</w:t>
            </w:r>
            <w:r>
              <w:rPr>
                <w:b/>
                <w:bCs/>
                <w:i/>
                <w:iCs/>
                <w:color w:val="000000"/>
              </w:rPr>
            </w:r>
            <w:r>
              <w:rPr>
                <w:b/>
                <w:bCs/>
                <w:i/>
                <w:iCs/>
                <w:color w:val="000000"/>
              </w:rPr>
            </w:r>
          </w:p>
        </w:tc>
      </w:tr>
    </w:tbl>
    <w:p>
      <w:pPr>
        <w:pStyle w:val="1033"/>
        <w:pBdr/>
        <w:tabs>
          <w:tab w:val="left" w:leader="none" w:pos="993"/>
        </w:tabs>
        <w:spacing w:after="120" w:before="120" w:line="276" w:lineRule="auto"/>
        <w:ind w:left="0"/>
        <w:jc w:val="both"/>
        <w:rPr/>
      </w:pPr>
      <w:r/>
      <w:r/>
    </w:p>
    <w:p>
      <w:pPr>
        <w:pStyle w:val="1033"/>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3"/>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3"/>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3"/>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3"/>
        <w:numPr>
          <w:ilvl w:val="0"/>
          <w:numId w:val="5"/>
        </w:numPr>
        <w:pBdr/>
        <w:tabs>
          <w:tab w:val="left" w:leader="none" w:pos="993"/>
        </w:tabs>
        <w:spacing w:after="120" w:before="120" w:line="288" w:lineRule="auto"/>
        <w:ind/>
        <w:jc w:val="both"/>
        <w:rPr>
          <w:lang w:val="pt-BR"/>
        </w:rPr>
      </w:pPr>
      <w:r>
        <w:rPr>
          <w:lang w:val="pt-BR"/>
        </w:rPr>
        <w:t xml:space="preserve">Thẩm định giá không phải là</w:t>
      </w:r>
      <w:r>
        <w:rPr>
          <w:lang w:val="pt-BR"/>
        </w:rPr>
        <w:t xml:space="preserve">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w:t>
      </w:r>
      <w:r>
        <w:rPr>
          <w:lang w:val="pt-BR"/>
        </w:rPr>
        <w:t xml:space="preserve">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3"/>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3"/>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3"/>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3"/>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3"/>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3"/>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3"/>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3"/>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3"/>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3"/>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3"/>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3"/>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3"/>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3"/>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r>
        <w:rPr>
          <w:shd w:val="clear" w:color="auto" w:fill="ffffff"/>
          <w:lang w:val="pt-BR"/>
        </w:rPr>
      </w:r>
    </w:p>
    <w:p>
      <w:pPr>
        <w:pStyle w:val="1033"/>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3"/>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w:t>
      </w:r>
      <w:r>
        <w:rPr>
          <w:bCs/>
          <w:spacing w:val="-2"/>
          <w:lang w:val="pt-BR"/>
        </w:rPr>
        <w:t xml:space="preserve">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w:t>
      </w:r>
      <w:r>
        <w:rPr>
          <w:bCs/>
          <w:spacing w:val="-2"/>
          <w:lang w:val="pt-BR"/>
        </w:rPr>
        <w:t xml:space="preserve">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pPr>
        <w:pStyle w:val="1033"/>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3"/>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3"/>
        <w:numPr>
          <w:ilvl w:val="0"/>
          <w:numId w:val="5"/>
        </w:numPr>
        <w:pBdr/>
        <w:tabs>
          <w:tab w:val="left" w:leader="none" w:pos="993"/>
        </w:tabs>
        <w:spacing w:after="120" w:before="120" w:line="288" w:lineRule="auto"/>
        <w:ind w:hanging="357" w:left="357"/>
        <w:jc w:val="both"/>
        <w:rPr>
          <w:lang w:val="pt-BR"/>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lang w:val="pt-BR"/>
        </w:rPr>
      </w:r>
      <w:r>
        <w:rPr>
          <w:lang w:val="pt-BR"/>
        </w:rPr>
      </w:r>
    </w:p>
    <w:p>
      <w:pPr>
        <w:pBdr/>
        <w:tabs>
          <w:tab w:val="left" w:leader="none" w:pos="993"/>
        </w:tabs>
        <w:spacing w:after="120" w:before="120" w:line="288" w:lineRule="auto"/>
        <w:ind/>
        <w:jc w:val="both"/>
        <w:rPr>
          <w:lang w:val="pt-BR"/>
        </w:rPr>
      </w:pPr>
      <w:r>
        <w:rPr>
          <w:lang w:val="pt-BR"/>
        </w:rPr>
      </w:r>
      <w:r>
        <w:rPr>
          <w:lang w:val="pt-BR"/>
        </w:rPr>
      </w:r>
      <w:r>
        <w:rPr>
          <w:lang w:val="pt-BR"/>
        </w:rPr>
      </w:r>
    </w:p>
    <w:p>
      <w:pPr>
        <w:pBdr/>
        <w:tabs>
          <w:tab w:val="left" w:leader="none" w:pos="993"/>
        </w:tabs>
        <w:spacing w:after="120" w:before="120" w:line="288" w:lineRule="auto"/>
        <w:ind/>
        <w:jc w:val="both"/>
        <w:rPr>
          <w:lang w:val="pt-BR"/>
        </w:rPr>
      </w:pPr>
      <w:r>
        <w:rPr>
          <w:lang w:val="pt-BR"/>
        </w:rPr>
      </w:r>
      <w:r>
        <w:rPr>
          <w:lang w:val="pt-BR"/>
        </w:rPr>
      </w:r>
      <w:r>
        <w:rPr>
          <w:lang w:val="pt-BR"/>
        </w:rPr>
      </w:r>
    </w:p>
    <w:p>
      <w:pPr>
        <w:pBdr/>
        <w:tabs>
          <w:tab w:val="left" w:leader="none" w:pos="993"/>
        </w:tabs>
        <w:spacing w:after="120" w:before="120" w:line="288" w:lineRule="auto"/>
        <w:ind/>
        <w:jc w:val="both"/>
        <w:rPr>
          <w:lang w:val="pt-BR"/>
        </w:rPr>
      </w:pPr>
      <w:r>
        <w:rPr>
          <w:lang w:val="pt-BR"/>
        </w:rPr>
      </w:r>
      <w:r>
        <w:rPr>
          <w:lang w:val="pt-BR"/>
        </w:rPr>
      </w:r>
      <w:r>
        <w:rPr>
          <w:lang w:val="pt-BR"/>
        </w:rPr>
      </w:r>
    </w:p>
    <w:p>
      <w:pPr>
        <w:pBdr/>
        <w:tabs>
          <w:tab w:val="left" w:leader="none" w:pos="993"/>
        </w:tabs>
        <w:spacing w:after="120" w:before="120" w:line="288" w:lineRule="auto"/>
        <w:ind/>
        <w:jc w:val="both"/>
        <w:rPr>
          <w:lang w:val="pt-BR"/>
        </w:rPr>
      </w:pPr>
      <w:r>
        <w:rPr>
          <w:lang w:val="pt-BR"/>
        </w:rPr>
      </w:r>
      <w:r>
        <w:rPr>
          <w:lang w:val="pt-BR"/>
        </w:rPr>
      </w:r>
      <w:r>
        <w:rPr>
          <w:lang w:val="pt-BR"/>
        </w:rPr>
      </w:r>
    </w:p>
    <w:p>
      <w:pPr>
        <w:pBdr/>
        <w:tabs>
          <w:tab w:val="left" w:leader="none" w:pos="993"/>
        </w:tabs>
        <w:spacing w:after="120" w:before="120" w:line="288" w:lineRule="auto"/>
        <w:ind/>
        <w:jc w:val="both"/>
        <w:rPr>
          <w:lang w:val="pt-BR"/>
        </w:rPr>
      </w:pPr>
      <w:r>
        <w:rPr>
          <w:lang w:val="pt-BR"/>
        </w:rPr>
      </w:r>
      <w:r>
        <w:rPr>
          <w:lang w:val="pt-BR"/>
        </w:rPr>
      </w:r>
      <w:r>
        <w:rPr>
          <w:lang w:val="pt-BR"/>
        </w:rPr>
      </w:r>
    </w:p>
    <w:p>
      <w:pPr>
        <w:pBdr/>
        <w:tabs>
          <w:tab w:val="left" w:leader="none" w:pos="993"/>
        </w:tabs>
        <w:spacing w:after="120" w:before="120" w:line="288" w:lineRule="auto"/>
        <w:ind/>
        <w:jc w:val="both"/>
        <w:rPr>
          <w:lang w:val="pt-BR"/>
        </w:rPr>
      </w:pPr>
      <w:r>
        <w:rPr>
          <w:lang w:val="pt-BR"/>
        </w:rPr>
      </w:r>
      <w:r>
        <w:rPr>
          <w:lang w:val="pt-BR"/>
        </w:rPr>
      </w:r>
      <w:r>
        <w:rPr>
          <w:lang w:val="pt-BR"/>
        </w:rPr>
      </w:r>
    </w:p>
    <w:p>
      <w:pPr>
        <w:pBdr/>
        <w:tabs>
          <w:tab w:val="left" w:leader="none" w:pos="993"/>
        </w:tabs>
        <w:spacing w:after="120" w:before="120" w:line="288" w:lineRule="auto"/>
        <w:ind/>
        <w:jc w:val="both"/>
        <w:rPr>
          <w:lang w:val="pt-BR"/>
        </w:rPr>
      </w:pPr>
      <w:r>
        <w:rPr>
          <w:lang w:val="pt-BR"/>
        </w:rPr>
      </w:r>
      <w:r>
        <w:rPr>
          <w:lang w:val="pt-BR"/>
        </w:rPr>
      </w:r>
      <w:r>
        <w:rPr>
          <w:lang w:val="pt-BR"/>
        </w:rPr>
      </w:r>
    </w:p>
    <w:p>
      <w:pPr>
        <w:pBdr/>
        <w:tabs>
          <w:tab w:val="left" w:leader="none" w:pos="993"/>
        </w:tabs>
        <w:spacing w:after="120" w:before="120" w:line="288" w:lineRule="auto"/>
        <w:ind/>
        <w:jc w:val="both"/>
        <w:rPr>
          <w:lang w:val="pt-BR"/>
        </w:rPr>
      </w:pPr>
      <w:r>
        <w:rPr>
          <w:lang w:val="pt-BR"/>
        </w:rPr>
      </w:r>
      <w:r>
        <w:rPr>
          <w:lang w:val="pt-BR"/>
        </w:rPr>
      </w:r>
      <w:r>
        <w:rPr>
          <w:lang w:val="pt-BR"/>
        </w:rPr>
      </w:r>
    </w:p>
    <w:p>
      <w:pPr>
        <w:pBdr/>
        <w:tabs>
          <w:tab w:val="left" w:leader="none" w:pos="993"/>
        </w:tabs>
        <w:spacing w:after="120" w:before="120" w:line="288" w:lineRule="auto"/>
        <w:ind/>
        <w:jc w:val="both"/>
        <w:rPr>
          <w:lang w:val="pt-BR"/>
        </w:rPr>
      </w:pPr>
      <w:r>
        <w:rPr>
          <w:lang w:val="pt-BR"/>
        </w:rPr>
      </w:r>
      <w:r>
        <w:rPr>
          <w:lang w:val="pt-BR"/>
        </w:rPr>
      </w:r>
      <w:r>
        <w:rPr>
          <w:lang w:val="pt-BR"/>
        </w:rPr>
      </w:r>
    </w:p>
    <w:p>
      <w:pPr>
        <w:pBdr/>
        <w:tabs>
          <w:tab w:val="left" w:leader="none" w:pos="993"/>
        </w:tabs>
        <w:spacing w:after="120" w:before="120" w:line="288" w:lineRule="auto"/>
        <w:ind/>
        <w:jc w:val="both"/>
        <w:rPr>
          <w:lang w:val="pt-BR"/>
        </w:rPr>
      </w:pPr>
      <w:r>
        <w:rPr>
          <w:lang w:val="pt-BR"/>
        </w:rPr>
      </w:r>
      <w:r>
        <w:rPr>
          <w:lang w:val="pt-BR"/>
        </w:rPr>
      </w:r>
      <w:r>
        <w:rPr>
          <w:lang w:val="pt-BR"/>
        </w:rPr>
      </w:r>
    </w:p>
    <w:p>
      <w:pPr>
        <w:pBdr/>
        <w:tabs>
          <w:tab w:val="left" w:leader="none" w:pos="993"/>
        </w:tabs>
        <w:spacing w:after="120" w:before="120" w:line="288" w:lineRule="auto"/>
        <w:ind/>
        <w:jc w:val="both"/>
        <w:rPr>
          <w:lang w:val="pt-BR"/>
        </w:rPr>
      </w:pPr>
      <w:r>
        <w:rPr>
          <w:lang w:val="pt-BR"/>
        </w:rPr>
      </w:r>
      <w:r>
        <w:rPr>
          <w:lang w:val="pt-BR"/>
        </w:rPr>
      </w:r>
      <w:r>
        <w:rPr>
          <w:lang w:val="pt-BR"/>
        </w:rPr>
      </w:r>
    </w:p>
    <w:p>
      <w:pPr>
        <w:pBdr/>
        <w:tabs>
          <w:tab w:val="left" w:leader="none" w:pos="993"/>
        </w:tabs>
        <w:spacing w:after="120" w:before="120" w:line="288" w:lineRule="auto"/>
        <w:ind/>
        <w:jc w:val="both"/>
        <w:rPr>
          <w:lang w:val="pt-BR"/>
        </w:rPr>
      </w:pPr>
      <w:r>
        <w:rPr>
          <w:highlight w:val="none"/>
          <w:lang w:val="pt-BR" w:bidi="pt-BR"/>
        </w:rPr>
      </w:r>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3"/>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3"/>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33"/>
        <w:pBdr/>
        <w:tabs>
          <w:tab w:val="left" w:leader="none" w:pos="993"/>
        </w:tabs>
        <w:spacing w:after="120" w:before="120" w:line="288" w:lineRule="auto"/>
        <w:ind w:left="0"/>
        <w:jc w:val="both"/>
        <w:rPr>
          <w:lang w:val="pt-BR"/>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HSTD-20260818-0001/CT-VFI</w:t>
      </w:r>
      <w:r>
        <w:rPr>
          <w:color w:val="ff0000"/>
          <w:lang w:val="vi-VN"/>
        </w:rPr>
        <w:t xml:space="preserve"> </w:t>
      </w:r>
      <w:r>
        <w:rPr>
          <w:color w:val="000000" w:themeColor="text1"/>
        </w:rPr>
        <w:t xml:space="preserve">ngày 18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Minh Phúc</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275/2026/1288/VFI-BC.57.A</w:t>
      </w:r>
      <w:r>
        <w:rPr>
          <w:i/>
        </w:rPr>
        <w:t xml:space="preserve"> ngày</w:t>
      </w:r>
      <w:r>
        <w:rPr>
          <w:i/>
          <w:lang w:val="pt-BR"/>
        </w:rPr>
        <w:t xml:space="preserve"> </w:t>
      </w:r>
      <w:r>
        <w:rPr>
          <w:i/>
          <w:lang w:val="pt-BR"/>
        </w:rPr>
        <w:t xml:space="preserve">18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7"/>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327588" cy="2874916"/>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98403" name=""/>
                              <pic:cNvPicPr>
                                <a:picLocks noChangeAspect="1"/>
                              </pic:cNvPicPr>
                              <pic:nvPr/>
                            </pic:nvPicPr>
                            <pic:blipFill rotWithShape="1">
                              <a:blip r:embed="rId19"/>
                              <a:stretch/>
                            </pic:blipFill>
                            <pic:spPr bwMode="auto">
                              <a:xfrm flipH="0" flipV="0">
                                <a:off x="0" y="0"/>
                                <a:ext cx="1327588" cy="287491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04.53pt;height:226.37pt;mso-wrap-distance-left:0.00pt;mso-wrap-distance-top:0.00pt;mso-wrap-distance-right:0.00pt;mso-wrap-distance-bottom:0.00pt;z-index:1;" stroked="false">
                      <v:imagedata r:id="rId19"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065487" cy="2753982"/>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458797" name=""/>
                              <pic:cNvPicPr>
                                <a:picLocks noChangeAspect="1"/>
                              </pic:cNvPicPr>
                              <pic:nvPr/>
                            </pic:nvPicPr>
                            <pic:blipFill rotWithShape="1">
                              <a:blip r:embed="rId20"/>
                              <a:stretch/>
                            </pic:blipFill>
                            <pic:spPr bwMode="auto">
                              <a:xfrm flipH="0" flipV="0">
                                <a:off x="0" y="0"/>
                                <a:ext cx="2065484" cy="275398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62.64pt;height:216.85pt;mso-wrap-distance-left:0.00pt;mso-wrap-distance-top:0.00pt;mso-wrap-distance-right:0.00pt;mso-wrap-distance-bottom:0.00pt;z-index:1;" stroked="false">
                      <v:imagedata r:id="rId20" o:title=""/>
                      <o:lock v:ext="edit" rotation="t"/>
                    </v:shape>
                  </w:pict>
                </mc:Fallback>
              </mc:AlternateContent>
            </w:r>
            <w:r>
              <w:rPr>
                <w:i/>
                <w:lang w:val="pt-BR"/>
              </w:rPr>
            </w:r>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27342" cy="2124924"/>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34999" name=""/>
                              <pic:cNvPicPr>
                                <a:picLocks noChangeAspect="1"/>
                              </pic:cNvPicPr>
                              <pic:nvPr/>
                            </pic:nvPicPr>
                            <pic:blipFill rotWithShape="1">
                              <a:blip r:embed="rId21"/>
                              <a:stretch/>
                            </pic:blipFill>
                            <pic:spPr bwMode="auto">
                              <a:xfrm flipH="0" flipV="0">
                                <a:off x="0" y="0"/>
                                <a:ext cx="2827341" cy="21249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2.63pt;height:167.32pt;mso-wrap-distance-left:0.00pt;mso-wrap-distance-top:0.00pt;mso-wrap-distance-right:0.00pt;mso-wrap-distance-bottom:0.00pt;z-index:1;" stroked="false">
                      <v:imagedata r:id="rId21"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98956" cy="2171945"/>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268550" name=""/>
                              <pic:cNvPicPr>
                                <a:picLocks noChangeAspect="1"/>
                              </pic:cNvPicPr>
                              <pic:nvPr/>
                            </pic:nvPicPr>
                            <pic:blipFill rotWithShape="1">
                              <a:blip r:embed="rId22"/>
                              <a:stretch/>
                            </pic:blipFill>
                            <pic:spPr bwMode="auto">
                              <a:xfrm flipH="0" flipV="0">
                                <a:off x="0" y="0"/>
                                <a:ext cx="2898956" cy="217194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8.26pt;height:171.02pt;mso-wrap-distance-left:0.00pt;mso-wrap-distance-top:0.00pt;mso-wrap-distance-right:0.00pt;mso-wrap-distance-bottom:0.00pt;z-index:1;" stroked="false">
                      <v:imagedata r:id="rId22"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56163" cy="2139884"/>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27770" name=""/>
                              <pic:cNvPicPr>
                                <a:picLocks noChangeAspect="1"/>
                              </pic:cNvPicPr>
                              <pic:nvPr/>
                            </pic:nvPicPr>
                            <pic:blipFill rotWithShape="1">
                              <a:blip r:embed="rId23"/>
                              <a:stretch/>
                            </pic:blipFill>
                            <pic:spPr bwMode="auto">
                              <a:xfrm flipH="0" flipV="0">
                                <a:off x="0" y="0"/>
                                <a:ext cx="2856162" cy="213988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4.89pt;height:168.49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948761" cy="220926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685760" name=""/>
                              <pic:cNvPicPr>
                                <a:picLocks noChangeAspect="1"/>
                              </pic:cNvPicPr>
                              <pic:nvPr/>
                            </pic:nvPicPr>
                            <pic:blipFill rotWithShape="1">
                              <a:blip r:embed="rId24"/>
                              <a:stretch/>
                            </pic:blipFill>
                            <pic:spPr bwMode="auto">
                              <a:xfrm flipH="0" flipV="0">
                                <a:off x="0" y="0"/>
                                <a:ext cx="2948761" cy="22092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32.19pt;height:173.96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t xml:space="preserve">                            </w:t>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p>
    <w:p>
      <w:pPr>
        <w:pBdr/>
        <w:spacing/>
        <w:ind/>
        <w:jc w:val="center"/>
        <w:rPr>
          <w:i/>
          <w:lang w:val="pt-BR"/>
        </w:rPr>
      </w:pPr>
      <w:r>
        <w:rPr>
          <w:i/>
          <w:lang w:val="pt-BR"/>
        </w:rPr>
        <w:t xml:space="preserve">(Kèm theo Báo cáo thẩm định số </w:t>
      </w:r>
      <w:r>
        <w:rPr>
          <w:i/>
        </w:rPr>
        <w:t xml:space="preserve">275/2026/1288/VFI-BC.57.A</w:t>
      </w:r>
      <w:r>
        <w:rPr>
          <w:i/>
        </w:rPr>
        <w:t xml:space="preserve"> ngày</w:t>
      </w:r>
      <w:r>
        <w:rPr>
          <w:i/>
          <w:lang w:val="pt-BR"/>
        </w:rPr>
        <w:t xml:space="preserve"> </w:t>
      </w:r>
      <w:r>
        <w:rPr>
          <w:i/>
          <w:lang w:val="pt-BR"/>
        </w:rPr>
        <w:t xml:space="preserve">18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0967894490</w:t>
            </w:r>
            <w:r>
              <w:rPr>
                <w:sz w:val="22"/>
                <w:szCs w:val="22"/>
              </w:rPr>
              <w:t xml:space="preserve"> </w:t>
            </w:r>
            <w:r>
              <w:rPr>
                <w:sz w:val="22"/>
                <w:szCs w:val="22"/>
              </w:rPr>
              <w:br/>
              <w:t xml:space="preserve">(Hoàng Anh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36.000.000.000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32.400.000.000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(158m²)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Dự án Vinhomes Imperia Hải Phòng, Phường Thượng Lý, Quận Hồng Bàng, Tỉnh Hải Phòng</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158</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2 mặt đường, phố + 1 mặt ngõ</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Trung bình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lợi thế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312624"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531262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18.32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646399"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564639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44.60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jc w:val="center"/>
          <w:trHeight w:val="29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t xml:space="preserve">Nguyễn Minh Phúc</w:t>
            </w:r>
            <w:r/>
          </w:p>
        </w:tc>
      </w:tr>
    </w:tbl>
    <w:p>
      <w:pPr>
        <w:pBdr/>
        <w:spacing/>
        <w:ind/>
        <w:rPr/>
      </w:pPr>
      <w:r>
        <w:br w:type="page" w:clear="all"/>
      </w:r>
      <w:r/>
    </w:p>
    <w:p>
      <w:pPr>
        <w:pBdr/>
        <w:spacing w:after="200" w:line="276" w:lineRule="auto"/>
        <w:ind/>
        <w:jc w:val="center"/>
        <w:rPr>
          <w:b/>
          <w:bCs/>
          <w:iCs/>
          <w:lang w:val="pt-BR"/>
        </w:rPr>
      </w:pP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0979.81.9898</w:t>
            </w:r>
            <w:r>
              <w:rPr>
                <w:sz w:val="22"/>
                <w:szCs w:val="22"/>
              </w:rPr>
              <w:t xml:space="preserve"> </w:t>
            </w:r>
            <w:r>
              <w:rPr>
                <w:sz w:val="22"/>
                <w:szCs w:val="22"/>
              </w:rPr>
              <w:br/>
              <w:t xml:space="preserve">(Nguyễn Tùng Anh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26.000.000.000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23.400.000.000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(160m²)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Dự án Vinhomes Imperia Hải Phòng, Phường Thượng Lý, Quận Hồng Bàng, Tỉnh Hải Phòng</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160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2 mặt đường trước sau</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Trung bình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Không có lợi thế thương mại</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950286"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595028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68.53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705285"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570528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49.24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t xml:space="preserve">Nguyễn Minh Phúc</w:t>
            </w:r>
            <w:r/>
          </w:p>
        </w:tc>
      </w:tr>
      <w:tr>
        <w:trPr>
          <w:trHeight w:val="298"/>
        </w:trPr>
        <w:tc>
          <w:tcPr>
            <w:tcBorders/>
            <w:tcW w:w="4358" w:type="dxa"/>
            <w:vAlign w:val="bottom"/>
            <w:textDirection w:val="lrTb"/>
            <w:noWrap w:val="false"/>
          </w:tcPr>
          <w:p>
            <w:pPr>
              <w:pBdr/>
              <w:spacing/>
              <w:ind/>
              <w:rPr>
                <w:b/>
                <w:bCs/>
              </w:rPr>
            </w:pPr>
            <w:r>
              <w:rPr>
                <w:b/>
                <w:bCs/>
              </w:rPr>
            </w:r>
            <w:r>
              <w:rPr>
                <w:b/>
                <w:bCs/>
              </w:rPr>
            </w:r>
            <w:r>
              <w:rPr>
                <w:b/>
                <w:bCs/>
              </w:rPr>
            </w:r>
          </w:p>
        </w:tc>
        <w:tc>
          <w:tcPr>
            <w:tcBorders/>
            <w:tcW w:w="4701" w:type="dxa"/>
            <w:vAlign w:val="center"/>
            <w:textDirection w:val="lrTb"/>
            <w:noWrap/>
          </w:tcPr>
          <w:p>
            <w:pPr>
              <w:pBdr/>
              <w:spacing/>
              <w:ind/>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w:t>
            </w:r>
            <w:r>
              <w:rPr>
                <w:color w:val="000000" w:themeColor="text1"/>
                <w:sz w:val="22"/>
                <w:szCs w:val="22"/>
              </w:rPr>
              <w:t xml:space="preserve">om.vn/ban-nha-biet-thu-lien-ke-phuong-thuong-ly-vinhomes-imperia-hai-phong/sieu-pham-144m-manhattan-thang-may-full-noi-that-ang-cap-gan-truong-hoc-cong-vien-pr45555104?gidzl=rHW-OrFan2_I0JriM_t5Bja3Esf6_C1_pmOxQ4VvoocLK3Te7QtCBvjUDcaUzCqapLimOZInoyXqL-h68G</w:t>
            </w:r>
            <w:r>
              <w:rPr>
                <w:color w:val="000000" w:themeColor="text1"/>
                <w:sz w:val="22"/>
                <w:szCs w:val="22"/>
              </w:rPr>
              <w:br/>
            </w:r>
            <w:r>
              <w:rPr>
                <w:sz w:val="22"/>
                <w:szCs w:val="22"/>
              </w:rPr>
              <w:t xml:space="preserve">SĐT: </w:t>
            </w:r>
            <w:r>
              <w:rPr>
                <w:color w:val="000000" w:themeColor="text1"/>
                <w:sz w:val="22"/>
                <w:szCs w:val="22"/>
              </w:rPr>
              <w:t xml:space="preserve">0915155999</w:t>
            </w:r>
            <w:r>
              <w:rPr>
                <w:sz w:val="22"/>
                <w:szCs w:val="22"/>
              </w:rPr>
              <w:t xml:space="preserve"> </w:t>
            </w:r>
            <w:r>
              <w:rPr>
                <w:sz w:val="22"/>
                <w:szCs w:val="22"/>
              </w:rPr>
              <w:br/>
              <w:t xml:space="preserve">(Nguyên Thắng Vinhomes</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24.300.000.000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21.870.000.000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(144m²)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Dự án Vinhomes Imperia Hải Phòng, Phường Thượng Lý, Quận Hồng Bàng, Tỉnh Hải Phòng</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144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2 mặt đường trước sau</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Trung bình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Không có lợi thế thương mại</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369265" cy="2726785"/>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flipH="0" flipV="0">
                                <a:off x="0" y="0"/>
                                <a:ext cx="5369264" cy="27267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22.78pt;height:214.71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283540" cy="277641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flipH="0" flipV="0">
                                <a:off x="0" y="0"/>
                                <a:ext cx="5283539" cy="27764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16.03pt;height:218.61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t xml:space="preserve">Nguyễn Minh Phúc</w:t>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iCs/>
          <w:highlight w:val="none"/>
          <w:lang w:val="pt-BR"/>
        </w:rPr>
      </w:pPr>
      <w:r>
        <w:rPr>
          <w:iCs/>
          <w:lang w:val="pt-BR"/>
        </w:rPr>
        <w:t xml:space="preserve">                                                           HỒ SƠ PHÁP LÝ</w:t>
      </w:r>
      <w:r>
        <w:rPr>
          <w:iCs/>
          <w:highlight w:val="none"/>
          <w:lang w:val="pt-BR"/>
        </w:rPr>
      </w:r>
      <w:r>
        <w:rPr>
          <w:iCs/>
          <w:highlight w:val="none"/>
          <w:lang w:val="pt-BR"/>
        </w:rPr>
      </w:r>
    </w:p>
    <w:p>
      <w:pPr>
        <w:pBdr/>
        <w:spacing w:after="200" w:line="276" w:lineRule="auto"/>
        <w:ind/>
        <w:rPr>
          <w:highlight w:val="none"/>
        </w:rPr>
      </w:pPr>
      <w:r>
        <w:rPr>
          <w:iCs/>
          <w:highlight w:val="none"/>
          <w:lang w:val="pt-BR" w:bidi="pt-BR"/>
        </w:rPr>
      </w:r>
      <w:r>
        <mc:AlternateContent>
          <mc:Choice Requires="wpg">
            <w:drawing>
              <wp:inline xmlns:wp="http://schemas.openxmlformats.org/drawingml/2006/wordprocessingDrawing" distT="0" distB="0" distL="0" distR="0">
                <wp:extent cx="6048375" cy="4058989"/>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319447" name=""/>
                        <pic:cNvPicPr>
                          <a:picLocks noChangeAspect="1"/>
                        </pic:cNvPicPr>
                        <pic:nvPr/>
                      </pic:nvPicPr>
                      <pic:blipFill rotWithShape="1">
                        <a:blip r:embed="rId31"/>
                        <a:stretch/>
                      </pic:blipFill>
                      <pic:spPr bwMode="auto">
                        <a:xfrm>
                          <a:off x="0" y="0"/>
                          <a:ext cx="6048374" cy="405898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6.25pt;height:319.61pt;mso-wrap-distance-left:0.00pt;mso-wrap-distance-top:0.00pt;mso-wrap-distance-right:0.00pt;mso-wrap-distance-bottom:0.00pt;z-index:1;" stroked="false">
                <v:imagedata r:id="rId31" o:title=""/>
                <o:lock v:ext="edit" rotation="t"/>
              </v:shape>
            </w:pict>
          </mc:Fallback>
        </mc:AlternateContent>
      </w:r>
      <w:r>
        <w:rPr>
          <w:highlight w:val="none"/>
        </w:rPr>
      </w:r>
      <w:r>
        <w:rPr>
          <w:highlight w:val="none"/>
        </w:rPr>
      </w:r>
    </w:p>
    <w:p>
      <w:pPr>
        <w:pBdr/>
        <w:spacing w:after="200" w:line="276" w:lineRule="auto"/>
        <w:ind/>
        <w:rPr>
          <w:highlight w:val="none"/>
          <w:lang w:val="pt-BR" w:bidi="pt-BR"/>
        </w:rPr>
      </w:pPr>
      <w:r>
        <w:rPr>
          <w:highlight w:val="none"/>
          <w:lang w:val="pt-BR" w:bidi="pt-BR"/>
        </w:rPr>
      </w:r>
      <w:r>
        <mc:AlternateContent>
          <mc:Choice Requires="wpg">
            <w:drawing>
              <wp:inline xmlns:wp="http://schemas.openxmlformats.org/drawingml/2006/wordprocessingDrawing" distT="0" distB="0" distL="0" distR="0">
                <wp:extent cx="6048375" cy="4419760"/>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69119" name=""/>
                        <pic:cNvPicPr>
                          <a:picLocks noChangeAspect="1"/>
                        </pic:cNvPicPr>
                        <pic:nvPr/>
                      </pic:nvPicPr>
                      <pic:blipFill rotWithShape="1">
                        <a:blip r:embed="rId32"/>
                        <a:stretch/>
                      </pic:blipFill>
                      <pic:spPr bwMode="auto">
                        <a:xfrm>
                          <a:off x="0" y="0"/>
                          <a:ext cx="6048374" cy="44197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6.25pt;height:348.01pt;mso-wrap-distance-left:0.00pt;mso-wrap-distance-top:0.00pt;mso-wrap-distance-right:0.00pt;mso-wrap-distance-bottom:0.00pt;z-index:1;" stroked="false">
                <v:imagedata r:id="rId32" o:title=""/>
                <o:lock v:ext="edit" rotation="t"/>
              </v:shape>
            </w:pict>
          </mc:Fallback>
        </mc:AlternateContent>
      </w:r>
      <w:r>
        <w:rPr>
          <w:highlight w:val="none"/>
          <w:lang w:val="pt-BR" w:bidi="pt-BR"/>
        </w:rPr>
      </w:r>
      <w:r>
        <w:rPr>
          <w:highlight w:val="none"/>
          <w:lang w:val="pt-BR" w:bidi="pt-BR"/>
        </w:rPr>
      </w:r>
    </w:p>
    <w:p>
      <w:pPr>
        <w:pBdr/>
        <w:spacing w:after="200" w:line="276" w:lineRule="auto"/>
        <w:ind/>
        <w:rPr>
          <w:highlight w:val="none"/>
          <w:lang w:val="pt-BR" w:bidi="pt-BR"/>
        </w:rPr>
      </w:pPr>
      <w:r>
        <w:rPr>
          <w:highlight w:val="none"/>
          <w:lang w:val="pt-BR" w:bidi="pt-BR"/>
        </w:rPr>
        <w:t xml:space="preserve">                                                       BIÊN BẢN KHÁO SÁT</w:t>
      </w:r>
      <w:r>
        <w:rPr>
          <w:highlight w:val="none"/>
          <w:lang w:val="pt-BR" w:bidi="pt-BR"/>
        </w:rPr>
      </w:r>
      <w:r>
        <w:rPr>
          <w:highlight w:val="none"/>
          <w:lang w:val="pt-BR" w:bidi="pt-BR"/>
        </w:rPr>
      </w:r>
    </w:p>
    <w:p>
      <w:pPr>
        <w:pBdr/>
        <w:spacing w:after="200" w:line="276" w:lineRule="auto"/>
        <w:ind/>
        <w:rPr>
          <w:lang w:val="pt-BR"/>
        </w:rPr>
      </w:pPr>
      <w:r>
        <w:rPr>
          <w:highlight w:val="none"/>
          <w:lang w:val="pt-BR" w:bidi="pt-BR"/>
        </w:rPr>
      </w:r>
      <w:r>
        <mc:AlternateContent>
          <mc:Choice Requires="wpg">
            <w:drawing>
              <wp:inline xmlns:wp="http://schemas.openxmlformats.org/drawingml/2006/wordprocessingDrawing" distT="0" distB="0" distL="0" distR="0">
                <wp:extent cx="5688546" cy="8576803"/>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686683" name=""/>
                        <pic:cNvPicPr>
                          <a:picLocks noChangeAspect="1"/>
                        </pic:cNvPicPr>
                        <pic:nvPr/>
                      </pic:nvPicPr>
                      <pic:blipFill rotWithShape="1">
                        <a:blip r:embed="rId33"/>
                        <a:stretch/>
                      </pic:blipFill>
                      <pic:spPr bwMode="auto">
                        <a:xfrm flipH="0" flipV="0">
                          <a:off x="0" y="0"/>
                          <a:ext cx="5688546" cy="857680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47.92pt;height:675.34pt;mso-wrap-distance-left:0.00pt;mso-wrap-distance-top:0.00pt;mso-wrap-distance-right:0.00pt;mso-wrap-distance-bottom:0.00pt;z-index:1;" stroked="false">
                <v:imagedata r:id="rId33" o:title=""/>
                <o:lock v:ext="edit" rotation="t"/>
              </v:shape>
            </w:pict>
          </mc:Fallback>
        </mc:AlternateContent>
      </w:r>
      <w:r>
        <w:rPr>
          <w:lang w:val="pt-BR"/>
        </w:rPr>
      </w:r>
      <w:r>
        <w:rPr>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9"/>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FF23AA0"/>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2EE25F19"/>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9">
    <w:nsid w:val="0ED6F885"/>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0">
    <w:nsid w:val="747FC7AF"/>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5">
    <w:name w:val="Table Grid Light"/>
    <w:basedOn w:val="101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1"/>
    <w:basedOn w:val="101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2"/>
    <w:basedOn w:val="101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3"/>
    <w:basedOn w:val="101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4"/>
    <w:basedOn w:val="101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5"/>
    <w:basedOn w:val="101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w:basedOn w:val="101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1"/>
    <w:basedOn w:val="101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2"/>
    <w:basedOn w:val="101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3"/>
    <w:basedOn w:val="101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4"/>
    <w:basedOn w:val="101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5"/>
    <w:basedOn w:val="101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6"/>
    <w:basedOn w:val="101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w:basedOn w:val="101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1"/>
    <w:basedOn w:val="101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2"/>
    <w:basedOn w:val="101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3"/>
    <w:basedOn w:val="101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4"/>
    <w:basedOn w:val="101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5"/>
    <w:basedOn w:val="101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6"/>
    <w:basedOn w:val="101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w:basedOn w:val="101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1"/>
    <w:basedOn w:val="101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2"/>
    <w:basedOn w:val="101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3"/>
    <w:basedOn w:val="101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4"/>
    <w:basedOn w:val="101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5"/>
    <w:basedOn w:val="101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6"/>
    <w:basedOn w:val="101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w:basedOn w:val="101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1"/>
    <w:basedOn w:val="101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2"/>
    <w:basedOn w:val="101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3"/>
    <w:basedOn w:val="101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4"/>
    <w:basedOn w:val="101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5"/>
    <w:basedOn w:val="101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6"/>
    <w:basedOn w:val="101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Accent 1"/>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2"/>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 Accent 3"/>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Accent 4"/>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5"/>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 Accent 6"/>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6 Colorful"/>
    <w:basedOn w:val="101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7">
    <w:name w:val="Grid Table 6 Colorful - Accent 1"/>
    <w:basedOn w:val="101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8">
    <w:name w:val="Grid Table 6 Colorful - Accent 2"/>
    <w:basedOn w:val="101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9">
    <w:name w:val="Grid Table 6 Colorful - Accent 3"/>
    <w:basedOn w:val="101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0">
    <w:name w:val="Grid Table 6 Colorful - Accent 4"/>
    <w:basedOn w:val="101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1">
    <w:name w:val="Grid Table 6 Colorful - Accent 5"/>
    <w:basedOn w:val="101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2">
    <w:name w:val="Grid Table 6 Colorful - Accent 6"/>
    <w:basedOn w:val="101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3">
    <w:name w:val="Grid Table 7 Colorful"/>
    <w:basedOn w:val="101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1"/>
    <w:basedOn w:val="101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2"/>
    <w:basedOn w:val="101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3"/>
    <w:basedOn w:val="101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4"/>
    <w:basedOn w:val="101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5"/>
    <w:basedOn w:val="101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6"/>
    <w:basedOn w:val="101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1"/>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2"/>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3"/>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4"/>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5"/>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6"/>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w:basedOn w:val="101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1"/>
    <w:basedOn w:val="101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2"/>
    <w:basedOn w:val="101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3"/>
    <w:basedOn w:val="101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4"/>
    <w:basedOn w:val="101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5"/>
    <w:basedOn w:val="101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6"/>
    <w:basedOn w:val="101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w:basedOn w:val="101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1"/>
    <w:basedOn w:val="101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2"/>
    <w:basedOn w:val="101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3"/>
    <w:basedOn w:val="101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4"/>
    <w:basedOn w:val="101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5"/>
    <w:basedOn w:val="101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6"/>
    <w:basedOn w:val="101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w:basedOn w:val="101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1"/>
    <w:basedOn w:val="101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2"/>
    <w:basedOn w:val="101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3"/>
    <w:basedOn w:val="101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4"/>
    <w:basedOn w:val="101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5"/>
    <w:basedOn w:val="101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6"/>
    <w:basedOn w:val="101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5 Dark"/>
    <w:basedOn w:val="101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1"/>
    <w:basedOn w:val="101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2"/>
    <w:basedOn w:val="101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3"/>
    <w:basedOn w:val="101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4"/>
    <w:basedOn w:val="101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5"/>
    <w:basedOn w:val="101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6"/>
    <w:basedOn w:val="101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6 Colorful"/>
    <w:basedOn w:val="101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1"/>
    <w:basedOn w:val="101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2"/>
    <w:basedOn w:val="101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3"/>
    <w:basedOn w:val="101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4"/>
    <w:basedOn w:val="101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5"/>
    <w:basedOn w:val="101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6"/>
    <w:basedOn w:val="101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7 Colorful"/>
    <w:basedOn w:val="101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3">
    <w:name w:val="List Table 7 Colorful - Accent 1"/>
    <w:basedOn w:val="101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4">
    <w:name w:val="List Table 7 Colorful - Accent 2"/>
    <w:basedOn w:val="101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5">
    <w:name w:val="List Table 7 Colorful - Accent 3"/>
    <w:basedOn w:val="101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6">
    <w:name w:val="List Table 7 Colorful - Accent 4"/>
    <w:basedOn w:val="101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7">
    <w:name w:val="List Table 7 Colorful - Accent 5"/>
    <w:basedOn w:val="101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8">
    <w:name w:val="List Table 7 Colorful - Accent 6"/>
    <w:basedOn w:val="101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9">
    <w:name w:val="Lined - Accent"/>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1"/>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2"/>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3"/>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4"/>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5"/>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6"/>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w:basedOn w:val="101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1"/>
    <w:basedOn w:val="101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2"/>
    <w:basedOn w:val="101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3"/>
    <w:basedOn w:val="101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4"/>
    <w:basedOn w:val="101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5"/>
    <w:basedOn w:val="101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6"/>
    <w:basedOn w:val="101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w:basedOn w:val="101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1"/>
    <w:basedOn w:val="101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2"/>
    <w:basedOn w:val="101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3"/>
    <w:basedOn w:val="101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4"/>
    <w:basedOn w:val="101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5"/>
    <w:basedOn w:val="101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6"/>
    <w:basedOn w:val="101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0">
    <w:name w:val="Heading 5"/>
    <w:basedOn w:val="1011"/>
    <w:next w:val="1011"/>
    <w:link w:val="975"/>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1">
    <w:name w:val="Heading 6"/>
    <w:basedOn w:val="1011"/>
    <w:next w:val="1011"/>
    <w:link w:val="976"/>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2">
    <w:name w:val="Heading 7"/>
    <w:basedOn w:val="1011"/>
    <w:next w:val="1011"/>
    <w:link w:val="977"/>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3">
    <w:name w:val="Heading 8"/>
    <w:basedOn w:val="1011"/>
    <w:next w:val="1011"/>
    <w:link w:val="978"/>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4">
    <w:name w:val="Heading 9"/>
    <w:basedOn w:val="1011"/>
    <w:next w:val="1011"/>
    <w:link w:val="979"/>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5">
    <w:name w:val="Heading 5 Char"/>
    <w:basedOn w:val="1016"/>
    <w:link w:val="970"/>
    <w:uiPriority w:val="9"/>
    <w:pPr>
      <w:pBdr/>
      <w:spacing/>
      <w:ind/>
    </w:pPr>
    <w:rPr>
      <w:rFonts w:ascii="Arial" w:hAnsi="Arial" w:eastAsia="Arial" w:cs="Arial"/>
      <w:color w:val="0f4761" w:themeColor="accent1" w:themeShade="BF"/>
    </w:rPr>
  </w:style>
  <w:style w:type="character" w:styleId="976">
    <w:name w:val="Heading 6 Char"/>
    <w:basedOn w:val="1016"/>
    <w:link w:val="971"/>
    <w:uiPriority w:val="9"/>
    <w:pPr>
      <w:pBdr/>
      <w:spacing/>
      <w:ind/>
    </w:pPr>
    <w:rPr>
      <w:rFonts w:ascii="Arial" w:hAnsi="Arial" w:eastAsia="Arial" w:cs="Arial"/>
      <w:i/>
      <w:iCs/>
      <w:color w:val="595959" w:themeColor="text1" w:themeTint="A6"/>
    </w:rPr>
  </w:style>
  <w:style w:type="character" w:styleId="977">
    <w:name w:val="Heading 7 Char"/>
    <w:basedOn w:val="1016"/>
    <w:link w:val="972"/>
    <w:uiPriority w:val="9"/>
    <w:pPr>
      <w:pBdr/>
      <w:spacing/>
      <w:ind/>
    </w:pPr>
    <w:rPr>
      <w:rFonts w:ascii="Arial" w:hAnsi="Arial" w:eastAsia="Arial" w:cs="Arial"/>
      <w:color w:val="595959" w:themeColor="text1" w:themeTint="A6"/>
    </w:rPr>
  </w:style>
  <w:style w:type="character" w:styleId="978">
    <w:name w:val="Heading 8 Char"/>
    <w:basedOn w:val="1016"/>
    <w:link w:val="973"/>
    <w:uiPriority w:val="9"/>
    <w:pPr>
      <w:pBdr/>
      <w:spacing/>
      <w:ind/>
    </w:pPr>
    <w:rPr>
      <w:rFonts w:ascii="Arial" w:hAnsi="Arial" w:eastAsia="Arial" w:cs="Arial"/>
      <w:i/>
      <w:iCs/>
      <w:color w:val="272727" w:themeColor="text1" w:themeTint="D8"/>
    </w:rPr>
  </w:style>
  <w:style w:type="character" w:styleId="979">
    <w:name w:val="Heading 9 Char"/>
    <w:basedOn w:val="1016"/>
    <w:link w:val="974"/>
    <w:uiPriority w:val="9"/>
    <w:pPr>
      <w:pBdr/>
      <w:spacing/>
      <w:ind/>
    </w:pPr>
    <w:rPr>
      <w:rFonts w:ascii="Arial" w:hAnsi="Arial" w:eastAsia="Arial" w:cs="Arial"/>
      <w:i/>
      <w:iCs/>
      <w:color w:val="272727" w:themeColor="text1" w:themeTint="D8"/>
    </w:rPr>
  </w:style>
  <w:style w:type="paragraph" w:styleId="980">
    <w:name w:val="Subtitle"/>
    <w:basedOn w:val="1011"/>
    <w:next w:val="1011"/>
    <w:link w:val="981"/>
    <w:uiPriority w:val="11"/>
    <w:qFormat/>
    <w:pPr>
      <w:numPr>
        <w:ilvl w:val="1"/>
      </w:numPr>
      <w:pBdr/>
      <w:spacing/>
      <w:ind/>
    </w:pPr>
    <w:rPr>
      <w:color w:val="595959" w:themeColor="text1" w:themeTint="A6"/>
      <w:spacing w:val="15"/>
      <w:sz w:val="28"/>
      <w:szCs w:val="28"/>
    </w:rPr>
  </w:style>
  <w:style w:type="character" w:styleId="981">
    <w:name w:val="Subtitle Char"/>
    <w:basedOn w:val="1016"/>
    <w:link w:val="980"/>
    <w:uiPriority w:val="11"/>
    <w:pPr>
      <w:pBdr/>
      <w:spacing/>
      <w:ind/>
    </w:pPr>
    <w:rPr>
      <w:color w:val="595959" w:themeColor="text1" w:themeTint="A6"/>
      <w:spacing w:val="15"/>
      <w:sz w:val="28"/>
      <w:szCs w:val="28"/>
    </w:rPr>
  </w:style>
  <w:style w:type="paragraph" w:styleId="982">
    <w:name w:val="Quote"/>
    <w:basedOn w:val="1011"/>
    <w:next w:val="1011"/>
    <w:link w:val="983"/>
    <w:uiPriority w:val="29"/>
    <w:qFormat/>
    <w:pPr>
      <w:pBdr/>
      <w:spacing w:before="160"/>
      <w:ind/>
      <w:jc w:val="center"/>
    </w:pPr>
    <w:rPr>
      <w:i/>
      <w:iCs/>
      <w:color w:val="404040" w:themeColor="text1" w:themeTint="BF"/>
    </w:rPr>
  </w:style>
  <w:style w:type="character" w:styleId="983">
    <w:name w:val="Quote Char"/>
    <w:basedOn w:val="1016"/>
    <w:link w:val="982"/>
    <w:uiPriority w:val="29"/>
    <w:pPr>
      <w:pBdr/>
      <w:spacing/>
      <w:ind/>
    </w:pPr>
    <w:rPr>
      <w:i/>
      <w:iCs/>
      <w:color w:val="404040" w:themeColor="text1" w:themeTint="BF"/>
    </w:rPr>
  </w:style>
  <w:style w:type="character" w:styleId="984">
    <w:name w:val="Intense Emphasis"/>
    <w:basedOn w:val="1016"/>
    <w:uiPriority w:val="21"/>
    <w:qFormat/>
    <w:pPr>
      <w:pBdr/>
      <w:spacing/>
      <w:ind/>
    </w:pPr>
    <w:rPr>
      <w:i/>
      <w:iCs/>
      <w:color w:val="0f4761" w:themeColor="accent1" w:themeShade="BF"/>
    </w:rPr>
  </w:style>
  <w:style w:type="paragraph" w:styleId="985">
    <w:name w:val="Intense Quote"/>
    <w:basedOn w:val="1011"/>
    <w:next w:val="1011"/>
    <w:link w:val="98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6">
    <w:name w:val="Intense Quote Char"/>
    <w:basedOn w:val="1016"/>
    <w:link w:val="985"/>
    <w:uiPriority w:val="30"/>
    <w:pPr>
      <w:pBdr/>
      <w:spacing/>
      <w:ind/>
    </w:pPr>
    <w:rPr>
      <w:i/>
      <w:iCs/>
      <w:color w:val="0f4761" w:themeColor="accent1" w:themeShade="BF"/>
    </w:rPr>
  </w:style>
  <w:style w:type="character" w:styleId="987">
    <w:name w:val="Intense Reference"/>
    <w:basedOn w:val="1016"/>
    <w:uiPriority w:val="32"/>
    <w:qFormat/>
    <w:pPr>
      <w:pBdr/>
      <w:spacing/>
      <w:ind/>
    </w:pPr>
    <w:rPr>
      <w:b/>
      <w:bCs/>
      <w:smallCaps/>
      <w:color w:val="0f4761" w:themeColor="accent1" w:themeShade="BF"/>
      <w:spacing w:val="5"/>
    </w:rPr>
  </w:style>
  <w:style w:type="paragraph" w:styleId="988">
    <w:name w:val="No Spacing"/>
    <w:basedOn w:val="1011"/>
    <w:uiPriority w:val="1"/>
    <w:qFormat/>
    <w:pPr>
      <w:pBdr/>
      <w:spacing w:after="0" w:line="240" w:lineRule="auto"/>
      <w:ind/>
    </w:pPr>
  </w:style>
  <w:style w:type="character" w:styleId="989">
    <w:name w:val="Subtle Emphasis"/>
    <w:basedOn w:val="1016"/>
    <w:uiPriority w:val="19"/>
    <w:qFormat/>
    <w:pPr>
      <w:pBdr/>
      <w:spacing/>
      <w:ind/>
    </w:pPr>
    <w:rPr>
      <w:i/>
      <w:iCs/>
      <w:color w:val="404040" w:themeColor="text1" w:themeTint="BF"/>
    </w:rPr>
  </w:style>
  <w:style w:type="character" w:styleId="990">
    <w:name w:val="Subtle Reference"/>
    <w:basedOn w:val="1016"/>
    <w:uiPriority w:val="31"/>
    <w:qFormat/>
    <w:pPr>
      <w:pBdr/>
      <w:spacing/>
      <w:ind/>
    </w:pPr>
    <w:rPr>
      <w:smallCaps/>
      <w:color w:val="5a5a5a" w:themeColor="text1" w:themeTint="A5"/>
    </w:rPr>
  </w:style>
  <w:style w:type="character" w:styleId="991">
    <w:name w:val="Book Title"/>
    <w:basedOn w:val="1016"/>
    <w:uiPriority w:val="33"/>
    <w:qFormat/>
    <w:pPr>
      <w:pBdr/>
      <w:spacing/>
      <w:ind/>
    </w:pPr>
    <w:rPr>
      <w:b/>
      <w:bCs/>
      <w:i/>
      <w:iCs/>
      <w:spacing w:val="5"/>
    </w:rPr>
  </w:style>
  <w:style w:type="paragraph" w:styleId="992">
    <w:name w:val="Caption"/>
    <w:basedOn w:val="1011"/>
    <w:next w:val="1011"/>
    <w:uiPriority w:val="35"/>
    <w:unhideWhenUsed/>
    <w:qFormat/>
    <w:pPr>
      <w:pBdr/>
      <w:spacing w:after="200" w:line="240" w:lineRule="auto"/>
      <w:ind/>
    </w:pPr>
    <w:rPr>
      <w:i/>
      <w:iCs/>
      <w:color w:val="0e2841" w:themeColor="text2"/>
      <w:sz w:val="18"/>
      <w:szCs w:val="18"/>
    </w:rPr>
  </w:style>
  <w:style w:type="paragraph" w:styleId="993">
    <w:name w:val="footnote text"/>
    <w:basedOn w:val="1011"/>
    <w:link w:val="994"/>
    <w:uiPriority w:val="99"/>
    <w:semiHidden/>
    <w:unhideWhenUsed/>
    <w:pPr>
      <w:pBdr/>
      <w:spacing w:after="0" w:line="240" w:lineRule="auto"/>
      <w:ind/>
    </w:pPr>
    <w:rPr>
      <w:sz w:val="20"/>
      <w:szCs w:val="20"/>
    </w:rPr>
  </w:style>
  <w:style w:type="character" w:styleId="994">
    <w:name w:val="Footnote Text Char"/>
    <w:basedOn w:val="1016"/>
    <w:link w:val="993"/>
    <w:uiPriority w:val="99"/>
    <w:semiHidden/>
    <w:pPr>
      <w:pBdr/>
      <w:spacing/>
      <w:ind/>
    </w:pPr>
    <w:rPr>
      <w:sz w:val="20"/>
      <w:szCs w:val="20"/>
    </w:rPr>
  </w:style>
  <w:style w:type="character" w:styleId="995">
    <w:name w:val="footnote reference"/>
    <w:basedOn w:val="1016"/>
    <w:uiPriority w:val="99"/>
    <w:semiHidden/>
    <w:unhideWhenUsed/>
    <w:pPr>
      <w:pBdr/>
      <w:spacing/>
      <w:ind/>
    </w:pPr>
    <w:rPr>
      <w:vertAlign w:val="superscript"/>
    </w:rPr>
  </w:style>
  <w:style w:type="paragraph" w:styleId="996">
    <w:name w:val="endnote text"/>
    <w:basedOn w:val="1011"/>
    <w:link w:val="997"/>
    <w:uiPriority w:val="99"/>
    <w:semiHidden/>
    <w:unhideWhenUsed/>
    <w:pPr>
      <w:pBdr/>
      <w:spacing w:after="0" w:line="240" w:lineRule="auto"/>
      <w:ind/>
    </w:pPr>
    <w:rPr>
      <w:sz w:val="20"/>
      <w:szCs w:val="20"/>
    </w:rPr>
  </w:style>
  <w:style w:type="character" w:styleId="997">
    <w:name w:val="Endnote Text Char"/>
    <w:basedOn w:val="1016"/>
    <w:link w:val="996"/>
    <w:uiPriority w:val="99"/>
    <w:semiHidden/>
    <w:pPr>
      <w:pBdr/>
      <w:spacing/>
      <w:ind/>
    </w:pPr>
    <w:rPr>
      <w:sz w:val="20"/>
      <w:szCs w:val="20"/>
    </w:rPr>
  </w:style>
  <w:style w:type="character" w:styleId="998">
    <w:name w:val="endnote reference"/>
    <w:basedOn w:val="1016"/>
    <w:uiPriority w:val="99"/>
    <w:semiHidden/>
    <w:unhideWhenUsed/>
    <w:pPr>
      <w:pBdr/>
      <w:spacing/>
      <w:ind/>
    </w:pPr>
    <w:rPr>
      <w:vertAlign w:val="superscript"/>
    </w:rPr>
  </w:style>
  <w:style w:type="paragraph" w:styleId="999">
    <w:name w:val="toc 1"/>
    <w:basedOn w:val="1011"/>
    <w:next w:val="1011"/>
    <w:uiPriority w:val="39"/>
    <w:unhideWhenUsed/>
    <w:pPr>
      <w:pBdr/>
      <w:spacing w:after="100"/>
      <w:ind/>
    </w:pPr>
  </w:style>
  <w:style w:type="paragraph" w:styleId="1000">
    <w:name w:val="toc 2"/>
    <w:basedOn w:val="1011"/>
    <w:next w:val="1011"/>
    <w:uiPriority w:val="39"/>
    <w:unhideWhenUsed/>
    <w:pPr>
      <w:pBdr/>
      <w:spacing w:after="100"/>
      <w:ind w:left="220"/>
    </w:pPr>
  </w:style>
  <w:style w:type="paragraph" w:styleId="1001">
    <w:name w:val="toc 3"/>
    <w:basedOn w:val="1011"/>
    <w:next w:val="1011"/>
    <w:uiPriority w:val="39"/>
    <w:unhideWhenUsed/>
    <w:pPr>
      <w:pBdr/>
      <w:spacing w:after="100"/>
      <w:ind w:left="440"/>
    </w:pPr>
  </w:style>
  <w:style w:type="paragraph" w:styleId="1002">
    <w:name w:val="toc 4"/>
    <w:basedOn w:val="1011"/>
    <w:next w:val="1011"/>
    <w:uiPriority w:val="39"/>
    <w:unhideWhenUsed/>
    <w:pPr>
      <w:pBdr/>
      <w:spacing w:after="100"/>
      <w:ind w:left="660"/>
    </w:pPr>
  </w:style>
  <w:style w:type="paragraph" w:styleId="1003">
    <w:name w:val="toc 5"/>
    <w:basedOn w:val="1011"/>
    <w:next w:val="1011"/>
    <w:uiPriority w:val="39"/>
    <w:unhideWhenUsed/>
    <w:pPr>
      <w:pBdr/>
      <w:spacing w:after="100"/>
      <w:ind w:left="880"/>
    </w:pPr>
  </w:style>
  <w:style w:type="paragraph" w:styleId="1004">
    <w:name w:val="toc 6"/>
    <w:basedOn w:val="1011"/>
    <w:next w:val="1011"/>
    <w:uiPriority w:val="39"/>
    <w:unhideWhenUsed/>
    <w:pPr>
      <w:pBdr/>
      <w:spacing w:after="100"/>
      <w:ind w:left="1100"/>
    </w:pPr>
  </w:style>
  <w:style w:type="paragraph" w:styleId="1005">
    <w:name w:val="toc 7"/>
    <w:basedOn w:val="1011"/>
    <w:next w:val="1011"/>
    <w:uiPriority w:val="39"/>
    <w:unhideWhenUsed/>
    <w:pPr>
      <w:pBdr/>
      <w:spacing w:after="100"/>
      <w:ind w:left="1320"/>
    </w:pPr>
  </w:style>
  <w:style w:type="paragraph" w:styleId="1006">
    <w:name w:val="toc 8"/>
    <w:basedOn w:val="1011"/>
    <w:next w:val="1011"/>
    <w:uiPriority w:val="39"/>
    <w:unhideWhenUsed/>
    <w:pPr>
      <w:pBdr/>
      <w:spacing w:after="100"/>
      <w:ind w:left="1540"/>
    </w:pPr>
  </w:style>
  <w:style w:type="paragraph" w:styleId="1007">
    <w:name w:val="toc 9"/>
    <w:basedOn w:val="1011"/>
    <w:next w:val="1011"/>
    <w:uiPriority w:val="39"/>
    <w:unhideWhenUsed/>
    <w:pPr>
      <w:pBdr/>
      <w:spacing w:after="100"/>
      <w:ind w:left="1760"/>
    </w:pPr>
  </w:style>
  <w:style w:type="character" w:styleId="1008">
    <w:name w:val="Placeholder Text"/>
    <w:basedOn w:val="1016"/>
    <w:uiPriority w:val="99"/>
    <w:semiHidden/>
    <w:pPr>
      <w:pBdr/>
      <w:spacing/>
      <w:ind/>
    </w:pPr>
    <w:rPr>
      <w:color w:val="666666"/>
    </w:rPr>
  </w:style>
  <w:style w:type="paragraph" w:styleId="1009">
    <w:name w:val="TOC Heading"/>
    <w:uiPriority w:val="39"/>
    <w:unhideWhenUsed/>
    <w:pPr>
      <w:pBdr/>
      <w:spacing/>
      <w:ind/>
    </w:pPr>
  </w:style>
  <w:style w:type="paragraph" w:styleId="1010">
    <w:name w:val="table of figures"/>
    <w:basedOn w:val="1011"/>
    <w:next w:val="1011"/>
    <w:uiPriority w:val="99"/>
    <w:unhideWhenUsed/>
    <w:pPr>
      <w:pBdr/>
      <w:spacing w:after="0" w:afterAutospacing="0"/>
      <w:ind/>
    </w:pPr>
  </w:style>
  <w:style w:type="paragraph" w:styleId="1011" w:default="1">
    <w:name w:val="Normal"/>
    <w:qFormat/>
    <w:pPr>
      <w:pBdr/>
      <w:spacing w:after="0" w:line="240" w:lineRule="auto"/>
      <w:ind/>
    </w:pPr>
    <w:rPr>
      <w:rFonts w:ascii="Times New Roman" w:hAnsi="Times New Roman" w:eastAsia="Times New Roman" w:cs="Times New Roman"/>
      <w:sz w:val="24"/>
      <w:szCs w:val="24"/>
    </w:rPr>
  </w:style>
  <w:style w:type="paragraph" w:styleId="1012">
    <w:name w:val="Heading 1"/>
    <w:basedOn w:val="1011"/>
    <w:next w:val="1011"/>
    <w:link w:val="1019"/>
    <w:qFormat/>
    <w:pPr>
      <w:keepNext w:val="true"/>
      <w:pBdr/>
      <w:spacing w:after="120" w:before="120"/>
      <w:ind/>
      <w:jc w:val="center"/>
      <w:outlineLvl w:val="0"/>
    </w:pPr>
    <w:rPr>
      <w:b/>
      <w:bCs/>
      <w:sz w:val="27"/>
      <w:szCs w:val="27"/>
    </w:rPr>
  </w:style>
  <w:style w:type="paragraph" w:styleId="1013">
    <w:name w:val="Heading 2"/>
    <w:basedOn w:val="1011"/>
    <w:next w:val="1011"/>
    <w:link w:val="1020"/>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4">
    <w:name w:val="Heading 3"/>
    <w:basedOn w:val="1011"/>
    <w:next w:val="1011"/>
    <w:link w:val="1021"/>
    <w:qFormat/>
    <w:pPr>
      <w:keepNext w:val="true"/>
      <w:pBdr/>
      <w:spacing w:before="60"/>
      <w:ind/>
      <w:outlineLvl w:val="2"/>
    </w:pPr>
    <w:rPr>
      <w:sz w:val="28"/>
      <w:szCs w:val="28"/>
    </w:rPr>
  </w:style>
  <w:style w:type="paragraph" w:styleId="1015">
    <w:name w:val="Heading 4"/>
    <w:basedOn w:val="1011"/>
    <w:next w:val="1011"/>
    <w:link w:val="1022"/>
    <w:qFormat/>
    <w:pPr>
      <w:keepNext w:val="true"/>
      <w:pBdr/>
      <w:spacing/>
      <w:ind/>
      <w:jc w:val="center"/>
      <w:outlineLvl w:val="3"/>
    </w:pPr>
    <w:rPr>
      <w:b/>
      <w:bCs/>
    </w:rPr>
  </w:style>
  <w:style w:type="character" w:styleId="1016" w:default="1">
    <w:name w:val="Default Paragraph Font"/>
    <w:uiPriority w:val="1"/>
    <w:semiHidden/>
    <w:unhideWhenUsed/>
    <w:pPr>
      <w:pBdr/>
      <w:spacing/>
      <w:ind/>
    </w:pPr>
  </w:style>
  <w:style w:type="table" w:styleId="101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8" w:default="1">
    <w:name w:val="No List"/>
    <w:uiPriority w:val="99"/>
    <w:semiHidden/>
    <w:unhideWhenUsed/>
    <w:pPr>
      <w:pBdr/>
      <w:spacing/>
      <w:ind/>
    </w:pPr>
  </w:style>
  <w:style w:type="character" w:styleId="1019" w:customStyle="1">
    <w:name w:val="Heading 1 Char"/>
    <w:basedOn w:val="1016"/>
    <w:link w:val="1012"/>
    <w:pPr>
      <w:pBdr/>
      <w:spacing/>
      <w:ind/>
    </w:pPr>
    <w:rPr>
      <w:rFonts w:ascii="Times New Roman" w:hAnsi="Times New Roman" w:eastAsia="Times New Roman" w:cs="Times New Roman"/>
      <w:b/>
      <w:bCs/>
      <w:sz w:val="27"/>
      <w:szCs w:val="27"/>
    </w:rPr>
  </w:style>
  <w:style w:type="character" w:styleId="1020" w:customStyle="1">
    <w:name w:val="Heading 2 Char"/>
    <w:basedOn w:val="1016"/>
    <w:link w:val="1013"/>
    <w:uiPriority w:val="9"/>
    <w:pPr>
      <w:pBdr/>
      <w:spacing/>
      <w:ind/>
    </w:pPr>
    <w:rPr>
      <w:rFonts w:asciiTheme="majorHAnsi" w:hAnsiTheme="majorHAnsi" w:eastAsiaTheme="majorEastAsia" w:cstheme="majorBidi"/>
      <w:color w:val="365f91" w:themeColor="accent1" w:themeShade="BF"/>
      <w:sz w:val="26"/>
      <w:szCs w:val="26"/>
    </w:rPr>
  </w:style>
  <w:style w:type="character" w:styleId="1021" w:customStyle="1">
    <w:name w:val="Heading 3 Char"/>
    <w:basedOn w:val="1016"/>
    <w:link w:val="1014"/>
    <w:pPr>
      <w:pBdr/>
      <w:spacing/>
      <w:ind/>
    </w:pPr>
    <w:rPr>
      <w:rFonts w:ascii="Times New Roman" w:hAnsi="Times New Roman" w:eastAsia="Times New Roman" w:cs="Times New Roman"/>
      <w:sz w:val="28"/>
      <w:szCs w:val="28"/>
    </w:rPr>
  </w:style>
  <w:style w:type="character" w:styleId="1022" w:customStyle="1">
    <w:name w:val="Heading 4 Char"/>
    <w:basedOn w:val="1016"/>
    <w:link w:val="1015"/>
    <w:pPr>
      <w:pBdr/>
      <w:spacing/>
      <w:ind/>
    </w:pPr>
    <w:rPr>
      <w:rFonts w:ascii="Times New Roman" w:hAnsi="Times New Roman" w:eastAsia="Times New Roman" w:cs="Times New Roman"/>
      <w:b/>
      <w:bCs/>
      <w:sz w:val="24"/>
      <w:szCs w:val="24"/>
    </w:rPr>
  </w:style>
  <w:style w:type="character" w:styleId="1023">
    <w:name w:val="Hyperlink"/>
    <w:uiPriority w:val="99"/>
    <w:pPr>
      <w:pBdr/>
      <w:spacing/>
      <w:ind/>
    </w:pPr>
    <w:rPr>
      <w:color w:val="000000"/>
      <w:u w:val="single"/>
    </w:rPr>
  </w:style>
  <w:style w:type="character" w:styleId="1024">
    <w:name w:val="Strong"/>
    <w:uiPriority w:val="22"/>
    <w:qFormat/>
    <w:pPr>
      <w:pBdr/>
      <w:spacing/>
      <w:ind/>
    </w:pPr>
    <w:rPr>
      <w:b/>
      <w:bCs/>
    </w:rPr>
  </w:style>
  <w:style w:type="paragraph" w:styleId="1025">
    <w:name w:val="Balloon Text"/>
    <w:basedOn w:val="1011"/>
    <w:link w:val="1026"/>
    <w:uiPriority w:val="99"/>
    <w:semiHidden/>
    <w:unhideWhenUsed/>
    <w:pPr>
      <w:pBdr/>
      <w:spacing/>
      <w:ind/>
    </w:pPr>
    <w:rPr>
      <w:rFonts w:ascii="Tahoma" w:hAnsi="Tahoma" w:cs="Tahoma"/>
      <w:sz w:val="16"/>
      <w:szCs w:val="16"/>
    </w:rPr>
  </w:style>
  <w:style w:type="character" w:styleId="1026" w:customStyle="1">
    <w:name w:val="Balloon Text Char"/>
    <w:basedOn w:val="1016"/>
    <w:link w:val="1025"/>
    <w:uiPriority w:val="99"/>
    <w:semiHidden/>
    <w:pPr>
      <w:pBdr/>
      <w:spacing/>
      <w:ind/>
    </w:pPr>
    <w:rPr>
      <w:rFonts w:ascii="Tahoma" w:hAnsi="Tahoma" w:eastAsia="Times New Roman" w:cs="Tahoma"/>
      <w:sz w:val="16"/>
      <w:szCs w:val="16"/>
    </w:rPr>
  </w:style>
  <w:style w:type="paragraph" w:styleId="1027">
    <w:name w:val="Header"/>
    <w:basedOn w:val="1011"/>
    <w:link w:val="1028"/>
    <w:unhideWhenUsed/>
    <w:pPr>
      <w:pBdr/>
      <w:tabs>
        <w:tab w:val="center" w:leader="none" w:pos="4680"/>
        <w:tab w:val="right" w:leader="none" w:pos="9360"/>
      </w:tabs>
      <w:spacing/>
      <w:ind/>
    </w:pPr>
  </w:style>
  <w:style w:type="character" w:styleId="1028" w:customStyle="1">
    <w:name w:val="Header Char"/>
    <w:basedOn w:val="1016"/>
    <w:link w:val="1027"/>
    <w:pPr>
      <w:pBdr/>
      <w:spacing/>
      <w:ind/>
    </w:pPr>
    <w:rPr>
      <w:rFonts w:ascii="Times New Roman" w:hAnsi="Times New Roman" w:eastAsia="Times New Roman" w:cs="Times New Roman"/>
      <w:sz w:val="24"/>
      <w:szCs w:val="24"/>
    </w:rPr>
  </w:style>
  <w:style w:type="paragraph" w:styleId="1029">
    <w:name w:val="Footer"/>
    <w:basedOn w:val="1011"/>
    <w:link w:val="1030"/>
    <w:uiPriority w:val="99"/>
    <w:unhideWhenUsed/>
    <w:pPr>
      <w:pBdr/>
      <w:tabs>
        <w:tab w:val="center" w:leader="none" w:pos="4680"/>
        <w:tab w:val="right" w:leader="none" w:pos="9360"/>
      </w:tabs>
      <w:spacing/>
      <w:ind/>
    </w:pPr>
  </w:style>
  <w:style w:type="character" w:styleId="1030" w:customStyle="1">
    <w:name w:val="Footer Char"/>
    <w:basedOn w:val="1016"/>
    <w:link w:val="1029"/>
    <w:uiPriority w:val="99"/>
    <w:pPr>
      <w:pBdr/>
      <w:spacing/>
      <w:ind/>
    </w:pPr>
    <w:rPr>
      <w:rFonts w:ascii="Times New Roman" w:hAnsi="Times New Roman" w:eastAsia="Times New Roman" w:cs="Times New Roman"/>
      <w:sz w:val="24"/>
      <w:szCs w:val="24"/>
    </w:rPr>
  </w:style>
  <w:style w:type="character" w:styleId="1031" w:customStyle="1">
    <w:name w:val="normal-h1"/>
    <w:pPr>
      <w:pBdr/>
      <w:spacing/>
      <w:ind/>
    </w:pPr>
    <w:rPr>
      <w:rFonts w:hint="default" w:ascii=".VnTime" w:hAnsi=".VnTime"/>
      <w:color w:val="0000ff"/>
      <w:sz w:val="24"/>
      <w:szCs w:val="24"/>
    </w:rPr>
  </w:style>
  <w:style w:type="paragraph" w:styleId="1032" w:customStyle="1">
    <w:name w:val="normal-p"/>
    <w:basedOn w:val="1011"/>
    <w:pPr>
      <w:pBdr/>
      <w:spacing/>
      <w:ind/>
      <w:jc w:val="both"/>
    </w:pPr>
    <w:rPr>
      <w:sz w:val="20"/>
      <w:szCs w:val="20"/>
    </w:rPr>
  </w:style>
  <w:style w:type="paragraph" w:styleId="1033">
    <w:name w:val="List Paragraph"/>
    <w:basedOn w:val="1011"/>
    <w:link w:val="1120"/>
    <w:uiPriority w:val="34"/>
    <w:qFormat/>
    <w:pPr>
      <w:pBdr/>
      <w:spacing/>
      <w:ind w:left="720"/>
    </w:pPr>
  </w:style>
  <w:style w:type="paragraph" w:styleId="1034">
    <w:name w:val="Normal (Web)"/>
    <w:basedOn w:val="1011"/>
    <w:uiPriority w:val="99"/>
    <w:pPr>
      <w:pBdr/>
      <w:spacing w:after="100" w:afterAutospacing="1" w:before="100" w:beforeAutospacing="1"/>
      <w:ind/>
    </w:pPr>
  </w:style>
  <w:style w:type="paragraph" w:styleId="1035">
    <w:name w:val="Body Text"/>
    <w:basedOn w:val="1011"/>
    <w:link w:val="1036"/>
    <w:pPr>
      <w:pBdr/>
      <w:spacing w:after="120"/>
      <w:ind/>
      <w:jc w:val="both"/>
    </w:pPr>
  </w:style>
  <w:style w:type="character" w:styleId="1036" w:customStyle="1">
    <w:name w:val="Body Text Char"/>
    <w:basedOn w:val="1016"/>
    <w:link w:val="1035"/>
    <w:pPr>
      <w:pBdr/>
      <w:spacing/>
      <w:ind/>
    </w:pPr>
    <w:rPr>
      <w:rFonts w:ascii="Times New Roman" w:hAnsi="Times New Roman" w:eastAsia="Times New Roman" w:cs="Times New Roman"/>
      <w:sz w:val="24"/>
      <w:szCs w:val="24"/>
    </w:rPr>
  </w:style>
  <w:style w:type="table" w:styleId="1037">
    <w:name w:val="Table Grid"/>
    <w:basedOn w:val="1017"/>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8"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9">
    <w:name w:val="annotation reference"/>
    <w:basedOn w:val="1016"/>
    <w:uiPriority w:val="99"/>
    <w:semiHidden/>
    <w:unhideWhenUsed/>
    <w:pPr>
      <w:pBdr/>
      <w:spacing/>
      <w:ind/>
    </w:pPr>
    <w:rPr>
      <w:sz w:val="16"/>
      <w:szCs w:val="16"/>
    </w:rPr>
  </w:style>
  <w:style w:type="paragraph" w:styleId="1040">
    <w:name w:val="annotation text"/>
    <w:basedOn w:val="1011"/>
    <w:link w:val="1041"/>
    <w:uiPriority w:val="99"/>
    <w:unhideWhenUsed/>
    <w:pPr>
      <w:pBdr/>
      <w:spacing/>
      <w:ind/>
    </w:pPr>
    <w:rPr>
      <w:sz w:val="20"/>
      <w:szCs w:val="20"/>
    </w:rPr>
  </w:style>
  <w:style w:type="character" w:styleId="1041" w:customStyle="1">
    <w:name w:val="Comment Text Char"/>
    <w:basedOn w:val="1016"/>
    <w:link w:val="1040"/>
    <w:uiPriority w:val="99"/>
    <w:pPr>
      <w:pBdr/>
      <w:spacing/>
      <w:ind/>
    </w:pPr>
    <w:rPr>
      <w:rFonts w:ascii="Times New Roman" w:hAnsi="Times New Roman" w:eastAsia="Times New Roman" w:cs="Times New Roman"/>
      <w:sz w:val="20"/>
      <w:szCs w:val="20"/>
    </w:rPr>
  </w:style>
  <w:style w:type="paragraph" w:styleId="1042">
    <w:name w:val="annotation subject"/>
    <w:basedOn w:val="1040"/>
    <w:next w:val="1040"/>
    <w:link w:val="1043"/>
    <w:uiPriority w:val="99"/>
    <w:semiHidden/>
    <w:unhideWhenUsed/>
    <w:pPr>
      <w:pBdr/>
      <w:spacing/>
      <w:ind/>
    </w:pPr>
    <w:rPr>
      <w:b/>
      <w:bCs/>
    </w:rPr>
  </w:style>
  <w:style w:type="character" w:styleId="1043" w:customStyle="1">
    <w:name w:val="Comment Subject Char"/>
    <w:basedOn w:val="1041"/>
    <w:link w:val="1042"/>
    <w:uiPriority w:val="99"/>
    <w:semiHidden/>
    <w:pPr>
      <w:pBdr/>
      <w:spacing/>
      <w:ind/>
    </w:pPr>
    <w:rPr>
      <w:rFonts w:ascii="Times New Roman" w:hAnsi="Times New Roman" w:eastAsia="Times New Roman" w:cs="Times New Roman"/>
      <w:b/>
      <w:bCs/>
      <w:sz w:val="20"/>
      <w:szCs w:val="20"/>
    </w:rPr>
  </w:style>
  <w:style w:type="paragraph" w:styleId="1044" w:customStyle="1">
    <w:name w:val="font5"/>
    <w:basedOn w:val="1011"/>
    <w:pPr>
      <w:pBdr/>
      <w:spacing w:after="100" w:afterAutospacing="1" w:before="100" w:beforeAutospacing="1"/>
      <w:ind/>
    </w:pPr>
    <w:rPr>
      <w:rFonts w:ascii="Tahoma" w:hAnsi="Tahoma" w:cs="Tahoma"/>
      <w:color w:val="000000"/>
      <w:sz w:val="18"/>
      <w:szCs w:val="18"/>
    </w:rPr>
  </w:style>
  <w:style w:type="paragraph" w:styleId="1045" w:customStyle="1">
    <w:name w:val="font6"/>
    <w:basedOn w:val="1011"/>
    <w:pPr>
      <w:pBdr/>
      <w:spacing w:after="100" w:afterAutospacing="1" w:before="100" w:beforeAutospacing="1"/>
      <w:ind/>
    </w:pPr>
    <w:rPr>
      <w:rFonts w:ascii="Tahoma" w:hAnsi="Tahoma" w:cs="Tahoma"/>
      <w:b/>
      <w:bCs/>
      <w:color w:val="000000"/>
      <w:sz w:val="18"/>
      <w:szCs w:val="18"/>
    </w:rPr>
  </w:style>
  <w:style w:type="paragraph" w:styleId="1046" w:customStyle="1">
    <w:name w:val="xl233"/>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7" w:customStyle="1">
    <w:name w:val="xl234"/>
    <w:basedOn w:val="1011"/>
    <w:pPr>
      <w:pBdr/>
      <w:spacing w:after="100" w:afterAutospacing="1" w:before="100" w:beforeAutospacing="1"/>
      <w:ind/>
      <w:jc w:val="center"/>
    </w:pPr>
  </w:style>
  <w:style w:type="paragraph" w:styleId="1048" w:customStyle="1">
    <w:name w:val="xl235"/>
    <w:basedOn w:val="1011"/>
    <w:pPr>
      <w:pBdr/>
      <w:spacing w:after="100" w:afterAutospacing="1" w:before="100" w:beforeAutospacing="1"/>
      <w:ind/>
      <w:jc w:val="center"/>
    </w:pPr>
    <w:rPr>
      <w:b/>
      <w:bCs/>
    </w:rPr>
  </w:style>
  <w:style w:type="paragraph" w:styleId="1049" w:customStyle="1">
    <w:name w:val="xl236"/>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0" w:customStyle="1">
    <w:name w:val="xl237"/>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1" w:customStyle="1">
    <w:name w:val="xl238"/>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2" w:customStyle="1">
    <w:name w:val="xl23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3" w:customStyle="1">
    <w:name w:val="xl240"/>
    <w:basedOn w:val="1011"/>
    <w:pPr>
      <w:pBdr/>
      <w:spacing w:after="100" w:afterAutospacing="1" w:before="100" w:beforeAutospacing="1"/>
      <w:ind/>
    </w:pPr>
  </w:style>
  <w:style w:type="paragraph" w:styleId="1054" w:customStyle="1">
    <w:name w:val="xl241"/>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5" w:customStyle="1">
    <w:name w:val="xl242"/>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6" w:customStyle="1">
    <w:name w:val="xl243"/>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7" w:customStyle="1">
    <w:name w:val="xl244"/>
    <w:basedOn w:val="1011"/>
    <w:pPr>
      <w:pBdr/>
      <w:spacing w:after="100" w:afterAutospacing="1" w:before="100" w:beforeAutospacing="1"/>
      <w:ind/>
    </w:pPr>
    <w:rPr>
      <w:b/>
      <w:bCs/>
    </w:rPr>
  </w:style>
  <w:style w:type="paragraph" w:styleId="1058" w:customStyle="1">
    <w:name w:val="xl245"/>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46"/>
    <w:basedOn w:val="101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0" w:customStyle="1">
    <w:name w:val="xl247"/>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1" w:customStyle="1">
    <w:name w:val="xl248"/>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2" w:customStyle="1">
    <w:name w:val="xl24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3" w:customStyle="1">
    <w:name w:val="xl250"/>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4" w:customStyle="1">
    <w:name w:val="xl251"/>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5" w:customStyle="1">
    <w:name w:val="xl252"/>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3"/>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4"/>
    <w:basedOn w:val="1011"/>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8" w:customStyle="1">
    <w:name w:val="xl255"/>
    <w:basedOn w:val="101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9" w:customStyle="1">
    <w:name w:val="xl256"/>
    <w:basedOn w:val="101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0" w:customStyle="1">
    <w:name w:val="xl257"/>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1" w:customStyle="1">
    <w:name w:val="xl258"/>
    <w:basedOn w:val="1011"/>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2" w:customStyle="1">
    <w:name w:val="xl25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3" w:customStyle="1">
    <w:name w:val="xl260"/>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4" w:customStyle="1">
    <w:name w:val="xl261"/>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5" w:customStyle="1">
    <w:name w:val="xl262"/>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3"/>
    <w:basedOn w:val="1011"/>
    <w:pPr>
      <w:pBdr/>
      <w:shd w:val="clear" w:color="000000" w:fill="ffffff"/>
      <w:spacing w:after="100" w:afterAutospacing="1" w:before="100" w:beforeAutospacing="1"/>
      <w:ind/>
    </w:pPr>
  </w:style>
  <w:style w:type="paragraph" w:styleId="1077" w:customStyle="1">
    <w:name w:val="xl264"/>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65"/>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9" w:customStyle="1">
    <w:name w:val="xl266"/>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0" w:customStyle="1">
    <w:name w:val="xl267"/>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1" w:customStyle="1">
    <w:name w:val="xl268"/>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2" w:customStyle="1">
    <w:name w:val="xl269"/>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3" w:customStyle="1">
    <w:name w:val="xl270"/>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4" w:customStyle="1">
    <w:name w:val="xl271"/>
    <w:basedOn w:val="1011"/>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5" w:customStyle="1">
    <w:name w:val="xl272"/>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73"/>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7" w:customStyle="1">
    <w:name w:val="xl274"/>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75"/>
    <w:basedOn w:val="1011"/>
    <w:pPr>
      <w:pBdr/>
      <w:spacing w:after="100" w:afterAutospacing="1" w:before="100" w:beforeAutospacing="1"/>
      <w:ind/>
    </w:pPr>
  </w:style>
  <w:style w:type="paragraph" w:styleId="1089" w:customStyle="1">
    <w:name w:val="xl276"/>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0" w:customStyle="1">
    <w:name w:val="xl277"/>
    <w:basedOn w:val="101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1" w:customStyle="1">
    <w:name w:val="xl278"/>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7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3" w:customStyle="1">
    <w:name w:val="xl280"/>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4" w:customStyle="1">
    <w:name w:val="xl281"/>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5" w:customStyle="1">
    <w:name w:val="xl282"/>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6" w:customStyle="1">
    <w:name w:val="xl283"/>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7" w:customStyle="1">
    <w:name w:val="xl284"/>
    <w:basedOn w:val="1011"/>
    <w:pPr>
      <w:pBdr>
        <w:left w:val="single" w:color="000000" w:sz="4" w:space="0"/>
        <w:bottom w:val="single" w:color="000000" w:sz="4" w:space="0"/>
        <w:right w:val="single" w:color="000000" w:sz="4" w:space="0"/>
      </w:pBdr>
      <w:spacing w:after="100" w:afterAutospacing="1" w:before="100" w:beforeAutospacing="1"/>
      <w:ind/>
    </w:pPr>
  </w:style>
  <w:style w:type="paragraph" w:styleId="1098" w:customStyle="1">
    <w:name w:val="xl285"/>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9" w:customStyle="1">
    <w:name w:val="xl286"/>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customStyle="1">
    <w:name w:val="xl287"/>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88"/>
    <w:basedOn w:val="1011"/>
    <w:pPr>
      <w:pBdr>
        <w:top w:val="single" w:color="000000" w:sz="4" w:space="0"/>
        <w:left w:val="single" w:color="000000" w:sz="4" w:space="0"/>
        <w:right w:val="single" w:color="000000" w:sz="4" w:space="0"/>
      </w:pBdr>
      <w:spacing w:after="100" w:afterAutospacing="1" w:before="100" w:beforeAutospacing="1"/>
      <w:ind/>
    </w:pPr>
  </w:style>
  <w:style w:type="paragraph" w:styleId="1102" w:customStyle="1">
    <w:name w:val="xl289"/>
    <w:basedOn w:val="1011"/>
    <w:pPr>
      <w:pBdr>
        <w:left w:val="single" w:color="000000" w:sz="4" w:space="0"/>
        <w:right w:val="single" w:color="000000" w:sz="4" w:space="0"/>
      </w:pBdr>
      <w:spacing w:after="100" w:afterAutospacing="1" w:before="100" w:beforeAutospacing="1"/>
      <w:ind/>
    </w:pPr>
    <w:rPr>
      <w:b/>
      <w:bCs/>
    </w:rPr>
  </w:style>
  <w:style w:type="paragraph" w:styleId="1103" w:customStyle="1">
    <w:name w:val="xl290"/>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4" w:customStyle="1">
    <w:name w:val="xl291"/>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5" w:customStyle="1">
    <w:name w:val="xl292"/>
    <w:basedOn w:val="1011"/>
    <w:pPr>
      <w:pBdr>
        <w:top w:val="single" w:color="000000" w:sz="4" w:space="0"/>
        <w:left w:val="single" w:color="000000" w:sz="4" w:space="0"/>
        <w:right w:val="single" w:color="000000" w:sz="4" w:space="0"/>
      </w:pBdr>
      <w:spacing w:after="100" w:afterAutospacing="1" w:before="100" w:beforeAutospacing="1"/>
      <w:ind/>
    </w:pPr>
  </w:style>
  <w:style w:type="paragraph" w:styleId="1106" w:customStyle="1">
    <w:name w:val="xl293"/>
    <w:basedOn w:val="1011"/>
    <w:pPr>
      <w:pBdr>
        <w:left w:val="single" w:color="000000" w:sz="4" w:space="0"/>
        <w:bottom w:val="single" w:color="000000" w:sz="4" w:space="0"/>
        <w:right w:val="single" w:color="000000" w:sz="4" w:space="0"/>
      </w:pBdr>
      <w:spacing w:after="100" w:afterAutospacing="1" w:before="100" w:beforeAutospacing="1"/>
      <w:ind/>
    </w:pPr>
  </w:style>
  <w:style w:type="paragraph" w:styleId="1107" w:customStyle="1">
    <w:name w:val="xl294"/>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8">
    <w:name w:val="Title"/>
    <w:basedOn w:val="1011"/>
    <w:link w:val="1109"/>
    <w:qFormat/>
    <w:pPr>
      <w:pBdr/>
      <w:spacing/>
      <w:ind/>
      <w:jc w:val="center"/>
    </w:pPr>
    <w:rPr>
      <w:b/>
      <w:bCs/>
      <w:sz w:val="32"/>
      <w:szCs w:val="26"/>
    </w:rPr>
  </w:style>
  <w:style w:type="character" w:styleId="1109" w:customStyle="1">
    <w:name w:val="Title Char"/>
    <w:basedOn w:val="1016"/>
    <w:link w:val="1108"/>
    <w:pPr>
      <w:pBdr/>
      <w:spacing/>
      <w:ind/>
    </w:pPr>
    <w:rPr>
      <w:rFonts w:ascii="Times New Roman" w:hAnsi="Times New Roman" w:eastAsia="Times New Roman" w:cs="Times New Roman"/>
      <w:b/>
      <w:bCs/>
      <w:sz w:val="32"/>
      <w:szCs w:val="26"/>
    </w:rPr>
  </w:style>
  <w:style w:type="character" w:styleId="1110" w:customStyle="1">
    <w:name w:val="Unresolved Mention1"/>
    <w:basedOn w:val="1016"/>
    <w:uiPriority w:val="99"/>
    <w:semiHidden/>
    <w:unhideWhenUsed/>
    <w:pPr>
      <w:pBdr/>
      <w:spacing/>
      <w:ind/>
    </w:pPr>
    <w:rPr>
      <w:color w:val="605e5c"/>
      <w:shd w:val="clear" w:color="auto" w:fill="e1dfdd"/>
    </w:rPr>
  </w:style>
  <w:style w:type="character" w:styleId="1111" w:customStyle="1">
    <w:name w:val="Body text (3)_"/>
    <w:link w:val="1112"/>
    <w:pPr>
      <w:pBdr/>
      <w:spacing/>
      <w:ind/>
    </w:pPr>
    <w:rPr>
      <w:rFonts w:ascii="Times New Roman" w:hAnsi="Times New Roman" w:cs="Times New Roman"/>
      <w:i/>
      <w:iCs/>
      <w:spacing w:val="4"/>
      <w:shd w:val="clear" w:color="auto" w:fill="ffffff"/>
    </w:rPr>
  </w:style>
  <w:style w:type="paragraph" w:styleId="1112" w:customStyle="1">
    <w:name w:val="Body text (3)1"/>
    <w:basedOn w:val="1011"/>
    <w:link w:val="1111"/>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3" w:customStyle="1">
    <w:name w:val="t-j"/>
    <w:basedOn w:val="1011"/>
    <w:pPr>
      <w:pBdr/>
      <w:spacing w:after="100" w:afterAutospacing="1" w:before="100" w:beforeAutospacing="1"/>
      <w:ind/>
    </w:pPr>
  </w:style>
  <w:style w:type="character" w:styleId="1114" w:customStyle="1">
    <w:name w:val="Unresolved Mention2"/>
    <w:basedOn w:val="1016"/>
    <w:uiPriority w:val="99"/>
    <w:semiHidden/>
    <w:unhideWhenUsed/>
    <w:pPr>
      <w:pBdr/>
      <w:spacing/>
      <w:ind/>
    </w:pPr>
    <w:rPr>
      <w:color w:val="605e5c"/>
      <w:shd w:val="clear" w:color="auto" w:fill="e1dfdd"/>
    </w:rPr>
  </w:style>
  <w:style w:type="character" w:styleId="1115">
    <w:name w:val="FollowedHyperlink"/>
    <w:basedOn w:val="1016"/>
    <w:uiPriority w:val="99"/>
    <w:semiHidden/>
    <w:unhideWhenUsed/>
    <w:pPr>
      <w:pBdr/>
      <w:spacing/>
      <w:ind/>
    </w:pPr>
    <w:rPr>
      <w:color w:val="800080" w:themeColor="followedHyperlink"/>
      <w:u w:val="single"/>
    </w:rPr>
  </w:style>
  <w:style w:type="character" w:styleId="1116" w:customStyle="1">
    <w:name w:val="text"/>
    <w:basedOn w:val="1016"/>
    <w:pPr>
      <w:pBdr/>
      <w:spacing/>
      <w:ind/>
    </w:pPr>
  </w:style>
  <w:style w:type="character" w:styleId="1117" w:customStyle="1">
    <w:name w:val="card-send-time__sendtime"/>
    <w:basedOn w:val="1016"/>
    <w:pPr>
      <w:pBdr/>
      <w:spacing/>
      <w:ind/>
    </w:pPr>
  </w:style>
  <w:style w:type="character" w:styleId="1118" w:customStyle="1">
    <w:name w:val="Đề cập Chưa giải quyết1"/>
    <w:basedOn w:val="1016"/>
    <w:uiPriority w:val="99"/>
    <w:semiHidden/>
    <w:unhideWhenUsed/>
    <w:pPr>
      <w:pBdr/>
      <w:spacing/>
      <w:ind/>
    </w:pPr>
    <w:rPr>
      <w:color w:val="605e5c"/>
      <w:shd w:val="clear" w:color="auto" w:fill="e1dfdd"/>
    </w:rPr>
  </w:style>
  <w:style w:type="paragraph" w:styleId="1119" w:customStyle="1">
    <w:name w:val="nqtitle"/>
    <w:basedOn w:val="1011"/>
    <w:pPr>
      <w:pBdr/>
      <w:spacing w:after="100" w:afterAutospacing="1" w:before="100" w:beforeAutospacing="1"/>
      <w:ind/>
    </w:pPr>
    <w:rPr>
      <w:lang w:val="vi-VN" w:eastAsia="vi-VN"/>
    </w:rPr>
  </w:style>
  <w:style w:type="character" w:styleId="1120" w:customStyle="1">
    <w:name w:val="List Paragraph Char"/>
    <w:link w:val="1033"/>
    <w:uiPriority w:val="34"/>
    <w:qFormat/>
    <w:pPr>
      <w:pBdr/>
      <w:spacing/>
      <w:ind/>
    </w:pPr>
    <w:rPr>
      <w:rFonts w:ascii="Times New Roman" w:hAnsi="Times New Roman" w:eastAsia="Times New Roman" w:cs="Times New Roman"/>
      <w:sz w:val="24"/>
      <w:szCs w:val="24"/>
    </w:rPr>
  </w:style>
  <w:style w:type="character" w:styleId="1121" w:customStyle="1">
    <w:name w:val="Đề cập Chưa giải quyết2"/>
    <w:basedOn w:val="1016"/>
    <w:uiPriority w:val="99"/>
    <w:semiHidden/>
    <w:unhideWhenUsed/>
    <w:pPr>
      <w:pBdr/>
      <w:spacing/>
      <w:ind/>
    </w:pPr>
    <w:rPr>
      <w:color w:val="605e5c"/>
      <w:shd w:val="clear" w:color="auto" w:fill="e1dfdd"/>
    </w:rPr>
  </w:style>
  <w:style w:type="character" w:styleId="1122" w:customStyle="1">
    <w:name w:val="Unresolved Mention3"/>
    <w:basedOn w:val="1016"/>
    <w:uiPriority w:val="99"/>
    <w:semiHidden/>
    <w:unhideWhenUsed/>
    <w:pPr>
      <w:pBdr/>
      <w:spacing/>
      <w:ind/>
    </w:pPr>
    <w:rPr>
      <w:color w:val="605e5c"/>
      <w:shd w:val="clear" w:color="auto" w:fill="e1dfdd"/>
    </w:rPr>
  </w:style>
  <w:style w:type="character" w:styleId="1123" w:customStyle="1">
    <w:name w:val="copy"/>
    <w:basedOn w:val="1016"/>
    <w:pPr>
      <w:pBdr/>
      <w:spacing/>
      <w:ind/>
    </w:pPr>
  </w:style>
  <w:style w:type="paragraph" w:styleId="1124" w:customStyle="1">
    <w:name w:val="align-justify"/>
    <w:basedOn w:val="1011"/>
    <w:pPr>
      <w:pBdr/>
      <w:spacing w:after="100" w:afterAutospacing="1" w:before="100" w:beforeAutospacing="1"/>
      <w:ind/>
    </w:pPr>
  </w:style>
  <w:style w:type="character" w:styleId="1125" w:customStyle="1">
    <w:name w:val="btn"/>
    <w:basedOn w:val="1016"/>
    <w:pPr>
      <w:pBdr/>
      <w:spacing/>
      <w:ind/>
    </w:pPr>
  </w:style>
  <w:style w:type="character" w:styleId="1126" w:customStyle="1">
    <w:name w:val="hide_mobile"/>
    <w:basedOn w:val="1016"/>
    <w:pPr>
      <w:pBdr/>
      <w:spacing/>
      <w:ind/>
    </w:pPr>
  </w:style>
  <w:style w:type="character" w:styleId="1127">
    <w:name w:val="Emphasis"/>
    <w:basedOn w:val="1016"/>
    <w:uiPriority w:val="20"/>
    <w:qFormat/>
    <w:pPr>
      <w:pBdr/>
      <w:spacing/>
      <w:ind/>
    </w:pPr>
    <w:rPr>
      <w:i/>
      <w:iCs/>
    </w:rPr>
  </w:style>
  <w:style w:type="character" w:styleId="1128" w:customStyle="1">
    <w:name w:val="t1"/>
    <w:basedOn w:val="1016"/>
    <w:pPr>
      <w:pBdr/>
      <w:spacing/>
      <w:ind/>
    </w:pPr>
  </w:style>
  <w:style w:type="character" w:styleId="1129" w:customStyle="1">
    <w:name w:val="Unresolved Mention4"/>
    <w:basedOn w:val="1016"/>
    <w:uiPriority w:val="99"/>
    <w:semiHidden/>
    <w:unhideWhenUsed/>
    <w:pPr>
      <w:pBdr/>
      <w:spacing/>
      <w:ind/>
    </w:pPr>
    <w:rPr>
      <w:color w:val="605e5c"/>
      <w:shd w:val="clear" w:color="auto" w:fill="e1dfdd"/>
    </w:rPr>
  </w:style>
  <w:style w:type="character" w:styleId="1130">
    <w:name w:val="Unresolved Mention"/>
    <w:basedOn w:val="1016"/>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Minh Phúc</cp:lastModifiedBy>
  <cp:revision>513</cp:revision>
  <dcterms:created xsi:type="dcterms:W3CDTF">2025-09-15T02:01:00Z</dcterms:created>
  <dcterms:modified xsi:type="dcterms:W3CDTF">2026-08-25T07:49:45Z</dcterms:modified>
</cp:coreProperties>
</file>