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921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921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275/2026/1389/VFI-CT.T06.A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Đinh Thị Chí</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151, tờ bản đồ số: 51, có địa chỉ: Ô số 05, lô LK10-kh</w:t>
                            </w:r>
                            <w:r>
                              <w:rPr>
                                <w:color w:val="000000"/>
                              </w:rPr>
                              <w:t xml:space="preserve">u TĐC và khu tự xây Hùng Thắng, phường Hùng Thắng, thành phố Hạ Long  (nay là phường Bãi Cháy)</w:t>
                            </w:r>
                            <w:r>
                              <w:rPr>
                                <w:color w:val="000000"/>
                              </w:rPr>
                              <w:t xml:space="preserve">,  tỉnh Quảng Ninh theo Giấy chứng nhận quyền sử dụng đất, quyền sở hữu nhà ở và tài sản khác gắn liền với đất số: DH 552724, Số vào sổ cấp GCN: CH 86633 do UBND thành phố Hạ Long cấp ngày 21/05/2024; chủ sử dụng đất là Ông Bùi Đình Phan và Bà Đinh Thị Chí</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2.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275/2026/1389/VFI-CT.T06.A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Đinh Thị Chí</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151, tờ bản đồ số: 51, có địa chỉ: Ô số 05, lô LK10-kh</w:t>
                      </w:r>
                      <w:r>
                        <w:rPr>
                          <w:color w:val="000000"/>
                        </w:rPr>
                        <w:t xml:space="preserve">u TĐC và khu tự xây Hùng Thắng, phường Hùng Thắng, thành phố Hạ Long  (nay là phường Bãi Cháy)</w:t>
                      </w:r>
                      <w:r>
                        <w:rPr>
                          <w:color w:val="000000"/>
                        </w:rPr>
                        <w:t xml:space="preserve">,  tỉnh Quảng Ninh theo Giấy chứng nhận quyền sử dụng đất, quyền sở hữu nhà ở và tài sản khác gắn liền với đất số: DH 552724, Số vào sổ cấp GCN: CH 86633 do UBND thành phố Hạ Long cấp ngày 21/05/2024; chủ sử dụng đất là Ông Bùi Đình Phan và Bà Đinh Thị Chí</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24-26</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26-32</w:t>
            </w:r>
            <w:r>
              <w:rPr>
                <w:b/>
                <w:bCs/>
                <w:highlight w:val="white"/>
              </w:rPr>
            </w:r>
            <w:r>
              <w:rPr>
                <w:b/>
                <w:bCs/>
                <w:highlight w:val="white"/>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275/2026/1389/VFI-CT.T06.A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08 tháng 9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Đinh Thị Chí</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275/2026/1389/VFI-HĐTĐ.T06.A</w:t>
      </w:r>
      <w:r>
        <w:rPr>
          <w:spacing w:val="-4"/>
          <w:lang w:val="vi-VN"/>
        </w:rPr>
        <w:t xml:space="preserve"> </w:t>
      </w:r>
      <w:r>
        <w:rPr>
          <w:spacing w:val="-4"/>
          <w:lang w:val="vi-VN"/>
        </w:rPr>
        <w:t xml:space="preserve">ký ngày 28</w:t>
      </w:r>
      <w:r>
        <w:rPr>
          <w:color w:val="000000" w:themeColor="text1"/>
          <w:spacing w:val="-4"/>
        </w:rPr>
        <w:t xml:space="preserve"> tháng 08 năm 2026</w:t>
      </w:r>
      <w:r>
        <w:rPr>
          <w:spacing w:val="-4"/>
          <w:lang w:val="vi-VN"/>
        </w:rPr>
      </w:r>
      <w:r>
        <w:rPr>
          <w:spacing w:val="-4"/>
          <w:lang w:val="vi-VN"/>
        </w:rPr>
        <w:t xml:space="preserve"> </w:t>
      </w:r>
      <w:r>
        <w:rPr>
          <w:spacing w:val="-4"/>
          <w:lang w:val="vi-VN"/>
        </w:rPr>
        <w:t xml:space="preserve">giữa </w:t>
      </w:r>
      <w:r>
        <w:rPr>
          <w:color w:val="000000" w:themeColor="text1"/>
          <w:spacing w:val="-4"/>
        </w:rPr>
        <w:t xml:space="preserve">Bà Đinh Thị Chí</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275/2026/1389/VFI-BC.T06.A</w:t>
      </w:r>
      <w:r>
        <w:rPr>
          <w:spacing w:val="-2"/>
          <w:lang w:val="pt-BR"/>
        </w:rPr>
        <w:t xml:space="preserve"> </w:t>
      </w:r>
      <w:r>
        <w:rPr>
          <w:spacing w:val="-2"/>
          <w:lang w:val="pt-BR"/>
        </w:rPr>
        <w:t xml:space="preserve">ngày</w:t>
      </w:r>
      <w:r>
        <w:rPr>
          <w:spacing w:val="-2"/>
          <w:lang w:val="vi-VN"/>
        </w:rPr>
        <w:t xml:space="preserve"> 0</w:t>
      </w:r>
      <w:r>
        <w:rPr>
          <w:color w:val="000000" w:themeColor="text1"/>
          <w:spacing w:val="-2"/>
        </w:rPr>
        <w:t xml:space="preserve">8 tháng 09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pPr>
            <w:r>
              <w:rPr>
                <w:rFonts w:ascii="Times New Roman" w:hAnsi="Times New Roman" w:eastAsia="Times New Roman" w:cs="Times New Roman"/>
                <w:b/>
                <w:color w:val="000000"/>
                <w:sz w:val="24"/>
              </w:rPr>
              <w:t xml:space="preserve">BÀ ĐINH THỊ CHÍ</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022164003764</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 3A, khu 1, phường Bãi Cháy, tỉnh Quảng Ninh</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151, tờ bản đồ số: 51, có địa chỉ: Ô số 05, lô LK10-khu TĐC và khu tự xây Hùng Thắng, phường Hùng Thắng, thành phố Hạ Long  (nay là phường Bãi Cháy)</w:t>
      </w:r>
      <w:r>
        <w:rPr>
          <w:color w:val="000000" w:themeColor="text1"/>
        </w:rPr>
        <w:t xml:space="preserve">,  tỉnh Quảng Ninh theo Giấy chứng nhận quyền sử dụng đất, quyền sở hữu nhà ở và tài sản khác gắn liền với đất số: DH 552724, Số vào sổ cấp GCN: CH 86633 do UBND thành phố Hạ Long cấp ngày 21/05/2024; chủ sử dụng đất là Ông Bùi Đình Phan và Bà Đinh Thị Chí</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20"/>
        <w:gridCol w:w="2445"/>
        <w:gridCol w:w="1559"/>
        <w:gridCol w:w="1826"/>
        <w:gridCol w:w="1370"/>
        <w:gridCol w:w="1766"/>
      </w:tblGrid>
      <w:tr>
        <w:trPr>
          <w:trHeight w:val="624"/>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2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244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w:t>
              <w:br/>
              <w:t xml:space="preserve">(m2)</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82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w:t>
              <w:br/>
              <w:t xml:space="preserve">(đồng/m2)</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37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CLCL</w:t>
              <w:br/>
              <w:t xml:space="preserve">(%)</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7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w:t>
              <w:br/>
              <w:t xml:space="preserve">(đồng)</w:t>
            </w:r>
            <w:r/>
          </w:p>
        </w:tc>
      </w:tr>
      <w:tr>
        <w:trPr>
          <w:trHeight w:val="2472"/>
        </w:trPr>
        <w:tc>
          <w:tcPr>
            <w:tcBorders>
              <w:left w:val="single" w:color="000000" w:sz="6" w:space="0"/>
              <w:bottom w:val="single" w:color="000000" w:sz="6" w:space="0"/>
              <w:right w:val="single" w:color="000000" w:sz="6" w:space="0"/>
            </w:tcBorders>
            <w:tcMar>
              <w:left w:w="15" w:type="dxa"/>
              <w:top w:w="15" w:type="dxa"/>
              <w:right w:w="15" w:type="dxa"/>
              <w:bottom w:w="0" w:type="dxa"/>
            </w:tcMar>
            <w:tcW w:w="5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6" w:space="0"/>
              <w:bottom w:val="single" w:color="000000" w:sz="6" w:space="0"/>
              <w:right w:val="single" w:color="000000" w:sz="6" w:space="0"/>
            </w:tcBorders>
            <w:tcMar>
              <w:left w:w="15" w:type="dxa"/>
              <w:top w:w="15" w:type="dxa"/>
              <w:right w:w="15" w:type="dxa"/>
              <w:bottom w:w="0" w:type="dxa"/>
            </w:tcMar>
            <w:tcW w:w="7200" w:type="dxa"/>
            <w:vAlign w:val="center"/>
            <w:textDirection w:val="lrTb"/>
            <w:noWrap/>
          </w:tcPr>
          <w:p>
            <w:pPr>
              <w:pBdr/>
              <w:spacing w:after="40" w:before="40" w:line="288" w:lineRule="auto"/>
              <w:ind/>
              <w:jc w:val="both"/>
              <w:rPr>
                <w:b/>
                <w:bCs/>
              </w:rPr>
            </w:pPr>
            <w:r>
              <w:rPr>
                <w:b/>
                <w:bCs/>
                <w:color w:val="000000"/>
              </w:rPr>
              <w:t xml:space="preserve">Quyền sử dụng đất tại thửa đất số: 151, tờ bản đồ số: 51, có địa chỉ: Ô số 05, lô LK10-khu TĐC và khu tự xây Hùng Thắng, phường Hùng Thắng, thành phố Hạ Long  (nay là phường Bãi Cháy)</w:t>
            </w:r>
            <w:r>
              <w:rPr>
                <w:b/>
                <w:bCs/>
                <w:color w:val="000000"/>
              </w:rPr>
              <w:t xml:space="preserve">,  tỉnh Quảng Ninh theo Giấy chứng nhận quyền sử dụng đất, quyền sở hữu nhà ở và tài sản khác gắn liền với đất số: DH 552724, Số vào sổ cấp GCN: CH 86633 do UBND thành phố Hạ Long cấp ngày 21/05/2024; chủ sử dụng đất là Ông Bùi Đình Phan và Bà Đinh Thị Chí</w:t>
            </w:r>
            <w:r>
              <w:rPr>
                <w:b/>
                <w:bCs/>
              </w:rPr>
              <w:t xml:space="preserve">.</w:t>
            </w:r>
            <w:r>
              <w:rPr>
                <w:rFonts w:ascii="Times New Roman" w:hAnsi="Times New Roman" w:eastAsia="Times New Roman" w:cs="Times New Roman"/>
                <w:color w:val="000000"/>
                <w:sz w:val="24"/>
              </w:rPr>
              <w:t xml:space="preserve"> </w:t>
            </w:r>
            <w:r>
              <w:rPr>
                <w:b/>
                <w:bCs/>
              </w:rPr>
            </w:r>
            <w:r>
              <w:rPr>
                <w:b/>
                <w:bCs/>
              </w:rPr>
            </w:r>
          </w:p>
        </w:tc>
        <w:tc>
          <w:tcPr>
            <w:tcBorders>
              <w:bottom w:val="single" w:color="000000" w:sz="6" w:space="0"/>
              <w:right w:val="single" w:color="000000" w:sz="6" w:space="0"/>
            </w:tcBorders>
            <w:tcMar>
              <w:left w:w="15" w:type="dxa"/>
              <w:top w:w="15" w:type="dxa"/>
              <w:right w:w="15" w:type="dxa"/>
              <w:bottom w:w="0" w:type="dxa"/>
            </w:tcMar>
            <w:tcW w:w="17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312"/>
        </w:trPr>
        <w:tc>
          <w:tcPr>
            <w:tcBorders>
              <w:left w:val="single" w:color="000000" w:sz="6" w:space="0"/>
              <w:bottom w:val="single" w:color="000000" w:sz="6" w:space="0"/>
              <w:right w:val="single" w:color="000000" w:sz="6" w:space="0"/>
            </w:tcBorders>
            <w:tcMar>
              <w:left w:w="15" w:type="dxa"/>
              <w:top w:w="15" w:type="dxa"/>
              <w:right w:w="15" w:type="dxa"/>
              <w:bottom w:w="0" w:type="dxa"/>
            </w:tcMar>
            <w:tcW w:w="520" w:type="dxa"/>
            <w:vAlign w:val="center"/>
            <w:textDirection w:val="lrTb"/>
            <w:noWrap/>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01</w:t>
            </w:r>
            <w:r>
              <w:rPr>
                <w:b w:val="0"/>
                <w:bCs w:val="0"/>
              </w:rPr>
            </w:r>
            <w:r>
              <w:rPr>
                <w:b w:val="0"/>
                <w:bCs w:val="0"/>
              </w:rPr>
            </w:r>
          </w:p>
        </w:tc>
        <w:tc>
          <w:tcPr>
            <w:tcBorders>
              <w:bottom w:val="single" w:color="000000" w:sz="6" w:space="0"/>
              <w:right w:val="single" w:color="000000" w:sz="6" w:space="0"/>
            </w:tcBorders>
            <w:tcMar>
              <w:left w:w="15" w:type="dxa"/>
              <w:top w:w="15" w:type="dxa"/>
              <w:right w:w="15" w:type="dxa"/>
              <w:bottom w:w="0" w:type="dxa"/>
            </w:tcMar>
            <w:tcW w:w="2445" w:type="dxa"/>
            <w:vAlign w:val="center"/>
            <w:textDirection w:val="lrTb"/>
            <w:noWrap/>
          </w:tcPr>
          <w:p>
            <w:pPr>
              <w:pBdr/>
              <w:spacing w:after="0" w:before="0" w:line="240" w:lineRule="auto"/>
              <w:ind/>
              <w:rPr>
                <w:b w:val="0"/>
                <w:bCs w:val="0"/>
              </w:rPr>
            </w:pPr>
            <w:r>
              <w:rPr>
                <w:rFonts w:ascii="Times New Roman" w:hAnsi="Times New Roman" w:eastAsia="Times New Roman" w:cs="Times New Roman"/>
                <w:b w:val="0"/>
                <w:bCs w:val="0"/>
                <w:color w:val="000000"/>
                <w:sz w:val="24"/>
              </w:rPr>
              <w:t xml:space="preserve">Quyền sử dụng đất</w:t>
            </w:r>
            <w:r>
              <w:rPr>
                <w:b w:val="0"/>
                <w:bCs w:val="0"/>
              </w:rPr>
            </w:r>
            <w:r>
              <w:rPr>
                <w:b w:val="0"/>
                <w:bCs w:val="0"/>
              </w:rPr>
            </w:r>
          </w:p>
        </w:tc>
        <w:tc>
          <w:tcPr>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63,5</w:t>
            </w:r>
            <w:r/>
          </w:p>
        </w:tc>
        <w:tc>
          <w:tcPr>
            <w:tcBorders>
              <w:bottom w:val="single" w:color="000000" w:sz="6" w:space="0"/>
              <w:right w:val="single" w:color="000000" w:sz="6" w:space="0"/>
            </w:tcBorders>
            <w:tcMar>
              <w:left w:w="15" w:type="dxa"/>
              <w:top w:w="15" w:type="dxa"/>
              <w:right w:w="15" w:type="dxa"/>
              <w:bottom w:w="0" w:type="dxa"/>
            </w:tcMar>
            <w:tcW w:w="182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64.000.000</w:t>
            </w:r>
            <w:r/>
          </w:p>
        </w:tc>
        <w:tc>
          <w:tcPr>
            <w:tcBorders>
              <w:bottom w:val="single" w:color="000000" w:sz="6" w:space="0"/>
              <w:right w:val="single" w:color="000000" w:sz="6" w:space="0"/>
            </w:tcBorders>
            <w:tcMar>
              <w:left w:w="15" w:type="dxa"/>
              <w:top w:w="15" w:type="dxa"/>
              <w:right w:w="15" w:type="dxa"/>
              <w:bottom w:w="0" w:type="dxa"/>
            </w:tcMar>
            <w:tcW w:w="137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100%</w:t>
            </w:r>
            <w:r/>
          </w:p>
        </w:tc>
        <w:tc>
          <w:tcPr>
            <w:tcBorders>
              <w:bottom w:val="single" w:color="000000" w:sz="6" w:space="0"/>
              <w:right w:val="single" w:color="000000" w:sz="6" w:space="0"/>
            </w:tcBorders>
            <w:tcMar>
              <w:left w:w="15" w:type="dxa"/>
              <w:top w:w="15" w:type="dxa"/>
              <w:right w:w="15" w:type="dxa"/>
              <w:bottom w:w="0" w:type="dxa"/>
            </w:tcMar>
            <w:tcW w:w="176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4.064.000.000</w:t>
            </w:r>
            <w:r/>
          </w:p>
        </w:tc>
      </w:tr>
      <w:tr>
        <w:trPr>
          <w:trHeight w:val="312"/>
        </w:trPr>
        <w:tc>
          <w:tcPr>
            <w:tcBorders>
              <w:left w:val="single" w:color="000000" w:sz="6" w:space="0"/>
              <w:bottom w:val="single" w:color="000000" w:sz="6" w:space="0"/>
              <w:right w:val="single" w:color="000000" w:sz="6" w:space="0"/>
            </w:tcBorders>
            <w:tcMar>
              <w:left w:w="15" w:type="dxa"/>
              <w:top w:w="15" w:type="dxa"/>
              <w:right w:w="15" w:type="dxa"/>
              <w:bottom w:w="0" w:type="dxa"/>
            </w:tcMar>
            <w:tcW w:w="520" w:type="dxa"/>
            <w:vAlign w:val="center"/>
            <w:textDirection w:val="lrTb"/>
            <w:noWrap/>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02</w:t>
            </w:r>
            <w:r>
              <w:rPr>
                <w:b w:val="0"/>
                <w:bCs w:val="0"/>
              </w:rPr>
            </w:r>
            <w:r>
              <w:rPr>
                <w:b w:val="0"/>
                <w:bCs w:val="0"/>
              </w:rPr>
            </w:r>
          </w:p>
        </w:tc>
        <w:tc>
          <w:tcPr>
            <w:tcBorders>
              <w:bottom w:val="single" w:color="000000" w:sz="6" w:space="0"/>
              <w:right w:val="single" w:color="000000" w:sz="6" w:space="0"/>
            </w:tcBorders>
            <w:tcMar>
              <w:left w:w="15" w:type="dxa"/>
              <w:top w:w="15" w:type="dxa"/>
              <w:right w:w="15" w:type="dxa"/>
              <w:bottom w:w="0" w:type="dxa"/>
            </w:tcMar>
            <w:tcW w:w="2445" w:type="dxa"/>
            <w:vAlign w:val="center"/>
            <w:textDirection w:val="lrTb"/>
            <w:noWrap/>
          </w:tcPr>
          <w:p>
            <w:pPr>
              <w:pBdr/>
              <w:spacing w:after="40" w:before="40" w:line="288" w:lineRule="auto"/>
              <w:ind/>
              <w:rPr>
                <w:b w:val="0"/>
                <w:bCs w:val="0"/>
              </w:rPr>
            </w:pPr>
            <w:r>
              <w:rPr>
                <w:b w:val="0"/>
                <w:bCs w:val="0"/>
              </w:rPr>
              <w:t xml:space="preserve">Nhà 3 tầng, 1 tum</w:t>
            </w:r>
            <w:r>
              <w:rPr>
                <w:b w:val="0"/>
                <w:bCs w:val="0"/>
              </w:rPr>
            </w:r>
            <w:r>
              <w:rPr>
                <w:b w:val="0"/>
                <w:bCs w:val="0"/>
              </w:rPr>
            </w:r>
          </w:p>
        </w:tc>
        <w:tc>
          <w:tcPr>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225,0</w:t>
            </w:r>
            <w:r/>
          </w:p>
        </w:tc>
        <w:tc>
          <w:tcPr>
            <w:tcBorders>
              <w:bottom w:val="single" w:color="000000" w:sz="6" w:space="0"/>
              <w:right w:val="single" w:color="000000" w:sz="6" w:space="0"/>
            </w:tcBorders>
            <w:tcMar>
              <w:left w:w="15" w:type="dxa"/>
              <w:top w:w="15" w:type="dxa"/>
              <w:right w:w="15" w:type="dxa"/>
              <w:bottom w:w="0" w:type="dxa"/>
            </w:tcMar>
            <w:tcW w:w="182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7.410.744</w:t>
            </w:r>
            <w:r/>
          </w:p>
        </w:tc>
        <w:tc>
          <w:tcPr>
            <w:tcBorders>
              <w:bottom w:val="single" w:color="000000" w:sz="6" w:space="0"/>
              <w:right w:val="single" w:color="000000" w:sz="6" w:space="0"/>
            </w:tcBorders>
            <w:tcMar>
              <w:left w:w="15" w:type="dxa"/>
              <w:top w:w="15" w:type="dxa"/>
              <w:right w:w="15" w:type="dxa"/>
              <w:bottom w:w="0" w:type="dxa"/>
            </w:tcMar>
            <w:tcW w:w="137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92%</w:t>
            </w:r>
            <w:r/>
          </w:p>
        </w:tc>
        <w:tc>
          <w:tcPr>
            <w:tcBorders>
              <w:bottom w:val="single" w:color="000000" w:sz="6" w:space="0"/>
              <w:right w:val="single" w:color="000000" w:sz="6" w:space="0"/>
            </w:tcBorders>
            <w:tcMar>
              <w:left w:w="15" w:type="dxa"/>
              <w:top w:w="15" w:type="dxa"/>
              <w:right w:w="15" w:type="dxa"/>
              <w:bottom w:w="0" w:type="dxa"/>
            </w:tcMar>
            <w:tcW w:w="176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1.667.417.292</w:t>
            </w:r>
            <w:r/>
          </w:p>
        </w:tc>
      </w:tr>
      <w:tr>
        <w:trPr>
          <w:trHeight w:val="372"/>
        </w:trPr>
        <w:tc>
          <w:tcPr>
            <w:tcBorders>
              <w:left w:val="single" w:color="000000" w:sz="6" w:space="0"/>
              <w:bottom w:val="single" w:color="000000" w:sz="6" w:space="0"/>
              <w:right w:val="single" w:color="000000" w:sz="6" w:space="0"/>
            </w:tcBorders>
            <w:tcMar>
              <w:left w:w="15" w:type="dxa"/>
              <w:top w:w="15" w:type="dxa"/>
              <w:right w:w="15" w:type="dxa"/>
              <w:bottom w:w="0" w:type="dxa"/>
            </w:tcMar>
            <w:tcW w:w="5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6" w:space="0"/>
              <w:bottom w:val="single" w:color="000000" w:sz="6" w:space="0"/>
              <w:right w:val="single" w:color="000000" w:sz="6" w:space="0"/>
            </w:tcBorders>
            <w:tcMar>
              <w:left w:w="15" w:type="dxa"/>
              <w:top w:w="15" w:type="dxa"/>
              <w:right w:w="15" w:type="dxa"/>
              <w:bottom w:w="0" w:type="dxa"/>
            </w:tcMar>
            <w:tcW w:w="720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15" w:type="dxa"/>
              <w:top w:w="15" w:type="dxa"/>
              <w:right w:w="15" w:type="dxa"/>
              <w:bottom w:w="0" w:type="dxa"/>
            </w:tcMar>
            <w:tcW w:w="176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5.731.417.292 </w:t>
            </w:r>
            <w:r/>
          </w:p>
        </w:tc>
      </w:tr>
      <w:tr>
        <w:trPr>
          <w:trHeight w:val="372"/>
        </w:trPr>
        <w:tc>
          <w:tcPr>
            <w:tcBorders>
              <w:left w:val="single" w:color="000000" w:sz="6" w:space="0"/>
              <w:bottom w:val="single" w:color="000000" w:sz="6" w:space="0"/>
              <w:right w:val="single" w:color="000000" w:sz="6" w:space="0"/>
            </w:tcBorders>
            <w:tcMar>
              <w:left w:w="15" w:type="dxa"/>
              <w:top w:w="15" w:type="dxa"/>
              <w:right w:w="15" w:type="dxa"/>
              <w:bottom w:w="0" w:type="dxa"/>
            </w:tcMar>
            <w:tcW w:w="5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6" w:space="0"/>
              <w:bottom w:val="single" w:color="000000" w:sz="6" w:space="0"/>
              <w:right w:val="single" w:color="000000" w:sz="6" w:space="0"/>
            </w:tcBorders>
            <w:tcMar>
              <w:left w:w="15" w:type="dxa"/>
              <w:top w:w="15" w:type="dxa"/>
              <w:right w:w="15" w:type="dxa"/>
              <w:bottom w:w="0" w:type="dxa"/>
            </w:tcMar>
            <w:tcW w:w="720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15" w:type="dxa"/>
              <w:top w:w="15" w:type="dxa"/>
              <w:right w:w="15" w:type="dxa"/>
              <w:bottom w:w="0" w:type="dxa"/>
            </w:tcMar>
            <w:tcW w:w="176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5.731.400.000 </w:t>
            </w:r>
            <w:r/>
          </w:p>
        </w:tc>
      </w:tr>
      <w:tr>
        <w:trPr>
          <w:trHeight w:val="408"/>
        </w:trPr>
        <w:tc>
          <w:tcPr>
            <w:gridSpan w:val="6"/>
            <w:tcBorders>
              <w:top w:val="single" w:color="000000" w:sz="6" w:space="0"/>
              <w:left w:val="single" w:color="000000" w:sz="6" w:space="0"/>
              <w:bottom w:val="single" w:color="000000" w:sz="6" w:space="0"/>
              <w:right w:val="single" w:color="000000" w:sz="8" w:space="0"/>
            </w:tcBorders>
            <w:tcMar>
              <w:left w:w="15" w:type="dxa"/>
              <w:top w:w="15" w:type="dxa"/>
              <w:right w:w="15" w:type="dxa"/>
              <w:bottom w:w="0" w:type="dxa"/>
            </w:tcMar>
            <w:tcW w:w="948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(Bằng chữ: Năm tỷ bảy trăm ba mươi mốt triệu bốn trăm nghìn đồng chẵn ./.)</w:t>
            </w:r>
            <w:r/>
          </w:p>
        </w:tc>
      </w:tr>
    </w:tbl>
    <w:p>
      <w:pPr>
        <w:pBdr/>
        <w:spacing w:after="120" w:before="120" w:line="312" w:lineRule="auto"/>
        <w:ind/>
        <w:jc w:val="both"/>
        <w:rPr/>
      </w:pPr>
      <w:r/>
      <w:r/>
    </w:p>
    <w:p>
      <w:pPr>
        <w:pBdr/>
        <w:spacing w:after="120" w:before="120" w:line="312" w:lineRule="auto"/>
        <w:ind/>
        <w:jc w:val="both"/>
        <w:rPr/>
      </w:pPr>
      <w:r>
        <w:rPr>
          <w:highlight w:val="none"/>
          <w:lang w:val="vi-VN"/>
        </w:rPr>
      </w:r>
      <w:r/>
    </w:p>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Bdr/>
              <w:shd w:val="nil" w:color="auto"/>
              <w:spacing/>
              <w:ind/>
              <w:rPr>
                <w14:ligatures w14:val="none"/>
              </w:rPr>
            </w:pPr>
            <w:r>
              <w:rPr>
                <w:lang w:val="pt-BR"/>
              </w:rPr>
              <w:t xml:space="preserve">Số: </w:t>
            </w:r>
            <w:r>
              <w:rPr>
                <w:highlight w:val="white"/>
              </w:rPr>
              <w:t xml:space="preserve">275/2026/1389/VFI-BC.T06.A</w:t>
            </w:r>
            <w:r>
              <w:rPr>
                <w14:ligatures w14:val="none"/>
              </w:rPr>
            </w:r>
            <w:r>
              <w:rPr>
                <w14:ligatures w14:val="none"/>
              </w:rPr>
            </w:r>
          </w:p>
        </w:tc>
        <w:tc>
          <w:tcPr>
            <w:shd w:val="clear" w:color="auto" w:fill="auto"/>
            <w:tcBorders/>
            <w:tcMar>
              <w:left w:w="108" w:type="dxa"/>
              <w:top w:w="0" w:type="dxa"/>
              <w:right w:w="108" w:type="dxa"/>
              <w:bottom w:w="0" w:type="dxa"/>
            </w:tcMar>
            <w:tcW w:w="5412"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08 tháng 09 năm 2026</w:t>
            </w:r>
            <w:r>
              <w:rPr>
                <w:color w:val="000000" w:themeColor="text1"/>
                <w:sz w:val="24"/>
                <w:szCs w:val="24"/>
                <w:lang w:val="vi-VN"/>
              </w:rPr>
            </w:r>
            <w:r>
              <w:rPr>
                <w:color w:val="000000" w:themeColor="text1"/>
                <w:sz w:val="24"/>
                <w:szCs w:val="24"/>
                <w:lang w:val="vi-VN"/>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275/2026/1389/VFI-CT.T06.A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08 tháng 09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BÀ ĐINH THỊ CHÍ</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022164003764</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 3A, khu 1, phường Bãi Cháy, tỉnh Quảng Ninh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151, tờ bản đồ số: 51, có địa chỉ: Ô số 05, lô LK10-khu TĐC và khu tự xây Hùng Thắng, phường Hùng Thắng, thành phố Hạ Long  (nay là phường Bãi Cháy)</w:t>
            </w:r>
            <w:r>
              <w:rPr>
                <w:bCs/>
                <w:color w:val="000000" w:themeColor="text1"/>
                <w:lang w:val="pt-BR"/>
              </w:rPr>
              <w:t xml:space="preserve">,  tỉnh Quảng Ninh theo Giấy chứng nhận quyền sử dụng đất, quyền sở hữu nhà ở và tài sản khác gắn liền với đất số: DH 552724, Số vào sổ cấp GCN: CH 86633 do UBND thành phố Hạ Long cấp ngày 21/05/2024; chủ sử dụng đất là Ông Bùi Đình Phan và Bà Đinh Thị Chí</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Ô số 05, lô LK10-khu TĐC và khu tự xây Hùng Thắng, phường Hùng Thắng, thành phố Hạ Long, tỉnh Quảng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(20.960944444444, 106.99247222222)</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yellow"/>
              </w:rPr>
            </w:pPr>
            <w:r>
              <w:rPr>
                <w:highlight w:val="yellow"/>
                <w:lang w:val="pt-BR"/>
              </w:rPr>
            </w:r>
            <w:r>
              <w:rPr>
                <w:highlight w:val="none"/>
                <w:lang w:val="pt-BR"/>
              </w:rPr>
              <w:t xml:space="preserve">2</w:t>
            </w:r>
            <w:r>
              <w:rPr>
                <w:highlight w:val="white"/>
                <w:lang w:val="pt-BR"/>
              </w:rPr>
              <w:t xml:space="preserve">9</w:t>
            </w:r>
            <w:r>
              <w:rPr>
                <w:highlight w:val="white"/>
                <w:lang w:val="pt-BR"/>
              </w:rPr>
              <w:t xml:space="preserve">/08/2026</w:t>
            </w:r>
            <w:r>
              <w:rPr>
                <w:highlight w:val="white"/>
                <w:lang w:val="pt-BR"/>
              </w:rPr>
              <w:t xml:space="preserve">.</w:t>
            </w:r>
            <w:r>
              <w:rPr>
                <w:highlight w:val="white"/>
              </w:rPr>
            </w:r>
            <w:r>
              <w:rPr>
                <w:highlight w:val="yellow"/>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numPr>
          <w:ilvl w:val="0"/>
          <w:numId w:val="42"/>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rPr>
        <w:t xml:space="preserve">Quyết định số 425/QĐ-BXD ngày 30/03/2026 của Bộ Xây dựng về việc Công bố suất vốn đầu tư xây dựng công trình và giá xây dựng tổng hợp bộ phận kết cấu công trình năm 2025;</w:t>
      </w:r>
      <w:r>
        <w:rPr>
          <w:rFonts w:ascii="Times New Roman" w:hAnsi="Times New Roman" w:eastAsia="Times New Roman" w:cs="Times New Roman"/>
          <w:sz w:val="24"/>
        </w:rPr>
      </w: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DH 552724, Số vào sổ cấp GCN: CH 86633 do UBND thành phố Hạ Long cấp ngày 21/05/2024; chủ sử dụng đất là Ông Bùi Đình Phan và Bà Đinh Thị Chí</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275/2026/1389/VFI-HĐTĐ.T</w:t>
      </w:r>
      <w:r>
        <w:rPr>
          <w:color w:val="000000" w:themeColor="text1"/>
          <w:highlight w:val="white"/>
          <w:lang w:val="pt-BR"/>
        </w:rPr>
        <w:t xml:space="preserve">06.A ngày 28/08/2026 giữa Bà Đinh Thị Chí với </w:t>
      </w:r>
      <w:r>
        <w:rPr>
          <w:color w:val="000000" w:themeColor="text1"/>
          <w:lang w:val="pt-BR"/>
        </w:rPr>
        <w:t xml:space="preserve">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Năm 2026, thị trường bất động sản phường Bãi Cháy, tỉnh Quảng Ninh tiếp tục duy trì vị thế là một trong những khu vực có thị trường bất động sản phát triển năng động của thành phố Hạ Long. Bãi Cháy có lợi thế đặc biệt về vị trí khi nằm bên bờ Vịnh Hạ Long,</w:t>
      </w:r>
      <w:r>
        <w:rPr>
          <w:rFonts w:ascii="Times New Roman" w:hAnsi="Times New Roman" w:eastAsia="Times New Roman" w:cs="Times New Roman"/>
          <w:color w:val="000000"/>
          <w:sz w:val="24"/>
        </w:rPr>
        <w:t xml:space="preserve"> đồng thời là khu vực tập trung nhiều cơ sở lưu trú, khu vui chơi giải trí, nhà hàng, khách sạn và các dịch vụ phục vụ du lịch. Những lợi thế về cảnh quan, du lịch và hạ tầng giao thông tạo nền tảng quan trọng cho sự phát triển của thị trường bất động sản </w:t>
      </w:r>
      <w:r>
        <w:rPr>
          <w:rFonts w:ascii="Times New Roman" w:hAnsi="Times New Roman" w:eastAsia="Times New Roman" w:cs="Times New Roman"/>
          <w:color w:val="000000"/>
          <w:sz w:val="24"/>
        </w:rPr>
        <w:t xml:space="preserve">tại khu vực.</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Trong năm 2026, hoạt động du lịch tiếp tục được xem là một trong những động lực chính đối với thị trường bất động sản Bãi Cháy. Lượng khách du lịch đến Quảng Ninh duy trì xu hướng tăng, kéo theo nhu cầu đối với khách sạn, căn hộ lưu trú, nhà phố thương mại</w:t>
      </w:r>
      <w:r>
        <w:rPr>
          <w:rFonts w:ascii="Times New Roman" w:hAnsi="Times New Roman" w:eastAsia="Times New Roman" w:cs="Times New Roman"/>
          <w:color w:val="000000"/>
          <w:sz w:val="24"/>
        </w:rPr>
        <w:t xml:space="preserve"> và các loại hình bất động sản có khả năng khai thác kinh doanh dịch vụ. Đặc biệt, những bất động sản nằm gần các tuyến đường chính, khu vui chơi, khu vực ven biển và các điểm tập trung dịch vụ du lịch thường có lợi thế về khả năng khai thác và tính thanh </w:t>
      </w:r>
      <w:r>
        <w:rPr>
          <w:rFonts w:ascii="Times New Roman" w:hAnsi="Times New Roman" w:eastAsia="Times New Roman" w:cs="Times New Roman"/>
          <w:color w:val="000000"/>
          <w:sz w:val="24"/>
        </w:rPr>
        <w:t xml:space="preserve">khoản.</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Bên cạnh yếu tố du lịch, quá trình đô thị hóa và hoàn thiện hệ thống hạ tầng cũng đang tạo thêm động lực cho thị trường. Khu vực Bãi Cháy có khả năng kết nối thuận lợi với trung tâm Hạ Long cũng như các khu vực phát triển đô thị khác của tỉnh thông qua hệ </w:t>
      </w:r>
      <w:r>
        <w:rPr>
          <w:rFonts w:ascii="Times New Roman" w:hAnsi="Times New Roman" w:eastAsia="Times New Roman" w:cs="Times New Roman"/>
          <w:color w:val="000000"/>
          <w:sz w:val="24"/>
        </w:rPr>
        <w:t xml:space="preserve">thống đường bộ và các tuyến giao thông huyết mạch. Việc tiếp tục triển khai các quy hoạch đô thị, chỉnh trang và phát triển hạ tầng được kỳ vọng sẽ góp phần nâng cao chất lượng không gian đô thị và giá trị sử dụng của bất động sản trong khu vực.</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Thị trường bất động sản Bãi Cháy năm 2026 có sự đa dạng về loại hình sản phẩm, bao gồm đất ở, nhà ở riêng lẻ, nhà phố thương mại, căn hộ, khách sạn và bất động sản phục vụ mục đích nghỉ dưỡng, kinh doanh. Trong đó, đất ở và nhà ở tại các khu vực có hạ tầng</w:t>
      </w:r>
      <w:r>
        <w:rPr>
          <w:rFonts w:ascii="Times New Roman" w:hAnsi="Times New Roman" w:eastAsia="Times New Roman" w:cs="Times New Roman"/>
          <w:color w:val="000000"/>
          <w:sz w:val="24"/>
        </w:rPr>
        <w:t xml:space="preserve"> hoàn thiện, giao thông thuận tiện và khả năng kết nối tốt tiếp tục nhận được sự quan tâm của người mua. Đối với phân khúc bất động sản thương mại và nghỉ dưỡng, khả năng tạo dòng tiền từ hoạt động kinh doanh, cho thuê và phục vụ khách du lịch là yếu tố ng</w:t>
      </w:r>
      <w:r>
        <w:rPr>
          <w:rFonts w:ascii="Times New Roman" w:hAnsi="Times New Roman" w:eastAsia="Times New Roman" w:cs="Times New Roman"/>
          <w:color w:val="000000"/>
          <w:sz w:val="24"/>
        </w:rPr>
        <w:t xml:space="preserve">ày càng được nhà đầu tư chú trọng.</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Mặt bằng giá bất động sản tại Bãi Cháy có sự phân hóa tương đối rõ giữa từng khu vực, tuyến đường và vị trí cụ thể. Các tài sản có mặt tiền rộng, khả năng kinh doanh tốt, gần các tuyến đường lớn hoặc các khu vực tập trung đông khách du lịch thường có mức g</w:t>
      </w:r>
      <w:r>
        <w:rPr>
          <w:rFonts w:ascii="Times New Roman" w:hAnsi="Times New Roman" w:eastAsia="Times New Roman" w:cs="Times New Roman"/>
          <w:color w:val="000000"/>
          <w:sz w:val="24"/>
        </w:rPr>
        <w:t xml:space="preserve">iá cao hơn. Ngược lại, những bất động sản nằm trong ngõ, vị trí kém thuận lợi hoặc hạn chế về khả năng kinh doanh thường có mức giá thấp hơn. Giá giao dịch thực tế cũng chịu ảnh hưởng bởi diện tích, hình dạng thửa đất, chiều rộng mặt tiền, hiện trạng công </w:t>
      </w:r>
      <w:r>
        <w:rPr>
          <w:rFonts w:ascii="Times New Roman" w:hAnsi="Times New Roman" w:eastAsia="Times New Roman" w:cs="Times New Roman"/>
          <w:color w:val="000000"/>
          <w:sz w:val="24"/>
        </w:rPr>
        <w:t xml:space="preserve">trình, mục đích sử dụng đất và tình trạng pháp lý của tài sản.</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Thanh khoản thị trường trong năm 2026 có xu hướng phân hóa, trong đó các bất động sản có pháp lý rõ ràng, vị trí thuận lợi và mức giá phù hợp với mặt bằng chung có khả năng giao dịch tốt hơn. Nhà đầu tư ngày càng quan tâm đến giá trị sử dụng thực tế và khả</w:t>
      </w:r>
      <w:r>
        <w:rPr>
          <w:rFonts w:ascii="Times New Roman" w:hAnsi="Times New Roman" w:eastAsia="Times New Roman" w:cs="Times New Roman"/>
          <w:color w:val="000000"/>
          <w:sz w:val="24"/>
        </w:rPr>
        <w:t xml:space="preserve"> năng khai thác dòng tiền thay vì chỉ dựa vào kỳ vọng tăng giá trong tương lai. Điều này khiến những tài sản có khả năng kinh doanh ổn định, phục vụ nhu cầu ở thực hoặc khai thác cho thuê có lợi thế tương đối trên thị trường.</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Trong thời gian tới, triển vọng của thị trường bất động sản Bãi Cháy được đánh giá tương đối tích cực nhờ sự kết hợp của các yếu tố du lịch, đô thị hóa, phát triển hạ tầng và định hướng mở rộng không gian đô thị của Hạ Long. Tuy nhiên, thị trường vẫn chịu </w:t>
      </w:r>
      <w:r>
        <w:rPr>
          <w:rFonts w:ascii="Times New Roman" w:hAnsi="Times New Roman" w:eastAsia="Times New Roman" w:cs="Times New Roman"/>
          <w:color w:val="000000"/>
          <w:sz w:val="24"/>
        </w:rPr>
        <w:t xml:space="preserve">ảnh hưởng bởi các yếu tố như mặt bằng lãi suất, chính sách tín dụng, sức mua của người dân và khả năng hấp thụ của từng phân khúc. Do đó, mức độ tăng giá và thanh khoản có thể không đồng đều giữa các khu vực.</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Nhìn chung, năm 2026 phường Bãi Cháy tiếp tục là khu vực có tiềm năng phát triển bất động sản cao của tỉnh Quảng Ninh, đặc biệt đối với các tài sản có vị trí thuận lợi, pháp lý đầy đủ và gắn với nhu cầu ở, kinh doanh và du lịch. Trong trung và dài hạn, việ</w:t>
      </w:r>
      <w:r>
        <w:rPr>
          <w:rFonts w:ascii="Times New Roman" w:hAnsi="Times New Roman" w:eastAsia="Times New Roman" w:cs="Times New Roman"/>
          <w:color w:val="000000"/>
          <w:sz w:val="24"/>
        </w:rPr>
        <w:t xml:space="preserve">c tiếp tục hoàn thiện hạ tầng, phát triển dịch vụ du lịch và nâng cao chất lượng đô thị được kỳ vọng sẽ hỗ trợ thị trường bất động sản duy trì đà phát triển. Tuy nhiên, việc đánh giá giá trị bất động sản cần căn cứ vào đặc điểm cụ thể của từng tài sản, mặt</w:t>
      </w:r>
      <w:r>
        <w:rPr>
          <w:rFonts w:ascii="Times New Roman" w:hAnsi="Times New Roman" w:eastAsia="Times New Roman" w:cs="Times New Roman"/>
          <w:color w:val="000000"/>
          <w:sz w:val="24"/>
        </w:rPr>
        <w:t xml:space="preserve"> bằng giá giao dịch thực tế, quy hoạch, mục đích sử dụng và khả năng khai thác của tài sản tại thời điểm thẩm định.</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val="0"/>
          <w:bCs w:val="0"/>
          <w:color w:val="000000"/>
          <w:sz w:val="24"/>
        </w:rPr>
        <w:t xml:space="preserve">(Nguồn:</w:t>
      </w:r>
      <w:r>
        <w:rPr>
          <w:rFonts w:ascii="Times New Roman" w:hAnsi="Times New Roman" w:eastAsia="Times New Roman" w:cs="Times New Roman"/>
          <w:b w:val="0"/>
          <w:bCs w:val="0"/>
          <w:color w:val="000000"/>
          <w:sz w:val="24"/>
        </w:rPr>
        <w:t xml:space="preserve"> </w:t>
      </w:r>
      <w:r>
        <w:rPr>
          <w:b w:val="0"/>
          <w:bCs w:val="0"/>
        </w:rPr>
        <w:t xml:space="preserve">https://ww</w:t>
      </w:r>
      <w:r>
        <w:t xml:space="preserve">w.quangninh.gov.vn/Trang/Default.aspx</w:t>
      </w:r>
      <w:r>
        <w:rPr>
          <w:i/>
          <w:iCs/>
          <w:lang w:val="pt-BR"/>
        </w:rPr>
        <w:t xml:space="preserve">)</w:t>
      </w:r>
      <w:r>
        <w:rPr>
          <w:rFonts w:ascii="Times New Roman" w:hAnsi="Times New Roman" w:eastAsia="Times New Roman" w:cs="Times New Roman"/>
          <w:sz w:val="24"/>
        </w:rPr>
      </w:r>
      <w:r/>
    </w:p>
    <w:p>
      <w:pPr>
        <w:pStyle w:val="1035"/>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2"/>
        <w:gridCol w:w="2200"/>
        <w:gridCol w:w="2362"/>
        <w:gridCol w:w="2795"/>
      </w:tblGrid>
      <w:tr>
        <w:trPr>
          <w:trHeight w:val="1726"/>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 Quyền sử dụng đất tại thửa đất số: 151, tờ bản đồ số: 51, có địa chỉ: Ô số 05, lô LK10-khu TĐC và khu tự xây Hùng Thắng, phường Hùng Thắng, thành phố Hạ Long  (nay là phường Bãi Cháy),  tỉnh Quảng Ninh theo Giấy chứng nhận quyền sử dụng đất, quyền sở hữu </w:t>
            </w:r>
            <w:r>
              <w:rPr>
                <w:rFonts w:ascii="Times New Roman" w:hAnsi="Times New Roman" w:eastAsia="Times New Roman" w:cs="Times New Roman"/>
                <w:b/>
                <w:color w:val="000000"/>
                <w:sz w:val="24"/>
              </w:rPr>
              <w:t xml:space="preserve">nhà ở và tài sản khác gắn liền với đất số: DH 552724, Số vào sổ cấp GCN: CH 86633 do UBND thành phố Hạ Long cấp ngày 21/05/2024; chủ sử dụng đất là Ông Bùi Đình Phan và Bà Đinh Thị Chí</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151</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51</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Ô số 05, lô LK10-khu TĐC và khu tự xây Hùng Thắng, phường Hùng Thắng, thành phố Hạ Long  (</w:t>
            </w:r>
            <w:r>
              <w:rPr>
                <w:rFonts w:ascii="Times New Roman" w:hAnsi="Times New Roman" w:eastAsia="Times New Roman" w:cs="Times New Roman"/>
                <w:i/>
                <w:color w:val="000000"/>
                <w:sz w:val="24"/>
              </w:rPr>
              <w:t xml:space="preserve">nay là phường Bãi Cháy</w:t>
            </w:r>
            <w:r>
              <w:rPr>
                <w:rFonts w:ascii="Times New Roman" w:hAnsi="Times New Roman" w:eastAsia="Times New Roman" w:cs="Times New Roman"/>
                <w:color w:val="000000"/>
                <w:sz w:val="24"/>
              </w:rPr>
              <w:t xml:space="preserve">),  tỉnh Quảng Ninh</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63,5</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93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46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Nhà nước giao đất có thu tiền sử dụng đất</w:t>
            </w:r>
            <w:r/>
          </w:p>
        </w:tc>
      </w:tr>
      <w:tr>
        <w:trPr>
          <w:trHeight w:val="55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Ghi chú: Không</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Thông tin quy hoạch:</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ee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ee0000"/>
                <w:sz w:val="24"/>
              </w:rPr>
              <w:t xml:space="preserve">định vị trí tài sản thuộc quy hoạch đất ở. </w:t>
            </w:r>
            <w:r>
              <w:rPr>
                <w:sz w:val="24"/>
              </w:rPr>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mc:AlternateContent>
                <mc:Choice Requires="wpg">
                  <w:drawing>
                    <wp:inline xmlns:wp="http://schemas.openxmlformats.org/drawingml/2006/wordprocessingDrawing" distT="0" distB="0" distL="0" distR="0">
                      <wp:extent cx="5729880" cy="365791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693904" name=""/>
                              <pic:cNvPicPr>
                                <a:picLocks noChangeAspect="1"/>
                              </pic:cNvPicPr>
                              <pic:nvPr/>
                            </pic:nvPicPr>
                            <pic:blipFill rotWithShape="1">
                              <a:blip r:embed="rId17"/>
                              <a:stretch/>
                            </pic:blipFill>
                            <pic:spPr bwMode="auto">
                              <a:xfrm flipH="0" flipV="0">
                                <a:off x="0" y="0"/>
                                <a:ext cx="5729880" cy="36579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51.17pt;height:288.02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5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Ô số 05, lô LK10-khu TĐC và khu tự xây Hùng Thắng, phường Hùng Thắng, thành phố Hạ Long  (nay là phường Bãi Cháy),  tỉnh Quảng Ninh</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nội khu</w:t>
            </w:r>
            <w:r/>
          </w:p>
        </w:tc>
        <w:tc>
          <w:tcPr>
            <w:tcBorders>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w:t>
            </w:r>
            <w:r/>
          </w:p>
        </w:tc>
      </w:tr>
      <w:tr>
        <w:trPr>
          <w:trHeight w:val="8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Cách đường Hoàng Quốc Việt khoảng 250m</w:t>
            </w:r>
            <w:r/>
          </w:p>
        </w:tc>
      </w:tr>
      <w:tr>
        <w:trPr>
          <w:trHeight w:val="69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Bắc tiếp giáp đường giao thông 7m;</w:t>
              <w:br/>
              <w:t xml:space="preserve">Các hướng còn lại tiếp giáp thửa đất khác.</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Style w:val="1035"/>
              <w:pBdr/>
              <w:tabs>
                <w:tab w:val="left" w:leader="none" w:pos="993"/>
              </w:tabs>
              <w:spacing w:after="120" w:before="120" w:line="276" w:lineRule="auto"/>
              <w:ind w:left="0"/>
              <w:jc w:val="both"/>
              <w:rPr>
                <w:color w:val="000000"/>
                <w:highlight w:val="none"/>
              </w:rPr>
            </w:pPr>
            <w:r>
              <w:rPr>
                <w:rFonts w:ascii="Times New Roman" w:hAnsi="Times New Roman" w:eastAsia="Times New Roman" w:cs="Times New Roman"/>
                <w:color w:val="000000"/>
                <w:sz w:val="24"/>
              </w:rPr>
              <w:t xml:space="preserve">Vị trí trên bản đồ vệ tinh: </w:t>
            </w:r>
            <w:r>
              <w:rPr>
                <w:color w:val="000000"/>
              </w:rPr>
              <w:t xml:space="preserve">(20.960944444444, 106.99247222222)</w:t>
            </w:r>
            <w:r>
              <w:rPr>
                <w:color w:val="000000"/>
                <w:highlight w:val="none"/>
              </w:rPr>
            </w:r>
            <w:r>
              <w:rPr>
                <w:color w:val="000000"/>
                <w:highlight w:val="non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731309" cy="3005023"/>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420235" name=""/>
                              <pic:cNvPicPr>
                                <a:picLocks noChangeAspect="1"/>
                              </pic:cNvPicPr>
                              <pic:nvPr/>
                            </pic:nvPicPr>
                            <pic:blipFill rotWithShape="1">
                              <a:blip r:embed="rId18"/>
                              <a:stretch/>
                            </pic:blipFill>
                            <pic:spPr bwMode="auto">
                              <a:xfrm flipH="0" flipV="0">
                                <a:off x="0" y="0"/>
                                <a:ext cx="5731309" cy="30050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51.28pt;height:236.62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63,5</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9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12,7</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Chữ nhật</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Bắc</w:t>
            </w: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0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w:t>
            </w: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Tài sản gắn liền với đất: </w:t>
            </w:r>
            <w:r/>
          </w:p>
        </w:tc>
      </w:tr>
      <w:tr>
        <w:trPr>
          <w:trHeight w:val="89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khảo sát, dưới sự hướng dẫn của chủ tài sản, trên đất có CTXD Nhà 3 tầng + 1 tum, diện tích xây dựng khoảng 63,5m2, diện tích sàn xây dựng khoảng 225m2, xây dựng hoàn thiện năm 2022. Công trình chưa được công nhận trên GCN QSDĐ số: DH 552724</w:t>
            </w:r>
            <w:r/>
          </w:p>
        </w:tc>
      </w:tr>
    </w:tbl>
    <w:p>
      <w:pPr>
        <w:pBdr/>
        <w:spacing w:line="235" w:lineRule="auto"/>
        <w:ind w:firstLine="720" w:left="0"/>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firstLine="720" w:left="0"/>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rFonts w:ascii="Times New Roman" w:hAnsi="Times New Roman" w:eastAsia="Times New Roman" w:cs="Times New Roman"/>
          <w:color w:val="000000" w:themeColor="text1"/>
          <w:sz w:val="24"/>
          <w:szCs w:val="24"/>
        </w:rPr>
      </w:pPr>
      <w:r>
        <w:rPr>
          <w:color w:val="000000" w:themeColor="text1"/>
          <w:spacing w:val="-2"/>
          <w:lang w:val="pt-BR"/>
        </w:rPr>
      </w:r>
      <w:r>
        <w:rPr>
          <w:rFonts w:ascii="Times New Roman" w:hAnsi="Times New Roman" w:eastAsia="Times New Roman" w:cs="Times New Roman"/>
          <w:color w:val="000000" w:themeColor="text1"/>
          <w:sz w:val="24"/>
        </w:rPr>
        <w:t xml:space="preserve">Theo khảo sát thực tế, tài sản trên đất là</w:t>
      </w:r>
      <w:r>
        <w:rPr>
          <w:rFonts w:ascii="Times New Roman" w:hAnsi="Times New Roman" w:eastAsia="Times New Roman" w:cs="Times New Roman"/>
          <w:color w:val="000000" w:themeColor="text1"/>
          <w:sz w:val="24"/>
        </w:rPr>
        <w:t xml:space="preserve"> Nhà 03 tầng, 1 tum, diện tích xây dựng 63,5 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tổng diện tích sàn xây dựng 225m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x</w:t>
      </w:r>
      <w:r>
        <w:rPr>
          <w:rFonts w:ascii="Times New Roman" w:hAnsi="Times New Roman" w:eastAsia="Times New Roman" w:cs="Times New Roman"/>
          <w:color w:val="000000" w:themeColor="text1"/>
          <w:sz w:val="24"/>
        </w:rPr>
        <w:t xml:space="preserve">ây dựng hoàn thiện năm 2022.</w:t>
      </w:r>
      <w:r>
        <w:rPr>
          <w:rFonts w:ascii="Times New Roman" w:hAnsi="Times New Roman" w:eastAsia="Times New Roman" w:cs="Times New Roman"/>
          <w:color w:val="000000" w:themeColor="text1"/>
          <w:sz w:val="24"/>
        </w:rPr>
        <w:t xml:space="preserve"> CTXD chưa được chứng nhận trên Giấy chứng nhận quyền sử dụng đất, Tổ thẩm định </w:t>
      </w:r>
      <w:r>
        <w:rPr>
          <w:rFonts w:ascii="Times New Roman" w:hAnsi="Times New Roman" w:eastAsia="Times New Roman" w:cs="Times New Roman"/>
          <w:color w:val="000000" w:themeColor="text1"/>
          <w:sz w:val="24"/>
        </w:rPr>
        <w:t xml:space="preserve">thực hiện ước tính giá trị công trình xây dựng theo thực tế khảo sát được khách hàng hướng dẫn khảo sát và xác nhận. Việc </w:t>
      </w:r>
      <w:r>
        <w:rPr>
          <w:rFonts w:ascii="Times New Roman" w:hAnsi="Times New Roman" w:eastAsia="Times New Roman" w:cs="Times New Roman"/>
          <w:color w:val="000000" w:themeColor="text1"/>
          <w:sz w:val="24"/>
        </w:rPr>
        <w:t xml:space="preserve">ảnh hưởng của giá trị này (nếu có) do diện tích và hiện trạng của công trình xây dựng sai khác với hiện trạng, tổ thẩm định đã khảo sát và có sự xác nhận của khách hàng tại Biên bản khảo sát tài sản kèm theo chứng thư này nằm ngoài phạm vi trách nhiệm của </w:t>
      </w:r>
      <w:r>
        <w:rPr>
          <w:rFonts w:ascii="Times New Roman" w:hAnsi="Times New Roman" w:eastAsia="Times New Roman" w:cs="Times New Roman"/>
          <w:color w:val="000000" w:themeColor="text1"/>
          <w:sz w:val="24"/>
        </w:rPr>
        <w:t xml:space="preserve">chúng tôi. Khách hàng hoặc bên thứ ba khi sử dụng chứng thư, báo cáo này cần lưu ý, cân nhắc thận trọng và chịu trách nhiệm hoàn toàn trước khi đưa ra quyết định cuối cùng.</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Style w:val="1035"/>
        <w:numPr>
          <w:ilvl w:val="0"/>
          <w:numId w:val="3"/>
        </w:numPr>
        <w:pBdr/>
        <w:tabs>
          <w:tab w:val="left" w:leader="none" w:pos="993"/>
        </w:tabs>
        <w:spacing w:after="120" w:before="120" w:line="264" w:lineRule="auto"/>
        <w:ind/>
        <w:jc w:val="both"/>
        <w:rPr>
          <w:color w:val="000000" w:themeColor="text1"/>
          <w:spacing w:val="-2"/>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rPr>
      </w:r>
      <w:r>
        <w:rPr>
          <w:color w:val="000000" w:themeColor="text1"/>
          <w:spacing w:val="-2"/>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Bãi Cháy,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Bãi Cháy, Tỉnh Quảng Ninh</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Bãi Cháy, Tỉnh Quảng Ninh</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Bãi Cháy, Tỉnh Quảng Ninh</w:t>
            </w:r>
            <w:r>
              <w:rPr>
                <w:sz w:val="22"/>
                <w:szCs w:val="22"/>
              </w:rPr>
            </w:r>
            <w:r/>
          </w:p>
        </w:tc>
      </w:tr>
      <w:tr>
        <w:trPr>
          <w:trHeight w:val="63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0981396596</w:t>
            </w:r>
            <w:r>
              <w:rPr>
                <w:sz w:val="22"/>
                <w:szCs w:val="22"/>
              </w:rPr>
              <w:t xml:space="preserve"> </w:t>
            </w:r>
            <w:r>
              <w:rPr>
                <w:sz w:val="22"/>
                <w:szCs w:val="22"/>
              </w:rPr>
              <w:br/>
              <w:t xml:space="preserve">(</w:t>
            </w:r>
            <w:r>
              <w:rPr>
                <w:sz w:val="22"/>
                <w:szCs w:val="22"/>
              </w:rPr>
              <w:t xml:space="preserve">Việt Dũng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0983296555</w:t>
            </w:r>
            <w:r>
              <w:rPr>
                <w:sz w:val="22"/>
                <w:szCs w:val="22"/>
              </w:rPr>
              <w:br/>
            </w:r>
            <w:r>
              <w:rPr>
                <w:sz w:val="22"/>
                <w:szCs w:val="22"/>
              </w:rPr>
              <w:t xml:space="preserve">(</w:t>
            </w:r>
            <w:r>
              <w:rPr>
                <w:sz w:val="22"/>
                <w:szCs w:val="22"/>
              </w:rPr>
              <w:t xml:space="preserve">Nguyễn Thắng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0979 598 785</w:t>
            </w:r>
            <w:r>
              <w:rPr>
                <w:sz w:val="22"/>
                <w:szCs w:val="22"/>
              </w:rPr>
              <w:br/>
            </w:r>
            <w:r>
              <w:rPr>
                <w:sz w:val="22"/>
                <w:szCs w:val="22"/>
              </w:rPr>
              <w:t xml:space="preserve">(</w:t>
            </w:r>
            <w:r>
              <w:rPr>
                <w:sz w:val="22"/>
                <w:szCs w:val="22"/>
              </w:rPr>
              <w:t xml:space="preserve">Bùi mến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giao dịch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giao dịch </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w:t>
            </w:r>
            <w:commentRangeStart w:id="0"/>
            <w:r>
              <w:rPr>
                <w:color w:val="000000" w:themeColor="text1"/>
                <w:sz w:val="22"/>
                <w:szCs w:val="22"/>
              </w:rPr>
              <w:t xml:space="preserve">trí</w:t>
            </w:r>
            <w:r>
              <w:rPr>
                <w:color w:val="000000"/>
                <w:sz w:val="22"/>
                <w:szCs w:val="22"/>
              </w:rPr>
            </w:r>
            <w:commentRangeEnd w:id="0"/>
            <w:r>
              <w:commentReference w:id="0"/>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themeColor="text1"/>
                <w:sz w:val="22"/>
                <w:szCs w:val="22"/>
                <w:highlight w:val="yellow"/>
              </w:rPr>
              <w:t xml:space="preserve">Tài sản tại: </w:t>
            </w:r>
            <w:r>
              <w:rPr>
                <w:color w:val="000000" w:themeColor="text1"/>
                <w:sz w:val="22"/>
                <w:szCs w:val="22"/>
                <w:highlight w:val="yellow"/>
              </w:rPr>
              <w:t xml:space="preserve">Ô số 05, Lô LK10 - khu TĐC và khu tự xây Hùng Thắng, Phường Bãi Cháy</w:t>
            </w:r>
            <w:r>
              <w:rPr>
                <w:color w:val="000000" w:themeColor="text1"/>
                <w:sz w:val="22"/>
                <w:szCs w:val="22"/>
                <w:highlight w:val="yellow"/>
              </w:rPr>
              <w:t xml:space="preserve">, Tỉnh Quảng Ninh</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themeColor="text1"/>
                <w:sz w:val="22"/>
                <w:szCs w:val="22"/>
                <w:highlight w:val="yellow"/>
              </w:rPr>
              <w:t xml:space="preserve">Tài sản tại: </w:t>
            </w:r>
            <w:r>
              <w:rPr>
                <w:color w:val="000000" w:themeColor="text1"/>
                <w:sz w:val="22"/>
                <w:szCs w:val="22"/>
                <w:highlight w:val="yellow"/>
              </w:rPr>
              <w:t xml:space="preserve">Ô số 08, Lô LK10 - khu TĐC và khu tự xây Hùng Thắng, </w:t>
            </w:r>
            <w:r>
              <w:rPr>
                <w:color w:val="000000" w:themeColor="text1"/>
                <w:sz w:val="22"/>
                <w:szCs w:val="22"/>
                <w:highlight w:val="yellow"/>
              </w:rPr>
              <w:t xml:space="preserve">Quảng Ninh</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yellow"/>
              </w:rPr>
            </w:r>
            <w:r>
              <w:rPr>
                <w:color w:val="000000" w:themeColor="text1"/>
                <w:sz w:val="22"/>
                <w:szCs w:val="22"/>
                <w:highlight w:val="yellow"/>
              </w:rPr>
              <w:t xml:space="preserve">Tài sản tại: </w:t>
            </w:r>
            <w:r>
              <w:rPr>
                <w:color w:val="000000" w:themeColor="text1"/>
                <w:sz w:val="22"/>
                <w:szCs w:val="22"/>
                <w:highlight w:val="yellow"/>
              </w:rPr>
              <w:t xml:space="preserve">Ô số 10, Lô LK11 - khu TĐC và khu tự xây Hùng Thắng, </w:t>
            </w:r>
            <w:r>
              <w:rPr>
                <w:color w:val="000000" w:themeColor="text1"/>
                <w:sz w:val="22"/>
                <w:szCs w:val="22"/>
                <w:highlight w:val="yellow"/>
              </w:rPr>
              <w:t xml:space="preserve">Quảng Ninh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yellow"/>
              </w:rPr>
            </w:r>
            <w:r>
              <w:rPr>
                <w:color w:val="000000" w:themeColor="text1"/>
                <w:sz w:val="22"/>
                <w:szCs w:val="22"/>
                <w:highlight w:val="yellow"/>
              </w:rPr>
              <w:t xml:space="preserve">Tài sản tại: </w:t>
            </w:r>
            <w:r>
              <w:rPr>
                <w:color w:val="000000" w:themeColor="text1"/>
                <w:sz w:val="22"/>
                <w:szCs w:val="22"/>
                <w:highlight w:val="yellow"/>
              </w:rPr>
              <w:t xml:space="preserve">Ô số 10, Lô LK1 - khu TĐC và khu tự xây Hùng Thắng. </w:t>
            </w:r>
            <w:r>
              <w:rPr>
                <w:color w:val="000000" w:themeColor="text1"/>
                <w:sz w:val="22"/>
                <w:szCs w:val="22"/>
                <w:highlight w:val="yellow"/>
              </w:rPr>
              <w:t xml:space="preserve">Quảng Ninh</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w:t>
            </w:r>
            <w:r>
              <w:rPr>
                <w:color w:val="000000" w:themeColor="text1"/>
                <w:sz w:val="22"/>
                <w:szCs w:val="22"/>
              </w:rPr>
              <w:t xml:space="preserve">ao thôn</w:t>
            </w:r>
            <w:r>
              <w:rPr>
                <w:color w:val="000000" w:themeColor="text1"/>
                <w:sz w:val="22"/>
                <w:szCs w:val="22"/>
              </w:rPr>
              <w:t xml:space="preserve">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CTXD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trống</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4.762.500.000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4.762.500.000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4.762.500.000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4.095.750.000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4.095.750.000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4.095.750.000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4.095.750.000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4.095.750.000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4.095.750.000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highlight w:val="none"/>
          <w:lang w:val="it-IT"/>
        </w:rPr>
      </w:pPr>
      <w:r>
        <w:rPr>
          <w:highlight w:val="none"/>
          <w:lang w:val="it-IT"/>
        </w:rPr>
      </w:r>
      <w:r>
        <w:rPr>
          <w:highlight w:val="none"/>
          <w:lang w:val="it-IT"/>
        </w:rPr>
        <w:t xml:space="preserve">Vị trí tương quan giữa TSTĐ và các TSSS:</w:t>
      </w:r>
      <w:r>
        <w:rPr>
          <w:b/>
          <w:bCs/>
          <w:lang w:val="de-DE"/>
        </w:rPr>
      </w:r>
      <w:r>
        <w:rPr>
          <w:highlight w:val="none"/>
          <w:lang w:val="it-IT"/>
        </w:rPr>
      </w:r>
    </w:p>
    <w:p>
      <w:pPr>
        <w:pBdr/>
        <w:tabs>
          <w:tab w:val="left" w:leader="none" w:pos="90"/>
          <w:tab w:val="left" w:leader="none" w:pos="180"/>
        </w:tabs>
        <w:spacing w:after="120" w:before="120" w:line="264" w:lineRule="auto"/>
        <w:ind/>
        <w:jc w:val="both"/>
        <w:rPr>
          <w:b/>
          <w:bCs/>
          <w:lang w:val="de-DE"/>
        </w:rPr>
      </w:pPr>
      <w:r>
        <w:rPr>
          <w:highlight w:val="none"/>
          <w:lang w:val="de-DE" w:bidi="de-DE"/>
        </w:rPr>
      </w:r>
      <w:r>
        <w:rPr>
          <w:color w:val="000000"/>
        </w:rPr>
        <mc:AlternateContent>
          <mc:Choice Requires="wpg">
            <w:drawing>
              <wp:inline xmlns:wp="http://schemas.openxmlformats.org/drawingml/2006/wordprocessingDrawing" distT="0" distB="0" distL="0" distR="0">
                <wp:extent cx="6048715" cy="3416167"/>
                <wp:effectExtent l="0" t="0" r="0" b="0"/>
                <wp:docPr id="7" name=""/>
                <wp:cNvGraphicFramePr/>
                <a:graphic xmlns:a="http://schemas.openxmlformats.org/drawingml/2006/main">
                  <a:graphicData uri="http://schemas.openxmlformats.org/drawingml/2006/picture">
                    <pic:pic xmlns:pic="http://schemas.openxmlformats.org/drawingml/2006/picture">
                      <pic:nvPicPr>
                        <pic:cNvPr id="627218148" name="" descr=""/>
                        <pic:cNvPicPr/>
                        <pic:nvPr/>
                      </pic:nvPicPr>
                      <pic:blipFill rotWithShape="1">
                        <a:blip r:embed="rId19"/>
                        <a:stretch/>
                      </pic:blipFill>
                      <pic:spPr bwMode="auto">
                        <a:xfrm rot="0" flipH="0" flipV="0">
                          <a:off x="0" y="0"/>
                          <a:ext cx="6048714" cy="341616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76.28pt;height:268.99pt;mso-wrap-distance-left:0.00pt;mso-wrap-distance-top:0.00pt;mso-wrap-distance-right:0.00pt;mso-wrap-distance-bottom:0.00pt;rotation:0;z-index:1;" stroked="false">
                <v:imagedata r:id="rId19" o:title=""/>
                <o:lock v:ext="edit" rotation="t"/>
              </v:shape>
            </w:pict>
          </mc:Fallback>
        </mc:AlternateContent>
      </w:r>
      <w:r>
        <w:rPr>
          <w:highlight w:val="none"/>
          <w:lang w:val="de-DE"/>
        </w:rPr>
      </w:r>
      <w:r>
        <w:rPr>
          <w:b/>
          <w:bCs/>
          <w:lang w:val="de-DE"/>
        </w:rPr>
      </w:r>
    </w:p>
    <w:p>
      <w:pPr>
        <w:pBdr/>
        <w:tabs>
          <w:tab w:val="left" w:leader="none" w:pos="90"/>
          <w:tab w:val="left" w:leader="none" w:pos="180"/>
        </w:tabs>
        <w:spacing w:after="120" w:before="120" w:line="264" w:lineRule="auto"/>
        <w:ind/>
        <w:jc w:val="both"/>
        <w:rPr>
          <w:highlight w:val="none"/>
          <w:lang w:val="it-IT"/>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highlight w:val="none"/>
          <w:lang w:val="it-IT"/>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4.095.750.000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4.095.750.000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4.095.750.000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themeColor="text1"/>
                <w:sz w:val="22"/>
                <w:szCs w:val="22"/>
                <w:highlight w:val="yellow"/>
              </w:rPr>
              <w:t xml:space="preserve">Tài sản tại: </w:t>
            </w:r>
            <w:r>
              <w:rPr>
                <w:color w:val="000000" w:themeColor="text1"/>
                <w:sz w:val="22"/>
                <w:szCs w:val="22"/>
                <w:highlight w:val="yellow"/>
              </w:rPr>
              <w:t xml:space="preserve">Ô số 05, Lô LK10 - khu TĐC và khu tự xây Hùng Thắng. Phường Bãi Cháy</w:t>
            </w:r>
            <w:r>
              <w:rPr>
                <w:color w:val="000000" w:themeColor="text1"/>
                <w:sz w:val="22"/>
                <w:szCs w:val="22"/>
                <w:highlight w:val="yellow"/>
              </w:rPr>
              <w:t xml:space="preserve">, Tỉnh Quảng Ninh</w:t>
            </w:r>
            <w:r>
              <w:rPr>
                <w:color w:val="000000"/>
                <w:sz w:val="22"/>
                <w:szCs w:val="22"/>
                <w:highlight w:val="yellow"/>
              </w:rPr>
            </w:r>
            <w:r>
              <w:rPr>
                <w:color w:val="000000"/>
                <w:sz w:val="22"/>
                <w:szCs w:val="22"/>
                <w:highlight w:val="yellow"/>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themeColor="text1"/>
                <w:sz w:val="22"/>
                <w:szCs w:val="22"/>
                <w:highlight w:val="yellow"/>
              </w:rPr>
              <w:t xml:space="preserve">Tài sản tại: </w:t>
            </w:r>
            <w:r>
              <w:rPr>
                <w:color w:val="000000" w:themeColor="text1"/>
                <w:sz w:val="22"/>
                <w:szCs w:val="22"/>
                <w:highlight w:val="yellow"/>
              </w:rPr>
              <w:t xml:space="preserve">Ô số 08, Lô LK10 - khu TĐC và khu tự xây Hùng Thắng. </w:t>
            </w:r>
            <w:r>
              <w:rPr>
                <w:color w:val="000000" w:themeColor="text1"/>
                <w:sz w:val="22"/>
                <w:szCs w:val="22"/>
                <w:highlight w:val="yellow"/>
              </w:rPr>
              <w:t xml:space="preserve">Quảng Ninh</w:t>
            </w:r>
            <w:r>
              <w:rPr>
                <w:color w:val="000000"/>
                <w:sz w:val="22"/>
                <w:szCs w:val="22"/>
                <w:highlight w:val="yellow"/>
              </w:rPr>
            </w:r>
            <w:r>
              <w:rPr>
                <w:color w:val="000000"/>
                <w:sz w:val="22"/>
                <w:szCs w:val="22"/>
                <w:highlight w:val="yellow"/>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highlight w:val="yellow"/>
              </w:rPr>
              <w:t xml:space="preserve">Tài sản tại: </w:t>
            </w:r>
            <w:r>
              <w:rPr>
                <w:color w:val="000000" w:themeColor="text1"/>
                <w:sz w:val="22"/>
                <w:szCs w:val="22"/>
                <w:highlight w:val="yellow"/>
              </w:rPr>
              <w:t xml:space="preserve">Ô số 10, Lô LK11 - khu TĐC và khu tự xây Hùng Thắng. </w:t>
            </w:r>
            <w:r>
              <w:rPr>
                <w:color w:val="000000" w:themeColor="text1"/>
                <w:sz w:val="22"/>
                <w:szCs w:val="22"/>
                <w:highlight w:val="yellow"/>
              </w:rPr>
              <w:t xml:space="preserve">Quảng Ninh </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highlight w:val="yellow"/>
              </w:rPr>
              <w:t xml:space="preserve">Tài sản tại: </w:t>
            </w:r>
            <w:r>
              <w:rPr>
                <w:color w:val="000000" w:themeColor="text1"/>
                <w:sz w:val="22"/>
                <w:szCs w:val="22"/>
                <w:highlight w:val="yellow"/>
              </w:rPr>
              <w:t xml:space="preserve">Ô số 10, Lô LK1 - khu TĐC và khu tự xây Hùng Thắng. </w:t>
            </w:r>
            <w:r>
              <w:rPr>
                <w:color w:val="000000" w:themeColor="text1"/>
                <w:sz w:val="22"/>
                <w:szCs w:val="22"/>
                <w:highlight w:val="yellow"/>
              </w:rPr>
              <w:t xml:space="preserve">Quảng Ninh</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có vỉa hè</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highlight w:val="white"/>
              </w:rPr>
            </w:pPr>
            <w:r>
              <w:rPr>
                <w:color w:val="000000" w:themeColor="text1"/>
                <w:sz w:val="22"/>
                <w:szCs w:val="22"/>
                <w:highlight w:val="white"/>
              </w:rPr>
              <w:t xml:space="preserve">Đường nhựa có vỉa hè</w:t>
            </w:r>
            <w:r>
              <w:rPr>
                <w:b/>
                <w:bCs/>
                <w:color w:val="000000"/>
                <w:sz w:val="22"/>
                <w:szCs w:val="22"/>
                <w:highlight w:val="white"/>
              </w:rPr>
            </w:r>
            <w:r>
              <w:rPr>
                <w:highlight w:val="white"/>
              </w:rPr>
            </w:r>
          </w:p>
        </w:tc>
        <w:tc>
          <w:tcPr>
            <w:shd w:val="clear" w:color="000000" w:fill="ffffff"/>
            <w:tcBorders/>
            <w:tcW w:w="1522" w:type="dxa"/>
            <w:vAlign w:val="center"/>
            <w:textDirection w:val="lrTb"/>
            <w:noWrap w:val="false"/>
          </w:tcPr>
          <w:p>
            <w:pPr>
              <w:pBdr/>
              <w:spacing/>
              <w:ind/>
              <w:jc w:val="center"/>
              <w:rPr>
                <w:highlight w:val="white"/>
              </w:rPr>
            </w:pPr>
            <w:r>
              <w:rPr>
                <w:color w:val="000000" w:themeColor="text1"/>
                <w:sz w:val="22"/>
                <w:szCs w:val="22"/>
                <w:highlight w:val="white"/>
              </w:rPr>
              <w:t xml:space="preserve">Đường nhựa có vỉa hè</w:t>
            </w:r>
            <w:r>
              <w:rPr>
                <w:b/>
                <w:bCs/>
                <w:color w:val="000000"/>
                <w:sz w:val="22"/>
                <w:szCs w:val="22"/>
                <w:highlight w:val="white"/>
              </w:rPr>
            </w:r>
            <w:r>
              <w:rPr>
                <w:highlight w:val="white"/>
              </w:rPr>
            </w:r>
          </w:p>
        </w:tc>
        <w:tc>
          <w:tcPr>
            <w:shd w:val="clear" w:color="000000" w:fill="ffffff"/>
            <w:tcBorders/>
            <w:tcW w:w="1522" w:type="dxa"/>
            <w:vAlign w:val="center"/>
            <w:textDirection w:val="lrTb"/>
            <w:noWrap w:val="false"/>
          </w:tcPr>
          <w:p>
            <w:pPr>
              <w:pBdr/>
              <w:spacing/>
              <w:ind/>
              <w:jc w:val="center"/>
              <w:rPr>
                <w:highlight w:val="white"/>
              </w:rPr>
            </w:pPr>
            <w:r>
              <w:rPr>
                <w:color w:val="000000" w:themeColor="text1"/>
                <w:sz w:val="22"/>
                <w:szCs w:val="22"/>
                <w:highlight w:val="white"/>
              </w:rPr>
              <w:t xml:space="preserve">Đường nhựa có vỉa hè</w:t>
            </w:r>
            <w:r>
              <w:rPr>
                <w:b/>
                <w:bCs/>
                <w:color w:val="000000"/>
                <w:sz w:val="22"/>
                <w:szCs w:val="22"/>
                <w:highlight w:val="white"/>
              </w:rPr>
            </w:r>
            <w:r>
              <w:rPr>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64.500.000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64.500.000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64.500.000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64.500.000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w:t>
      </w:r>
      <w:r>
        <w:rPr>
          <w:color w:val="ff0000"/>
        </w:rPr>
        <w:t xml:space="preserve">a các mức giá chỉ dẫn là</w:t>
      </w:r>
      <w:r>
        <w:rPr>
          <w:color w:val="ff0000"/>
        </w:rPr>
        <w:t xml:space="preserve"> </w:t>
      </w:r>
      <w:r>
        <w:rPr>
          <w:color w:val="ff0000"/>
        </w:rPr>
        <w:t xml:space="preserve">0</w:t>
      </w:r>
      <w:r>
        <w:rPr>
          <w:color w:val="ff0000"/>
        </w:rPr>
        <w:t xml:space="preserve">%</w:t>
      </w:r>
      <w:r>
        <w:t xml:space="preserve"> </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64.500.000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21.504.300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64.500.000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21.497.850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64.500.000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21.497.850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64.500.000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64.000.000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64.000.000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numPr>
          <w:ilvl w:val="0"/>
          <w:numId w:val="3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Xác định đơn giá của công trình xây dựng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highlight w:val="white"/>
        </w:rPr>
        <w:t xml:space="preserve">Qua tham</w:t>
      </w:r>
      <w:r>
        <w:rPr>
          <w:rFonts w:ascii="Times New Roman" w:hAnsi="Times New Roman" w:eastAsia="Times New Roman" w:cs="Times New Roman"/>
          <w:color w:val="000000"/>
          <w:sz w:val="24"/>
          <w:highlight w:val="white"/>
        </w:rPr>
        <w:t xml:space="preserve"> khảo thị trường về đơn giá xây dựng mới đối với công trình Nhà 03 tầng, 1 tum, cân nhắc và xem xét với mức độ hoàn thiện của công trình xây dựng hiện có, Tổ thẩm định nhận thấy đơn giá vận dụng theo Quyết định số 425/QĐ-BXD ngày 30/03/2026 của Bộ Xây dựng</w:t>
      </w:r>
      <w:r>
        <w:rPr>
          <w:rFonts w:ascii="Times New Roman" w:hAnsi="Times New Roman" w:eastAsia="Times New Roman" w:cs="Times New Roman"/>
          <w:color w:val="000000"/>
          <w:sz w:val="24"/>
          <w:highlight w:val="white"/>
        </w:rPr>
        <w:t xml:space="preserve"> về việc Công bố suất vốn đầu tư xây dựng công trình và giá xây dựng tổng hợp bộ phận kết cấu công trình năm 2025 là khá phù hợp với thị trường, theo đó:</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rPr>
          <w:rFonts w:ascii="Times New Roman" w:hAnsi="Times New Roman" w:eastAsia="Times New Roman" w:cs="Times New Roman"/>
          <w:bCs/>
          <w:i/>
          <w:color w:val="000000"/>
          <w:sz w:val="24"/>
          <w:szCs w:val="24"/>
          <w:highlight w:val="white"/>
        </w:rPr>
      </w:pPr>
      <w:r>
        <w:rPr>
          <w:rFonts w:ascii="Times New Roman" w:hAnsi="Times New Roman" w:eastAsia="Times New Roman" w:cs="Times New Roman"/>
          <w:i/>
          <w:color w:val="000000"/>
          <w:sz w:val="24"/>
          <w:highlight w:val="white"/>
        </w:rPr>
        <w:t xml:space="preserve">“Suất vốn đầu tư</w:t>
      </w:r>
      <w:r>
        <w:rPr>
          <w:rFonts w:ascii="Times New Roman" w:hAnsi="Times New Roman" w:eastAsia="Times New Roman" w:cs="Times New Roman"/>
          <w:i/>
          <w:color w:val="000000"/>
          <w:sz w:val="24"/>
          <w:highlight w:val="white"/>
        </w:rPr>
        <w:t xml:space="preserve"> xây </w:t>
      </w:r>
      <w:r>
        <w:rPr>
          <w:rFonts w:ascii="Times New Roman" w:hAnsi="Times New Roman" w:eastAsia="Times New Roman" w:cs="Times New Roman"/>
          <w:i/>
          <w:color w:val="000000"/>
          <w:sz w:val="24"/>
          <w:highlight w:val="white"/>
        </w:rPr>
        <w:t xml:space="preserve">dựng </w:t>
      </w:r>
      <w:r>
        <w:rPr>
          <w:rFonts w:ascii="Times New Roman" w:hAnsi="Times New Roman" w:eastAsia="Times New Roman" w:cs="Times New Roman"/>
          <w:i/>
          <w:color w:val="000000"/>
          <w:sz w:val="24"/>
          <w:highlight w:val="white"/>
        </w:rPr>
        <w:t xml:space="preserve">của Nhà từ 4 đến 5 tầng</w:t>
      </w:r>
      <w:r>
        <w:t xml:space="preserve">, diện tích xây dựng từ 50 - dưới 70m</w:t>
      </w:r>
      <w:r>
        <w:t xml:space="preserve">2</w:t>
      </w:r>
      <w:r>
        <w:rPr>
          <w:rFonts w:ascii="Times New Roman" w:hAnsi="Times New Roman" w:eastAsia="Times New Roman" w:cs="Times New Roman"/>
          <w:i/>
          <w:color w:val="000000"/>
          <w:sz w:val="24"/>
          <w:highlight w:val="white"/>
        </w:rPr>
        <w:t xml:space="preserve">, kết cấu khung chịu lực BTCT; tường bao xây gạch; sàn, mái BTCT đổ tại chỗ không tầng hầm </w:t>
      </w:r>
      <w:r>
        <w:rPr>
          <w:rFonts w:ascii="Times New Roman" w:hAnsi="Times New Roman" w:eastAsia="Times New Roman" w:cs="Times New Roman"/>
          <w:i/>
          <w:color w:val="000000"/>
          <w:sz w:val="24"/>
          <w:highlight w:val="white"/>
        </w:rPr>
        <w:t xml:space="preserve">có đơn giá là</w:t>
      </w:r>
      <w:r>
        <w:rPr>
          <w:rFonts w:ascii="Times New Roman" w:hAnsi="Times New Roman" w:eastAsia="Times New Roman" w:cs="Times New Roman"/>
          <w:i/>
          <w:color w:val="000000"/>
          <w:sz w:val="24"/>
          <w:highlight w:val="white"/>
        </w:rPr>
        <w:t xml:space="preserve"> </w:t>
      </w:r>
      <w:r>
        <w:rPr>
          <w:b/>
          <w:bCs/>
          <w:highlight w:val="white"/>
        </w:rPr>
        <w:t xml:space="preserve">8.497</w:t>
      </w:r>
      <w:r>
        <w:rPr>
          <w:b/>
          <w:bCs/>
          <w:highlight w:val="white"/>
        </w:rPr>
        <w:t xml:space="preserve">.000</w:t>
      </w:r>
      <w:r>
        <w:rPr>
          <w:rFonts w:ascii="Times New Roman" w:hAnsi="Times New Roman" w:eastAsia="Times New Roman" w:cs="Times New Roman"/>
          <w:b/>
          <w:i/>
          <w:color w:val="000000"/>
          <w:sz w:val="24"/>
          <w:highlight w:val="white"/>
        </w:rPr>
        <w:t xml:space="preserve"> </w:t>
      </w:r>
      <w:r>
        <w:rPr>
          <w:rFonts w:ascii="Times New Roman" w:hAnsi="Times New Roman" w:eastAsia="Times New Roman" w:cs="Times New Roman"/>
          <w:i/>
          <w:color w:val="000000"/>
          <w:sz w:val="24"/>
          <w:highlight w:val="white"/>
        </w:rPr>
        <w:t xml:space="preserve">đồng/m² sàn.”</w:t>
      </w:r>
      <w:r>
        <w:rPr>
          <w:rFonts w:ascii="Times New Roman" w:hAnsi="Times New Roman" w:eastAsia="Times New Roman" w:cs="Times New Roman"/>
          <w:bCs/>
          <w:i/>
          <w:color w:val="000000"/>
          <w:sz w:val="24"/>
          <w:szCs w:val="24"/>
          <w:highlight w:val="white"/>
        </w:rPr>
      </w:r>
      <w:r>
        <w:rPr>
          <w:rFonts w:ascii="Times New Roman" w:hAnsi="Times New Roman" w:eastAsia="Times New Roman" w:cs="Times New Roman"/>
          <w:bCs/>
          <w:i/>
          <w:color w:val="000000"/>
          <w:sz w:val="24"/>
          <w:szCs w:val="24"/>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Tỉnh Quảng Ninh thuộc vùng 2 có hệ số điều chỉnh là </w:t>
      </w:r>
      <w:r>
        <w:rPr>
          <w:rFonts w:ascii="Times New Roman" w:hAnsi="Times New Roman" w:eastAsia="Times New Roman" w:cs="Times New Roman"/>
          <w:b/>
          <w:i/>
          <w:color w:val="000000"/>
          <w:sz w:val="24"/>
        </w:rPr>
        <w:t xml:space="preserve">0,948</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i/>
          <w:color w:val="000000"/>
          <w:sz w:val="24"/>
        </w:rPr>
        <w:t xml:space="preserve">Do đó, Tổ thẩm định xác định đơn giá xây mới của công trình xây dựng là: (Suất đầu tư xây dựng) x (Hệ số vùng) </w:t>
      </w:r>
      <w:r>
        <w:rPr>
          <w:rFonts w:ascii="Times New Roman" w:hAnsi="Times New Roman" w:eastAsia="Times New Roman" w:cs="Times New Roman"/>
          <w:b w:val="0"/>
          <w:bCs w:val="0"/>
          <w:i/>
          <w:color w:val="000000"/>
          <w:sz w:val="24"/>
        </w:rPr>
        <w:t xml:space="preserve">= </w:t>
      </w:r>
      <w:r>
        <w:rPr>
          <w:b w:val="0"/>
          <w:bCs w:val="0"/>
          <w:highlight w:val="white"/>
        </w:rPr>
        <w:t xml:space="preserve">8.497</w:t>
      </w:r>
      <w:r>
        <w:rPr>
          <w:b w:val="0"/>
          <w:bCs w:val="0"/>
          <w:highlight w:val="white"/>
        </w:rPr>
        <w:t xml:space="preserve">.000</w:t>
      </w:r>
      <w:r>
        <w:rPr>
          <w:rFonts w:ascii="Times New Roman" w:hAnsi="Times New Roman" w:eastAsia="Times New Roman" w:cs="Times New Roman"/>
          <w:i/>
          <w:color w:val="000000"/>
          <w:sz w:val="24"/>
        </w:rPr>
        <w:t xml:space="preserve"> x 0,948 =</w:t>
      </w:r>
      <w:r>
        <w:rPr>
          <w:rFonts w:ascii="Times New Roman" w:hAnsi="Times New Roman" w:eastAsia="Times New Roman" w:cs="Times New Roman"/>
          <w:b/>
          <w:i/>
          <w:color w:val="000000"/>
          <w:sz w:val="24"/>
        </w:rPr>
        <w:t xml:space="preserve">8.055.156 đồng/m² sàn. </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pacing w:val="2"/>
          <w:sz w:val="24"/>
          <w:highlight w:val="white"/>
        </w:rPr>
        <w:t xml:space="preserve">Tổ thẩm định giả định rằng công trình xây dựng trong khoảng thời gian trích khấu hao được duy tu, sửa chữa định kỳ và đúng quy trình nên tuổi đời hiệu quả bằng tuổi đời thực tế. Theo thông tin khách hàng cung cấp, công trình x</w:t>
      </w:r>
      <w:r>
        <w:rPr>
          <w:rFonts w:ascii="Times New Roman" w:hAnsi="Times New Roman" w:eastAsia="Times New Roman" w:cs="Times New Roman"/>
          <w:color w:val="000000"/>
          <w:spacing w:val="2"/>
          <w:sz w:val="24"/>
          <w:highlight w:val="white"/>
        </w:rPr>
        <w:t xml:space="preserve">â</w:t>
      </w:r>
      <w:r>
        <w:rPr>
          <w:rFonts w:ascii="Times New Roman" w:hAnsi="Times New Roman" w:eastAsia="Times New Roman" w:cs="Times New Roman"/>
          <w:color w:val="000000"/>
          <w:spacing w:val="2"/>
          <w:sz w:val="24"/>
          <w:highlight w:val="white"/>
        </w:rPr>
        <w:t xml:space="preserve">y dựng được hoàn thành năm 20</w:t>
      </w:r>
      <w:r>
        <w:rPr>
          <w:rFonts w:ascii="Times New Roman" w:hAnsi="Times New Roman" w:eastAsia="Times New Roman" w:cs="Times New Roman"/>
          <w:color w:val="000000"/>
          <w:spacing w:val="2"/>
          <w:sz w:val="24"/>
          <w:highlight w:val="white"/>
        </w:rPr>
        <w:t xml:space="preserve">22,</w:t>
      </w:r>
      <w:r>
        <w:rPr>
          <w:rFonts w:ascii="Times New Roman" w:hAnsi="Times New Roman" w:eastAsia="Times New Roman" w:cs="Times New Roman"/>
          <w:color w:val="000000"/>
          <w:spacing w:val="2"/>
          <w:sz w:val="24"/>
          <w:highlight w:val="white"/>
        </w:rPr>
        <w:t xml:space="preserve"> do đó, Tổ thẩm định ước tính tuổi đời hiệu quả của công trình là khoảng 4 năm</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Vận dụng khung thời gian trích khấu hao TSCĐ tại Thông tư 45/2013/TT-BTC ngày 25/4/2013 của Bộ Tài chính về việc hướng dẫn chế độ quản lý, sử dụng và trích khấu hao tài sản cố định, kết hợp với khảo sát thông tin thị trường và quan sát hiện trạng thực tế c</w:t>
      </w:r>
      <w:r>
        <w:rPr>
          <w:rFonts w:ascii="Times New Roman" w:hAnsi="Times New Roman" w:eastAsia="Times New Roman" w:cs="Times New Roman"/>
          <w:color w:val="000000"/>
          <w:sz w:val="24"/>
        </w:rPr>
        <w:t xml:space="preserve">ông trình, Tổ thẩm định xác định tuổi đời kinh tế của tài sản thẩm định là 50 năm.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67"/>
        <w:gridCol w:w="1868"/>
        <w:gridCol w:w="2085"/>
        <w:gridCol w:w="2086"/>
        <w:gridCol w:w="2086"/>
        <w:gridCol w:w="2085"/>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0" w:type="dxa"/>
              <w:top w:w="0" w:type="dxa"/>
              <w:right w:w="0" w:type="dxa"/>
              <w:bottom w:w="0" w:type="dxa"/>
            </w:tcMar>
            <w:tcW w:w="18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Nhà 3 tầng, 1tum</w:t>
            </w:r>
            <w:r/>
          </w:p>
        </w:tc>
        <w:tc>
          <w:tcPr>
            <w:tcBorders>
              <w:bottom w:val="single" w:color="000000" w:sz="8" w:space="0"/>
              <w:right w:val="single" w:color="000000" w:sz="8" w:space="0"/>
            </w:tcBorders>
            <w:tcMar>
              <w:left w:w="0" w:type="dxa"/>
              <w:top w:w="0" w:type="dxa"/>
              <w:right w:w="0" w:type="dxa"/>
              <w:bottom w:w="0" w:type="dxa"/>
            </w:tcMar>
            <w:tcW w:w="18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2022</w:t>
            </w: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2026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50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8%</w:t>
            </w:r>
            <w:r/>
          </w:p>
        </w:tc>
      </w:tr>
    </w:tbl>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highlight w:val="white"/>
        </w:rPr>
        <w:t xml:space="preserve">Tổ thẩm định xác định tỉ lệ hao mòn của tài sản thẩm định là: 8%, theo đó tỷ lệ chất lượng còn lại của tài sản là: </w:t>
      </w:r>
      <w:r>
        <w:rPr>
          <w:rFonts w:ascii="Times New Roman" w:hAnsi="Times New Roman" w:eastAsia="Times New Roman" w:cs="Times New Roman"/>
          <w:b/>
          <w:color w:val="000000"/>
          <w:sz w:val="24"/>
          <w:highlight w:val="white"/>
        </w:rPr>
        <w:t xml:space="preserve">92%</w:t>
      </w:r>
      <w:r>
        <w:rPr>
          <w:rFonts w:ascii="Times New Roman" w:hAnsi="Times New Roman" w:eastAsia="Times New Roman" w:cs="Times New Roman"/>
          <w:color w:val="000000"/>
          <w:sz w:val="24"/>
          <w:highlight w:val="white"/>
        </w:rPr>
        <w:t xml:space="preserve">.</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39"/>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top w:val="none" w:color="000000" w:sz="4" w:space="0"/>
          <w:left w:val="none" w:color="000000" w:sz="4" w:space="0"/>
          <w:bottom w:val="none" w:color="000000" w:sz="4" w:space="0"/>
          <w:right w:val="none" w:color="000000" w:sz="4" w:space="0"/>
        </w:pBdr>
        <w:spacing w:after="60" w:before="60" w:line="360" w:lineRule="auto"/>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after="60" w:before="60" w:line="360" w:lineRule="auto"/>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3 tầng, 1 tum</w:t>
            </w:r>
            <w:r>
              <w:rPr>
                <w:sz w:val="22"/>
                <w:szCs w:val="22"/>
              </w:rPr>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225</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8.055.156</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1.812.410.100</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8%</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144.992.808</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1.667.417.292</w:t>
            </w:r>
            <w:r>
              <w:rPr>
                <w:sz w:val="22"/>
                <w:szCs w:val="22"/>
              </w:rPr>
            </w:r>
            <w:r>
              <w:rPr>
                <w:sz w:val="22"/>
                <w:szCs w:val="22"/>
              </w:rPr>
            </w:r>
          </w:p>
        </w:tc>
      </w:tr>
    </w:tbl>
    <w:p>
      <w:pPr>
        <w:pStyle w:val="1035"/>
        <w:pBdr/>
        <w:spacing w:after="120" w:before="120" w:line="276" w:lineRule="auto"/>
        <w:ind w:left="0"/>
        <w:jc w:val="both"/>
        <w:rPr>
          <w:b/>
          <w:lang w:val="pt-BR"/>
        </w:rPr>
      </w:pPr>
      <w:r>
        <w:rPr>
          <w:b/>
          <w:lang w:val="pt-BR"/>
        </w:rPr>
      </w:r>
      <w:r>
        <w:rPr>
          <w:b/>
          <w:lang w:val="pt-BR"/>
        </w:rPr>
      </w:r>
      <w:r>
        <w:rPr>
          <w:b/>
          <w:lang w:val="pt-BR"/>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09/2026</w:t>
      </w:r>
      <w:r>
        <w:t xml:space="preserve"> </w:t>
      </w:r>
      <w:r>
        <w:t xml:space="preserve">ước tính </w:t>
      </w:r>
      <w:r>
        <w:t xml:space="preserve">như sau</w:t>
      </w:r>
      <w:r>
        <w:t xml:space="preserve">:</w:t>
      </w:r>
      <w:r>
        <w:rPr>
          <w:highlight w:val="none"/>
        </w:rPr>
      </w:r>
      <w:r>
        <w:rPr>
          <w:highlight w:val="none"/>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20"/>
        <w:gridCol w:w="2445"/>
        <w:gridCol w:w="1559"/>
        <w:gridCol w:w="1826"/>
        <w:gridCol w:w="1370"/>
        <w:gridCol w:w="1766"/>
      </w:tblGrid>
      <w:tr>
        <w:trPr>
          <w:trHeight w:val="624"/>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2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244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w:t>
              <w:br/>
              <w:t xml:space="preserve">(m2)</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82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w:t>
              <w:br/>
              <w:t xml:space="preserve">(đồng/m2)</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37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CLCL</w:t>
              <w:br/>
              <w:t xml:space="preserve">(%)</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7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w:t>
              <w:br/>
              <w:t xml:space="preserve">(đồng)</w:t>
            </w:r>
            <w:r/>
          </w:p>
        </w:tc>
      </w:tr>
      <w:tr>
        <w:trPr>
          <w:trHeight w:val="2472"/>
        </w:trPr>
        <w:tc>
          <w:tcPr>
            <w:tcBorders>
              <w:left w:val="single" w:color="000000" w:sz="6" w:space="0"/>
              <w:bottom w:val="single" w:color="000000" w:sz="6" w:space="0"/>
              <w:right w:val="single" w:color="000000" w:sz="6" w:space="0"/>
            </w:tcBorders>
            <w:tcMar>
              <w:left w:w="15" w:type="dxa"/>
              <w:top w:w="15" w:type="dxa"/>
              <w:right w:w="15" w:type="dxa"/>
              <w:bottom w:w="0" w:type="dxa"/>
            </w:tcMar>
            <w:tcW w:w="5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6" w:space="0"/>
              <w:bottom w:val="single" w:color="000000" w:sz="6" w:space="0"/>
              <w:right w:val="single" w:color="000000" w:sz="6" w:space="0"/>
            </w:tcBorders>
            <w:tcMar>
              <w:left w:w="15" w:type="dxa"/>
              <w:top w:w="15" w:type="dxa"/>
              <w:right w:w="15" w:type="dxa"/>
              <w:bottom w:w="0" w:type="dxa"/>
            </w:tcMar>
            <w:tcW w:w="7200" w:type="dxa"/>
            <w:vAlign w:val="center"/>
            <w:textDirection w:val="lrTb"/>
            <w:noWrap/>
          </w:tcPr>
          <w:p>
            <w:pPr>
              <w:pBdr/>
              <w:spacing w:after="40" w:before="40" w:line="288" w:lineRule="auto"/>
              <w:ind/>
              <w:jc w:val="both"/>
              <w:rPr>
                <w:b/>
                <w:bCs/>
              </w:rPr>
            </w:pPr>
            <w:r>
              <w:rPr>
                <w:rFonts w:ascii="Times New Roman" w:hAnsi="Times New Roman" w:eastAsia="Times New Roman" w:cs="Times New Roman"/>
                <w:color w:val="000000"/>
                <w:sz w:val="24"/>
              </w:rPr>
              <w:t xml:space="preserve"> </w:t>
            </w:r>
            <w:r>
              <w:rPr>
                <w:b/>
                <w:bCs/>
                <w:color w:val="000000"/>
              </w:rPr>
              <w:t xml:space="preserve">Quyền sử dụng đất tại thửa đất số: 151, tờ bản đồ số: 51, có địa chỉ: Ô số 05, lô LK10-khu TĐC và khu tự xây Hùng Thắng, phường Hùng Thắng, thành phố Hạ Long  (nay là phường Bãi Cháy)</w:t>
            </w:r>
            <w:r>
              <w:rPr>
                <w:b/>
                <w:bCs/>
                <w:color w:val="000000"/>
              </w:rPr>
              <w:t xml:space="preserve">,  tỉnh Quảng Ninh theo Giấy chứng nhận quyền sử dụng đất, quyền sở hữu nhà ở và tài sản khác gắn liền với đất số: DH 552724, Số vào sổ cấp GCN: CH 86633 do UBND thành phố Hạ Long cấp ngày 21/05/2024; chủ sử dụng đất là Ông Bùi Đình Phan và Bà Đinh Thị Chí</w:t>
            </w:r>
            <w:r>
              <w:rPr>
                <w:b/>
                <w:bCs/>
              </w:rPr>
              <w:t xml:space="preserve">.</w:t>
            </w:r>
            <w:r>
              <w:rPr>
                <w:b/>
                <w:bCs/>
              </w:rPr>
            </w:r>
            <w:r>
              <w:rPr>
                <w:b/>
                <w:bCs/>
              </w:rPr>
            </w:r>
          </w:p>
        </w:tc>
        <w:tc>
          <w:tcPr>
            <w:tcBorders>
              <w:bottom w:val="single" w:color="000000" w:sz="6" w:space="0"/>
              <w:right w:val="single" w:color="000000" w:sz="6" w:space="0"/>
            </w:tcBorders>
            <w:tcMar>
              <w:left w:w="15" w:type="dxa"/>
              <w:top w:w="15" w:type="dxa"/>
              <w:right w:w="15" w:type="dxa"/>
              <w:bottom w:w="0" w:type="dxa"/>
            </w:tcMar>
            <w:tcW w:w="17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312"/>
        </w:trPr>
        <w:tc>
          <w:tcPr>
            <w:tcBorders>
              <w:left w:val="single" w:color="000000" w:sz="6" w:space="0"/>
              <w:bottom w:val="single" w:color="000000" w:sz="6" w:space="0"/>
              <w:right w:val="single" w:color="000000" w:sz="6" w:space="0"/>
            </w:tcBorders>
            <w:tcMar>
              <w:left w:w="15" w:type="dxa"/>
              <w:top w:w="15" w:type="dxa"/>
              <w:right w:w="15" w:type="dxa"/>
              <w:bottom w:w="0" w:type="dxa"/>
            </w:tcMar>
            <w:tcW w:w="520" w:type="dxa"/>
            <w:vAlign w:val="center"/>
            <w:textDirection w:val="lrTb"/>
            <w:noWrap/>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01</w:t>
            </w:r>
            <w:r>
              <w:rPr>
                <w:b w:val="0"/>
                <w:bCs w:val="0"/>
              </w:rPr>
            </w:r>
            <w:r>
              <w:rPr>
                <w:b w:val="0"/>
                <w:bCs w:val="0"/>
              </w:rPr>
            </w:r>
          </w:p>
        </w:tc>
        <w:tc>
          <w:tcPr>
            <w:tcBorders>
              <w:bottom w:val="single" w:color="000000" w:sz="6" w:space="0"/>
              <w:right w:val="single" w:color="000000" w:sz="6" w:space="0"/>
            </w:tcBorders>
            <w:tcMar>
              <w:left w:w="15" w:type="dxa"/>
              <w:top w:w="15" w:type="dxa"/>
              <w:right w:w="15" w:type="dxa"/>
              <w:bottom w:w="0" w:type="dxa"/>
            </w:tcMar>
            <w:tcW w:w="2445" w:type="dxa"/>
            <w:vAlign w:val="center"/>
            <w:textDirection w:val="lrTb"/>
            <w:noWrap/>
          </w:tcPr>
          <w:p>
            <w:pPr>
              <w:pBdr/>
              <w:spacing w:after="0" w:before="0" w:line="240" w:lineRule="auto"/>
              <w:ind/>
              <w:rPr>
                <w:b w:val="0"/>
                <w:bCs w:val="0"/>
              </w:rPr>
            </w:pPr>
            <w:r>
              <w:rPr>
                <w:rFonts w:ascii="Times New Roman" w:hAnsi="Times New Roman" w:eastAsia="Times New Roman" w:cs="Times New Roman"/>
                <w:b w:val="0"/>
                <w:bCs w:val="0"/>
                <w:color w:val="000000"/>
                <w:sz w:val="24"/>
              </w:rPr>
              <w:t xml:space="preserve">Quyền sử dụng đất</w:t>
            </w:r>
            <w:r>
              <w:rPr>
                <w:b w:val="0"/>
                <w:bCs w:val="0"/>
              </w:rPr>
            </w:r>
            <w:r>
              <w:rPr>
                <w:b w:val="0"/>
                <w:bCs w:val="0"/>
              </w:rPr>
            </w:r>
          </w:p>
        </w:tc>
        <w:tc>
          <w:tcPr>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63,5</w:t>
            </w:r>
            <w:r/>
          </w:p>
        </w:tc>
        <w:tc>
          <w:tcPr>
            <w:tcBorders>
              <w:bottom w:val="single" w:color="000000" w:sz="6" w:space="0"/>
              <w:right w:val="single" w:color="000000" w:sz="6" w:space="0"/>
            </w:tcBorders>
            <w:tcMar>
              <w:left w:w="15" w:type="dxa"/>
              <w:top w:w="15" w:type="dxa"/>
              <w:right w:w="15" w:type="dxa"/>
              <w:bottom w:w="0" w:type="dxa"/>
            </w:tcMar>
            <w:tcW w:w="182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64.000.000</w:t>
            </w:r>
            <w:r/>
          </w:p>
        </w:tc>
        <w:tc>
          <w:tcPr>
            <w:tcBorders>
              <w:bottom w:val="single" w:color="000000" w:sz="6" w:space="0"/>
              <w:right w:val="single" w:color="000000" w:sz="6" w:space="0"/>
            </w:tcBorders>
            <w:tcMar>
              <w:left w:w="15" w:type="dxa"/>
              <w:top w:w="15" w:type="dxa"/>
              <w:right w:w="15" w:type="dxa"/>
              <w:bottom w:w="0" w:type="dxa"/>
            </w:tcMar>
            <w:tcW w:w="137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100%</w:t>
            </w:r>
            <w:r/>
          </w:p>
        </w:tc>
        <w:tc>
          <w:tcPr>
            <w:tcBorders>
              <w:bottom w:val="single" w:color="000000" w:sz="6" w:space="0"/>
              <w:right w:val="single" w:color="000000" w:sz="6" w:space="0"/>
            </w:tcBorders>
            <w:tcMar>
              <w:left w:w="15" w:type="dxa"/>
              <w:top w:w="15" w:type="dxa"/>
              <w:right w:w="15" w:type="dxa"/>
              <w:bottom w:w="0" w:type="dxa"/>
            </w:tcMar>
            <w:tcW w:w="1766" w:type="dxa"/>
            <w:vAlign w:val="center"/>
            <w:textDirection w:val="lrTb"/>
            <w:noWrap/>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4.064.000.000</w:t>
            </w:r>
            <w:r>
              <w:rPr>
                <w:b w:val="0"/>
                <w:bCs w:val="0"/>
              </w:rPr>
            </w:r>
            <w:r>
              <w:rPr>
                <w:b w:val="0"/>
                <w:bCs w:val="0"/>
              </w:rPr>
            </w:r>
          </w:p>
        </w:tc>
      </w:tr>
      <w:tr>
        <w:trPr>
          <w:trHeight w:val="312"/>
        </w:trPr>
        <w:tc>
          <w:tcPr>
            <w:tcBorders>
              <w:left w:val="single" w:color="000000" w:sz="6" w:space="0"/>
              <w:bottom w:val="single" w:color="000000" w:sz="6" w:space="0"/>
              <w:right w:val="single" w:color="000000" w:sz="6" w:space="0"/>
            </w:tcBorders>
            <w:tcMar>
              <w:left w:w="15" w:type="dxa"/>
              <w:top w:w="15" w:type="dxa"/>
              <w:right w:w="15" w:type="dxa"/>
              <w:bottom w:w="0" w:type="dxa"/>
            </w:tcMar>
            <w:tcW w:w="520" w:type="dxa"/>
            <w:vAlign w:val="center"/>
            <w:textDirection w:val="lrTb"/>
            <w:noWrap/>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02</w:t>
            </w:r>
            <w:r>
              <w:rPr>
                <w:b w:val="0"/>
                <w:bCs w:val="0"/>
              </w:rPr>
            </w:r>
            <w:r>
              <w:rPr>
                <w:b w:val="0"/>
                <w:bCs w:val="0"/>
              </w:rPr>
            </w:r>
          </w:p>
        </w:tc>
        <w:tc>
          <w:tcPr>
            <w:tcBorders>
              <w:bottom w:val="single" w:color="000000" w:sz="6" w:space="0"/>
              <w:right w:val="single" w:color="000000" w:sz="6" w:space="0"/>
            </w:tcBorders>
            <w:tcMar>
              <w:left w:w="15" w:type="dxa"/>
              <w:top w:w="15" w:type="dxa"/>
              <w:right w:w="15" w:type="dxa"/>
              <w:bottom w:w="0" w:type="dxa"/>
            </w:tcMar>
            <w:tcW w:w="2445" w:type="dxa"/>
            <w:vAlign w:val="center"/>
            <w:textDirection w:val="lrTb"/>
            <w:noWrap/>
          </w:tcPr>
          <w:p>
            <w:pPr>
              <w:pBdr/>
              <w:spacing w:after="40" w:before="40" w:line="288" w:lineRule="auto"/>
              <w:ind/>
              <w:rPr>
                <w:b w:val="0"/>
                <w:bCs w:val="0"/>
              </w:rPr>
            </w:pPr>
            <w:r>
              <w:rPr>
                <w:b w:val="0"/>
                <w:bCs w:val="0"/>
              </w:rPr>
              <w:t xml:space="preserve">Nhà 3 tầng, 1 tum</w:t>
            </w:r>
            <w:r>
              <w:rPr>
                <w:b w:val="0"/>
                <w:bCs w:val="0"/>
              </w:rPr>
            </w:r>
            <w:r>
              <w:rPr>
                <w:b w:val="0"/>
                <w:bCs w:val="0"/>
              </w:rPr>
            </w:r>
          </w:p>
        </w:tc>
        <w:tc>
          <w:tcPr>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225,0</w:t>
            </w:r>
            <w:r/>
          </w:p>
        </w:tc>
        <w:tc>
          <w:tcPr>
            <w:tcBorders>
              <w:bottom w:val="single" w:color="000000" w:sz="6" w:space="0"/>
              <w:right w:val="single" w:color="000000" w:sz="6" w:space="0"/>
            </w:tcBorders>
            <w:tcMar>
              <w:left w:w="15" w:type="dxa"/>
              <w:top w:w="15" w:type="dxa"/>
              <w:right w:w="15" w:type="dxa"/>
              <w:bottom w:w="0" w:type="dxa"/>
            </w:tcMar>
            <w:tcW w:w="182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7.410.744</w:t>
            </w:r>
            <w:r/>
          </w:p>
        </w:tc>
        <w:tc>
          <w:tcPr>
            <w:tcBorders>
              <w:bottom w:val="single" w:color="000000" w:sz="6" w:space="0"/>
              <w:right w:val="single" w:color="000000" w:sz="6" w:space="0"/>
            </w:tcBorders>
            <w:tcMar>
              <w:left w:w="15" w:type="dxa"/>
              <w:top w:w="15" w:type="dxa"/>
              <w:right w:w="15" w:type="dxa"/>
              <w:bottom w:w="0" w:type="dxa"/>
            </w:tcMar>
            <w:tcW w:w="137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92%</w:t>
            </w:r>
            <w:r/>
          </w:p>
        </w:tc>
        <w:tc>
          <w:tcPr>
            <w:tcBorders>
              <w:bottom w:val="single" w:color="000000" w:sz="6" w:space="0"/>
              <w:right w:val="single" w:color="000000" w:sz="6" w:space="0"/>
            </w:tcBorders>
            <w:tcMar>
              <w:left w:w="15" w:type="dxa"/>
              <w:top w:w="15" w:type="dxa"/>
              <w:right w:w="15" w:type="dxa"/>
              <w:bottom w:w="0" w:type="dxa"/>
            </w:tcMar>
            <w:tcW w:w="1766" w:type="dxa"/>
            <w:vAlign w:val="center"/>
            <w:textDirection w:val="lrTb"/>
            <w:noWrap/>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1.667.417.292</w:t>
            </w:r>
            <w:r>
              <w:rPr>
                <w:b w:val="0"/>
                <w:bCs w:val="0"/>
              </w:rPr>
            </w:r>
            <w:r>
              <w:rPr>
                <w:b w:val="0"/>
                <w:bCs w:val="0"/>
              </w:rPr>
            </w:r>
          </w:p>
        </w:tc>
      </w:tr>
      <w:tr>
        <w:trPr>
          <w:trHeight w:val="372"/>
        </w:trPr>
        <w:tc>
          <w:tcPr>
            <w:tcBorders>
              <w:left w:val="single" w:color="000000" w:sz="6" w:space="0"/>
              <w:bottom w:val="single" w:color="000000" w:sz="6" w:space="0"/>
              <w:right w:val="single" w:color="000000" w:sz="6" w:space="0"/>
            </w:tcBorders>
            <w:tcMar>
              <w:left w:w="15" w:type="dxa"/>
              <w:top w:w="15" w:type="dxa"/>
              <w:right w:w="15" w:type="dxa"/>
              <w:bottom w:w="0" w:type="dxa"/>
            </w:tcMar>
            <w:tcW w:w="5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6" w:space="0"/>
              <w:bottom w:val="single" w:color="000000" w:sz="6" w:space="0"/>
              <w:right w:val="single" w:color="000000" w:sz="6" w:space="0"/>
            </w:tcBorders>
            <w:tcMar>
              <w:left w:w="15" w:type="dxa"/>
              <w:top w:w="15" w:type="dxa"/>
              <w:right w:w="15" w:type="dxa"/>
              <w:bottom w:w="0" w:type="dxa"/>
            </w:tcMar>
            <w:tcW w:w="720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15" w:type="dxa"/>
              <w:top w:w="15" w:type="dxa"/>
              <w:right w:w="15" w:type="dxa"/>
              <w:bottom w:w="0" w:type="dxa"/>
            </w:tcMar>
            <w:tcW w:w="176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5.731.417.292 </w:t>
            </w:r>
            <w:r/>
          </w:p>
        </w:tc>
      </w:tr>
      <w:tr>
        <w:trPr>
          <w:trHeight w:val="372"/>
        </w:trPr>
        <w:tc>
          <w:tcPr>
            <w:tcBorders>
              <w:left w:val="single" w:color="000000" w:sz="6" w:space="0"/>
              <w:bottom w:val="single" w:color="000000" w:sz="6" w:space="0"/>
              <w:right w:val="single" w:color="000000" w:sz="6" w:space="0"/>
            </w:tcBorders>
            <w:tcMar>
              <w:left w:w="15" w:type="dxa"/>
              <w:top w:w="15" w:type="dxa"/>
              <w:right w:w="15" w:type="dxa"/>
              <w:bottom w:w="0" w:type="dxa"/>
            </w:tcMar>
            <w:tcW w:w="5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6" w:space="0"/>
              <w:bottom w:val="single" w:color="000000" w:sz="6" w:space="0"/>
              <w:right w:val="single" w:color="000000" w:sz="6" w:space="0"/>
            </w:tcBorders>
            <w:tcMar>
              <w:left w:w="15" w:type="dxa"/>
              <w:top w:w="15" w:type="dxa"/>
              <w:right w:w="15" w:type="dxa"/>
              <w:bottom w:w="0" w:type="dxa"/>
            </w:tcMar>
            <w:tcW w:w="720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15" w:type="dxa"/>
              <w:top w:w="15" w:type="dxa"/>
              <w:right w:w="15" w:type="dxa"/>
              <w:bottom w:w="0" w:type="dxa"/>
            </w:tcMar>
            <w:tcW w:w="176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5.731.400.000 </w:t>
            </w:r>
            <w:r/>
          </w:p>
        </w:tc>
      </w:tr>
      <w:tr>
        <w:trPr>
          <w:trHeight w:val="408"/>
        </w:trPr>
        <w:tc>
          <w:tcPr>
            <w:gridSpan w:val="6"/>
            <w:tcBorders>
              <w:top w:val="single" w:color="000000" w:sz="6" w:space="0"/>
              <w:left w:val="single" w:color="000000" w:sz="6" w:space="0"/>
              <w:bottom w:val="single" w:color="000000" w:sz="6" w:space="0"/>
              <w:right w:val="single" w:color="000000" w:sz="8" w:space="0"/>
            </w:tcBorders>
            <w:tcMar>
              <w:left w:w="15" w:type="dxa"/>
              <w:top w:w="15" w:type="dxa"/>
              <w:right w:w="15" w:type="dxa"/>
              <w:bottom w:w="0" w:type="dxa"/>
            </w:tcMar>
            <w:tcW w:w="948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(Bằng chữ: Năm tỷ bảy trăm ba mươi mốt triệu bốn trăm nghìn đồng chẵn ./.)</w:t>
            </w:r>
            <w:r/>
          </w:p>
        </w:tc>
      </w:tr>
    </w:tbl>
    <w:p>
      <w:pPr>
        <w:pStyle w:val="1035"/>
        <w:pBdr/>
        <w:tabs>
          <w:tab w:val="left" w:leader="none" w:pos="993"/>
        </w:tabs>
        <w:spacing w:after="120" w:before="120" w:line="276" w:lineRule="auto"/>
        <w:ind w:left="0"/>
        <w:jc w:val="both"/>
        <w:rPr/>
      </w:pPr>
      <w:r/>
      <w:r/>
    </w:p>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43"/>
        </w:numPr>
        <w:pBdr/>
        <w:tabs>
          <w:tab w:val="left" w:leader="none" w:pos="993"/>
        </w:tabs>
        <w:spacing w:after="120" w:before="120" w:line="264" w:lineRule="auto"/>
        <w:ind/>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highlight w:val="none"/>
        </w:rPr>
        <w:t xml:space="preserve">Theo </w:t>
      </w:r>
      <w:r>
        <w:rPr>
          <w:rFonts w:ascii="Times New Roman" w:hAnsi="Times New Roman" w:eastAsia="Times New Roman" w:cs="Times New Roman"/>
          <w:color w:val="000000" w:themeColor="text1"/>
          <w:sz w:val="24"/>
          <w:highlight w:val="yellow"/>
        </w:rPr>
        <w:t xml:space="preserve">khả</w:t>
      </w:r>
      <w:r>
        <w:rPr>
          <w:rFonts w:ascii="Times New Roman" w:hAnsi="Times New Roman" w:eastAsia="Times New Roman" w:cs="Times New Roman"/>
          <w:color w:val="000000" w:themeColor="text1"/>
          <w:sz w:val="24"/>
        </w:rPr>
        <w:t xml:space="preserve">o sát thực tế, tài sản trên đất là</w:t>
      </w:r>
      <w:r>
        <w:rPr>
          <w:rFonts w:ascii="Times New Roman" w:hAnsi="Times New Roman" w:eastAsia="Times New Roman" w:cs="Times New Roman"/>
          <w:color w:val="000000" w:themeColor="text1"/>
          <w:sz w:val="24"/>
        </w:rPr>
        <w:t xml:space="preserve"> Nhà 03 tầng, 1 tum, diện tích xây dựng 63,5 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tổng diện tích sàn xây dựng 225m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x</w:t>
      </w:r>
      <w:r>
        <w:rPr>
          <w:rFonts w:ascii="Times New Roman" w:hAnsi="Times New Roman" w:eastAsia="Times New Roman" w:cs="Times New Roman"/>
          <w:color w:val="000000" w:themeColor="text1"/>
          <w:sz w:val="24"/>
        </w:rPr>
        <w:t xml:space="preserve">ây dựng hoàn thiện năm 2022.</w:t>
      </w:r>
      <w:r>
        <w:rPr>
          <w:rFonts w:ascii="Times New Roman" w:hAnsi="Times New Roman" w:eastAsia="Times New Roman" w:cs="Times New Roman"/>
          <w:color w:val="000000" w:themeColor="text1"/>
          <w:sz w:val="24"/>
        </w:rPr>
        <w:t xml:space="preserve"> CTXD chưa được chứng nhận trên Giấy chứng nhận quyền sử dụng đất, Tổ thẩm định </w:t>
      </w:r>
      <w:r>
        <w:rPr>
          <w:rFonts w:ascii="Times New Roman" w:hAnsi="Times New Roman" w:eastAsia="Times New Roman" w:cs="Times New Roman"/>
          <w:color w:val="000000" w:themeColor="text1"/>
          <w:sz w:val="24"/>
        </w:rPr>
        <w:t xml:space="preserve">thực hiện ước tính giá trị công trình xây dựng theo thực tế khảo sát được khách hàng hướng dẫn khảo sát và xác nhận. Việc </w:t>
      </w:r>
      <w:r>
        <w:rPr>
          <w:rFonts w:ascii="Times New Roman" w:hAnsi="Times New Roman" w:eastAsia="Times New Roman" w:cs="Times New Roman"/>
          <w:color w:val="000000" w:themeColor="text1"/>
          <w:sz w:val="24"/>
        </w:rPr>
        <w:t xml:space="preserve">ảnh hưởng của giá trị này (nếu có) do diện tích và hiện trạng của công trình xây dựng sai khác với hiện trạng, tổ thẩm định đã khảo sát và có sự xác nhận của khách hàng tại Biên bản khảo sát tài sản kèm theo chứng thư này nằm ngoài phạm vi trách nhiệm của </w:t>
      </w:r>
      <w:r>
        <w:rPr>
          <w:rFonts w:ascii="Times New Roman" w:hAnsi="Times New Roman" w:eastAsia="Times New Roman" w:cs="Times New Roman"/>
          <w:color w:val="000000" w:themeColor="text1"/>
          <w:sz w:val="24"/>
        </w:rPr>
        <w:t xml:space="preserve">chúng tôi. Khách hàng hoặc bên thứ ba khi sử dụng chứng thư, báo cáo này cần lưu ý, cân nhắc thận trọng và chịu trách nhiệm hoàn toàn trước khi đưa ra quyết định cuối cùng.</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Style w:val="1035"/>
        <w:numPr>
          <w:ilvl w:val="0"/>
          <w:numId w:val="43"/>
        </w:numPr>
        <w:pBdr/>
        <w:tabs>
          <w:tab w:val="left" w:leader="none" w:pos="993"/>
        </w:tabs>
        <w:spacing w:after="120" w:before="120" w:line="264" w:lineRule="auto"/>
        <w:ind/>
        <w:jc w:val="both"/>
        <w:rPr>
          <w:color w:val="000000" w:themeColor="text1"/>
          <w:spacing w:val="-2"/>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rPr>
      </w:r>
      <w:r>
        <w:rPr>
          <w:color w:val="000000" w:themeColor="text1"/>
          <w:spacing w:val="-2"/>
        </w:rPr>
      </w:r>
    </w:p>
    <w:p>
      <w:pPr>
        <w:pStyle w:val="103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highlight w:val="none"/>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highlight w:val="none"/>
          <w:lang w:val="pt-BR"/>
        </w:rPr>
      </w:r>
      <w:r>
        <w:rPr>
          <w:b/>
          <w:bCs/>
          <w:highlight w:val="none"/>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275/2026/1389/VFI-CT.T06.A</w:t>
      </w:r>
      <w:r>
        <w:rPr>
          <w:color w:val="ff0000"/>
          <w:lang w:val="vi-VN"/>
        </w:rPr>
        <w:t xml:space="preserve"> </w:t>
      </w:r>
      <w:r>
        <w:rPr>
          <w:color w:val="000000" w:themeColor="text1"/>
        </w:rPr>
        <w:t xml:space="preserve">ngày 8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Đường Văn Tuyến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jc w:val="center"/>
        <w:rPr>
          <w:b/>
          <w:bCs/>
          <w:highlight w:val="none"/>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bCs/>
          <w:highlight w:val="none"/>
          <w:lang w:val="pt-BR"/>
        </w:rPr>
      </w:r>
      <w:r>
        <w:rPr>
          <w:b/>
          <w:bCs/>
          <w:highlight w:val="none"/>
          <w:lang w:val="pt-BR"/>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275/2026/1389/VFI-BC.T06.A</w:t>
      </w:r>
      <w:r>
        <w:rPr>
          <w:i/>
        </w:rPr>
        <w:t xml:space="preserve"> ngày</w:t>
      </w:r>
      <w:r>
        <w:rPr>
          <w:i/>
          <w:lang w:val="pt-BR"/>
        </w:rPr>
        <w:t xml:space="preserve"> </w:t>
      </w:r>
      <w:r>
        <w:rPr>
          <w:i/>
          <w:lang w:val="pt-BR"/>
        </w:rPr>
        <w:t xml:space="preserve">08 tháng 09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163530" cy="25790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13235" name=""/>
                              <pic:cNvPicPr>
                                <a:picLocks noChangeAspect="1"/>
                              </pic:cNvPicPr>
                              <pic:nvPr/>
                            </pic:nvPicPr>
                            <pic:blipFill rotWithShape="1">
                              <a:blip r:embed="rId20"/>
                              <a:stretch/>
                            </pic:blipFill>
                            <pic:spPr bwMode="auto">
                              <a:xfrm flipH="0" flipV="0">
                                <a:off x="0" y="0"/>
                                <a:ext cx="1163529" cy="2578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91.62pt;height:203.07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447337" cy="25694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39067" name=""/>
                              <pic:cNvPicPr>
                                <a:picLocks noChangeAspect="1"/>
                              </pic:cNvPicPr>
                              <pic:nvPr/>
                            </pic:nvPicPr>
                            <pic:blipFill rotWithShape="1">
                              <a:blip r:embed="rId21"/>
                              <a:stretch/>
                            </pic:blipFill>
                            <pic:spPr bwMode="auto">
                              <a:xfrm flipH="0" flipV="0">
                                <a:off x="0" y="0"/>
                                <a:ext cx="1447336" cy="2569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13.96pt;height:202.32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890247" cy="252033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598807" name=""/>
                              <pic:cNvPicPr>
                                <a:picLocks noChangeAspect="1"/>
                              </pic:cNvPicPr>
                              <pic:nvPr/>
                            </pic:nvPicPr>
                            <pic:blipFill rotWithShape="1">
                              <a:blip r:embed="rId22"/>
                              <a:stretch/>
                            </pic:blipFill>
                            <pic:spPr bwMode="auto">
                              <a:xfrm flipH="0" flipV="0">
                                <a:off x="0" y="0"/>
                                <a:ext cx="1890247" cy="25203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48.84pt;height:198.45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022142" cy="227227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45593" name=""/>
                              <pic:cNvPicPr>
                                <a:picLocks noChangeAspect="1"/>
                              </pic:cNvPicPr>
                              <pic:nvPr/>
                            </pic:nvPicPr>
                            <pic:blipFill rotWithShape="1">
                              <a:blip r:embed="rId23"/>
                              <a:stretch/>
                            </pic:blipFill>
                            <pic:spPr bwMode="auto">
                              <a:xfrm flipH="0" flipV="0">
                                <a:off x="0" y="0"/>
                                <a:ext cx="1022141" cy="22722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80.48pt;height:178.92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33637" cy="159613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067352" name=""/>
                              <pic:cNvPicPr>
                                <a:picLocks noChangeAspect="1"/>
                              </pic:cNvPicPr>
                              <pic:nvPr/>
                            </pic:nvPicPr>
                            <pic:blipFill rotWithShape="1">
                              <a:blip r:embed="rId24"/>
                              <a:stretch/>
                            </pic:blipFill>
                            <pic:spPr bwMode="auto">
                              <a:xfrm flipH="0" flipV="0">
                                <a:off x="0" y="0"/>
                                <a:ext cx="2833637" cy="15961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3.12pt;height:125.68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08996" cy="158225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79680" name=""/>
                              <pic:cNvPicPr>
                                <a:picLocks noChangeAspect="1"/>
                              </pic:cNvPicPr>
                              <pic:nvPr/>
                            </pic:nvPicPr>
                            <pic:blipFill rotWithShape="1">
                              <a:blip r:embed="rId25"/>
                              <a:stretch/>
                            </pic:blipFill>
                            <pic:spPr bwMode="auto">
                              <a:xfrm flipH="0" flipV="0">
                                <a:off x="0" y="0"/>
                                <a:ext cx="2808995" cy="15822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1.18pt;height:124.59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jc w:val="center"/>
        <w:rPr/>
      </w:pPr>
      <w:r>
        <mc:AlternateContent>
          <mc:Choice Requires="wpg">
            <w:drawing>
              <wp:inline xmlns:wp="http://schemas.openxmlformats.org/drawingml/2006/wordprocessingDrawing" distT="0" distB="0" distL="0" distR="0">
                <wp:extent cx="3943350" cy="535251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94634" name=""/>
                        <pic:cNvPicPr>
                          <a:picLocks noChangeAspect="1"/>
                        </pic:cNvPicPr>
                        <pic:nvPr/>
                      </pic:nvPicPr>
                      <pic:blipFill rotWithShape="1">
                        <a:blip r:embed="rId26"/>
                        <a:srcRect l="2239" t="20068" r="5361" b="22081"/>
                        <a:stretch/>
                      </pic:blipFill>
                      <pic:spPr bwMode="auto">
                        <a:xfrm flipH="0" flipV="0">
                          <a:off x="0" y="0"/>
                          <a:ext cx="3943350" cy="53525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10.50pt;height:421.46pt;mso-wrap-distance-left:0.00pt;mso-wrap-distance-top:0.00pt;mso-wrap-distance-right:0.00pt;mso-wrap-distance-bottom:0.00pt;z-index:1;" stroked="false">
                <v:imagedata r:id="rId26" o:title="" croptop="13152f" cropleft="1467f" cropbottom="14471f" cropright="3513f"/>
                <o:lock v:ext="edit" rotation="t"/>
              </v:shape>
            </w:pict>
          </mc:Fallback>
        </mc:AlternateContent>
      </w:r>
      <w:r>
        <mc:AlternateContent>
          <mc:Choice Requires="wpg">
            <w:drawing>
              <wp:inline xmlns:wp="http://schemas.openxmlformats.org/drawingml/2006/wordprocessingDrawing" distT="0" distB="0" distL="0" distR="0">
                <wp:extent cx="4267779" cy="31813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85562" name=""/>
                        <pic:cNvPicPr>
                          <a:picLocks noChangeAspect="1"/>
                        </pic:cNvPicPr>
                        <pic:nvPr/>
                      </pic:nvPicPr>
                      <pic:blipFill rotWithShape="1">
                        <a:blip r:embed="rId27"/>
                        <a:srcRect l="0" t="31700" r="0" b="33914"/>
                        <a:stretch/>
                      </pic:blipFill>
                      <pic:spPr bwMode="auto">
                        <a:xfrm flipH="0" flipV="0">
                          <a:off x="0" y="0"/>
                          <a:ext cx="4267779" cy="3181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6.05pt;height:250.50pt;mso-wrap-distance-left:0.00pt;mso-wrap-distance-top:0.00pt;mso-wrap-distance-right:0.00pt;mso-wrap-distance-bottom:0.00pt;z-index:1;" stroked="false">
                <v:imagedata r:id="rId27" o:title="" croptop="20775f" cropleft="0f" cropbottom="22226f" cropright="0f"/>
                <o:lock v:ext="edit" rotation="t"/>
              </v:shape>
            </w:pict>
          </mc:Fallback>
        </mc:AlternateContent>
      </w:r>
      <w:r/>
    </w:p>
    <w:p>
      <w:pPr>
        <w:pBdr/>
        <w:spacing w:after="200" w:line="276" w:lineRule="auto"/>
        <w:ind/>
        <w:jc w:val="center"/>
        <w:rPr/>
      </w:pPr>
      <w:r>
        <w:rPr>
          <w:highlight w:val="none"/>
        </w:rPr>
      </w:r>
      <w:r>
        <w:rPr>
          <w:highlight w:val="none"/>
        </w:rPr>
      </w: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5990885" cy="80645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51103" name=""/>
                        <pic:cNvPicPr>
                          <a:picLocks noChangeAspect="1"/>
                        </pic:cNvPicPr>
                        <pic:nvPr/>
                      </pic:nvPicPr>
                      <pic:blipFill rotWithShape="1">
                        <a:blip r:embed="rId28"/>
                        <a:srcRect l="950" t="0" r="0" b="0"/>
                        <a:stretch/>
                      </pic:blipFill>
                      <pic:spPr bwMode="auto">
                        <a:xfrm rot="0" flipH="0" flipV="0">
                          <a:off x="0" y="0"/>
                          <a:ext cx="5990884" cy="80645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1.72pt;height:635.00pt;mso-wrap-distance-left:0.00pt;mso-wrap-distance-top:0.00pt;mso-wrap-distance-right:0.00pt;mso-wrap-distance-bottom:0.00pt;rotation:0;z-index:1;" stroked="false">
                <v:imagedata r:id="rId28" o:title="" croptop="0f" cropleft="623f" cropbottom="0f" cropright="0f"/>
                <o:lock v:ext="edit" rotation="t"/>
              </v:shape>
            </w:pict>
          </mc:Fallback>
        </mc:AlternateContent>
      </w:r>
      <w:r>
        <w:br w:type="page" w:clear="all"/>
      </w:r>
      <w:r>
        <w:rPr>
          <w:highlight w:val="none"/>
        </w:rPr>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275/2026/1389/VFI-BC.T06.A</w:t>
      </w:r>
      <w:r>
        <w:rPr>
          <w:i/>
        </w:rPr>
        <w:t xml:space="preserve"> ngày</w:t>
      </w:r>
      <w:r>
        <w:rPr>
          <w:i/>
          <w:lang w:val="pt-BR"/>
        </w:rPr>
        <w:t xml:space="preserve"> 0</w:t>
      </w:r>
      <w:r>
        <w:rPr>
          <w:i/>
          <w:lang w:val="pt-BR"/>
        </w:rPr>
        <w:t xml:space="preserve">8 tháng 09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0981396596</w:t>
            </w:r>
            <w:r>
              <w:rPr>
                <w:sz w:val="22"/>
                <w:szCs w:val="22"/>
              </w:rPr>
              <w:t xml:space="preserve"> </w:t>
            </w:r>
            <w:r>
              <w:rPr>
                <w:sz w:val="22"/>
                <w:szCs w:val="22"/>
              </w:rPr>
              <w:br/>
              <w:t xml:space="preserve">(Việt 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4.762.500.000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4.095.750.000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(63,5m²)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Hạ Long, Tỉnh Quảng Ninh, mặt tiền 5m, (20.960993425560456, 106.99257355026165)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13618"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81361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1.54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2324"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232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8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642462"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6424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65.55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Đường Văn Tuyến</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0983296555</w:t>
            </w:r>
            <w:r>
              <w:rPr>
                <w:sz w:val="22"/>
                <w:szCs w:val="22"/>
              </w:rPr>
              <w:t xml:space="preserve"> </w:t>
            </w:r>
            <w:r>
              <w:rPr>
                <w:sz w:val="22"/>
                <w:szCs w:val="22"/>
              </w:rPr>
              <w:br/>
              <w:t xml:space="preserve">(Nguyễn Thắng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4.762.500.000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4.095.750.000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(63,5m²)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Hạ Long, Tỉnh Quảng Ninh, mặt tiền 5m, (20.960787, 106.992555)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7294"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14672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15.53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294"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4672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5.53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864865"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686486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540.54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6577"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146657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5.48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Đường Văn Tuyến</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0979 598 785</w:t>
            </w:r>
            <w:r>
              <w:rPr>
                <w:sz w:val="22"/>
                <w:szCs w:val="22"/>
              </w:rPr>
              <w:t xml:space="preserve"> </w:t>
            </w:r>
            <w:r>
              <w:rPr>
                <w:sz w:val="22"/>
                <w:szCs w:val="22"/>
              </w:rPr>
              <w:br/>
              <w:t xml:space="preserve">(Bùi mến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4.762.500.000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4.095.750.000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(63,5m²)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Hạ Long, Tỉnh Quảng Ninh, mặt tiền 5m, (20.961222222222222, 106.99355555555556)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30204"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83020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22.85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26067"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82606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22.52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050710" cy="3017249"/>
                      <wp:effectExtent l="0" t="0" r="0" b="0"/>
                      <wp:docPr id="26" name=""/>
                      <wp:cNvGraphicFramePr/>
                      <a:graphic xmlns:a="http://schemas.openxmlformats.org/drawingml/2006/main">
                        <a:graphicData uri="http://schemas.openxmlformats.org/drawingml/2006/picture">
                          <pic:pic xmlns:pic="http://schemas.openxmlformats.org/drawingml/2006/picture">
                            <pic:nvPicPr>
                              <pic:cNvPr id="365560085" name="" descr=""/>
                              <pic:cNvPicPr/>
                              <pic:nvPr/>
                            </pic:nvPicPr>
                            <pic:blipFill rotWithShape="1">
                              <a:blip r:embed="rId38"/>
                              <a:stretch/>
                            </pic:blipFill>
                            <pic:spPr bwMode="auto">
                              <a:xfrm flipH="0" flipV="0">
                                <a:off x="0" y="0"/>
                                <a:ext cx="2050709" cy="30172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61.47pt;height:237.58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88760" cy="2759615"/>
                      <wp:effectExtent l="0" t="0" r="0" b="0"/>
                      <wp:docPr id="27" name=""/>
                      <wp:cNvGraphicFramePr/>
                      <a:graphic xmlns:a="http://schemas.openxmlformats.org/drawingml/2006/main">
                        <a:graphicData uri="http://schemas.openxmlformats.org/drawingml/2006/picture">
                          <pic:pic xmlns:pic="http://schemas.openxmlformats.org/drawingml/2006/picture">
                            <pic:nvPicPr>
                              <pic:cNvPr id="1757920196" name="" descr=""/>
                              <pic:cNvPicPr/>
                              <pic:nvPr/>
                            </pic:nvPicPr>
                            <pic:blipFill rotWithShape="1">
                              <a:blip r:embed="rId39"/>
                              <a:stretch/>
                            </pic:blipFill>
                            <pic:spPr bwMode="auto">
                              <a:xfrm flipH="0" flipV="0">
                                <a:off x="0" y="0"/>
                                <a:ext cx="1688759" cy="27596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32.97pt;height:217.29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left"/>
              <w:rPr/>
            </w:pPr>
            <w:r/>
            <w:r/>
          </w:p>
          <w:p>
            <w:pPr>
              <w:pBdr/>
              <w:spacing/>
              <w:ind/>
              <w:jc w:val="center"/>
              <w:rPr/>
            </w:pPr>
            <w:r/>
            <w:r/>
          </w:p>
          <w:p>
            <w:pPr>
              <w:pBdr/>
              <w:spacing/>
              <w:ind/>
              <w:jc w:val="center"/>
              <w:rPr/>
            </w:pPr>
            <w:r>
              <w:t xml:space="preserve">Đường Văn Tuyến</w:t>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9-08T11:37:11Z" w:initials="NTTD">
    <w:p w14:paraId="00000001" w14:textId="00000001">
      <w:pPr>
        <w:spacing w:line="240" w:after="0" w:lineRule="auto" w:before="0"/>
        <w:ind w:firstLine="0" w:left="0" w:right="0"/>
        <w:jc w:val="left"/>
      </w:pPr>
      <w:r>
        <w:rPr>
          <w:rFonts w:eastAsia="Arial" w:ascii="Arial" w:hAnsi="Arial" w:cs="Arial"/>
          <w:sz w:val="22"/>
        </w:rPr>
        <w:t xml:space="preserve">Bỏ định vị. Các TSSS có giá bán và diện tích giống nhau. Ghi chi tiết mã lô bán để chứng mình k trùng lô.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86C42DE" w16cex:dateUtc="2026-09-08T04:37:11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186C42D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F182FF2"/>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7B16D845"/>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74DEA7EB"/>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1D31CA9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comments" Target="comments.xml" /><Relationship Id="rId41" Type="http://schemas.microsoft.com/office/2011/relationships/commentsExtended" Target="commentsExtended.xml" /><Relationship Id="rId42" Type="http://schemas.microsoft.com/office/2018/08/relationships/commentsExtensible" Target="commentsExtensible.xml" /><Relationship Id="rId43" Type="http://schemas.microsoft.com/office/2016/09/relationships/commentsIds" Target="commentsIds.xml" /><Relationship Id="rId44"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Đường Văn Tuyến</cp:lastModifiedBy>
  <cp:revision>515</cp:revision>
  <dcterms:created xsi:type="dcterms:W3CDTF">2025-09-15T02:01:00Z</dcterms:created>
  <dcterms:modified xsi:type="dcterms:W3CDTF">2026-09-08T07:28:20Z</dcterms:modified>
</cp:coreProperties>
</file>