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2017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2017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275/2026/1326/VFI-CT.44.A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Q&amp;T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và tài sản gắn liền với đất tại thửa đất có địa chỉ</w:t>
                            </w:r>
                            <w:r>
                              <w:rPr>
                                <w:b w:val="0"/>
                                <w:bCs w:val="0"/>
                                <w:color w:val="000000"/>
                              </w:rPr>
                              <w:t xml:space="preserve">: Nhà số </w:t>
                            </w:r>
                            <w:r>
                              <w:rPr>
                                <w:color w:val="000000"/>
                              </w:rPr>
                              <w:t xml:space="preserve">19 dãy 03, Tiểu khu Evelyne Gardens, Khu đô thị mới Lê Trọng Tấn-ParkCity HaNoi, đường Lê Trọng Tấn, phường La Khê, quận Hà Đông (nay là phường Dương Nội),  Thành phố Hà Nội theo Giấy c</w:t>
                            </w:r>
                            <w:r>
                              <w:rPr>
                                <w:color w:val="000000"/>
                              </w:rPr>
                              <w:t xml:space="preserve">hứng nhận quyền sử dụng đất, quyền sở hữu nhà ở và tài sản khác gắn liền với đất số: CT 267344, Số vào sổ cấp GCN: CS 41880 do Sở tài nguyên và môi trường thành phố Hà Nội cấp ngày 07/10/2019; chủ sử dụng đất là Ông Nguyễn Ngọc Quý và Bà Nguyễn Thị Kim Huế</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30.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275/2026/1326/VFI-CT.44.A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Q&amp;T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và tài sản gắn liền với đất tại thửa đất có địa chỉ</w:t>
                      </w:r>
                      <w:r>
                        <w:rPr>
                          <w:b w:val="0"/>
                          <w:bCs w:val="0"/>
                          <w:color w:val="000000"/>
                        </w:rPr>
                        <w:t xml:space="preserve">: Nhà số </w:t>
                      </w:r>
                      <w:r>
                        <w:rPr>
                          <w:color w:val="000000"/>
                        </w:rPr>
                        <w:t xml:space="preserve">19 dãy 03, Tiểu khu Evelyne Gardens, Khu đô thị mới Lê Trọng Tấn-ParkCity HaNoi, đường Lê Trọng Tấn, phường La Khê, quận Hà Đông (nay là phường Dương Nội),  Thành phố Hà Nội theo Giấy c</w:t>
                      </w:r>
                      <w:r>
                        <w:rPr>
                          <w:color w:val="000000"/>
                        </w:rPr>
                        <w:t xml:space="preserve">hứng nhận quyền sử dụng đất, quyền sở hữu nhà ở và tài sản khác gắn liền với đất số: CT 267344, Số vào sổ cấp GCN: CS 41880 do Sở tài nguyên và môi trường thành phố Hà Nội cấp ngày 07/10/2019; chủ sử dụng đất là Ông Nguyễn Ngọc Quý và Bà Nguyễn Thị Kim Huế</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yellow"/>
                <w:u w:val="single"/>
              </w:rPr>
            </w:pPr>
            <w:r>
              <w:rPr>
                <w:rFonts w:eastAsia="Calibri"/>
                <w:b/>
                <w:highlight w:val="yellow"/>
                <w:u w:val="single"/>
              </w:rPr>
              <w:t xml:space="preserve">NỘI DUNG</w:t>
            </w:r>
            <w:r>
              <w:rPr>
                <w:rFonts w:eastAsia="Calibri"/>
                <w:b/>
                <w:highlight w:val="yellow"/>
                <w:u w:val="single"/>
              </w:rPr>
            </w:r>
            <w:r>
              <w:rPr>
                <w:rFonts w:eastAsia="Calibri"/>
                <w:b/>
                <w:highlight w:val="yellow"/>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u w:val="single"/>
              </w:rPr>
            </w:pPr>
            <w:r>
              <w:rPr>
                <w:b/>
                <w:highlight w:val="yellow"/>
                <w:u w:val="single"/>
              </w:rPr>
              <w:t xml:space="preserve">TRANG</w:t>
            </w:r>
            <w:r>
              <w:rPr>
                <w:b/>
                <w:highlight w:val="yellow"/>
                <w:u w:val="single"/>
              </w:rPr>
            </w:r>
            <w:r>
              <w:rPr>
                <w:b/>
                <w:highlight w:val="yellow"/>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highlight w:val="yellow"/>
              </w:rPr>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Chứng thư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Báo cáo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4-17</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Các phụ lục chi tiết kèm theo</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highlight w:val="yellow"/>
              </w:rPr>
            </w:pPr>
            <w:r>
              <w:rPr>
                <w:bCs/>
                <w:highlight w:val="yellow"/>
                <w:lang w:val="pt-BR"/>
              </w:rPr>
              <w:t xml:space="preserve">Phụ lục 1: Thông tin hiện trạng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18</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highlight w:val="yellow"/>
              </w:rPr>
            </w:pPr>
            <w:r>
              <w:rPr>
                <w:bCs/>
                <w:highlight w:val="yellow"/>
                <w:lang w:val="pt-BR"/>
              </w:rPr>
              <w:t xml:space="preserve">Phụ lục 2: Thông tin thu thập thị trường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19-22</w:t>
            </w:r>
            <w:r>
              <w:rPr>
                <w:b/>
                <w:bCs/>
                <w:highlight w:val="yellow"/>
              </w:rPr>
            </w:r>
            <w:r>
              <w:rPr>
                <w:b/>
                <w:bCs/>
                <w:highlight w:val="yellow"/>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vAlign w:val="center"/>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275/2026/1326/VFI-CT.44.A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vAlign w:val="center"/>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24 tháng 8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ĐẦU TƯ Q&amp;T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275/2026/1326/VFI-HĐTĐ.44.A</w:t>
      </w:r>
      <w:r>
        <w:rPr>
          <w:spacing w:val="-4"/>
          <w:lang w:val="vi-VN"/>
        </w:rPr>
        <w:t xml:space="preserve"> ký ngày </w:t>
      </w:r>
      <w:r>
        <w:rPr>
          <w:color w:val="000000" w:themeColor="text1"/>
          <w:spacing w:val="-4"/>
        </w:rPr>
        <w:t xml:space="preserve">17 tháng 8 năm 2026</w:t>
      </w:r>
      <w:r>
        <w:rPr>
          <w:spacing w:val="-4"/>
          <w:lang w:val="vi-VN"/>
        </w:rPr>
        <w:t xml:space="preserve"> </w:t>
      </w:r>
      <w:r>
        <w:rPr>
          <w:spacing w:val="-4"/>
          <w:lang w:val="vi-VN"/>
        </w:rPr>
        <w:t xml:space="preserve">giữa </w:t>
      </w:r>
      <w:r>
        <w:rPr>
          <w:color w:val="000000" w:themeColor="text1"/>
          <w:spacing w:val="-4"/>
        </w:rPr>
      </w:r>
      <w:r>
        <w:rPr>
          <w:rFonts w:ascii="Times New Roman" w:hAnsi="Times New Roman" w:eastAsia="Times New Roman" w:cs="Times New Roman"/>
          <w:color w:val="000000"/>
          <w:sz w:val="24"/>
        </w:rPr>
        <w:t xml:space="preserve">Công ty Cổ phần Đầu tư Q&amp;T </w:t>
      </w:r>
      <w:r>
        <w:rPr>
          <w:color w:val="000000" w:themeColor="text1"/>
          <w:spacing w:val="-4"/>
        </w:rPr>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275/2026/1326/VFI-BC.44.A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4964"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CÔNG TY CỔ PHẦN ĐẦU TƯ Q&amp;T</w:t>
            </w:r>
            <w:r/>
          </w:p>
        </w:tc>
      </w:tr>
      <w:tr>
        <w:trPr>
          <w:trHeight w:val="20"/>
        </w:trPr>
        <w:tc>
          <w:tcPr>
            <w:shd w:val="clear" w:color="auto" w:fill="auto"/>
            <w:tcBorders/>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Ngọc Quý   </w:t>
            </w:r>
            <w:r/>
          </w:p>
        </w:tc>
      </w:tr>
      <w:tr>
        <w:trPr>
          <w:trHeight w:val="20"/>
        </w:trPr>
        <w:tc>
          <w:tcPr>
            <w:shd w:val="clear" w:color="auto" w:fill="auto"/>
            <w:tcBorders/>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Giám đốc, Chủ tịch Hội đồng quản trị</w:t>
            </w:r>
            <w:r/>
          </w:p>
        </w:tc>
      </w:tr>
      <w:tr>
        <w:trPr>
          <w:trHeight w:val="20"/>
        </w:trPr>
        <w:tc>
          <w:tcPr>
            <w:shd w:val="clear" w:color="auto" w:fill="auto"/>
            <w:tcBorders/>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szCs w:val="24"/>
                <w:lang w:val="undefined"/>
              </w:rPr>
              <w:t xml:space="preserve">Lô 379 No5- LK 20, Khu dịch vụ Văn La, Phường Kiến Hưng, TP Hà Nội, Việt Nam</w:t>
            </w: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r>
          </w:p>
        </w:tc>
      </w:tr>
      <w:tr>
        <w:trPr>
          <w:trHeight w:val="20"/>
        </w:trPr>
        <w:tc>
          <w:tcPr>
            <w:shd w:val="clear" w:color="ffffff" w:fill="ffffff"/>
            <w:tcBorders/>
            <w:tcW w:w="22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ffffff" w:fill="ffffff"/>
            <w:tcBorders/>
            <w:tcW w:w="28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0500579096</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Quyền sử dụng đất và tài sản gắn liền với đất tại thửa đất có địa chỉ</w:t>
      </w:r>
      <w:r>
        <w:rPr>
          <w:color w:val="000000" w:themeColor="text1"/>
        </w:rPr>
        <w:t xml:space="preserve">: Nhà số 19 dãy 03, Tiểu khu Evelyne Gardens, Khu đô thị mới Lê Trọng Tấn-ParkCity HaNoi, đường Lê Trọng Tấn, phường La Khê, quận Hà Đông (nay là phường Dương Nội),  Thành phố Hà Nội theo Giấy c</w:t>
      </w:r>
      <w:r>
        <w:rPr>
          <w:color w:val="000000" w:themeColor="text1"/>
        </w:rPr>
        <w:t xml:space="preserve">hứng nhận quyền sử dụng đất, quyền sở hữu nhà ở và tài sản khác gắn liền với đất số: CT 267344, Số vào sổ cấp GCN: CS 41880 do Sở tài nguyên và môi trường thành phố Hà Nội cấp ngày 07/10/2019; chủ sử dụng đất là Ông Nguyễn Ngọc Quý và Bà Nguyễn Thị Kim Huế</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b/>
          <w:bCs/>
          <w:highlight w:val="none"/>
          <w:lang w:val="vi-VN"/>
        </w:rPr>
      </w:r>
      <w:r/>
    </w:p>
    <w:tbl>
      <w:tblPr>
        <w:tblStyle w:val="103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166"/>
        <w:gridCol w:w="48832"/>
        <w:gridCol w:w="18713"/>
        <w:gridCol w:w="22448"/>
        <w:gridCol w:w="18713"/>
        <w:gridCol w:w="31144"/>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8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4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Đơn giá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br/>
            </w:r>
            <w:r>
              <w:rPr>
                <w:rFonts w:ascii="Times New Roman" w:hAnsi="Times New Roman" w:eastAsia="Times New Roman" w:cs="Times New Roman"/>
                <w:b/>
                <w:color w:val="000000"/>
                <w:sz w:val="24"/>
              </w:rPr>
              <w:t xml:space="preserve"> CLCL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Thành tiền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21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108707" w:type="dxa"/>
            <w:vAlign w:val="bottom"/>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Quyền sử dụng đất và tài sản gắn liền với đất tại thửa đất có địa chỉ: Nhà số 19 dãy 03, Tiểu khu Evelyne Gardens, Khu đô thị mới Lê Trọng Tấn-ParkCity HaNoi, đường Lê Trọng Tấn, phường La Khê, quận Hà Đông, thành phố Hà Nội theo </w:t>
            </w:r>
            <w:r>
              <w:rPr>
                <w:rFonts w:ascii="Times New Roman" w:hAnsi="Times New Roman" w:eastAsia="Times New Roman" w:cs="Times New Roman"/>
                <w:b/>
                <w:color w:val="000000"/>
                <w:sz w:val="24"/>
              </w:rPr>
              <w:t xml:space="preserve">Giấy chứng nhận quyền sử dụng đất quyền sở hữu nhà ở và tài sản khác gắn liền với đất số: CT 267344, số vào sổ GCN: CS41880 do Sở Tài nguyên và Môi trường thành phố Hà Nội cấp ngày 07/10/2019 cho Ông Nguyễn Ngọc Quý và Bà Nguyễn Thị Kim Huệ.</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8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Quyền sử dụng đất ở đô thị</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24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260.000.000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31.200.000.000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8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Công trình xây dựng gắn liền trên đất (Nhà 3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274,5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2448"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6.533.957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84%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1.506.599.759</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tcPr>
          <w:p>
            <w:pPr>
              <w:pBdr/>
              <w:spacing w:after="0" w:before="0" w:line="276" w:lineRule="auto"/>
              <w:ind/>
              <w:rPr/>
            </w:pPr>
            <w:r/>
            <w:r/>
          </w:p>
        </w:tc>
        <w:tc>
          <w:tcPr>
            <w:gridSpan w:val="4"/>
            <w:tcBorders>
              <w:bottom w:val="single" w:color="000000" w:sz="8" w:space="0"/>
              <w:right w:val="single" w:color="000000" w:sz="8" w:space="0"/>
            </w:tcBorders>
            <w:tcMar>
              <w:left w:w="108" w:type="dxa"/>
              <w:top w:w="0" w:type="dxa"/>
              <w:right w:w="108" w:type="dxa"/>
              <w:bottom w:w="0" w:type="dxa"/>
            </w:tcMar>
            <w:tcW w:w="10870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  32.706.599.759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tcPr>
          <w:p>
            <w:pPr>
              <w:pBdr/>
              <w:spacing w:after="0" w:before="0" w:line="276" w:lineRule="auto"/>
              <w:ind/>
              <w:rPr/>
            </w:pPr>
            <w:r/>
            <w:r/>
          </w:p>
        </w:tc>
        <w:tc>
          <w:tcPr>
            <w:gridSpan w:val="4"/>
            <w:tcBorders>
              <w:bottom w:val="single" w:color="000000" w:sz="8" w:space="0"/>
              <w:right w:val="single" w:color="000000" w:sz="8" w:space="0"/>
            </w:tcBorders>
            <w:tcMar>
              <w:left w:w="108" w:type="dxa"/>
              <w:top w:w="0" w:type="dxa"/>
              <w:right w:w="108" w:type="dxa"/>
              <w:bottom w:w="0" w:type="dxa"/>
            </w:tcMar>
            <w:tcW w:w="10870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  32.707.000.000 </w:t>
            </w:r>
            <w:r/>
          </w:p>
        </w:tc>
      </w:tr>
      <w:tr>
        <w:trPr>
          <w:trHeight w:val="324"/>
        </w:trPr>
        <w:tc>
          <w:tcPr>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tcPr>
          <w:p>
            <w:pPr>
              <w:pBdr/>
              <w:spacing w:after="0" w:before="0" w:line="276" w:lineRule="auto"/>
              <w:ind/>
              <w:rPr/>
            </w:pPr>
            <w:r/>
            <w:r/>
          </w:p>
        </w:tc>
        <w:tc>
          <w:tcPr>
            <w:gridSpan w:val="5"/>
            <w:tcBorders>
              <w:bottom w:val="single" w:color="000000" w:sz="8" w:space="0"/>
              <w:right w:val="single" w:color="000000" w:sz="8" w:space="0"/>
            </w:tcBorders>
            <w:tcMar>
              <w:left w:w="108" w:type="dxa"/>
              <w:top w:w="0" w:type="dxa"/>
              <w:right w:w="108" w:type="dxa"/>
              <w:bottom w:w="0" w:type="dxa"/>
            </w:tcMar>
            <w:tcW w:w="1398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b/>
                <w:bCs/>
                <w:i/>
                <w:sz w:val="24"/>
              </w:rPr>
            </w:pPr>
            <w:r>
              <w:rPr>
                <w:rFonts w:ascii="Times New Roman" w:hAnsi="Times New Roman" w:eastAsia="Times New Roman" w:cs="Times New Roman"/>
                <w:b/>
                <w:bCs/>
                <w:i/>
                <w:iCs/>
                <w:color w:val="000000"/>
                <w:sz w:val="24"/>
              </w:rPr>
              <w:t xml:space="preserve">(Bằng chữ: </w:t>
            </w:r>
            <w:r>
              <w:rPr>
                <w:b/>
                <w:bCs/>
                <w:i/>
                <w:iCs/>
              </w:rPr>
              <w:t xml:space="preserve">Ba mươi hai tỷ bảy trăm linh bảy triệu đồng</w:t>
            </w:r>
            <w:r>
              <w:rPr>
                <w:rFonts w:ascii="Times New Roman" w:hAnsi="Times New Roman" w:eastAsia="Times New Roman" w:cs="Times New Roman"/>
                <w:b/>
                <w:bCs/>
                <w:i/>
                <w:iCs/>
                <w:color w:val="000000"/>
                <w:sz w:val="24"/>
              </w:rPr>
              <w:t xml:space="preserve"> chẵn ./.)</w:t>
            </w:r>
            <w:r>
              <w:rPr>
                <w:rFonts w:ascii="Times New Roman" w:hAnsi="Times New Roman" w:eastAsia="Times New Roman" w:cs="Times New Roman"/>
                <w:b/>
                <w:bCs/>
                <w:i/>
                <w:sz w:val="24"/>
              </w:rPr>
            </w:r>
            <w:r>
              <w:rPr>
                <w:rFonts w:ascii="Times New Roman" w:hAnsi="Times New Roman" w:eastAsia="Times New Roman" w:cs="Times New Roman"/>
                <w:b/>
                <w:bCs/>
                <w:i/>
                <w:sz w:val="24"/>
              </w:rPr>
            </w:r>
          </w:p>
        </w:tc>
      </w:tr>
    </w:tbl>
    <w:p>
      <w:pPr>
        <w:pBdr/>
        <w:spacing w:after="120" w:before="120" w:line="312" w:lineRule="auto"/>
        <w:ind/>
        <w:jc w:val="both"/>
        <w:rPr>
          <w:b/>
          <w:bCs/>
          <w:highlight w:val="none"/>
          <w:lang w:val="vi-VN"/>
        </w:rPr>
      </w:pPr>
      <w:r>
        <w:rPr>
          <w:b/>
          <w:bCs/>
          <w:highlight w:val="none"/>
          <w:lang w:val="vi-VN"/>
        </w:rPr>
      </w:r>
      <w:r>
        <w:rPr>
          <w:b/>
          <w:bCs/>
          <w:highlight w:val="none"/>
          <w:lang w:val="vi-VN"/>
        </w:rPr>
      </w:r>
      <w:r>
        <w:rPr>
          <w:b/>
          <w:bCs/>
          <w:highlight w:val="none"/>
          <w:lang w:val="vi-VN"/>
        </w:rPr>
      </w:r>
    </w:p>
    <w:p>
      <w:pPr>
        <w:pBdr/>
        <w:spacing w:after="120" w:before="120" w:line="312" w:lineRule="auto"/>
        <w:ind/>
        <w:jc w:val="both"/>
        <w:rPr>
          <w:b/>
          <w:bCs/>
          <w:highlight w:val="none"/>
          <w:lang w:val="vi-VN"/>
        </w:rPr>
      </w:pPr>
      <w:r>
        <w:rPr>
          <w:b/>
          <w:bCs/>
          <w:lang w:val="vi-VN"/>
        </w:rPr>
        <w:t xml:space="preserve">10. Thời hạn hiệu lực của kết quả thẩm định giá:</w:t>
      </w:r>
      <w:r>
        <w:rPr>
          <w:b/>
          <w:bCs/>
        </w:rPr>
      </w:r>
      <w:r>
        <w:rPr>
          <w:b/>
          <w:bCs/>
          <w:highlight w:val="none"/>
          <w:lang w:val="vi-VN"/>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vAlign w:val="center"/>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Fonts w:ascii="Arial" w:hAnsi="Arial" w:eastAsia="Arial" w:cs="Arial"/>
                <w:color w:val="081b3a"/>
                <w:spacing w:val="3"/>
                <w:sz w:val="23"/>
                <w:highlight w:val="white"/>
              </w:rPr>
              <w:t xml:space="preserve">275/2026/1326/VFI-BC.44.A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vAlign w:val="center"/>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24 tháng 8 năm 2026</w:t>
            </w:r>
            <w:r>
              <w:rPr>
                <w:color w:val="000000" w:themeColor="text1"/>
                <w:sz w:val="24"/>
                <w:szCs w:val="24"/>
                <w:lang w:val="vi-VN"/>
              </w:rPr>
            </w:r>
            <w:r>
              <w:rPr>
                <w:color w:val="000000" w:themeColor="text1"/>
                <w:sz w:val="24"/>
                <w:szCs w:val="24"/>
                <w:lang w:val="vi-VN"/>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275/2026/1326/VFI-CT.44.A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CỔ PHẦN ĐẦU TƯ Q&amp;T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Nguyễn Ngọc Quý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Giám đốc, Chủ tịch Hội đồng quản trị</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szCs w:val="24"/>
              </w:rPr>
              <w:t xml:space="preserve">Lô 379 No5- LK 20, Khu dịch vụ Văn La, Phường Kiến Hưng, TP Hà Nội, Việt Nam</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0500579096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w:t>
            </w:r>
            <w:r>
              <w:rPr>
                <w:bCs/>
                <w:color w:val="000000" w:themeColor="text1"/>
                <w:lang w:val="pt-BR"/>
              </w:rPr>
              <w:t xml:space="preserve">ử dụng đất tại thửa đất số: ./., tờ bản đồ số: ./., có địa chỉ: Nhà số 19 dãy 03, Tiểu khu Evelyne Gardens, Khu đô thị mới Lê Trọng Tấn-ParkCity HaNoi, đường Lê Trọng Tấn, phường La Khê, quận Hà Đông (nay là phường Dương Nội),  Thành phố Hà Nội theo Giấy c</w:t>
            </w:r>
            <w:r>
              <w:rPr>
                <w:bCs/>
                <w:color w:val="000000" w:themeColor="text1"/>
                <w:lang w:val="pt-BR"/>
              </w:rPr>
              <w:t xml:space="preserve">hứng nhận quyền sử dụng đất, quyền sở hữu nhà ở và tài sản khác gắn liền với đất số: CT 267344, Số vào sổ cấp GCN: CS 41880 do Sở tài nguyên và môi trường thành phố Hà Nội cấp ngày 07/10/2019; chủ sử dụng đất là Ông Nguyễn Ngọc Quý và Bà Nguyễn Thị Kim Huế</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20.962777777778, 105.75763888889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18/08/2026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w:t>
      </w:r>
      <w:r>
        <w:rPr>
          <w:bCs/>
          <w:color w:val="000000" w:themeColor="text1"/>
          <w:lang w:val="pt-BR"/>
        </w:rPr>
        <w:t xml:space="preserve">hứng nhận quyền sử dụng đất, quyền sở hữu nhà ở và tài sản khác gắn liền với đất số: CT 267344, Số vào sổ cấp GCN: CS 41880 do Sở tài nguyên và môi trường thành phố Hà Nội cấp ngày 07/10/2019; chủ sử dụng đất là Ông Nguyễn Ngọc Quý và Bà Nguyễn Thị Kim Huế</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275/2026/1326/VFI-HĐTĐ.44.A ngày 17/08/2026 giữa Công ty Cổ phần Đầu tư Q&amp;T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shd w:val="nil" w:color="auto"/>
        <w:spacing/>
        <w:ind/>
        <w:jc w:val="both"/>
        <w:rPr>
          <w:b/>
          <w:bCs/>
          <w14:ligatures w14:val="none"/>
        </w:rPr>
      </w:pPr>
      <w:r>
        <w:rPr>
          <w:b/>
          <w:bCs/>
        </w:rPr>
        <w:t xml:space="preserve">TỔNG QUAN THỊ TRƯỜNG BẤT ĐỘNG SẢN PHƯỜNG DƯƠNG NỘI, HÀ NỘI NĂM 2026</w:t>
      </w:r>
      <w:r>
        <w:rPr>
          <w:b/>
          <w:bCs/>
          <w14:ligatures w14:val="none"/>
        </w:rPr>
      </w:r>
      <w:r>
        <w:rPr>
          <w:b/>
          <w:bCs/>
          <w14:ligatures w14:val="none"/>
        </w:rPr>
      </w:r>
    </w:p>
    <w:p>
      <w:pPr>
        <w:pBdr/>
        <w:shd w:val="nil" w:color="auto"/>
        <w:spacing/>
        <w:ind w:firstLine="720"/>
        <w:jc w:val="both"/>
        <w:rPr>
          <w14:ligatures w14:val="none"/>
        </w:rPr>
      </w:pPr>
      <w:r>
        <w:t xml:space="preserve">Năm 2026, thị trường bất động sản phường Dương Nội tiếp tục duy trì sức hấp dẫn nhờ vị trí cửa ngõ phía Tây Hà Nội và tốc độ đô thị hóa nhanh. Khu vực có lợi thế về hệ thống giao thông với các tuyến Tố Hữu, Lê Trọng Tấn, Quốc lộ 6 và Đại lộ Thăng Long. Tro</w:t>
      </w:r>
      <w:r>
        <w:t xml:space="preserve">ng những năm gần đây, Dương Nội đã hình thành nhiều khu đô thị, khu chung cư và khu nhà ở quy mô lớn, góp phần hoàn thiện diện mạo đô thị và gia tăng dân số cơ học. Nguồn cung bất động sản tương đối đa dạng, bao gồm căn hộ chung cư, nhà liền kề, biệt thự, </w:t>
      </w:r>
      <w:r>
        <w:t xml:space="preserve">shophouse và đất ở trong khu dân cư.</w:t>
      </w:r>
      <w:r>
        <w:rPr>
          <w14:ligatures w14:val="none"/>
        </w:rPr>
      </w:r>
      <w:r>
        <w:rPr>
          <w14:ligatures w14:val="none"/>
        </w:rPr>
      </w:r>
    </w:p>
    <w:p>
      <w:pPr>
        <w:pBdr/>
        <w:shd w:val="nil" w:color="auto"/>
        <w:spacing/>
        <w:ind w:firstLine="720"/>
        <w:jc w:val="both"/>
        <w:rPr>
          <w14:ligatures w14:val="none"/>
        </w:rPr>
      </w:pPr>
      <w:r>
        <w:t xml:space="preserve">Phân khúc căn hộ tiếp tục có nhu cầu tốt nhờ lượng cư dân đông, hệ thống tiện ích ngày càng hoàn thiện và khả năng kết nối với khu vực trung tâm. Trong khi đó, phân khúc liền kề, biệt thự và shophouse được quan tâm chủ yếu tại các khu đô thị có hạ tầng đồn</w:t>
      </w:r>
      <w:r>
        <w:t xml:space="preserve">g bộ, vị trí thuận lợi và khả năng khai thác kinh doanh. Mặt bằng giá bất động sản tại Dương Nội năm 2026 ở mức tương đối cao so với nhiều khu vực ngoại thành, tuy nhiên có sự phân hóa rõ rệt theo vị trí, pháp lý, chất lượng hạ tầng và khả năng khai thác t</w:t>
      </w:r>
      <w:r>
        <w:t xml:space="preserve">hực tế.</w:t>
      </w:r>
      <w:r>
        <w:rPr>
          <w14:ligatures w14:val="none"/>
        </w:rPr>
      </w:r>
      <w:r>
        <w:rPr>
          <w14:ligatures w14:val="none"/>
        </w:rPr>
      </w:r>
    </w:p>
    <w:p>
      <w:pPr>
        <w:pBdr/>
        <w:shd w:val="nil" w:color="auto"/>
        <w:spacing/>
        <w:ind w:firstLine="720"/>
        <w:jc w:val="both"/>
        <w:rPr>
          <w14:ligatures w14:val="none"/>
        </w:rPr>
      </w:pPr>
      <w:r>
        <w:t xml:space="preserve">Về hạ tầng, Dương Nội tiếp tục được hưởng lợi từ quá trình đầu tư giao thông và mở rộng không gian đô thị phía Tây Hà Nội. Quy hoạch tổng thể Thủ đô xác định </w:t>
      </w:r>
      <w:r>
        <w:t xml:space="preserve">Vành đai 4 – Vùng Thủ đô là vành đai kinh tế, đô thị động lực</w:t>
      </w:r>
      <w:r>
        <w:t xml:space="preserve">, tạo trục kết nối quan trọng cho không gian phát triển mới của Hà Nội. Bên cạnh đó, việc phát triển các tuyến đường kết nối với Vành đai 4 và các trục giao thông hiện hữu được kỳ vọng cải thiện khả năng lưu thông, qua đó hỗ trợ giá trị bất động sản tại nh</w:t>
      </w:r>
      <w:r>
        <w:t xml:space="preserve">ững khu vực có vị trí thuận lợi.</w:t>
      </w:r>
      <w:r>
        <w:rPr>
          <w14:ligatures w14:val="none"/>
        </w:rPr>
      </w:r>
      <w:r>
        <w:rPr>
          <w14:ligatures w14:val="none"/>
        </w:rPr>
      </w:r>
    </w:p>
    <w:p>
      <w:pPr>
        <w:pBdr/>
        <w:shd w:val="nil" w:color="auto"/>
        <w:spacing/>
        <w:ind w:firstLine="720"/>
        <w:jc w:val="both"/>
        <w:rPr>
          <w:highlight w:val="none"/>
          <w14:ligatures w14:val="none"/>
        </w:rPr>
      </w:pPr>
      <w:r>
        <w:t xml:space="preserve">Trong thời gian tới, thị trường Dương Nội được dự báo tiếp tục phát triển theo hướng đô thị hóa đồng bộ, với nhu cầu nhà ở thực và nhu cầu đầu tư duy trì ở mức khá. Tuy nhiên, do mặt bằng giá đã tăng cao trong những năm qua, khả năng tăng giá sẽ có sự phân</w:t>
      </w:r>
      <w:r>
        <w:t xml:space="preserve"> hóa và phụ thuộc nhiều vào chất lượng từng dự án, vị trí và mức độ hoàn thiện hạ tầng. Nhà đầu tư cần ưu tiên các sản phẩm có pháp lý rõ ràng, hạ tầng hoàn thiện, khả năng khai thác thực tế tốt và mức giá phù hợp với mặt bằng giao dịch. Nhìn chung, </w:t>
      </w:r>
      <w:r>
        <w:t xml:space="preserve">BĐS Dương Nội năm 2026 có triển vọng tích cực trong trung và dài hạn</w:t>
      </w:r>
      <w:r>
        <w:t xml:space="preserve">, đặc biệt đối với các sản phẩm phục vụ nhu cầu ở thực và những vị trí được hưởng lợi trực tiếp từ sự phát triển hạ tầng khu vực.</w:t>
      </w:r>
      <w:r>
        <w:rPr>
          <w:highlight w:val="none"/>
          <w14:ligatures w14:val="none"/>
        </w:rPr>
      </w:r>
      <w:r>
        <w:rPr>
          <w:highlight w:val="none"/>
          <w14:ligatures w14:val="none"/>
        </w:rPr>
      </w:r>
    </w:p>
    <w:p>
      <w:pPr>
        <w:pBdr/>
        <w:shd w:val="nil" w:color="000000"/>
        <w:spacing/>
        <w:ind w:firstLine="0"/>
        <w:jc w:val="both"/>
        <w:rPr>
          <w14:ligatures w14:val="none"/>
        </w:rPr>
      </w:pPr>
      <w:r>
        <w:rPr>
          <w:highlight w:val="none"/>
        </w:rPr>
        <w:t xml:space="preserve">(Nguồn:</w:t>
      </w:r>
      <w:r>
        <w:rPr>
          <w:highlight w:val="none"/>
        </w:rPr>
        <w:t xml:space="preserve">https://xaydungchinhsach.chinhphu.vn/quy-hoach-tong-the-thu-do-ha-noi-cac-vanh-dai-hanh-lang-phat-trien-do-thi-119260518115355543.htm</w:t>
      </w:r>
      <w:r>
        <w:rPr>
          <w:highlight w:val="none"/>
        </w:rPr>
        <w:t xml:space="preserve">)</w:t>
      </w:r>
      <w:r>
        <w:rPr>
          <w14:ligatures w14:val="none"/>
        </w:rPr>
      </w:r>
      <w:r>
        <w:rPr>
          <w14:ligatures w14:val="none"/>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2"/>
        <w:gridCol w:w="2167"/>
        <w:gridCol w:w="2053"/>
        <w:gridCol w:w="2204"/>
        <w:gridCol w:w="2609"/>
      </w:tblGrid>
      <w:tr>
        <w:trPr>
          <w:trHeight w:val="1987"/>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both"/>
              <w:rPr>
                <w:b/>
                <w:bCs/>
              </w:rPr>
            </w:pPr>
            <w:r>
              <w:rPr>
                <w:rFonts w:ascii="Times New Roman" w:hAnsi="Times New Roman" w:eastAsia="Times New Roman" w:cs="Times New Roman"/>
                <w:b/>
                <w:bCs/>
                <w:color w:val="000000"/>
                <w:sz w:val="24"/>
              </w:rPr>
              <w:t xml:space="preserve">Tên tài sản</w:t>
            </w:r>
            <w:r>
              <w:rPr>
                <w:b/>
                <w:bCs/>
              </w:rPr>
            </w:r>
            <w:r>
              <w:rPr>
                <w:b/>
                <w:bCs/>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60" w:before="60" w:line="276" w:lineRule="auto"/>
              <w:ind/>
              <w:jc w:val="both"/>
              <w:rPr>
                <w:b/>
                <w:bCs/>
                <w:spacing w:val="2"/>
              </w:rPr>
            </w:pPr>
            <w:r>
              <w:rPr>
                <w:b/>
                <w:bCs/>
              </w:rPr>
            </w:r>
            <w:r>
              <w:rPr>
                <w:b/>
                <w:bCs/>
                <w:color w:val="000000" w:themeColor="text1"/>
                <w:lang w:val="pt-BR"/>
              </w:rPr>
              <w:t xml:space="preserve">Quyền s</w:t>
            </w:r>
            <w:r>
              <w:rPr>
                <w:b/>
                <w:bCs/>
                <w:color w:val="000000" w:themeColor="text1"/>
                <w:lang w:val="pt-BR"/>
              </w:rPr>
              <w:t xml:space="preserve">ử dụng đất tại thửa đất số: ./., tờ bản đồ số: ./., có địa chỉ: Nhà số 19 dãy 03, Tiểu khu Evelyne Gardens, Khu đô thị mới Lê Trọng Tấn-ParkCity HaNoi, đường Lê Trọng Tấn, phường La Khê, quận Hà Đông (nay là phường Dương Nội),  Thành phố Hà Nội theo Giấy c</w:t>
            </w:r>
            <w:r>
              <w:rPr>
                <w:b/>
                <w:bCs/>
                <w:color w:val="000000" w:themeColor="text1"/>
                <w:lang w:val="pt-BR"/>
              </w:rPr>
              <w:t xml:space="preserve">hứng nhận quyền sử dụng đất, quyền sở hữu nhà ở và tài sản khác gắn liền với đất số: CT 267344, Số vào sổ cấp GCN: CS 41880 do Sở tài nguyên và môi trường thành phố Hà Nội cấp ngày 07/10/2019; chủ sử dụng đất là Ông Nguyễn Ngọc Quý và Bà Nguyễn Thị Kim Huế</w:t>
            </w:r>
            <w:r>
              <w:rPr>
                <w:b/>
                <w:bCs/>
                <w:spacing w:val="2"/>
              </w:rPr>
              <w:t xml:space="preserve">.</w:t>
            </w:r>
            <w:r>
              <w:rPr>
                <w:b/>
                <w:bCs/>
                <w:spacing w:val="2"/>
                <w:lang w:val="vi-VN"/>
              </w:rPr>
            </w:r>
            <w:r>
              <w:rPr>
                <w:b/>
                <w:bCs/>
                <w:spacing w:val="2"/>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98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66"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Nhà số 19 dãy 03, Tiểu khu Evelyne Gardens, Khu đô thị mới Lê Trọng Tấn-ParkCity HaNoi, đường Lê Trọng Tấn, phường La Khê, quận Hà Đông (</w:t>
            </w:r>
            <w:r>
              <w:rPr>
                <w:rFonts w:ascii="Times New Roman" w:hAnsi="Times New Roman" w:eastAsia="Times New Roman" w:cs="Times New Roman"/>
                <w:i/>
                <w:color w:val="000000"/>
                <w:sz w:val="24"/>
              </w:rPr>
              <w:t xml:space="preserve">nay là phường Dương Nội</w:t>
            </w:r>
            <w:r>
              <w:rPr>
                <w:rFonts w:ascii="Times New Roman" w:hAnsi="Times New Roman" w:eastAsia="Times New Roman" w:cs="Times New Roman"/>
                <w:color w:val="000000"/>
                <w:sz w:val="24"/>
              </w:rPr>
              <w:t xml:space="preserve">),  Thành phố Hà Nội</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120</w:t>
            </w:r>
            <w:r/>
          </w:p>
        </w:tc>
        <w:tc>
          <w:tcPr>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6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 Không</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 </w:t>
            </w:r>
            <w:r>
              <w:rPr>
                <w:rFonts w:ascii="Times New Roman" w:hAnsi="Times New Roman" w:eastAsia="Times New Roman" w:cs="Times New Roman"/>
                <w:sz w:val="24"/>
              </w:rPr>
            </w:r>
            <w:r>
              <w:rPr>
                <w:rFonts w:ascii="Times New Roman" w:hAnsi="Times New Roman" w:eastAsia="Times New Roman" w:cs="Times New Roman"/>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66" w:type="dxa"/>
            <w:vAlign w:val="center"/>
            <w:textDirection w:val="lrTb"/>
            <w:noWrap w:val="false"/>
          </w:tcPr>
          <w:p>
            <w:pPr>
              <w:pBdr/>
              <w:spacing w:after="0" w:before="0" w:line="240" w:lineRule="auto"/>
              <w:ind/>
              <w:jc w:val="both"/>
              <w:rPr>
                <w:b w:val="0"/>
                <w:bCs w:val="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val="0"/>
                <w:bCs w:val="0"/>
                <w:color w:val="000000"/>
                <w:sz w:val="24"/>
              </w:rPr>
              <w:t xml:space="preserve">Nhà số 19 dãy 03, Tiểu khu Evelyne Gardens, Khu đô thị mới Lê Trọng Tấn-ParkCity HaNoi, đường Lê Trọng Tấ</w:t>
            </w:r>
            <w:r>
              <w:rPr>
                <w:rFonts w:ascii="Times New Roman" w:hAnsi="Times New Roman" w:eastAsia="Times New Roman" w:cs="Times New Roman"/>
                <w:b w:val="0"/>
                <w:bCs w:val="0"/>
                <w:color w:val="000000"/>
                <w:sz w:val="24"/>
              </w:rPr>
              <w:t xml:space="preserve">n, Phường Dương Nội, Thành Phố Hà Nội</w:t>
            </w:r>
            <w:r>
              <w:rPr>
                <w:b w:val="0"/>
                <w:bCs w:val="0"/>
              </w:rPr>
            </w:r>
            <w:r>
              <w:rPr>
                <w:b w:val="0"/>
                <w:bCs w:val="0"/>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nội khu</w:t>
            </w:r>
            <w:r/>
          </w:p>
        </w:tc>
        <w:tc>
          <w:tcPr>
            <w:tcBorders>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020"/>
        </w:trPr>
        <w:tc>
          <w:tcPr>
            <w:tcBorders>
              <w:left w:val="single" w:color="000000" w:sz="6" w:space="0"/>
              <w:bottom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w:t>
            </w:r>
            <w:r/>
          </w:p>
        </w:tc>
      </w:tr>
      <w:tr>
        <w:trPr>
          <w:trHeight w:val="751"/>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6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Lê Trọng Tấn khoảng 450m</w:t>
            </w:r>
            <w:r/>
          </w:p>
        </w:tc>
      </w:tr>
      <w:tr>
        <w:trPr>
          <w:trHeight w:val="694"/>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86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Tây Bắc tiếp giáp đường giao thông 7m;</w:t>
              <w:br/>
              <w:t xml:space="preserve">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(20.962777777778, 105.75763888889)</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54208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547031198" name="" descr=""/>
                              <pic:cNvPicPr/>
                              <pic:nvPr/>
                            </pic:nvPicPr>
                            <pic:blipFill rotWithShape="1">
                              <a:blip r:embed="rId17"/>
                              <a:stretch/>
                            </pic:blipFill>
                            <pic:spPr bwMode="auto">
                              <a:xfrm flipH="0" flipV="0">
                                <a:off x="0" y="0"/>
                                <a:ext cx="554208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6.38pt;height:200.00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120</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bắc</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6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0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6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881"/>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3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u w:val="none"/>
              </w:rPr>
              <w:t xml:space="preserve">Tại thời điểm khảo sát, tổ thẩm định nhận thấy trên đất có công trình nhà 3 tầng, kết cấu BTCT, tường xây gạch chịu lực, sàn lát gạch men, được bàn giao năm 2017. Diện tích xây dựng 92,0m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u w:val="none"/>
              </w:rPr>
              <w:t xml:space="preserve">, diện tích sàn khoảng 274,5m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u w:val="none"/>
              </w:rPr>
              <w:t xml:space="preserve">. Công trình được chứng nhận trên GCN số CT 267344</w:t>
            </w:r>
            <w:r>
              <w:rPr>
                <w:rFonts w:ascii="Times New Roman" w:hAnsi="Times New Roman" w:eastAsia="Times New Roman" w:cs="Times New Roman"/>
                <w:color w:val="000000"/>
                <w:sz w:val="24"/>
              </w:rPr>
            </w:r>
            <w:r/>
          </w:p>
        </w:tc>
      </w:tr>
    </w:tbl>
    <w:p>
      <w:pPr>
        <w:pBdr/>
        <w:spacing w:line="235" w:lineRule="auto"/>
        <w:ind w:left="0"/>
        <w:jc w:val="both"/>
        <w:rPr>
          <w:u w:val="single"/>
        </w:rPr>
      </w:pPr>
      <w:r>
        <w:rPr>
          <w:u w:val="single"/>
        </w:rPr>
      </w:r>
      <w:r>
        <w:rPr>
          <w:u w:val="single"/>
        </w:rPr>
      </w:r>
      <w:r>
        <w:rPr>
          <w:u w:val="single"/>
        </w:rPr>
      </w:r>
    </w:p>
    <w:p>
      <w:pPr>
        <w:pBdr/>
        <w:spacing w:line="235" w:lineRule="auto"/>
        <w:ind w:firstLine="0" w:left="0"/>
        <w:jc w:val="both"/>
        <w:rPr>
          <w:b/>
          <w:bCs/>
          <w:u w:val="single"/>
        </w:rPr>
      </w:pPr>
      <w:r>
        <w:rPr>
          <w:b/>
          <w:bCs/>
          <w:u w:val="single"/>
        </w:rPr>
        <w:t xml:space="preserve">   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3"/>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3"/>
        <w:pBdr/>
        <w:spacing w:after="120" w:before="120" w:line="276" w:lineRule="auto"/>
        <w:ind w:left="0"/>
        <w:jc w:val="both"/>
        <w:rPr>
          <w:b/>
          <w:bCs/>
          <w:highlight w:val="none"/>
          <w:lang w:val="pt-BR"/>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b/>
          <w:bCs/>
          <w:highlight w:val="none"/>
          <w:lang w:val="pt-BR"/>
        </w:rPr>
      </w:r>
      <w:r>
        <w:rPr>
          <w:b/>
          <w:bCs/>
          <w:highlight w:val="none"/>
          <w:lang w:val="pt-BR"/>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Dương Nội,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Dương Nội,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Dương Nội,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Dương Nội, Thành phố Hà Nội</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https://web.facebook.com/share/p/1HWuMVj8FD/</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https://batdongsan.com.vn/ban-nha-biet-thu-lien-ke-duong-le-trong-tan-phuong-la-khe-prj-parkcity-ha-noi/cap-nt-quy-can-chuyen-nhuong-song-lap-don-lap-gia-tot-nt-tai-kdt-noi-pr44880846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https://batdongsan.com.vn/ban-nha-biet-thu-lien-ke-duong-le-trong-tan-phuong-la-khe-evelyne-gardens-parkcity-ha-noi/sieu-hot-ban-nhanh-can-120m-everlyn-ong-nam-gia-tot-chi-37-ty-pr46162600</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0888880330</w:t>
            </w:r>
            <w:r>
              <w:rPr>
                <w:sz w:val="22"/>
                <w:szCs w:val="22"/>
              </w:rPr>
              <w:t xml:space="preserve"> </w:t>
            </w:r>
            <w:r>
              <w:rPr>
                <w:sz w:val="22"/>
                <w:szCs w:val="22"/>
              </w:rPr>
              <w:br/>
              <w:t xml:space="preserve">(</w:t>
            </w:r>
            <w:r>
              <w:rPr>
                <w:sz w:val="22"/>
                <w:szCs w:val="22"/>
              </w:rPr>
              <w:t xml:space="preserve">Anh Hồng Thái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0968450261</w:t>
            </w:r>
            <w:r>
              <w:rPr>
                <w:sz w:val="22"/>
                <w:szCs w:val="22"/>
              </w:rPr>
              <w:br/>
            </w:r>
            <w:r>
              <w:rPr>
                <w:sz w:val="22"/>
                <w:szCs w:val="22"/>
              </w:rPr>
              <w:t xml:space="preserve">(</w:t>
            </w:r>
            <w:r>
              <w:rPr>
                <w:sz w:val="22"/>
                <w:szCs w:val="22"/>
              </w:rPr>
              <w:t xml:space="preserve">Tuệ Lâm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0966802884</w:t>
            </w:r>
            <w:r>
              <w:rPr>
                <w:sz w:val="22"/>
                <w:szCs w:val="22"/>
              </w:rPr>
              <w:br/>
            </w:r>
            <w:r>
              <w:rPr>
                <w:sz w:val="22"/>
                <w:szCs w:val="22"/>
              </w:rPr>
              <w:t xml:space="preserve">(</w:t>
            </w:r>
            <w:r>
              <w:rPr>
                <w:sz w:val="22"/>
                <w:szCs w:val="22"/>
              </w:rPr>
              <w:t xml:space="preserve">Phượng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Tiếp giáp đường giao thông, Phường Dương Nội,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Tiếp giáp đường giao thông, Phường Dương Nội,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Tiếp giáp đường giao thông, Phường Dương Nội,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Tiếp giáp đường giao thông, Phường Dương Nội, Thành phố Hà Nội</w:t>
            </w:r>
            <w:r>
              <w:rPr>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Nhà 5 tầng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liền kề 3 tầng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liền kề 3 tầng hoàn thiện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32.775.000.000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34.780.000.000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B</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Chi tiết tính toán</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highlight w:val="none"/>
                <w14:ligatures w14:val="none"/>
              </w:rPr>
            </w:pPr>
            <w:r>
              <w:rPr>
                <w:sz w:val="22"/>
                <w:szCs w:val="22"/>
                <w:highlight w:val="none"/>
              </w:rPr>
              <w:t xml:space="preserve">Giá trị tài sản trên đất (đồng)</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1.024.275.840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2.255.097.715</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1.694.816.802</w:t>
            </w:r>
            <w:r>
              <w:rPr>
                <w:sz w:val="22"/>
                <w:szCs w:val="22"/>
                <w:highlight w:val="none"/>
                <w14:ligatures w14:val="none"/>
              </w:rPr>
            </w:r>
            <w:r>
              <w:rPr>
                <w:sz w:val="22"/>
                <w:szCs w:val="22"/>
                <w:highlight w:val="non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hd w:val="nil" w:color="auto"/>
              <w:spacing/>
              <w:ind/>
              <w:jc w:val="center"/>
              <w:rPr>
                <w:sz w:val="22"/>
                <w:szCs w:val="22"/>
                <w:highlight w:val="none"/>
                <w14:ligatures w14:val="none"/>
              </w:rPr>
            </w:pPr>
            <w:r>
              <w:rPr>
                <w:sz w:val="22"/>
                <w:szCs w:val="22"/>
                <w:highlight w:val="none"/>
              </w:rPr>
              <w:t xml:space="preserve">-</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highlight w:val="none"/>
                <w14:ligatures w14:val="none"/>
              </w:rPr>
            </w:pPr>
            <w:r>
              <w:rPr>
                <w:sz w:val="22"/>
                <w:szCs w:val="22"/>
                <w:highlight w:val="none"/>
              </w:rPr>
            </w:r>
            <w:r>
              <w:rPr>
                <w:sz w:val="22"/>
                <w:szCs w:val="22"/>
                <w:highlight w:val="none"/>
              </w:rPr>
              <w:t xml:space="preserve">Đơn giá xây dựng theo Quyết định số 425/QĐ-BXD ngày 30/3/2026 của Bộ Xây Dựng (đồng/m²)</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8.966</w:t>
            </w:r>
            <w:r>
              <w:rPr>
                <w:sz w:val="22"/>
                <w:szCs w:val="22"/>
                <w:highlight w:val="none"/>
              </w:rPr>
              <w:t xml:space="preserve">.000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8.225</w:t>
            </w:r>
            <w:r>
              <w:rPr>
                <w:sz w:val="22"/>
                <w:szCs w:val="22"/>
                <w:highlight w:val="none"/>
              </w:rPr>
              <w:t xml:space="preserve">.000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7.630</w:t>
            </w:r>
            <w:r>
              <w:rPr>
                <w:sz w:val="22"/>
                <w:szCs w:val="22"/>
                <w:highlight w:val="none"/>
              </w:rPr>
              <w:t xml:space="preserve">.000</w:t>
            </w:r>
            <w:r>
              <w:rPr>
                <w:sz w:val="22"/>
                <w:szCs w:val="22"/>
                <w:highlight w:val="none"/>
                <w14:ligatures w14:val="none"/>
              </w:rPr>
            </w:r>
            <w:r>
              <w:rPr>
                <w:sz w:val="22"/>
                <w:szCs w:val="22"/>
                <w:highlight w:val="none"/>
                <w14:ligatures w14:val="none"/>
              </w:rPr>
            </w:r>
          </w:p>
        </w:tc>
      </w:tr>
      <w:tr>
        <w:trPr>
          <w:trHeight w:val="433"/>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hd w:val="nil" w:color="auto"/>
              <w:spacing/>
              <w:ind/>
              <w:jc w:val="center"/>
              <w:rPr>
                <w:sz w:val="22"/>
                <w:szCs w:val="22"/>
                <w:highlight w:val="none"/>
                <w14:ligatures w14:val="none"/>
              </w:rPr>
            </w:pPr>
            <w:r>
              <w:rPr>
                <w:sz w:val="22"/>
                <w:szCs w:val="22"/>
                <w:highlight w:val="none"/>
              </w:rPr>
              <w:t xml:space="preserve">-</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highlight w:val="none"/>
                <w14:ligatures w14:val="none"/>
              </w:rPr>
            </w:pPr>
            <w:r>
              <w:rPr>
                <w:sz w:val="22"/>
                <w:szCs w:val="22"/>
                <w:highlight w:val="none"/>
              </w:rPr>
            </w:r>
            <w:r>
              <w:rPr>
                <w:sz w:val="22"/>
                <w:szCs w:val="22"/>
                <w:highlight w:val="none"/>
              </w:rPr>
              <w:t xml:space="preserve">Tỷ lệ % CLCL</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rPr>
              <w:t xml:space="preserve"> </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20%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12%</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15%</w:t>
            </w:r>
            <w:r>
              <w:rPr>
                <w:sz w:val="22"/>
                <w:szCs w:val="22"/>
                <w:highlight w:val="none"/>
                <w14:ligatures w14:val="none"/>
              </w:rPr>
            </w:r>
            <w:r>
              <w:rPr>
                <w:sz w:val="22"/>
                <w:szCs w:val="22"/>
                <w:highlight w:val="non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2</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highlight w:val="none"/>
                <w14:ligatures w14:val="none"/>
              </w:rPr>
            </w:pPr>
            <w:r>
              <w:rPr>
                <w:sz w:val="22"/>
                <w:szCs w:val="22"/>
                <w:highlight w:val="none"/>
              </w:rPr>
              <w:t xml:space="preserve">Giá trị đất (đồng)</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7.145.724.160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30.519.902.285</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33.085.183.198</w:t>
            </w:r>
            <w:r>
              <w:rPr>
                <w:sz w:val="22"/>
                <w:szCs w:val="22"/>
                <w:highlight w:val="none"/>
                <w14:ligatures w14:val="none"/>
              </w:rPr>
            </w:r>
            <w:r>
              <w:rPr>
                <w:sz w:val="22"/>
                <w:szCs w:val="22"/>
                <w:highlight w:val="non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3</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highlight w:val="none"/>
                <w14:ligatures w14:val="none"/>
              </w:rPr>
            </w:pPr>
            <w:r>
              <w:rPr>
                <w:sz w:val="22"/>
                <w:szCs w:val="22"/>
                <w:highlight w:val="none"/>
              </w:rPr>
              <w:t xml:space="preserve">Đơn giá QSDĐ (đồng/m²)</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238.190.805</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254.332.519</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275.709.860</w:t>
            </w:r>
            <w:r>
              <w:rPr>
                <w:sz w:val="22"/>
                <w:szCs w:val="22"/>
                <w:highlight w:val="none"/>
                <w14:ligatures w14:val="none"/>
              </w:rPr>
            </w:r>
            <w:r>
              <w:rPr>
                <w:sz w:val="22"/>
                <w:szCs w:val="22"/>
                <w:highlight w:val="non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7.145.724.160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30.519.902.285</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33.085.183.198</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238.190.805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275.709.860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238.190.805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238.190.805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238.190.805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Tiếp giáp đường giao thông, Phường Dương Nội, Thành phố Hà Nội</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Tiếp giáp đường giao thông, Phường Dương Nội, Thành phố Hà Nội</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Tiếp giáp đường giao thông, Phường Dương Nội, Thành phố Hà Nội</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Tiếp giáp đường giao thông, Phường Dương Nội, Thành phố Hà Nội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238.190.805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23.819.081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262.009.886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11.909.540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273.919.426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-23.819.081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250.100.345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250.100.345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250.100.345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250.100.345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254.332.519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278.793.193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250.100.345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254.332.519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275.709.860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260.047.575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59.547.702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11.909.540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-3,83</w:t>
      </w:r>
      <w:r>
        <w:t xml:space="preserve">% đến</w:t>
      </w:r>
      <w:r>
        <w:t xml:space="preserve"> </w:t>
      </w:r>
      <w:r>
        <w:t xml:space="preserve"> </w:t>
      </w:r>
      <w:r>
        <w:t xml:space="preserve">6,02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250.100.345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83.383.455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254.332.519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84.769.029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275.709.860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91.894.096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260.046.580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260.000.000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260.000.000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w:t>
      </w:r>
      <w:r>
        <w:rPr>
          <w:rFonts w:ascii="Times New Roman" w:hAnsi="Times New Roman" w:eastAsia="Times New Roman" w:cs="Times New Roman"/>
          <w:color w:val="000000"/>
          <w:sz w:val="24"/>
          <w:highlight w:val="white"/>
        </w:rPr>
        <w:t xml:space="preserve">ua tham khảo thị trường về đơn giá xây dựng mới đối với công trình Nhà 03 tầng, cân nhắc và xem xét với mức độ hoàn thiện của công trình xây dựng hiện có, Tổ thẩm định nhận thấy đơn giá vận dụng theo Quyết định số 425/QĐ-BXD ngày 30/03/2026 của Bộ Xây dựng</w:t>
      </w:r>
      <w:r>
        <w:rPr>
          <w:rFonts w:ascii="Times New Roman" w:hAnsi="Times New Roman" w:eastAsia="Times New Roman" w:cs="Times New Roman"/>
          <w:color w:val="000000"/>
          <w:sz w:val="24"/>
          <w:highlight w:val="white"/>
        </w:rPr>
        <w:t xml:space="preserve">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rPr/>
      </w:pPr>
      <w:r>
        <w:rPr>
          <w:rFonts w:ascii="Times New Roman" w:hAnsi="Times New Roman" w:eastAsia="Times New Roman" w:cs="Times New Roman"/>
          <w:i/>
          <w:color w:val="000000"/>
          <w:sz w:val="24"/>
          <w:highlight w:val="white"/>
        </w:rPr>
        <w:t xml:space="preserve">“Suất vốn đầu tư xây dựng </w:t>
      </w:r>
      <w:r>
        <w:rPr>
          <w:rFonts w:ascii="Times New Roman" w:hAnsi="Times New Roman" w:eastAsia="Times New Roman" w:cs="Times New Roman"/>
          <w:i/>
          <w:color w:val="000000"/>
          <w:sz w:val="24"/>
        </w:rPr>
        <w:t xml:space="preserve">của Nhà từ 2 đến 3 tầng, kết cấu khung chịu lực BTCT; tường bao xây gạch; sàn, mái BTCT đổ tại chỗ có tầng hầm </w:t>
      </w:r>
      <w:r>
        <w:rPr>
          <w:rFonts w:ascii="Times New Roman" w:hAnsi="Times New Roman" w:eastAsia="Times New Roman" w:cs="Times New Roman"/>
          <w:i/>
          <w:color w:val="000000"/>
          <w:sz w:val="24"/>
          <w:highlight w:val="white"/>
        </w:rPr>
        <w:t xml:space="preserve">có đơn giá là </w:t>
      </w:r>
      <w:r>
        <w:rPr>
          <w:rFonts w:ascii="Times New Roman" w:hAnsi="Times New Roman" w:eastAsia="Times New Roman" w:cs="Times New Roman"/>
          <w:b/>
          <w:i/>
          <w:color w:val="000000"/>
          <w:sz w:val="24"/>
          <w:highlight w:val="white"/>
        </w:rPr>
        <w:t xml:space="preserve">8.370.000 </w:t>
      </w:r>
      <w:r>
        <w:rPr>
          <w:rFonts w:ascii="Times New Roman" w:hAnsi="Times New Roman" w:eastAsia="Times New Roman" w:cs="Times New Roman"/>
          <w:i/>
          <w:color w:val="000000"/>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Thành phố Hà Nội thuộc vùng 7 có hệ số điều chỉnh là </w:t>
      </w:r>
      <w:r>
        <w:rPr>
          <w:rFonts w:ascii="Times New Roman" w:hAnsi="Times New Roman" w:eastAsia="Times New Roman" w:cs="Times New Roman"/>
          <w:b/>
          <w:i/>
          <w:color w:val="000000"/>
          <w:sz w:val="24"/>
        </w:rPr>
        <w:t xml:space="preserve">0,952</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8.370.000 x 0,952 =</w:t>
      </w:r>
      <w:r>
        <w:rPr>
          <w:rFonts w:ascii="Times New Roman" w:hAnsi="Times New Roman" w:eastAsia="Times New Roman" w:cs="Times New Roman"/>
          <w:b/>
          <w:i/>
          <w:color w:val="000000"/>
          <w:sz w:val="24"/>
        </w:rPr>
        <w:t xml:space="preserve">7.968.240 đồng/m² sàn. </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năm 20</w:t>
      </w:r>
      <w:r>
        <w:rPr>
          <w:rFonts w:ascii="Times New Roman" w:hAnsi="Times New Roman" w:eastAsia="Times New Roman" w:cs="Times New Roman"/>
          <w:color w:val="000000"/>
          <w:spacing w:val="2"/>
          <w:sz w:val="24"/>
          <w:highlight w:val="none"/>
        </w:rPr>
        <w:t xml:space="preserve">19</w:t>
      </w:r>
      <w:r>
        <w:rPr>
          <w:rFonts w:ascii="Times New Roman" w:hAnsi="Times New Roman" w:eastAsia="Times New Roman" w:cs="Times New Roman"/>
          <w:color w:val="000000"/>
          <w:spacing w:val="2"/>
          <w:sz w:val="24"/>
          <w:highlight w:val="white"/>
        </w:rPr>
        <w:t xml:space="preserve">, do đó, Tổ thẩm định ước tính tuổi đời hiệu quả của công trình là khoảng 7 năm</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rPr>
        <w:t xml:space="preserve">ông trình, Tổ thẩm định xác định tuổi đời kinh tế của tài sản thẩm định là 50 năm.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3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3 tầng </w:t>
            </w: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2017</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4"/>
              </w:rPr>
              <w:t xml:space="preserve">2026</w:t>
            </w: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4"/>
              </w:rPr>
              <w:t xml:space="preserve">9</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18%</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highlight w:val="white"/>
        </w:rPr>
        <w:t xml:space="preserve">Tổ thẩm định xác định tỉ lệ hao mòn của tài sản thẩm định là: 14%, theo đó tỷ lệ chất lượng còn lại của tài sản là: 82</w:t>
      </w:r>
      <w:r>
        <w:rPr>
          <w:rFonts w:ascii="Times New Roman" w:hAnsi="Times New Roman" w:eastAsia="Times New Roman" w:cs="Times New Roman"/>
          <w:b/>
          <w:color w:val="000000"/>
          <w:sz w:val="24"/>
          <w:highlight w:val="white"/>
        </w:rPr>
        <w:t xml:space="preserve">%</w:t>
      </w:r>
      <w:r>
        <w:rPr>
          <w:rFonts w:ascii="Times New Roman" w:hAnsi="Times New Roman" w:eastAsia="Times New Roman" w:cs="Times New Roman"/>
          <w:color w:val="000000"/>
          <w:sz w:val="24"/>
          <w:highlight w:val="white"/>
        </w:rPr>
        <w:t xml:space="preserve">.</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7"/>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37"/>
        <w:tblInd w:w="-71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84"/>
        <w:gridCol w:w="1417"/>
        <w:gridCol w:w="1559"/>
        <w:gridCol w:w="1559"/>
        <w:gridCol w:w="1134"/>
        <w:gridCol w:w="1559"/>
        <w:gridCol w:w="2268"/>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Diện tích sàn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Đơn giá xây dựng mới (đồng/m² sàn)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Tỷ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Giá trị hao mòn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Giá trị thẩm định tại thời điểm thẩm định giá (đồng)</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(4) = (2)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(6)=(4)*(5)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(7) = (4) - (6)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rPr>
              <w:t xml:space="preserve">92</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rPr>
              <w:t xml:space="preserve">274,5</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b w:val="0"/>
                <w:bCs w:val="0"/>
                <w:i w:val="0"/>
              </w:rPr>
            </w:pPr>
            <w:r>
              <w:rPr>
                <w:rFonts w:ascii="Times New Roman" w:hAnsi="Times New Roman" w:eastAsia="Times New Roman" w:cs="Times New Roman"/>
                <w:color w:val="000000"/>
                <w:sz w:val="22"/>
              </w:rPr>
            </w:r>
            <w:r>
              <w:rPr>
                <w:rFonts w:ascii="Times New Roman" w:hAnsi="Times New Roman" w:eastAsia="Times New Roman" w:cs="Times New Roman"/>
                <w:b w:val="0"/>
                <w:bCs w:val="0"/>
                <w:i w:val="0"/>
                <w:iCs w:val="0"/>
                <w:color w:val="000000"/>
                <w:sz w:val="24"/>
              </w:rPr>
              <w:t xml:space="preserve">7.968.240</w:t>
            </w:r>
            <w:r>
              <w:rPr>
                <w:b w:val="0"/>
                <w:bCs w:val="0"/>
                <w:i w:val="0"/>
              </w:rPr>
            </w:r>
            <w:r>
              <w:rPr>
                <w:b w:val="0"/>
                <w:bCs w:val="0"/>
                <w:i w:val="0"/>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rPr>
              <w:t xml:space="preserve">2.187.281.880</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color w:val="000000"/>
                <w:sz w:val="22"/>
              </w:rPr>
              <w:t xml:space="preserve">%</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393.710.738</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1.793.571.142</w:t>
            </w:r>
            <w:r/>
          </w:p>
        </w:tc>
      </w:tr>
    </w:tbl>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Style w:val="103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166"/>
        <w:gridCol w:w="48832"/>
        <w:gridCol w:w="18713"/>
        <w:gridCol w:w="22448"/>
        <w:gridCol w:w="18713"/>
        <w:gridCol w:w="31144"/>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8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4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br/>
            </w:r>
            <w:r>
              <w:rPr>
                <w:rFonts w:ascii="Times New Roman" w:hAnsi="Times New Roman" w:eastAsia="Times New Roman" w:cs="Times New Roman"/>
                <w:b/>
                <w:color w:val="000000"/>
                <w:sz w:val="24"/>
              </w:rPr>
              <w:t xml:space="preserve"> 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21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108707" w:type="dxa"/>
            <w:vAlign w:val="bottom"/>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có địa chỉ: Nhà số 19 dãy 03, Tiểu khu Evelyne Gardens, Khu đô thị mới Lê Trọng Tấn-ParkCity HaNoi, đường Lê Trọng Tấn, phường La Khê, quận Hà Đông, thành phố Hà Nội theo </w:t>
            </w:r>
            <w:r>
              <w:rPr>
                <w:rFonts w:ascii="Times New Roman" w:hAnsi="Times New Roman" w:eastAsia="Times New Roman" w:cs="Times New Roman"/>
                <w:b/>
                <w:color w:val="000000"/>
                <w:sz w:val="24"/>
              </w:rPr>
              <w:t xml:space="preserve">Giấy chứng nhận quyền sử dụng đất quyền sở hữu nhà ở và tài sản khác gắn liền với đất số: CT 267344, số vào sổ GCN: CS41880 do Sở Tài nguyên và Môi trường thành phố Hà Nội cấp ngày 07/10/2019 cho Ông Nguyễn Ngọc Quý và Bà Nguyễn Thị Kim Huệ.</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Quyền sử dụng đất ở đô thị</w:t>
            </w:r>
            <w:r/>
          </w:p>
        </w:tc>
        <w:tc>
          <w:tcPr>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260.000.000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31.200.000.000</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8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Công trình xây dựng gắn liền trên đất (Nhà 3 tầng)</w:t>
            </w:r>
            <w:r/>
          </w:p>
        </w:tc>
        <w:tc>
          <w:tcPr>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4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6.533.957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1.506.599.759</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tcPr>
          <w:p>
            <w:pPr>
              <w:pBdr/>
              <w:spacing w:after="0" w:before="0" w:line="240" w:lineRule="auto"/>
              <w:ind/>
              <w:rPr/>
            </w:pPr>
            <w:r/>
            <w:r/>
          </w:p>
        </w:tc>
        <w:tc>
          <w:tcPr>
            <w:gridSpan w:val="4"/>
            <w:tcBorders>
              <w:bottom w:val="single" w:color="000000" w:sz="8" w:space="0"/>
              <w:right w:val="single" w:color="000000" w:sz="8" w:space="0"/>
            </w:tcBorders>
            <w:tcMar>
              <w:left w:w="108" w:type="dxa"/>
              <w:top w:w="0" w:type="dxa"/>
              <w:right w:w="108" w:type="dxa"/>
              <w:bottom w:w="0" w:type="dxa"/>
            </w:tcMar>
            <w:tcW w:w="10870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32.706.599.759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tcPr>
          <w:p>
            <w:pPr>
              <w:pBdr/>
              <w:spacing w:after="0" w:before="0" w:line="240" w:lineRule="auto"/>
              <w:ind/>
              <w:rPr/>
            </w:pPr>
            <w:r/>
            <w:r/>
          </w:p>
        </w:tc>
        <w:tc>
          <w:tcPr>
            <w:gridSpan w:val="4"/>
            <w:tcBorders>
              <w:bottom w:val="single" w:color="000000" w:sz="8" w:space="0"/>
              <w:right w:val="single" w:color="000000" w:sz="8" w:space="0"/>
            </w:tcBorders>
            <w:tcMar>
              <w:left w:w="108" w:type="dxa"/>
              <w:top w:w="0" w:type="dxa"/>
              <w:right w:w="108" w:type="dxa"/>
              <w:bottom w:w="0" w:type="dxa"/>
            </w:tcMar>
            <w:tcW w:w="10870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3114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32.707.000.000 </w:t>
            </w:r>
            <w:r/>
          </w:p>
        </w:tc>
      </w:tr>
      <w:tr>
        <w:trPr>
          <w:trHeight w:val="324"/>
        </w:trPr>
        <w:tc>
          <w:tcPr>
            <w:tcBorders>
              <w:left w:val="single" w:color="000000" w:sz="8" w:space="0"/>
              <w:bottom w:val="single" w:color="000000" w:sz="8" w:space="0"/>
              <w:right w:val="single" w:color="000000" w:sz="8" w:space="0"/>
            </w:tcBorders>
            <w:tcMar>
              <w:left w:w="108" w:type="dxa"/>
              <w:top w:w="0" w:type="dxa"/>
              <w:right w:w="108" w:type="dxa"/>
              <w:bottom w:w="0" w:type="dxa"/>
            </w:tcMar>
            <w:tcW w:w="8166" w:type="dxa"/>
            <w:vAlign w:val="center"/>
            <w:textDirection w:val="lrTb"/>
            <w:noWrap/>
          </w:tcPr>
          <w:p>
            <w:pPr>
              <w:pBdr/>
              <w:spacing w:after="0" w:before="0" w:line="240" w:lineRule="auto"/>
              <w:ind/>
              <w:rPr/>
            </w:pPr>
            <w:r/>
            <w:r/>
          </w:p>
        </w:tc>
        <w:tc>
          <w:tcPr>
            <w:gridSpan w:val="5"/>
            <w:tcBorders>
              <w:bottom w:val="single" w:color="000000" w:sz="8" w:space="0"/>
              <w:right w:val="single" w:color="000000" w:sz="8" w:space="0"/>
            </w:tcBorders>
            <w:tcMar>
              <w:left w:w="108" w:type="dxa"/>
              <w:top w:w="0" w:type="dxa"/>
              <w:right w:w="108" w:type="dxa"/>
              <w:bottom w:w="0" w:type="dxa"/>
            </w:tcMar>
            <w:tcW w:w="1398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i/>
              </w:rPr>
            </w:pPr>
            <w:r>
              <w:rPr>
                <w:rFonts w:ascii="Times New Roman" w:hAnsi="Times New Roman" w:eastAsia="Times New Roman" w:cs="Times New Roman"/>
                <w:b/>
                <w:bCs/>
                <w:i/>
                <w:iCs/>
                <w:color w:val="000000"/>
                <w:sz w:val="24"/>
              </w:rPr>
              <w:t xml:space="preserve">(Bằng chữ: </w:t>
            </w:r>
            <w:r>
              <w:rPr>
                <w:b/>
                <w:bCs/>
                <w:i/>
                <w:iCs/>
              </w:rPr>
              <w:t xml:space="preserve">Ba mươi hai tỷ bảy trăm linh bảy triệu đồng</w:t>
            </w:r>
            <w:r>
              <w:rPr>
                <w:rFonts w:ascii="Times New Roman" w:hAnsi="Times New Roman" w:eastAsia="Times New Roman" w:cs="Times New Roman"/>
                <w:b/>
                <w:bCs/>
                <w:i/>
                <w:iCs/>
                <w:color w:val="000000"/>
                <w:sz w:val="24"/>
              </w:rPr>
              <w:t xml:space="preserve"> chẵn ./.)</w:t>
            </w:r>
            <w:r>
              <w:rPr>
                <w:b/>
                <w:bCs/>
                <w:i/>
                <w:iCs/>
              </w:rPr>
            </w:r>
            <w:r>
              <w:rPr>
                <w:b/>
                <w:bCs/>
                <w:i/>
              </w:rPr>
            </w:r>
          </w:p>
        </w:tc>
      </w:tr>
    </w:tbl>
    <w:p>
      <w:pPr>
        <w:pStyle w:val="103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275/2026/1326/VFI-CT.44.A</w:t>
      </w:r>
      <w:r>
        <w:rPr>
          <w:color w:val="ff0000"/>
          <w:lang w:val="vi-VN"/>
        </w:rPr>
        <w:t xml:space="preserve"> </w:t>
      </w:r>
      <w:r>
        <w:rPr>
          <w:color w:val="000000" w:themeColor="text1"/>
        </w:rPr>
        <w:t xml:space="preserve">ngày 23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3"/>
        <w:pBdr/>
        <w:tabs>
          <w:tab w:val="left" w:leader="none" w:pos="993"/>
        </w:tabs>
        <w:spacing w:after="120" w:before="120" w:line="288" w:lineRule="auto"/>
        <w:ind w:left="0"/>
        <w:jc w:val="both"/>
        <w:rPr>
          <w:lang w:val="vi-VN"/>
        </w:rPr>
      </w:pPr>
      <w:r>
        <w:rPr>
          <w:lang w:val="vi-VN"/>
        </w:rPr>
      </w:r>
      <w:r>
        <w:rPr>
          <w:lang w:val="vi-VN"/>
        </w:rPr>
      </w:r>
      <w:r>
        <w:rPr>
          <w:lang w:val="vi-VN"/>
        </w:rPr>
      </w:r>
    </w:p>
    <w:p>
      <w:pPr>
        <w:pStyle w:val="1033"/>
        <w:pBdr/>
        <w:tabs>
          <w:tab w:val="left" w:leader="none" w:pos="993"/>
        </w:tabs>
        <w:spacing w:after="120" w:before="120" w:line="288" w:lineRule="auto"/>
        <w:ind w:left="0"/>
        <w:jc w:val="both"/>
        <w:rPr>
          <w:lang w:val="vi-VN"/>
        </w:rPr>
      </w:pPr>
      <w:r>
        <w:rPr>
          <w:lang w:val="vi-VN"/>
        </w:rPr>
      </w:r>
      <w:r>
        <w:rPr>
          <w:lang w:val="vi-VN"/>
        </w:rPr>
      </w:r>
      <w:r>
        <w:rPr>
          <w:lang w:val="vi-VN"/>
        </w:rPr>
      </w:r>
    </w:p>
    <w:p>
      <w:pPr>
        <w:pStyle w:val="1033"/>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275/2026/1326/VFI-BC.44.A</w:t>
      </w:r>
      <w:r>
        <w:rPr>
          <w:i/>
          <w:lang w:val="pt-BR"/>
        </w:rPr>
        <w:t xml:space="preserve"> ngày </w:t>
      </w:r>
      <w:r>
        <w:rPr>
          <w:i/>
          <w:lang w:val="pt-BR"/>
        </w:rPr>
        <w:t xml:space="preserve">23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48137" cy="270429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15828" name=""/>
                              <pic:cNvPicPr>
                                <a:picLocks noChangeAspect="1"/>
                              </pic:cNvPicPr>
                              <pic:nvPr/>
                            </pic:nvPicPr>
                            <pic:blipFill rotWithShape="1">
                              <a:blip r:embed="rId18"/>
                              <a:stretch/>
                            </pic:blipFill>
                            <pic:spPr bwMode="auto">
                              <a:xfrm flipH="0" flipV="0">
                                <a:off x="0" y="0"/>
                                <a:ext cx="1248136" cy="27042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8.28pt;height:212.9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2431" cy="199473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47029" name=""/>
                              <pic:cNvPicPr>
                                <a:picLocks noChangeAspect="1"/>
                              </pic:cNvPicPr>
                              <pic:nvPr/>
                            </pic:nvPicPr>
                            <pic:blipFill rotWithShape="1">
                              <a:blip r:embed="rId19"/>
                              <a:stretch/>
                            </pic:blipFill>
                            <pic:spPr bwMode="auto">
                              <a:xfrm flipH="0" flipV="0">
                                <a:off x="0" y="0"/>
                                <a:ext cx="2662431" cy="19947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9.64pt;height:157.0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0611" cy="204795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55317" name=""/>
                              <pic:cNvPicPr>
                                <a:picLocks noChangeAspect="1"/>
                              </pic:cNvPicPr>
                              <pic:nvPr/>
                            </pic:nvPicPr>
                            <pic:blipFill rotWithShape="1">
                              <a:blip r:embed="rId20"/>
                              <a:stretch/>
                            </pic:blipFill>
                            <pic:spPr bwMode="auto">
                              <a:xfrm flipH="0" flipV="0">
                                <a:off x="0" y="0"/>
                                <a:ext cx="2730611" cy="20479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01pt;height:161.2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0526" cy="205539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82260" name=""/>
                              <pic:cNvPicPr>
                                <a:picLocks noChangeAspect="1"/>
                              </pic:cNvPicPr>
                              <pic:nvPr/>
                            </pic:nvPicPr>
                            <pic:blipFill rotWithShape="1">
                              <a:blip r:embed="rId21"/>
                              <a:stretch/>
                            </pic:blipFill>
                            <pic:spPr bwMode="auto">
                              <a:xfrm flipH="0" flipV="0">
                                <a:off x="0" y="0"/>
                                <a:ext cx="2740525" cy="20553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5.79pt;height:161.8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8310" cy="210623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20520" name=""/>
                              <pic:cNvPicPr>
                                <a:picLocks noChangeAspect="1"/>
                              </pic:cNvPicPr>
                              <pic:nvPr/>
                            </pic:nvPicPr>
                            <pic:blipFill rotWithShape="1">
                              <a:blip r:embed="rId22"/>
                              <a:stretch/>
                            </pic:blipFill>
                            <pic:spPr bwMode="auto">
                              <a:xfrm flipH="0" flipV="0">
                                <a:off x="0" y="0"/>
                                <a:ext cx="2808309" cy="21062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1.13pt;height:165.8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14634" cy="203597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62540" name=""/>
                              <pic:cNvPicPr>
                                <a:picLocks noChangeAspect="1"/>
                              </pic:cNvPicPr>
                              <pic:nvPr/>
                            </pic:nvPicPr>
                            <pic:blipFill rotWithShape="1">
                              <a:blip r:embed="rId23"/>
                              <a:stretch/>
                            </pic:blipFill>
                            <pic:spPr bwMode="auto">
                              <a:xfrm flipH="0" flipV="0">
                                <a:off x="0" y="0"/>
                                <a:ext cx="2714634" cy="20359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3.75pt;height:160.3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bCs/>
          <w:i/>
          <w:lang w:val="pt-BR"/>
        </w:rPr>
      </w:pPr>
      <w:r>
        <w:rPr>
          <w:b/>
          <w:highlight w:val="none"/>
        </w:rPr>
      </w:r>
      <w:r>
        <mc:AlternateContent>
          <mc:Choice Requires="wpg">
            <w:drawing>
              <wp:inline xmlns:wp="http://schemas.openxmlformats.org/drawingml/2006/wordprocessingDrawing" distT="0" distB="0" distL="0" distR="0">
                <wp:extent cx="5838825" cy="43815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11249" name=""/>
                        <pic:cNvPicPr>
                          <a:picLocks noChangeAspect="1"/>
                        </pic:cNvPicPr>
                        <pic:nvPr/>
                      </pic:nvPicPr>
                      <pic:blipFill rotWithShape="1">
                        <a:blip r:embed="rId24"/>
                        <a:stretch/>
                      </pic:blipFill>
                      <pic:spPr bwMode="auto">
                        <a:xfrm>
                          <a:off x="0" y="0"/>
                          <a:ext cx="5838824" cy="4381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59.75pt;height:345.00pt;mso-wrap-distance-left:0.00pt;mso-wrap-distance-top:0.00pt;mso-wrap-distance-right:0.00pt;mso-wrap-distance-bottom:0.00pt;z-index:1;" stroked="false">
                <v:imagedata r:id="rId24" o:title=""/>
                <o:lock v:ext="edit" rotation="t"/>
              </v:shape>
            </w:pict>
          </mc:Fallback>
        </mc:AlternateContent>
      </w:r>
      <w:r>
        <mc:AlternateContent>
          <mc:Choice Requires="wpg">
            <w:drawing>
              <wp:inline xmlns:wp="http://schemas.openxmlformats.org/drawingml/2006/wordprocessingDrawing" distT="0" distB="0" distL="0" distR="0">
                <wp:extent cx="5924550" cy="43053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21321" name=""/>
                        <pic:cNvPicPr>
                          <a:picLocks noChangeAspect="1"/>
                        </pic:cNvPicPr>
                        <pic:nvPr/>
                      </pic:nvPicPr>
                      <pic:blipFill rotWithShape="1">
                        <a:blip r:embed="rId25"/>
                        <a:stretch/>
                      </pic:blipFill>
                      <pic:spPr bwMode="auto">
                        <a:xfrm>
                          <a:off x="0" y="0"/>
                          <a:ext cx="5924549" cy="4305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6.50pt;height:339.00pt;mso-wrap-distance-left:0.00pt;mso-wrap-distance-top:0.00pt;mso-wrap-distance-right:0.00pt;mso-wrap-distance-bottom:0.00pt;z-index:1;" stroked="false">
                <v:imagedata r:id="rId25" o:title=""/>
                <o:lock v:ext="edit" rotation="t"/>
              </v:shape>
            </w:pict>
          </mc:Fallback>
        </mc:AlternateContent>
      </w:r>
      <w:r>
        <w:rPr>
          <w:b/>
          <w:highlight w:val="none"/>
        </w:rPr>
      </w:r>
      <w:r>
        <w:rPr>
          <w:bCs/>
          <w:i/>
          <w:lang w:val="pt-BR"/>
        </w:rPr>
      </w:r>
    </w:p>
    <w:p>
      <w:pPr>
        <w:pBdr/>
        <w:spacing w:after="200" w:line="276" w:lineRule="auto"/>
        <w:ind/>
        <w:jc w:val="center"/>
        <w:rPr>
          <w:b/>
          <w:bCs/>
          <w:u w:val="single"/>
          <w:lang w:val="vi-VN"/>
        </w:rPr>
      </w:pPr>
      <w:r>
        <w:rPr>
          <w:b/>
          <w:u w:val="single"/>
          <w:lang w:val="vi-VN"/>
        </w:rPr>
      </w:r>
      <w:r>
        <mc:AlternateContent>
          <mc:Choice Requires="wpg">
            <w:drawing>
              <wp:inline xmlns:wp="http://schemas.openxmlformats.org/drawingml/2006/wordprocessingDrawing" distT="0" distB="0" distL="0" distR="0">
                <wp:extent cx="6048375" cy="853386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88379" name=""/>
                        <pic:cNvPicPr>
                          <a:picLocks noChangeAspect="1"/>
                        </pic:cNvPicPr>
                        <pic:nvPr/>
                      </pic:nvPicPr>
                      <pic:blipFill rotWithShape="1">
                        <a:blip r:embed="rId26"/>
                        <a:stretch/>
                      </pic:blipFill>
                      <pic:spPr bwMode="auto">
                        <a:xfrm flipH="0" flipV="0">
                          <a:off x="0" y="0"/>
                          <a:ext cx="6048374" cy="8533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71.96pt;mso-wrap-distance-left:0.00pt;mso-wrap-distance-top:0.00pt;mso-wrap-distance-right:0.00pt;mso-wrap-distance-bottom:0.00pt;z-index:1;" stroked="false">
                <v:imagedata r:id="rId26" o:title=""/>
                <o:lock v:ext="edit" rotation="t"/>
              </v:shape>
            </w:pict>
          </mc:Fallback>
        </mc:AlternateContent>
      </w:r>
      <w:r>
        <w:rPr>
          <w:b/>
          <w:bCs/>
          <w:u w:val="single"/>
          <w:lang w:val="vi-VN"/>
        </w:rPr>
      </w:r>
      <w:r>
        <w:rPr>
          <w:b/>
          <w:bCs/>
          <w:u w:val="single"/>
          <w:lang w:val="vi-VN"/>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275/2026/1326/VFI-BC.44.A</w:t>
      </w:r>
      <w:r>
        <w:rPr>
          <w:i/>
          <w:lang w:val="pt-BR"/>
        </w:rPr>
        <w:t xml:space="preserve"> </w:t>
      </w:r>
      <w:r>
        <w:rPr>
          <w:i/>
          <w:lang w:val="pt-BR"/>
        </w:rPr>
        <w:t xml:space="preserve">ngày 23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https://web.facebook.com/share/p/1HWuMVj8FD/</w:t>
            </w:r>
            <w:r>
              <w:rPr>
                <w:color w:val="000000" w:themeColor="text1"/>
                <w:sz w:val="22"/>
                <w:szCs w:val="22"/>
              </w:rPr>
              <w:br/>
              <w:t xml:space="preserve">0888880330</w:t>
            </w:r>
            <w:r>
              <w:rPr>
                <w:sz w:val="22"/>
                <w:szCs w:val="22"/>
              </w:rPr>
              <w:t xml:space="preserve"> </w:t>
            </w:r>
            <w:r>
              <w:rPr>
                <w:sz w:val="22"/>
                <w:szCs w:val="22"/>
              </w:rPr>
              <w:br/>
              <w:t xml:space="preserve">(Anh Hồng Thái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Tiếp giáp đường giao thông, Phường Dương Nội,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sz w:val="22"/>
                <w:szCs w:val="22"/>
              </w:rPr>
              <w:t xml:space="preserve">Nhà 5 tầng hoàn thiện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874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5487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79.4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65669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6566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87.9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16494"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1164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02.8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2991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12991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46.45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Đình Duy</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https://batdongsan.com.vn/ban-nha-biet-thu-lien-ke-duong-le-trong-tan-phuong-la-khe-prj-parkcity-ha-noi/cap-nt-quy-can-chuyen-nhuong-song-lap-don-lap-gia-tot-nt-tai-kdt-noi-pr44880846</w:t>
            </w:r>
            <w:r>
              <w:rPr>
                <w:color w:val="000000" w:themeColor="text1"/>
                <w:sz w:val="22"/>
                <w:szCs w:val="22"/>
              </w:rPr>
              <w:br/>
              <w:t xml:space="preserve">0968450261</w:t>
            </w:r>
            <w:r>
              <w:rPr>
                <w:sz w:val="22"/>
                <w:szCs w:val="22"/>
              </w:rPr>
              <w:t xml:space="preserve"> </w:t>
            </w:r>
            <w:r>
              <w:rPr>
                <w:sz w:val="22"/>
                <w:szCs w:val="22"/>
              </w:rPr>
              <w:br/>
              <w:t xml:space="preserve">(Tuệ 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32.775.000.000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Tiếp giáp đường giao thông, Phường Dương Nội,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Nhà liền kề 3 tầng hoàn thiện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673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6467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44.62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673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6467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44.6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3747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5374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9.8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1700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5170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8.19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https://batdongsan.com.vn/ban-nha-biet-thu-lien-ke-duong-le-trong-tan-phuong-la-khe-evelyne-gardens-parkcity-ha-noi/sieu-hot-ban-nhanh-can-120m-everlyn-ong-nam-gia-tot-chi-37-ty-pr46162600</w:t>
            </w:r>
            <w:r>
              <w:rPr>
                <w:color w:val="000000" w:themeColor="text1"/>
                <w:sz w:val="22"/>
                <w:szCs w:val="22"/>
              </w:rPr>
              <w:br/>
            </w:r>
            <w:r>
              <w:rPr>
                <w:sz w:val="22"/>
                <w:szCs w:val="22"/>
              </w:rPr>
              <w:t xml:space="preserve">SĐT: </w:t>
            </w:r>
            <w:r>
              <w:rPr>
                <w:color w:val="000000" w:themeColor="text1"/>
                <w:sz w:val="22"/>
                <w:szCs w:val="22"/>
              </w:rPr>
              <w:t xml:space="preserve">0966802884</w:t>
            </w:r>
            <w:r>
              <w:rPr>
                <w:sz w:val="22"/>
                <w:szCs w:val="22"/>
              </w:rPr>
              <w:t xml:space="preserve"> </w:t>
            </w:r>
            <w:r>
              <w:rPr>
                <w:sz w:val="22"/>
                <w:szCs w:val="22"/>
              </w:rPr>
              <w:br/>
              <w:t xml:space="preserve">(Phượng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34.780.000.000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Tiếp giáp đường giao thông, Phường Dương Nội,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Nhà liền kề 3 tầng hoàn thiện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73266"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4732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52.2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9234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6923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69.48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7A2AC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15F5E029"/>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0D8F289B"/>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0337C74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282</cp:revision>
  <dcterms:created xsi:type="dcterms:W3CDTF">2025-09-15T09:58:00Z</dcterms:created>
  <dcterms:modified xsi:type="dcterms:W3CDTF">2026-08-28T10:28:05Z</dcterms:modified>
</cp:coreProperties>
</file>