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142285</wp:posOffset>
                </wp:positionH>
                <wp:positionV relativeFrom="paragraph">
                  <wp:posOffset>201609</wp:posOffset>
                </wp:positionV>
                <wp:extent cx="5467350" cy="36778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67787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275/2026/1369/VFI-CT.T04.A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Hoàng Văn Hùng</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LK20-L21, tờ bản đồ số: 00, có địa chỉ: Khu đấu giá QSD đất Mậu Lương, phường Kiến Hưng, quận Hà Đông, (nay là phường Kiến Hưng) thà</w:t>
                            </w:r>
                            <w:r>
                              <w:rPr>
                                <w:color w:val="000000"/>
                              </w:rPr>
                              <w:t xml:space="preserve">nh phố Hà Nội  theo Giấy chứng nhận quyền sử dụng đất, quyền sở hữu nhà ở và tài sản khác gắn liền với đất số: CR 696042, Số vào sổ cấp GCN: CS-HĐO23932 do Sở Tài nguyên và môi trường Thành phố Hà Nội  cấp ngày 10/5/2019; chủ sử dụng đất là ông Hoàng Văn Hùng</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11.20pt;mso-position-horizontal:absolute;mso-position-vertical-relative:text;margin-top:15.87pt;mso-position-vertical:absolute;width:430.50pt;height:289.6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275/2026/1369/VFI-CT.T04.A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Hoàng Văn Hùng</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LK20-L21, tờ bản đồ số: 00, có địa chỉ: Khu đấu giá QSD đất Mậu Lương, phường Kiến Hưng, quận Hà Đông, (nay là phường Kiến Hưng) thà</w:t>
                      </w:r>
                      <w:r>
                        <w:rPr>
                          <w:color w:val="000000"/>
                        </w:rPr>
                        <w:t xml:space="preserve">nh phố Hà Nội  theo Giấy chứng nhận quyền sử dụng đất, quyền sở hữu nhà ở và tài sản khác gắn liền với đất số: CR 696042, Số vào sổ cấp GCN: CS-HĐO23932 do Sở Tài nguyên và môi trường Thành phố Hà Nội  cấp ngày 10/5/2019; chủ sử dụng đất là ông Hoàng Văn Hùng</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4-21</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22-27</w:t>
            </w:r>
            <w:r>
              <w:rPr>
                <w:b/>
                <w:bCs/>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28-33</w:t>
            </w:r>
            <w:r>
              <w:rPr>
                <w:b/>
                <w:bCs/>
              </w:rPr>
            </w:r>
            <w:r>
              <w:rPr>
                <w:b/>
                <w:bCs/>
              </w:rPr>
            </w:r>
          </w:p>
        </w:tc>
      </w:tr>
    </w:tbl>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333" w:type="dxa"/>
        <w:tblBorders/>
        <w:tblLayout w:type="fixed"/>
        <w:tblLook w:val="04A0" w:firstRow="1" w:lastRow="0" w:firstColumn="1" w:lastColumn="0" w:noHBand="0" w:noVBand="1"/>
      </w:tblPr>
      <w:tblGrid>
        <w:gridCol w:w="1588"/>
        <w:gridCol w:w="8745"/>
      </w:tblGrid>
      <w:tr>
        <w:trPr>
          <w:trHeight w:val="1512"/>
        </w:trPr>
        <w:tc>
          <w:tcPr>
            <w:tcBorders/>
            <w:tcW w:w="158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8745"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bl>
    <w:tbl>
      <w:tblPr>
        <w:tblInd w:w="-284" w:type="dxa"/>
        <w:tblW w:w="10333" w:type="dxa"/>
        <w:tblBorders/>
        <w:tblLayout w:type="fixed"/>
        <w:tblLook w:val="04A0" w:firstRow="1" w:lastRow="0" w:firstColumn="1" w:lastColumn="0" w:noHBand="0" w:noVBand="1"/>
      </w:tblPr>
      <w:tblGrid>
        <w:gridCol w:w="4173"/>
        <w:gridCol w:w="6053"/>
      </w:tblGrid>
      <w:tr>
        <w:trPr>
          <w:trHeight w:val="458"/>
        </w:trPr>
        <w:tc>
          <w:tcPr>
            <w:shd w:val="clear" w:color="ffffff" w:fill="ffffff"/>
            <w:tcBorders/>
            <w:tcMar>
              <w:left w:w="108" w:type="dxa"/>
              <w:top w:w="0" w:type="dxa"/>
              <w:right w:w="108" w:type="dxa"/>
              <w:bottom w:w="0" w:type="dxa"/>
            </w:tcMar>
            <w:tcW w:w="4173"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 </w:t>
            </w:r>
            <w:r>
              <w:rPr>
                <w:rStyle w:val="1023"/>
                <w:rFonts w:ascii="Times New Roman" w:hAnsi="Times New Roman"/>
                <w:color w:val="000000" w:themeColor="text1"/>
                <w:lang w:val="pt-BR"/>
              </w:rPr>
              <w:t xml:space="preserve">275/2026/1369/VFI-CT.T04.A</w:t>
            </w:r>
            <w:r>
              <w:rPr>
                <w:color w:val="000000" w:themeColor="text1"/>
                <w:sz w:val="24"/>
                <w:szCs w:val="24"/>
              </w:rPr>
            </w:r>
            <w:r>
              <w:rPr>
                <w:color w:val="000000" w:themeColor="text1"/>
                <w:sz w:val="24"/>
                <w:szCs w:val="24"/>
              </w:rPr>
            </w:r>
          </w:p>
        </w:tc>
        <w:tc>
          <w:tcPr>
            <w:shd w:val="clear" w:color="ffffff" w:fill="ffffff"/>
            <w:tcBorders/>
            <w:tcMar>
              <w:left w:w="108" w:type="dxa"/>
              <w:top w:w="0" w:type="dxa"/>
              <w:right w:w="108" w:type="dxa"/>
              <w:bottom w:w="0" w:type="dxa"/>
            </w:tcMar>
            <w:tcW w:w="6053" w:type="dxa"/>
            <w:textDirection w:val="lrTb"/>
            <w:noWrap w:val="false"/>
          </w:tcPr>
          <w:p>
            <w:pPr>
              <w:pStyle w:val="1024"/>
              <w:pBdr/>
              <w:spacing w:after="60"/>
              <w:ind w:right="-56"/>
              <w:jc w:val="right"/>
              <w:rPr>
                <w:color w:val="000000" w:themeColor="text1"/>
                <w:sz w:val="24"/>
                <w:szCs w:val="24"/>
                <w:lang w:val="vi-VN"/>
              </w:rPr>
            </w:pPr>
            <w:r>
              <w:rPr>
                <w:rStyle w:val="1023"/>
                <w:rFonts w:ascii="Times New Roman" w:hAnsi="Times New Roman"/>
                <w:i/>
                <w:color w:val="auto"/>
              </w:rPr>
              <w:t xml:space="preserve">TP. Hà 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3 tháng 9 năm 2026</w:t>
            </w:r>
            <w:r>
              <w:rPr>
                <w:color w:val="000000" w:themeColor="text1"/>
                <w:sz w:val="24"/>
                <w:szCs w:val="24"/>
                <w:lang w:val="vi-VN"/>
              </w:rPr>
            </w:r>
            <w:r>
              <w:rPr>
                <w:color w:val="000000" w:themeColor="text1"/>
                <w:sz w:val="24"/>
                <w:szCs w:val="24"/>
                <w:lang w:val="vi-VN"/>
              </w:rPr>
            </w:r>
          </w:p>
        </w:tc>
      </w:tr>
    </w:tbl>
    <w:p>
      <w:pPr>
        <w:pStyle w:val="1024"/>
        <w:pBdr/>
        <w:spacing w:after="120" w:before="200" w:line="288" w:lineRule="auto"/>
        <w:ind/>
        <w:jc w:val="center"/>
        <w:rPr>
          <w:rStyle w:val="1023"/>
          <w:rFonts w:ascii="Times New Roman" w:hAnsi="Times New Roman"/>
          <w:b/>
          <w:bCs/>
          <w:color w:val="auto"/>
          <w:sz w:val="30"/>
          <w:szCs w:val="30"/>
          <w:lang w:val="vi-VN"/>
        </w:rPr>
      </w:pPr>
      <w:r>
        <w:rPr>
          <w:rStyle w:val="1023"/>
          <w:rFonts w:ascii="Times New Roman" w:hAnsi="Times New Roman"/>
          <w:b/>
          <w:bCs/>
          <w:color w:val="auto"/>
          <w:sz w:val="30"/>
          <w:szCs w:val="30"/>
          <w:lang w:val="vi-VN"/>
        </w:rPr>
        <w:t xml:space="preserve">CHỨNG THƯ THẨM ĐỊNH GIÁ</w:t>
      </w:r>
      <w:r>
        <w:rPr>
          <w:rStyle w:val="1023"/>
          <w:rFonts w:ascii="Times New Roman" w:hAnsi="Times New Roman"/>
          <w:b/>
          <w:bCs/>
          <w:color w:val="auto"/>
          <w:sz w:val="30"/>
          <w:szCs w:val="30"/>
          <w:lang w:val="vi-VN"/>
        </w:rPr>
      </w:r>
      <w:r>
        <w:rPr>
          <w:rStyle w:val="1023"/>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Hoàng Văn Hùng</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275/2026/1369/VFI-HĐTĐ.T04.A</w:t>
      </w:r>
      <w:r>
        <w:rPr>
          <w:spacing w:val="-4"/>
          <w:lang w:val="vi-VN"/>
        </w:rPr>
        <w:t xml:space="preserve"> ký ngày </w:t>
      </w:r>
      <w:r>
        <w:rPr>
          <w:color w:val="000000" w:themeColor="text1"/>
          <w:spacing w:val="-4"/>
        </w:rPr>
        <w:t xml:space="preserve">29 tháng 8 năm 2026</w:t>
      </w:r>
      <w:r>
        <w:rPr>
          <w:spacing w:val="-4"/>
          <w:lang w:val="vi-VN"/>
        </w:rPr>
        <w:t xml:space="preserve"> </w:t>
      </w:r>
      <w:r>
        <w:rPr>
          <w:spacing w:val="-4"/>
          <w:lang w:val="vi-VN"/>
        </w:rPr>
        <w:t xml:space="preserve">giữa </w:t>
      </w:r>
      <w:r>
        <w:rPr>
          <w:color w:val="000000" w:themeColor="text1"/>
          <w:spacing w:val="-4"/>
        </w:rPr>
        <w:t xml:space="preserve">Ông Hoàng Văn Hùng</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275/2026/1369/VFI-BC.T04.A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3 tháng 9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ÔNG HOÀNG VĂN HÙNG</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037081001138</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1981</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t xml:space="preserve">TDP Thượng, phường Thanh Liệt, thành phố Hà Nội</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658"/>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TGĐ</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LK20-L21, tờ bản đồ số: 00, có địa chỉ: Khu đấu giá QSD đất Mậu Lương, phường Kiến Hưng, quận Hà Đông, (nay là phường Kiến Hưng) thà</w:t>
      </w:r>
      <w:r>
        <w:rPr>
          <w:color w:val="000000" w:themeColor="text1"/>
        </w:rPr>
        <w:t xml:space="preserve">nh phố Hà Nội  theo Giấy chứng nhận quyền sử dụng đất, quyền sở hữu nhà ở và tài sản khác gắn liền với đất số: CR 696042, Số vào sổ cấp GCN: CS-HĐO 23932 do Sở Tài nguyên và môi trường Thành phố Hà Nội  cấp ngày 10/5/2019; chủ sử dụng đất là ông Hoàng Văn Hùng</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09/2026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09/2026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5"/>
        <w:gridCol w:w="1802"/>
        <w:gridCol w:w="2581"/>
        <w:gridCol w:w="2164"/>
      </w:tblGrid>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025"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802"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581"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408" w:type="dxa"/>
            <w:vAlign w:val="center"/>
            <w:textDirection w:val="lrTb"/>
            <w:noWrap w:val="false"/>
          </w:tcPr>
          <w:p>
            <w:pPr>
              <w:pBdr/>
              <w:spacing w:after="40" w:before="40" w:line="288" w:lineRule="auto"/>
              <w:ind/>
              <w:jc w:val="both"/>
              <w:rPr>
                <w:b/>
                <w:bCs/>
              </w:rPr>
            </w:pPr>
            <w:r>
              <w:rPr>
                <w:b/>
                <w:bCs/>
                <w:color w:val="000000"/>
              </w:rPr>
              <w:t xml:space="preserve">Quyền sử dụng đất tại thửa đất số: LK20-L21, tờ bản đồ số: 00, có địa chỉ: Khu đấu giá QSD đất Mậu Lương, phường Kiến Hưng, quận Hà Đông, (nay là phường Kiến Hưng) thà</w:t>
            </w:r>
            <w:r>
              <w:rPr>
                <w:b/>
                <w:bCs/>
                <w:color w:val="000000"/>
              </w:rPr>
              <w:t xml:space="preserve">nh phố Hà Nội  theo Giấy chứng nhận quyền sử dụng đất, quyền sở hữu nhà ở và tài sản khác gắn liền với đất số: CR 696042, Số vào sổ cấp GCN: CS-HĐO 23932 do Sở Tài nguyên và môi trường Thành phố Hà Nội  cấp ngày 10/5/2019; chủ sử dụng đất là ông Hoàng Văn Hùng</w:t>
            </w:r>
            <w:r>
              <w:rPr>
                <w:b/>
                <w:bCs/>
              </w:rPr>
              <w:t xml:space="preserve">.</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2025" w:type="dxa"/>
            <w:vAlign w:val="center"/>
            <w:textDirection w:val="lrTb"/>
            <w:noWrap w:val="false"/>
          </w:tcPr>
          <w:p>
            <w:pPr>
              <w:pBdr/>
              <w:spacing w:after="40" w:before="40" w:line="288" w:lineRule="auto"/>
              <w:ind/>
              <w:rPr/>
            </w:pPr>
            <w:r>
              <w:rPr>
                <w:b/>
                <w:bCs/>
              </w:rPr>
              <w:t xml:space="preserve">Đất ở tại đô thị</w:t>
            </w:r>
            <w:r/>
          </w:p>
        </w:tc>
        <w:tc>
          <w:tcPr>
            <w:tcBorders/>
            <w:tcW w:w="1802" w:type="dxa"/>
            <w:vAlign w:val="center"/>
            <w:textDirection w:val="lrTb"/>
            <w:noWrap/>
          </w:tcPr>
          <w:p>
            <w:pPr>
              <w:pBdr/>
              <w:spacing w:after="40" w:before="40" w:line="288" w:lineRule="auto"/>
              <w:ind/>
              <w:jc w:val="center"/>
              <w:rPr>
                <w:color w:val="000000"/>
              </w:rPr>
            </w:pPr>
            <w:r>
              <w:rPr>
                <w:color w:val="000000" w:themeColor="text1"/>
              </w:rPr>
              <w:t xml:space="preserve">50</w:t>
            </w:r>
            <w:r>
              <w:rPr>
                <w:color w:val="000000"/>
              </w:rPr>
            </w:r>
            <w:r>
              <w:rPr>
                <w:color w:val="000000"/>
              </w:rPr>
            </w:r>
          </w:p>
        </w:tc>
        <w:tc>
          <w:tcPr>
            <w:shd w:val="clear" w:color="000000" w:fill="ffffff"/>
            <w:tcBorders/>
            <w:tcW w:w="2581" w:type="dxa"/>
            <w:vAlign w:val="center"/>
            <w:textDirection w:val="lrTb"/>
            <w:noWrap w:val="false"/>
          </w:tcPr>
          <w:p>
            <w:pPr>
              <w:pBdr/>
              <w:spacing w:after="40" w:before="40" w:line="288" w:lineRule="auto"/>
              <w:ind/>
              <w:jc w:val="center"/>
              <w:rPr/>
            </w:pPr>
            <w:r>
              <w:rPr>
                <w:color w:val="000000" w:themeColor="text1"/>
              </w:rPr>
              <w:t xml:space="preserve">166.000.000</w:t>
            </w:r>
            <w:r/>
          </w:p>
        </w:tc>
        <w:tc>
          <w:tcPr>
            <w:shd w:val="clear" w:color="000000" w:fill="ffffff"/>
            <w:tcBorders/>
            <w:tcW w:w="2164" w:type="dxa"/>
            <w:vAlign w:val="center"/>
            <w:textDirection w:val="lrTb"/>
            <w:noWrap w:val="false"/>
          </w:tcPr>
          <w:p>
            <w:pPr>
              <w:pBdr/>
              <w:spacing w:after="40" w:before="40" w:line="288" w:lineRule="auto"/>
              <w:ind/>
              <w:jc w:val="center"/>
              <w:rPr/>
            </w:pPr>
            <w:r>
              <w:rPr>
                <w:color w:val="000000" w:themeColor="text1"/>
              </w:rPr>
              <w:t xml:space="preserve">8.300.000.000</w:t>
            </w: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rPr>
              <w:t xml:space="preserve">8.300.000.000</w:t>
            </w:r>
            <w:r>
              <w:rPr>
                <w:b/>
                <w:bCs/>
                <w:color w:val="000000"/>
              </w:rPr>
            </w:r>
            <w:r>
              <w:rPr>
                <w:b/>
                <w:bCs/>
                <w:color w:val="000000"/>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Tám tỷ ba trăm triệu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bCs/>
          <w:spacing w:val="-4"/>
          <w:lang w:val="pt-BR"/>
        </w:rPr>
      </w:pPr>
      <w:r>
        <w:rPr>
          <w:lang w:val="pt-BR"/>
        </w:rPr>
        <w:t xml:space="preserve">- </w:t>
      </w:r>
      <w:r>
        <w:rPr>
          <w:lang w:val="pt-BR"/>
        </w:rPr>
        <w:t xml:space="preserve">Chi tiết như Báo cáo kèm theo.</w:t>
      </w:r>
      <w:r>
        <w:rPr>
          <w:lang w:val="pt-BR"/>
        </w:rPr>
      </w:r>
      <w:r>
        <w:rPr>
          <w:rFonts w:eastAsia="Calibri"/>
          <w:b/>
          <w:bCs/>
          <w:spacing w:val="-4"/>
          <w:lang w:val="pt-BR"/>
        </w:rPr>
      </w:r>
    </w:p>
    <w:p>
      <w:pPr>
        <w:pBdr/>
        <w:spacing w:after="120" w:before="120" w:line="312" w:lineRule="auto"/>
        <w:ind w:firstLine="0"/>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130" w:type="dxa"/>
        <w:tblBorders/>
        <w:tblLayout w:type="fixed"/>
        <w:tblLook w:val="04A0" w:firstRow="1" w:lastRow="0" w:firstColumn="1" w:lastColumn="0" w:noHBand="0" w:noVBand="1"/>
      </w:tblPr>
      <w:tblGrid>
        <w:gridCol w:w="1729"/>
        <w:gridCol w:w="8401"/>
      </w:tblGrid>
      <w:tr>
        <w:trPr>
          <w:trHeight w:val="1701"/>
        </w:trPr>
        <w:tc>
          <w:tcPr>
            <w:tcBorders/>
            <w:tcW w:w="1729" w:type="dxa"/>
            <w:textDirection w:val="lrTb"/>
            <w:noWrap w:val="false"/>
          </w:tcPr>
          <w:p>
            <w:pPr>
              <w:pBdr/>
              <w:spacing w:line="360" w:lineRule="auto"/>
              <w:ind w:hanging="108"/>
              <w:rPr>
                <w:i/>
                <w:szCs w:val="26"/>
                <w:lang w:eastAsia="zh-CN"/>
              </w:rPr>
            </w:pPr>
            <w:r>
              <w:rPr>
                <w:i/>
                <w:szCs w:val="26"/>
              </w:rPr>
            </w: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531604" name="Picture 3" descr="Logo, company name&#10;&#10;Description automatically generated"/>
                              <pic:cNvPicPr>
                                <a:picLocks noChangeAspect="1"/>
                              </pic:cNvPicPr>
                              <pic:nvPr/>
                            </pic:nvPicPr>
                            <pic:blipFill rotWithShape="1">
                              <a:blip r:embed="rId14"/>
                              <a:stretch/>
                            </pic:blipFill>
                            <pic:spPr bwMode="auto">
                              <a:xfrm>
                                <a:off x="0" y="0"/>
                                <a:ext cx="1017904" cy="922019"/>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rPr>
            </w:r>
            <w:r>
              <w:rPr>
                <w:i/>
                <w:szCs w:val="26"/>
                <w:lang w:eastAsia="zh-CN"/>
              </w:rPr>
            </w:r>
            <w:r>
              <w:rPr>
                <w:i/>
                <w:szCs w:val="26"/>
                <w:lang w:eastAsia="zh-CN"/>
              </w:rPr>
            </w:r>
          </w:p>
        </w:tc>
        <w:tc>
          <w:tcPr>
            <w:tcBorders/>
            <w:tcW w:w="840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bl>
    <w:tbl>
      <w:tblPr>
        <w:tblInd w:w="-284" w:type="dxa"/>
        <w:tblW w:w="10130" w:type="dxa"/>
        <w:tblBorders/>
        <w:tblLayout w:type="fixed"/>
        <w:tblLook w:val="04A0" w:firstRow="1" w:lastRow="0" w:firstColumn="1" w:lastColumn="0" w:noHBand="0" w:noVBand="1"/>
      </w:tblPr>
      <w:tblGrid>
        <w:gridCol w:w="4847"/>
        <w:gridCol w:w="5283"/>
      </w:tblGrid>
      <w:tr>
        <w:trPr>
          <w:trHeight w:val="273"/>
        </w:trPr>
        <w:tc>
          <w:tcPr>
            <w:shd w:val="clear" w:color="ffffff" w:fill="ffffff"/>
            <w:tcBorders/>
            <w:tcMar>
              <w:left w:w="108" w:type="dxa"/>
              <w:top w:w="0" w:type="dxa"/>
              <w:right w:w="108" w:type="dxa"/>
              <w:bottom w:w="0" w:type="dxa"/>
            </w:tcMar>
            <w:tcW w:w="4847"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 </w:t>
            </w:r>
            <w:r>
              <w:rPr>
                <w:rStyle w:val="1023"/>
                <w:rFonts w:ascii="Times New Roman" w:hAnsi="Times New Roman"/>
                <w:color w:val="000000" w:themeColor="text1"/>
                <w:lang w:val="pt-BR"/>
              </w:rPr>
              <w:t xml:space="preserve">275/2026/1369/VFI-CT.T04.A</w:t>
            </w:r>
            <w:r>
              <w:rPr>
                <w:color w:val="000000" w:themeColor="text1"/>
                <w:sz w:val="24"/>
                <w:szCs w:val="24"/>
              </w:rPr>
            </w:r>
            <w:r>
              <w:rPr>
                <w:color w:val="000000" w:themeColor="text1"/>
                <w:sz w:val="24"/>
                <w:szCs w:val="24"/>
              </w:rPr>
            </w:r>
          </w:p>
        </w:tc>
        <w:tc>
          <w:tcPr>
            <w:shd w:val="clear" w:color="ffffff" w:fill="ffffff"/>
            <w:tcBorders/>
            <w:tcMar>
              <w:left w:w="108" w:type="dxa"/>
              <w:top w:w="0" w:type="dxa"/>
              <w:right w:w="108" w:type="dxa"/>
              <w:bottom w:w="0" w:type="dxa"/>
            </w:tcMar>
            <w:tcW w:w="5283" w:type="dxa"/>
            <w:textDirection w:val="lrTb"/>
            <w:noWrap w:val="false"/>
          </w:tcPr>
          <w:p>
            <w:pPr>
              <w:pStyle w:val="1024"/>
              <w:pBdr/>
              <w:spacing w:after="60"/>
              <w:ind w:right="-56"/>
              <w:jc w:val="right"/>
              <w:rPr>
                <w:color w:val="000000" w:themeColor="text1"/>
                <w:sz w:val="24"/>
                <w:szCs w:val="24"/>
                <w:lang w:val="vi-VN"/>
              </w:rPr>
            </w:pPr>
            <w:r>
              <w:rPr>
                <w:rStyle w:val="1023"/>
                <w:rFonts w:ascii="Times New Roman" w:hAnsi="Times New Roman"/>
                <w:i/>
                <w:color w:val="auto"/>
              </w:rPr>
              <w:t xml:space="preserve">TP. Hà 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3 tháng 9 năm 2026</w:t>
            </w:r>
            <w:r>
              <w:rPr>
                <w:color w:val="000000" w:themeColor="text1"/>
                <w:sz w:val="24"/>
                <w:szCs w:val="24"/>
                <w:lang w:val="vi-VN"/>
              </w:rPr>
            </w:r>
            <w:r>
              <w:rPr>
                <w:color w:val="000000" w:themeColor="text1"/>
                <w:sz w:val="24"/>
                <w:szCs w:val="24"/>
                <w:lang w:val="vi-VN"/>
              </w:rPr>
            </w:r>
          </w:p>
        </w:tc>
      </w:tr>
      <w:tr>
        <w:trPr>
          <w:trHeight w:val="273"/>
        </w:trPr>
        <w:tc>
          <w:tcPr>
            <w:shd w:val="clear" w:color="ffffff" w:fill="ffffff"/>
            <w:tcBorders/>
            <w:tcMar>
              <w:left w:w="108" w:type="dxa"/>
              <w:top w:w="0" w:type="dxa"/>
              <w:right w:w="108" w:type="dxa"/>
              <w:bottom w:w="0" w:type="dxa"/>
            </w:tcMar>
            <w:tcW w:w="4847" w:type="dxa"/>
            <w:textDirection w:val="lrTb"/>
            <w:noWrap w:val="false"/>
          </w:tcPr>
          <w:p>
            <w:pPr>
              <w:pStyle w:val="1024"/>
              <w:pBdr/>
              <w:spacing w:after="60"/>
              <w:ind/>
              <w:rPr>
                <w:rStyle w:val="1023"/>
                <w:rFonts w:ascii="Times New Roman" w:hAnsi="Times New Roman"/>
                <w:color w:val="000000" w:themeColor="text1"/>
                <w:lang w:val="pt-BR"/>
              </w:rPr>
            </w:pPr>
            <w:r>
              <w:rPr>
                <w:rStyle w:val="1023"/>
                <w:rFonts w:ascii="Times New Roman" w:hAnsi="Times New Roman"/>
                <w:color w:val="000000" w:themeColor="text1"/>
                <w:lang w:val="pt-BR"/>
              </w:rPr>
            </w:r>
            <w:r>
              <w:rPr>
                <w:rStyle w:val="1023"/>
                <w:rFonts w:ascii="Times New Roman" w:hAnsi="Times New Roman"/>
                <w:color w:val="000000" w:themeColor="text1"/>
                <w:lang w:val="pt-BR"/>
              </w:rPr>
            </w:r>
            <w:r>
              <w:rPr>
                <w:rStyle w:val="1023"/>
                <w:rFonts w:ascii="Times New Roman" w:hAnsi="Times New Roman"/>
                <w:color w:val="000000" w:themeColor="text1"/>
                <w:lang w:val="pt-BR"/>
              </w:rPr>
            </w:r>
          </w:p>
        </w:tc>
        <w:tc>
          <w:tcPr>
            <w:shd w:val="clear" w:color="ffffff" w:fill="ffffff"/>
            <w:tcBorders/>
            <w:tcMar>
              <w:left w:w="108" w:type="dxa"/>
              <w:top w:w="0" w:type="dxa"/>
              <w:right w:w="108" w:type="dxa"/>
              <w:bottom w:w="0" w:type="dxa"/>
            </w:tcMar>
            <w:tcW w:w="5283" w:type="dxa"/>
            <w:textDirection w:val="lrTb"/>
            <w:noWrap w:val="false"/>
          </w:tcPr>
          <w:p>
            <w:pPr>
              <w:pStyle w:val="1024"/>
              <w:pBdr/>
              <w:spacing w:after="60"/>
              <w:ind w:right="-56"/>
              <w:rPr>
                <w:rStyle w:val="1023"/>
                <w:rFonts w:ascii="Times New Roman" w:hAnsi="Times New Roman"/>
                <w:i/>
                <w:color w:val="auto"/>
              </w:rPr>
            </w:pPr>
            <w:r>
              <w:rPr>
                <w:rFonts w:ascii="Times New Roman" w:hAnsi="Times New Roman"/>
                <w:i/>
                <w:color w:val="auto"/>
              </w:rPr>
            </w:r>
            <w:r>
              <w:rPr>
                <w:rStyle w:val="1023"/>
                <w:rFonts w:ascii="Times New Roman" w:hAnsi="Times New Roman"/>
                <w:i/>
                <w:color w:val="auto"/>
              </w:rPr>
            </w:r>
            <w:r>
              <w:rPr>
                <w:rStyle w:val="1023"/>
                <w:rFonts w:ascii="Times New Roman" w:hAnsi="Times New Roman"/>
                <w:i/>
                <w:color w:val="auto"/>
              </w:rPr>
            </w:r>
          </w:p>
        </w:tc>
      </w:tr>
    </w:tbl>
    <w:p>
      <w:pPr>
        <w:pStyle w:val="1024"/>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275/2026/1369/VFI-CT.T04.A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3 tháng 9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TGĐ</w:t>
            </w:r>
            <w:r>
              <w:rPr>
                <w:b/>
                <w:bCs/>
                <w:lang w:val="vi-VN"/>
              </w:rPr>
            </w:r>
          </w:p>
        </w:tc>
      </w:tr>
    </w:tbl>
    <w:p>
      <w:pPr>
        <w:pStyle w:val="102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t xml:space="preserve">ÔNG HOÀNG VĂN HÙNG</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037081001138</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1981</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r>
            <w:r>
              <w:t xml:space="preserve">TDP Thượng, phường Thanh Liệt, thành phố Hà Nội</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LK20-L21, tờ bản đồ số: 00, có địa chỉ: Khu đấu giá QSD đất Mậu Lương, phường Kiến Hưng, quận Hà Đông, (nay là phường Kiến Hưng) thà</w:t>
            </w:r>
            <w:r>
              <w:rPr>
                <w:bCs/>
                <w:color w:val="000000" w:themeColor="text1"/>
                <w:lang w:val="pt-BR"/>
              </w:rPr>
              <w:t xml:space="preserve">nh phố Hà Nội  theo Giấy chứng nhận quyền sử dụng đất, quyền sở hữu nhà ở và tài sản khác gắn liền với đất số: CR 696042, Số vào sổ cấp GCN: CS-HĐO 23932 do Sở Tài nguyên và môi trường Thành phố Hà Nội  cấp ngày 10/5/2019; chủ sử dụng đất là ông Hoàng Văn Hùng</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09/2026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Phường Hà Đông,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5"/>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20.955972222222, 105.79586111111</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09/2026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5"/>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5"/>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5"/>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5"/>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25"/>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25"/>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25"/>
        <w:numPr>
          <w:ilvl w:val="0"/>
          <w:numId w:val="1"/>
        </w:numPr>
        <w:pBdr/>
        <w:spacing w:after="120" w:before="120" w:line="276" w:lineRule="auto"/>
        <w:ind/>
        <w:jc w:val="both"/>
        <w:rPr>
          <w:bCs/>
          <w:spacing w:val="-4"/>
          <w:lang w:val="pt-BR"/>
        </w:rPr>
      </w:pPr>
      <w:r>
        <w:rPr>
          <w:bCs/>
          <w:spacing w:val="-4"/>
          <w:lang w:val="pt-BR"/>
        </w:rPr>
        <w:t xml:space="preserve">Quyết định số 425/QĐ-BXD ngày 30/03/2026 của Bộ Xây dựng về việc Công bố suất vốn đầu tư xây dựng công trình và giá xây dựng tổng hợp bộ phận kết cấu công trình năm 2025;</w:t>
      </w:r>
      <w:r>
        <w:rPr>
          <w:bCs/>
          <w:spacing w:val="-4"/>
          <w:lang w:val="pt-BR"/>
        </w:rPr>
      </w:r>
      <w:r>
        <w:rPr>
          <w:bCs/>
          <w:spacing w:val="-4"/>
          <w:lang w:val="pt-BR"/>
        </w:rPr>
      </w:r>
    </w:p>
    <w:p>
      <w:pPr>
        <w:pStyle w:val="1025"/>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25"/>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5"/>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25"/>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nhà ở và tài sản khác gắn liền với đất số: CR 696042, Số vào sổ cấp GCN: CS-HĐO 23932 do Sở Tài nguyên và môi trường Thành phố Hà Nội  cấp ngày 10/5/2019; chủ sử dụng đất là ông Hoàng Văn Hùng</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25"/>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275/2026/1369/VFI-HĐTĐ.T04.A ngày 29/08/2026 giữa Hoàng Văn Hùng với Công ty Cổ phần Thẩm định và Đầu tư Tài chính Hoa Sen.</w:t>
      </w:r>
      <w:r>
        <w:rPr>
          <w:b/>
          <w:lang w:val="pt-BR"/>
        </w:rPr>
      </w:r>
      <w:r>
        <w:rPr>
          <w:b/>
          <w:lang w:val="pt-BR"/>
        </w:rPr>
      </w:r>
    </w:p>
    <w:p>
      <w:pPr>
        <w:pStyle w:val="1025"/>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360" w:left="0"/>
        <w:jc w:val="both"/>
        <w:rPr/>
      </w:pPr>
      <w:r>
        <w:rPr>
          <w:lang w:val="pt-BR"/>
        </w:rPr>
        <w:tab/>
      </w:r>
      <w:r>
        <w:rPr>
          <w:rFonts w:ascii="Times New Roman" w:hAnsi="Times New Roman" w:eastAsia="Times New Roman" w:cs="Times New Roman"/>
          <w:color w:val="0d0d0d"/>
          <w:sz w:val="24"/>
        </w:rPr>
        <w:t xml:space="preserve">Thị trường bất động sản Hà Nội trong năm 2026 đang bước vào giai đoạn phục hồi nhưng có sự sàng lọc rõ rệt. Nguồn cung mới đã tăng trở lại, đặc biệt ở phân khúc căn hộ, tuy nhiên người mua không còn xuống tiền nhanh như giai đoạn 2024–2025. Lãi suất cho va</w:t>
      </w:r>
      <w:r>
        <w:rPr>
          <w:rFonts w:ascii="Times New Roman" w:hAnsi="Times New Roman" w:eastAsia="Times New Roman" w:cs="Times New Roman"/>
          <w:color w:val="0d0d0d"/>
          <w:sz w:val="24"/>
        </w:rPr>
        <w:t xml:space="preserve">y cao hơn và mặt bằng giá nhà tăng mạnh khiến người mua quan tâm nhiều hơn đến giá trị thực, pháp lý và khả năng khai thác của bất động sản.</w:t>
      </w:r>
      <w:r/>
    </w:p>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360" w:left="0"/>
        <w:jc w:val="both"/>
        <w:rPr/>
      </w:pPr>
      <w:r>
        <w:rPr>
          <w:rFonts w:ascii="Times New Roman" w:hAnsi="Times New Roman" w:eastAsia="Times New Roman" w:cs="Times New Roman"/>
          <w:color w:val="0d0d0d"/>
          <w:sz w:val="24"/>
        </w:rPr>
        <w:t xml:space="preserve">Phân khúc căn hộ chung cư vẫn là một trong những phân khúc sôi động nhất. Trong 6 tháng đầu năm 2026, Hà Nội ghi nhận khoảng 16.600 căn hộ mở bán mới, mức cao nhất trong 6 tháng đầu năm kể từ năm 2020. Tuy nhiên, nguồn cung mới đang nghiêng mạnh về phân kh</w:t>
      </w:r>
      <w:r>
        <w:rPr>
          <w:rFonts w:ascii="Times New Roman" w:hAnsi="Times New Roman" w:eastAsia="Times New Roman" w:cs="Times New Roman"/>
          <w:color w:val="0d0d0d"/>
          <w:sz w:val="24"/>
        </w:rPr>
        <w:t xml:space="preserve">úc trung và cao cấp; thị trường gần như không còn sản phẩm mới dưới 60 triệu đồng/m². </w:t>
      </w:r>
      <w:r/>
    </w:p>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360" w:left="0"/>
        <w:jc w:val="both"/>
        <w:rPr/>
      </w:pPr>
      <w:r>
        <w:rPr>
          <w:rFonts w:ascii="Times New Roman" w:hAnsi="Times New Roman" w:eastAsia="Times New Roman" w:cs="Times New Roman"/>
          <w:color w:val="0d0d0d"/>
          <w:sz w:val="24"/>
        </w:rPr>
        <w:t xml:space="preserve">Về giá bán, căn hộ sơ cấp tại Hà Nội tiếp tục duy trì ở mức cao. Trong quý II/2026, giá bán sơ cấp trung bình đạt khoảng 95 triệu đồng/m², tăng 12% so với quý trước và 21% so với cùng kỳ năm 2025. Ngược lại, giá căn hộ trên thị trường thứ cấp đã bắt đầu đi</w:t>
      </w:r>
      <w:r>
        <w:rPr>
          <w:rFonts w:ascii="Times New Roman" w:hAnsi="Times New Roman" w:eastAsia="Times New Roman" w:cs="Times New Roman"/>
          <w:color w:val="0d0d0d"/>
          <w:sz w:val="24"/>
        </w:rPr>
        <w:t xml:space="preserve">ều chỉnh, xuống khoảng 60 triệu đồng/m², giảm gần 3% so với quý trước. Điều này cho thấy thị trường đang có sự phân hóa rõ giữa sản phẩm mới và sản phẩm chuyển nhượng. Thanh khoản cũng là vấn đề đáng chú ý. Trong quý II/2026, lượng căn hộ bán được đạt hơn </w:t>
      </w:r>
      <w:r>
        <w:rPr>
          <w:rFonts w:ascii="Times New Roman" w:hAnsi="Times New Roman" w:eastAsia="Times New Roman" w:cs="Times New Roman"/>
          <w:color w:val="0d0d0d"/>
          <w:sz w:val="24"/>
        </w:rPr>
        <w:t xml:space="preserve">5.800 căn, tương đương khoảng 68% nguồn cung mở bán mới. Tỷ lệ này thấp hơn đáng kể so với giai đoạn 2024–2025, khi tỷ lệ hấp thụ thường xuyên trên 90%. Người mua hiện có xu hướng cân nhắc kỹ về dòng tiền và khả năng trả nợ trước khi quyết định mua. </w:t>
      </w:r>
      <w:r/>
    </w:p>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360" w:left="0"/>
        <w:jc w:val="both"/>
        <w:rPr/>
      </w:pPr>
      <w:r>
        <w:rPr>
          <w:rFonts w:ascii="Times New Roman" w:hAnsi="Times New Roman" w:eastAsia="Times New Roman" w:cs="Times New Roman"/>
          <w:color w:val="0d0d0d"/>
          <w:sz w:val="24"/>
        </w:rPr>
        <w:t xml:space="preserve">Về khu vực phát triển, nguồn cung đang có xu hướng dịch chuyển từ khu vực lõi trung tâm sang các khu vực rìa trung tâm và ngoại thành. Các khu vực phía Tây, phía Đông và một số huyện ngoại thành tiếp tục được hưởng lợi từ quỹ đất lớn, tốc độ đô thị hóa và </w:t>
      </w:r>
      <w:r>
        <w:rPr>
          <w:rFonts w:ascii="Times New Roman" w:hAnsi="Times New Roman" w:eastAsia="Times New Roman" w:cs="Times New Roman"/>
          <w:color w:val="0d0d0d"/>
          <w:sz w:val="24"/>
        </w:rPr>
        <w:t xml:space="preserve">đầu tư hạ tầng. Cushman &amp; Wakefield nhận định nguồn cung nhà ở trong thời gian tới sẽ tiếp tục dịch chuyển ra ngoài trung tâm, phù hợp với xu hướng phát triển đô thị đa cực của Hà Nội. </w:t>
      </w:r>
      <w:r/>
    </w:p>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360" w:left="0"/>
        <w:jc w:val="both"/>
        <w:rPr/>
      </w:pPr>
      <w:r>
        <w:rPr>
          <w:rFonts w:ascii="Times New Roman" w:hAnsi="Times New Roman" w:eastAsia="Times New Roman" w:cs="Times New Roman"/>
          <w:color w:val="0d0d0d"/>
          <w:sz w:val="24"/>
        </w:rPr>
        <w:t xml:space="preserve">Đối với nhà liền thổ và đất nền, thị trường cũng đang có xu hướng mở rộng ra vùng ven. Những khu vực như Đông Anh, Gia Lâm, Hoài Đức, Thường Tín, Đan Phượng và một số khu vực phía Tây Hà Nội được chú ý nhờ quỹ đất và sự phát triển của hệ thống giao thông. </w:t>
      </w:r>
      <w:r>
        <w:rPr>
          <w:rFonts w:ascii="Times New Roman" w:hAnsi="Times New Roman" w:eastAsia="Times New Roman" w:cs="Times New Roman"/>
          <w:color w:val="0d0d0d"/>
          <w:sz w:val="24"/>
        </w:rPr>
        <w:t xml:space="preserve">Tuy nhiên, giá đất tại từng khu vực có sự khác biệt lớn và nhà đầu tư cần đặc biệt quan tâm đến quy hoạch, pháp lý và khả năng hình thành nhu cầu ở thực.</w:t>
      </w:r>
      <w:r/>
    </w:p>
    <w:p>
      <w:pPr>
        <w:pBdr/>
        <w:tabs>
          <w:tab w:val="left" w:leader="none" w:pos="426"/>
        </w:tabs>
        <w:spacing w:after="120" w:before="120" w:line="276" w:lineRule="auto"/>
        <w:ind w:right="0" w:firstLine="283" w:left="0"/>
        <w:jc w:val="both"/>
        <w:rPr>
          <w:bCs/>
          <w:i/>
          <w:lang w:val="pt-BR"/>
        </w:rPr>
      </w:pPr>
      <w:r>
        <w:rPr>
          <w:rFonts w:ascii="Times New Roman" w:hAnsi="Times New Roman" w:eastAsia="Times New Roman" w:cs="Times New Roman"/>
          <w:color w:val="0d0d0d"/>
          <w:sz w:val="24"/>
        </w:rPr>
        <w:t xml:space="preserve">Nhìn chung, thị trường bất động sản Hà Nội hiện không còn là thị trường tăng giá đồng loạt. Cơ hội đang tập trung nhiều hơn vào những dự án có vị trí tốt, pháp lý rõ ràng, hạ tầng hoàn thiện và mức giá phù hợp với khả năng tài chính của người mua. Trong tr</w:t>
      </w:r>
      <w:r>
        <w:rPr>
          <w:rFonts w:ascii="Times New Roman" w:hAnsi="Times New Roman" w:eastAsia="Times New Roman" w:cs="Times New Roman"/>
          <w:color w:val="0d0d0d"/>
          <w:sz w:val="24"/>
        </w:rPr>
        <w:t xml:space="preserve">ung và dài hạn, hạ tầng giao thông, quá trình mở rộng đô thị và sự dịch chuyển dân cư ra các khu vực phía Đông, phía Tây và vùng ven sẽ tiếp tục là những yếu tố quan trọng ảnh hưởng đến giá trị bất động sản</w:t>
      </w:r>
      <w:r>
        <w:rPr>
          <w:i/>
          <w:iCs/>
          <w:lang w:val="pt-BR"/>
        </w:rPr>
        <w:t xml:space="preserve">.</w:t>
      </w:r>
      <w:r>
        <w:rPr>
          <w:bCs/>
          <w:i/>
          <w:lang w:val="pt-BR"/>
        </w:rPr>
      </w:r>
      <w:r>
        <w:rPr>
          <w:bCs/>
          <w:i/>
          <w:lang w:val="pt-BR"/>
        </w:rPr>
      </w:r>
    </w:p>
    <w:p>
      <w:pPr>
        <w:pStyle w:val="1025"/>
        <w:pBdr/>
        <w:tabs>
          <w:tab w:val="left" w:leader="none" w:pos="993"/>
        </w:tabs>
        <w:spacing w:after="120" w:before="120" w:line="276" w:lineRule="auto"/>
        <w:ind w:left="0"/>
        <w:jc w:val="both"/>
        <w:rPr>
          <w:b/>
          <w:bCs/>
          <w:highlight w:val="none"/>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highlight w:val="none"/>
          <w:lang w:val="pt-BR"/>
        </w:rPr>
      </w:r>
      <w:r>
        <w:rPr>
          <w:b/>
          <w:bCs/>
          <w:highlight w:val="none"/>
          <w:lang w:val="pt-BR"/>
        </w:rPr>
      </w:r>
    </w:p>
    <w:tbl>
      <w:tblPr>
        <w:tblStyle w:val="102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56"/>
        <w:gridCol w:w="2321"/>
        <w:gridCol w:w="2425"/>
        <w:gridCol w:w="2360"/>
        <w:gridCol w:w="2793"/>
      </w:tblGrid>
      <w:tr>
        <w:trPr>
          <w:trHeight w:val="191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899" w:type="dxa"/>
            <w:vAlign w:val="center"/>
            <w:textDirection w:val="lrTb"/>
            <w:noWrap w:val="false"/>
          </w:tcPr>
          <w:p>
            <w:pPr>
              <w:pBdr/>
              <w:spacing w:after="0" w:before="0" w:line="240" w:lineRule="auto"/>
              <w:ind w:right="0" w:firstLine="0" w:left="90"/>
              <w:jc w:val="both"/>
              <w:rPr/>
            </w:pPr>
            <w:r>
              <w:rPr>
                <w:rFonts w:ascii="Times New Roman" w:hAnsi="Times New Roman" w:eastAsia="Times New Roman" w:cs="Times New Roman"/>
                <w:b/>
                <w:color w:val="000000"/>
                <w:sz w:val="24"/>
              </w:rPr>
              <w:t xml:space="preserve"> Quyền sử dụng đất tại thử</w:t>
            </w:r>
            <w:r>
              <w:rPr>
                <w:rFonts w:ascii="Times New Roman" w:hAnsi="Times New Roman" w:eastAsia="Times New Roman" w:cs="Times New Roman"/>
                <w:b/>
                <w:color w:val="000000"/>
                <w:sz w:val="24"/>
              </w:rPr>
              <w:t xml:space="preserve">a đất số: LK20-L21, tờ bản đồ số: 00, có địa chỉ: Khu đấu giá QSD đất Mậu Lương, phường Kiến Hưng, quận Hà Đông, (nay là phường Kiến Hưng) thành phố Hà Nội  theo Giấy chứng nhận quyền sử dụng đất, quyền sở hữu nhà ở và tài sản khác gắn liền với đất số: CR </w:t>
            </w:r>
            <w:r>
              <w:rPr>
                <w:rFonts w:ascii="Times New Roman" w:hAnsi="Times New Roman" w:eastAsia="Times New Roman" w:cs="Times New Roman"/>
                <w:b/>
                <w:color w:val="000000"/>
                <w:sz w:val="24"/>
              </w:rPr>
              <w:t xml:space="preserve">696042, Số vào sổ cấp GCN: CS-HĐO 23932 do Sở Tài nguyên và môi trường Thành phố Hà Nội  cấp ngày 10/5/2019; chủ sử dụng đất là Hoàng Văn Hùng </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899"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b/>
                <w:color w:val="000000"/>
                <w:sz w:val="24"/>
              </w:rPr>
              <w:t xml:space="preserve">Nội dung Thửa đất theo Hồ sơ pháp lý</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899"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b/>
                <w:color w:val="000000"/>
                <w:sz w:val="24"/>
              </w:rPr>
              <w:t xml:space="preserve">Thửa đất:</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4"/>
              </w:rPr>
              <w:t xml:space="preserve">Thửa đất số:</w:t>
            </w:r>
            <w:r/>
          </w:p>
        </w:tc>
        <w:tc>
          <w:tcPr>
            <w:shd w:val="clear" w:color="ffffff" w:fill="ffffff"/>
            <w:tcBorders>
              <w:bottom w:val="single" w:color="000000" w:sz="6" w:space="0"/>
              <w:right w:val="single" w:color="000000" w:sz="6" w:space="0"/>
            </w:tcBorders>
            <w:tcMar>
              <w:left w:w="0" w:type="dxa"/>
              <w:top w:w="0" w:type="dxa"/>
              <w:right w:w="0" w:type="dxa"/>
              <w:bottom w:w="0" w:type="dxa"/>
            </w:tcMar>
            <w:tcW w:w="2425" w:type="dxa"/>
            <w:vAlign w:val="center"/>
            <w:textDirection w:val="lrTb"/>
            <w:noWrap w:val="false"/>
          </w:tcPr>
          <w:p>
            <w:pPr>
              <w:pBdr/>
              <w:spacing w:after="0" w:before="0" w:line="240" w:lineRule="auto"/>
              <w:ind w:right="0" w:firstLine="0" w:left="90"/>
              <w:jc w:val="center"/>
              <w:rPr/>
            </w:pPr>
            <w:r>
              <w:rPr>
                <w:rFonts w:ascii="Times New Roman" w:hAnsi="Times New Roman" w:eastAsia="Times New Roman" w:cs="Times New Roman"/>
                <w:color w:val="000000"/>
                <w:sz w:val="24"/>
              </w:rPr>
              <w:t xml:space="preserve">LK20-L21</w:t>
            </w:r>
            <w:r/>
          </w:p>
        </w:tc>
        <w:tc>
          <w:tcPr>
            <w:shd w:val="clear" w:color="ffffff" w:fill="ffffff"/>
            <w:tcBorders>
              <w:bottom w:val="single" w:color="000000" w:sz="6" w:space="0"/>
              <w:right w:val="single" w:color="000000" w:sz="6" w:space="0"/>
            </w:tcBorders>
            <w:tcMar>
              <w:left w:w="0" w:type="dxa"/>
              <w:top w:w="0" w:type="dxa"/>
              <w:right w:w="0" w:type="dxa"/>
              <w:bottom w:w="0" w:type="dxa"/>
            </w:tcMar>
            <w:tcW w:w="2360"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4"/>
              </w:rPr>
              <w:t xml:space="preserve">Tờ bản đồ số:</w:t>
            </w:r>
            <w:r/>
          </w:p>
        </w:tc>
        <w:tc>
          <w:tcPr>
            <w:shd w:val="clear" w:color="ffffff" w:fill="ffffff"/>
            <w:tcBorders>
              <w:bottom w:val="single" w:color="000000" w:sz="6" w:space="0"/>
              <w:right w:val="single" w:color="000000" w:sz="6" w:space="0"/>
            </w:tcBorders>
            <w:tcMar>
              <w:left w:w="0" w:type="dxa"/>
              <w:top w:w="0" w:type="dxa"/>
              <w:right w:w="0" w:type="dxa"/>
              <w:bottom w:w="0" w:type="dxa"/>
            </w:tcMar>
            <w:tcW w:w="2793" w:type="dxa"/>
            <w:vAlign w:val="center"/>
            <w:textDirection w:val="lrTb"/>
            <w:noWrap w:val="false"/>
          </w:tcPr>
          <w:p>
            <w:pPr>
              <w:pBdr/>
              <w:spacing w:after="0" w:before="0" w:line="240" w:lineRule="auto"/>
              <w:ind w:right="0" w:firstLine="0" w:left="90"/>
              <w:jc w:val="center"/>
              <w:rPr/>
            </w:pPr>
            <w:r>
              <w:rPr>
                <w:rFonts w:ascii="Times New Roman" w:hAnsi="Times New Roman" w:eastAsia="Times New Roman" w:cs="Times New Roman"/>
                <w:color w:val="000000"/>
                <w:sz w:val="24"/>
              </w:rPr>
              <w:t xml:space="preserve">00</w:t>
            </w:r>
            <w:r/>
          </w:p>
        </w:tc>
      </w:tr>
      <w:tr>
        <w:trPr>
          <w:trHeight w:val="6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4"/>
              </w:rPr>
              <w:t xml:space="preserve">Địa chỉ:</w:t>
            </w: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757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4"/>
              </w:rPr>
              <w:t xml:space="preserve">Khu đấu giá QSD đất Mậu Lương, phường Kiến Hưng, quận Hà Đông, (nay là phường Kiến Hưng) thành phố Hà Nội </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4"/>
              </w:rPr>
              <w:t xml:space="preserve">Diện tích (m²):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425" w:type="dxa"/>
            <w:vAlign w:val="center"/>
            <w:textDirection w:val="lrTb"/>
            <w:noWrap w:val="false"/>
          </w:tcPr>
          <w:p>
            <w:pPr>
              <w:pBdr/>
              <w:spacing w:after="0" w:before="0" w:line="240" w:lineRule="auto"/>
              <w:ind w:right="0" w:firstLine="0" w:left="90"/>
              <w:jc w:val="center"/>
              <w:rPr/>
            </w:pPr>
            <w:r>
              <w:rPr>
                <w:rFonts w:ascii="Times New Roman" w:hAnsi="Times New Roman" w:eastAsia="Times New Roman" w:cs="Times New Roman"/>
                <w:color w:val="000000"/>
                <w:sz w:val="24"/>
              </w:rPr>
              <w:t xml:space="preserve">50,00</w:t>
            </w:r>
            <w:r/>
          </w:p>
        </w:tc>
        <w:tc>
          <w:tcPr>
            <w:tcBorders>
              <w:bottom w:val="single" w:color="000000" w:sz="6" w:space="0"/>
              <w:right w:val="single" w:color="000000" w:sz="6" w:space="0"/>
            </w:tcBorders>
            <w:tcMar>
              <w:left w:w="0" w:type="dxa"/>
              <w:top w:w="0" w:type="dxa"/>
              <w:right w:w="0" w:type="dxa"/>
              <w:bottom w:w="0" w:type="dxa"/>
            </w:tcMar>
            <w:tcW w:w="2360"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4"/>
              </w:rPr>
              <w:t xml:space="preserve">Hình thức sử dụng</w:t>
            </w:r>
            <w:r/>
          </w:p>
        </w:tc>
        <w:tc>
          <w:tcPr>
            <w:tcBorders>
              <w:bottom w:val="single" w:color="000000" w:sz="6" w:space="0"/>
              <w:right w:val="single" w:color="000000" w:sz="6" w:space="0"/>
            </w:tcBorders>
            <w:tcMar>
              <w:left w:w="0" w:type="dxa"/>
              <w:top w:w="0" w:type="dxa"/>
              <w:right w:w="0" w:type="dxa"/>
              <w:bottom w:w="0" w:type="dxa"/>
            </w:tcMar>
            <w:tcW w:w="2793" w:type="dxa"/>
            <w:vAlign w:val="center"/>
            <w:textDirection w:val="lrTb"/>
            <w:noWrap w:val="false"/>
          </w:tcPr>
          <w:p>
            <w:pPr>
              <w:pBdr/>
              <w:spacing w:after="0" w:before="0" w:line="240" w:lineRule="auto"/>
              <w:ind w:right="0" w:firstLine="0" w:left="90"/>
              <w:jc w:val="center"/>
              <w:rPr/>
            </w:pPr>
            <w:r>
              <w:rPr>
                <w:rFonts w:ascii="Times New Roman" w:hAnsi="Times New Roman" w:eastAsia="Times New Roman" w:cs="Times New Roman"/>
                <w:color w:val="000000"/>
                <w:sz w:val="24"/>
              </w:rPr>
              <w:t xml:space="preserve">Sử dụng riêng</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4"/>
              </w:rPr>
              <w:t xml:space="preserve">Mục đích sử dụng:</w:t>
            </w:r>
            <w:r/>
          </w:p>
        </w:tc>
        <w:tc>
          <w:tcPr>
            <w:tcBorders/>
            <w:tcMar>
              <w:left w:w="0" w:type="dxa"/>
              <w:top w:w="0" w:type="dxa"/>
              <w:right w:w="0" w:type="dxa"/>
              <w:bottom w:w="0" w:type="dxa"/>
            </w:tcMar>
            <w:tcW w:w="2425" w:type="dxa"/>
            <w:vAlign w:val="bottom"/>
            <w:textDirection w:val="lrTb"/>
            <w:noWrap/>
          </w:tcPr>
          <w:p>
            <w:pPr>
              <w:pBdr/>
              <w:spacing w:after="0" w:before="0" w:line="240" w:lineRule="auto"/>
              <w:ind w:right="0" w:firstLine="0" w:left="90"/>
              <w:jc w:val="center"/>
              <w:rPr/>
            </w:pPr>
            <w:r>
              <w:rPr>
                <w:rFonts w:ascii="Times New Roman" w:hAnsi="Times New Roman" w:eastAsia="Times New Roman" w:cs="Times New Roman"/>
                <w:color w:val="000000"/>
                <w:sz w:val="24"/>
              </w:rPr>
              <w:t xml:space="preserve">Đất ở tại đô thị</w:t>
            </w:r>
            <w:r/>
          </w:p>
        </w:tc>
        <w:tc>
          <w:tcPr>
            <w:tcBorders>
              <w:left w:val="single" w:color="000000" w:sz="6" w:space="0"/>
              <w:bottom w:val="single" w:color="000000" w:sz="6" w:space="0"/>
              <w:right w:val="single" w:color="000000" w:sz="6" w:space="0"/>
            </w:tcBorders>
            <w:tcMar>
              <w:left w:w="0" w:type="dxa"/>
              <w:top w:w="0" w:type="dxa"/>
              <w:right w:w="0" w:type="dxa"/>
              <w:bottom w:w="0" w:type="dxa"/>
            </w:tcMar>
            <w:tcW w:w="2360"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4"/>
              </w:rPr>
              <w:t xml:space="preserve">Thời hạn sử dụng:</w:t>
            </w:r>
            <w:r/>
          </w:p>
        </w:tc>
        <w:tc>
          <w:tcPr>
            <w:tcBorders>
              <w:bottom w:val="single" w:color="000000" w:sz="6" w:space="0"/>
              <w:right w:val="single" w:color="000000" w:sz="6" w:space="0"/>
            </w:tcBorders>
            <w:tcMar>
              <w:left w:w="0" w:type="dxa"/>
              <w:top w:w="0" w:type="dxa"/>
              <w:right w:w="0" w:type="dxa"/>
              <w:bottom w:w="0" w:type="dxa"/>
            </w:tcMar>
            <w:tcW w:w="2793" w:type="dxa"/>
            <w:vAlign w:val="center"/>
            <w:textDirection w:val="lrTb"/>
            <w:noWrap w:val="false"/>
          </w:tcPr>
          <w:p>
            <w:pPr>
              <w:pBdr/>
              <w:spacing w:after="0" w:before="0" w:line="240" w:lineRule="auto"/>
              <w:ind w:right="0" w:firstLine="0" w:left="90"/>
              <w:jc w:val="center"/>
              <w:rPr/>
            </w:pPr>
            <w:r>
              <w:rPr>
                <w:rFonts w:ascii="Times New Roman" w:hAnsi="Times New Roman" w:eastAsia="Times New Roman" w:cs="Times New Roman"/>
                <w:color w:val="000000"/>
                <w:sz w:val="24"/>
              </w:rPr>
              <w:t xml:space="preserve">Lâu dài </w:t>
            </w:r>
            <w:r/>
          </w:p>
        </w:tc>
      </w:tr>
      <w:tr>
        <w:trPr>
          <w:trHeight w:val="27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4"/>
              </w:rPr>
              <w:t xml:space="preserve">Nguồn gốc sử dụng đất:</w:t>
            </w:r>
            <w:r/>
          </w:p>
        </w:tc>
        <w:tc>
          <w:tcPr>
            <w:gridSpan w:val="3"/>
            <w:tcBorders>
              <w:top w:val="single" w:color="000000" w:sz="6" w:space="0"/>
              <w:bottom w:val="single" w:color="000000" w:sz="6" w:space="0"/>
              <w:right w:val="single" w:color="000000" w:sz="6" w:space="0"/>
            </w:tcBorders>
            <w:tcMar>
              <w:left w:w="0" w:type="dxa"/>
              <w:top w:w="0" w:type="dxa"/>
              <w:right w:w="0" w:type="dxa"/>
              <w:bottom w:w="0" w:type="dxa"/>
            </w:tcMar>
            <w:tcW w:w="757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4"/>
              </w:rPr>
              <w:t xml:space="preserve">Nhận chuyển nhượng đất được Nhà nước giao đất có thu tiền sử dụng đất </w:t>
            </w:r>
            <w:r/>
          </w:p>
        </w:tc>
      </w:tr>
      <w:tr>
        <w:trPr>
          <w:trHeight w:val="1488"/>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1.2</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899"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b/>
                <w:color w:val="000000"/>
                <w:sz w:val="24"/>
              </w:rPr>
              <w:t xml:space="preserve">Ghi chú: </w:t>
              <w:br/>
            </w:r>
            <w:r>
              <w:rPr>
                <w:rFonts w:ascii="Times New Roman" w:hAnsi="Times New Roman" w:eastAsia="Times New Roman" w:cs="Times New Roman"/>
                <w:color w:val="000000"/>
                <w:sz w:val="24"/>
              </w:rPr>
              <w:t xml:space="preserve">+ Giấy chứng nhận này được  cấp đổi từ Giấy chứng nhận số AP 431237, số vào sổ H-00219 do UBND Tp Hà Đông cấp ngày 10/4/2009.</w:t>
              <w:br/>
              <w:t xml:space="preserve"> + Số tờ, số thửa và sơ đồ sẽ điều chỉnh khi có bản đồ địa chính chính quy. </w:t>
            </w:r>
            <w:r/>
          </w:p>
        </w:tc>
      </w:tr>
      <w:tr>
        <w:trPr>
          <w:trHeight w:val="36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1.3.</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899"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b/>
                <w:color w:val="000000"/>
                <w:sz w:val="24"/>
              </w:rPr>
              <w:t xml:space="preserve">Thông tin quy hoạch:</w:t>
            </w:r>
            <w:r/>
          </w:p>
        </w:tc>
      </w:tr>
      <w:tr>
        <w:trPr>
          <w:trHeight w:val="60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w:t>
            </w:r>
            <w:r/>
          </w:p>
        </w:tc>
        <w:tc>
          <w:tcPr>
            <w:gridSpan w:val="4"/>
            <w:tcBorders>
              <w:top w:val="single" w:color="000000" w:sz="6" w:space="0"/>
              <w:bottom w:val="single" w:color="000000" w:sz="6" w:space="0"/>
              <w:right w:val="single" w:color="000000" w:sz="4" w:space="0"/>
            </w:tcBorders>
            <w:tcMar>
              <w:left w:w="0" w:type="dxa"/>
              <w:top w:w="0" w:type="dxa"/>
              <w:right w:w="0" w:type="dxa"/>
              <w:bottom w:w="0" w:type="dxa"/>
            </w:tcMar>
            <w:tcW w:w="9899"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4"/>
              </w:rPr>
              <w:t xml:space="preserve">Tại thời điểm thẩm định giá, tổ thẩm định không thu thập được bất kỳ thông tin quy hoạch nào của thửa đất.</w:t>
            </w:r>
            <w:r/>
          </w:p>
        </w:tc>
      </w:tr>
      <w:tr>
        <w:trPr>
          <w:trHeight w:val="63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899"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b/>
                <w:color w:val="000000"/>
                <w:sz w:val="24"/>
              </w:rPr>
              <w:t xml:space="preserve">Về đất:</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2.1</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899"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b/>
                <w:color w:val="000000"/>
                <w:sz w:val="24"/>
              </w:rPr>
              <w:t xml:space="preserve">Vị trí; Giao thông;</w:t>
            </w:r>
            <w:r/>
          </w:p>
        </w:tc>
      </w:tr>
      <w:tr>
        <w:trPr>
          <w:trHeight w:val="648"/>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4"/>
              </w:rPr>
              <w:t xml:space="preserve">Địa chỉ thực tế: </w:t>
            </w:r>
            <w:r/>
          </w:p>
        </w:tc>
        <w:tc>
          <w:tcPr>
            <w:gridSpan w:val="3"/>
            <w:tcBorders>
              <w:top w:val="single" w:color="000000" w:sz="6" w:space="0"/>
              <w:bottom w:val="single" w:color="000000" w:sz="6" w:space="0"/>
              <w:right w:val="single" w:color="000000" w:sz="4" w:space="0"/>
            </w:tcBorders>
            <w:tcMar>
              <w:left w:w="0" w:type="dxa"/>
              <w:top w:w="0" w:type="dxa"/>
              <w:right w:w="0" w:type="dxa"/>
              <w:bottom w:w="0" w:type="dxa"/>
            </w:tcMar>
            <w:tcW w:w="757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4"/>
              </w:rPr>
              <w:t xml:space="preserve">Lô 21-LK20, khu đấu giá QSD đất Mậu Lương, phường  Hà Đông, thành phố Hà Nội </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4"/>
              </w:rPr>
              <w:t xml:space="preserve">Đường tiếp giáp chính:</w:t>
            </w:r>
            <w:r/>
          </w:p>
        </w:tc>
        <w:tc>
          <w:tcPr>
            <w:tcBorders>
              <w:right w:val="single" w:color="000000" w:sz="6" w:space="0"/>
            </w:tcBorders>
            <w:tcMar>
              <w:left w:w="0" w:type="dxa"/>
              <w:top w:w="0" w:type="dxa"/>
              <w:right w:w="0" w:type="dxa"/>
              <w:bottom w:w="0" w:type="dxa"/>
            </w:tcMar>
            <w:tcW w:w="2425"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4"/>
              </w:rPr>
              <w:t xml:space="preserve">ngõ giao thông </w:t>
            </w:r>
            <w:r/>
          </w:p>
        </w:tc>
        <w:tc>
          <w:tcPr>
            <w:tcBorders>
              <w:right w:val="single" w:color="000000" w:sz="6" w:space="0"/>
            </w:tcBorders>
            <w:tcMar>
              <w:left w:w="0" w:type="dxa"/>
              <w:top w:w="0" w:type="dxa"/>
              <w:right w:w="0" w:type="dxa"/>
              <w:bottom w:w="0" w:type="dxa"/>
            </w:tcMar>
            <w:tcW w:w="2360"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4"/>
              </w:rPr>
              <w:t xml:space="preserve">Số mặt tiền:</w:t>
            </w:r>
            <w:r/>
          </w:p>
        </w:tc>
        <w:tc>
          <w:tcPr>
            <w:tcBorders>
              <w:right w:val="single" w:color="000000" w:sz="6" w:space="0"/>
            </w:tcBorders>
            <w:tcMar>
              <w:left w:w="0" w:type="dxa"/>
              <w:top w:w="0" w:type="dxa"/>
              <w:right w:w="0" w:type="dxa"/>
              <w:bottom w:w="0" w:type="dxa"/>
            </w:tcMar>
            <w:tcW w:w="2793" w:type="dxa"/>
            <w:vAlign w:val="center"/>
            <w:textDirection w:val="lrTb"/>
            <w:noWrap w:val="false"/>
          </w:tcPr>
          <w:p>
            <w:pPr>
              <w:pBdr/>
              <w:spacing w:after="0" w:before="0" w:line="240" w:lineRule="auto"/>
              <w:ind w:right="0" w:firstLine="0" w:left="90"/>
              <w:jc w:val="center"/>
              <w:rPr/>
            </w:pPr>
            <w:r>
              <w:rPr>
                <w:rFonts w:ascii="Times New Roman" w:hAnsi="Times New Roman" w:eastAsia="Times New Roman" w:cs="Times New Roman"/>
                <w:color w:val="000000"/>
                <w:sz w:val="24"/>
              </w:rPr>
              <w:t xml:space="preserve">1</w:t>
            </w:r>
            <w:r/>
          </w:p>
        </w:tc>
      </w:tr>
      <w:tr>
        <w:trPr>
          <w:trHeight w:val="1341"/>
        </w:trPr>
        <w:tc>
          <w:tcPr>
            <w:tcBorders>
              <w:left w:val="single" w:color="000000" w:sz="6" w:space="0"/>
              <w:bottom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ight="0" w:firstLine="0" w:left="90"/>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top w:val="single" w:color="000000" w:sz="6" w:space="0"/>
              <w:bottom w:val="single" w:color="000000" w:sz="6" w:space="0"/>
              <w:right w:val="single" w:color="000000" w:sz="6" w:space="0"/>
            </w:tcBorders>
            <w:tcMar>
              <w:left w:w="0" w:type="dxa"/>
              <w:top w:w="0" w:type="dxa"/>
              <w:right w:w="0" w:type="dxa"/>
              <w:bottom w:w="0" w:type="dxa"/>
            </w:tcMar>
            <w:tcW w:w="2425" w:type="dxa"/>
            <w:vAlign w:val="center"/>
            <w:textDirection w:val="lrTb"/>
            <w:noWrap w:val="false"/>
          </w:tcPr>
          <w:p>
            <w:pPr>
              <w:pBdr/>
              <w:spacing w:after="0" w:before="0" w:line="240" w:lineRule="auto"/>
              <w:ind w:right="0" w:firstLine="0" w:left="90"/>
              <w:jc w:val="center"/>
              <w:rPr/>
            </w:pPr>
            <w:r>
              <w:rPr>
                <w:rFonts w:ascii="Times New Roman" w:hAnsi="Times New Roman" w:eastAsia="Times New Roman" w:cs="Times New Roman"/>
                <w:color w:val="000000"/>
                <w:sz w:val="24"/>
              </w:rPr>
              <w:t xml:space="preserve">Lòng đường 6m + vỉa hè 3m mỗi bên</w:t>
            </w:r>
            <w:r/>
          </w:p>
        </w:tc>
        <w:tc>
          <w:tcPr>
            <w:tcBorders>
              <w:top w:val="single" w:color="000000" w:sz="6" w:space="0"/>
              <w:bottom w:val="single" w:color="000000" w:sz="6" w:space="0"/>
              <w:right w:val="single" w:color="000000" w:sz="6" w:space="0"/>
            </w:tcBorders>
            <w:tcMar>
              <w:left w:w="0" w:type="dxa"/>
              <w:top w:w="0" w:type="dxa"/>
              <w:right w:w="0" w:type="dxa"/>
              <w:bottom w:w="0" w:type="dxa"/>
            </w:tcMar>
            <w:tcW w:w="2360" w:type="dxa"/>
            <w:vAlign w:val="center"/>
            <w:textDirection w:val="lrTb"/>
            <w:noWrap w:val="false"/>
          </w:tcPr>
          <w:p>
            <w:pPr>
              <w:pBdr/>
              <w:spacing w:after="0" w:before="0" w:line="240" w:lineRule="auto"/>
              <w:ind w:right="0" w:firstLine="0" w:left="90"/>
              <w:jc w:val="both"/>
              <w:rPr/>
            </w:pPr>
            <w:r>
              <w:rPr>
                <w:rFonts w:ascii="Times New Roman" w:hAnsi="Times New Roman" w:eastAsia="Times New Roman" w:cs="Times New Roman"/>
                <w:color w:val="000000"/>
                <w:sz w:val="24"/>
              </w:rPr>
              <w:t xml:space="preserve">Mặt cắt đường/ngõ trước mặt tài sản thẩm định giá:</w:t>
            </w:r>
            <w:r/>
          </w:p>
        </w:tc>
        <w:tc>
          <w:tcPr>
            <w:tcBorders>
              <w:top w:val="single" w:color="000000" w:sz="6" w:space="0"/>
              <w:bottom w:val="single" w:color="000000" w:sz="6" w:space="0"/>
              <w:right w:val="single" w:color="000000" w:sz="6" w:space="0"/>
            </w:tcBorders>
            <w:tcMar>
              <w:left w:w="0" w:type="dxa"/>
              <w:top w:w="0" w:type="dxa"/>
              <w:right w:w="0" w:type="dxa"/>
              <w:bottom w:w="0" w:type="dxa"/>
            </w:tcMar>
            <w:tcW w:w="2793" w:type="dxa"/>
            <w:vAlign w:val="center"/>
            <w:textDirection w:val="lrTb"/>
            <w:noWrap w:val="false"/>
          </w:tcPr>
          <w:p>
            <w:pPr>
              <w:pBdr/>
              <w:spacing w:after="0" w:before="0" w:line="240" w:lineRule="auto"/>
              <w:ind w:right="0" w:firstLine="0" w:left="90"/>
              <w:jc w:val="center"/>
              <w:rPr/>
            </w:pPr>
            <w:r>
              <w:rPr>
                <w:rFonts w:ascii="Times New Roman" w:hAnsi="Times New Roman" w:eastAsia="Times New Roman" w:cs="Times New Roman"/>
                <w:color w:val="000000"/>
                <w:sz w:val="24"/>
              </w:rPr>
              <w:t xml:space="preserve">12m</w:t>
            </w:r>
            <w:r/>
          </w:p>
        </w:tc>
      </w:tr>
      <w:tr>
        <w:trPr>
          <w:trHeight w:val="707"/>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4"/>
              </w:rPr>
              <w:t xml:space="preserve">Khoảng cách đến trục đường chính:</w:t>
            </w:r>
            <w:r/>
          </w:p>
        </w:tc>
        <w:tc>
          <w:tcPr>
            <w:gridSpan w:val="3"/>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757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4"/>
              </w:rPr>
              <w:t xml:space="preserve">cách đường Mậu Lương khoảng 50m</w:t>
            </w:r>
            <w:r/>
          </w:p>
        </w:tc>
      </w:tr>
      <w:tr>
        <w:trPr>
          <w:trHeight w:val="83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4"/>
              </w:rPr>
              <w:t xml:space="preserve">Các hướng tiếp giáp:</w:t>
            </w:r>
            <w:r/>
          </w:p>
        </w:tc>
        <w:tc>
          <w:tcPr>
            <w:gridSpan w:val="3"/>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7578"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4"/>
              </w:rPr>
              <w:t xml:space="preserve">Hướng Đông - tiếp giáp với đường giao thông</w:t>
              <w:br/>
              <w:t xml:space="preserve">Các hướng còn lại tiếp giáp với các thửa đất khác </w:t>
            </w:r>
            <w:r/>
          </w:p>
        </w:tc>
      </w:tr>
      <w:tr>
        <w:trPr>
          <w:trHeight w:val="3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9899"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4"/>
              </w:rPr>
              <w:t xml:space="preserve">Vị trí trên bản đồ vệ tinh:  (20.955972222222, 105.79586111111)</w:t>
            </w:r>
            <w:r/>
          </w:p>
        </w:tc>
      </w:tr>
      <w:tr>
        <w:trPr>
          <w:trHeight w:val="73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shd w:val="clear" w:color="ffffff" w:fill="ffffff"/>
            <w:tcBorders>
              <w:top w:val="single" w:color="000000" w:sz="6" w:space="0"/>
              <w:bottom w:val="single" w:color="000000" w:sz="6" w:space="0"/>
              <w:right w:val="single" w:color="000000" w:sz="4" w:space="0"/>
            </w:tcBorders>
            <w:tcMar>
              <w:left w:w="0" w:type="dxa"/>
              <w:top w:w="0" w:type="dxa"/>
              <w:right w:w="0" w:type="dxa"/>
              <w:bottom w:w="0" w:type="dxa"/>
            </w:tcMar>
            <w:tcW w:w="9899"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4"/>
              </w:rPr>
              <w:t xml:space="preserve"> </w:t>
            </w:r>
            <w:r>
              <w:rPr>
                <w:color w:val="000000"/>
              </w:rPr>
              <mc:AlternateContent>
                <mc:Choice Requires="wpg">
                  <w:drawing>
                    <wp:inline xmlns:wp="http://schemas.openxmlformats.org/drawingml/2006/wordprocessingDrawing" distT="0" distB="0" distL="0" distR="0">
                      <wp:extent cx="5557680" cy="2262630"/>
                      <wp:effectExtent l="0" t="0" r="0" b="0"/>
                      <wp:docPr id="5" name=""/>
                      <wp:cNvGraphicFramePr/>
                      <a:graphic xmlns:a="http://schemas.openxmlformats.org/drawingml/2006/main">
                        <a:graphicData uri="http://schemas.openxmlformats.org/drawingml/2006/picture">
                          <pic:pic xmlns:pic="http://schemas.openxmlformats.org/drawingml/2006/picture">
                            <pic:nvPicPr>
                              <pic:cNvPr id="117621305" name="" descr=""/>
                              <pic:cNvPicPr/>
                              <pic:nvPr/>
                            </pic:nvPicPr>
                            <pic:blipFill rotWithShape="1">
                              <a:blip r:embed="rId17"/>
                              <a:stretch/>
                            </pic:blipFill>
                            <pic:spPr bwMode="auto">
                              <a:xfrm rot="0" flipH="0" flipV="0">
                                <a:off x="0" y="0"/>
                                <a:ext cx="5557679" cy="226262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37.61pt;height:178.16pt;mso-wrap-distance-left:0.00pt;mso-wrap-distance-top:0.00pt;mso-wrap-distance-right:0.00pt;mso-wrap-distance-bottom:0.00pt;rotation:0;z-index:1;" stroked="false">
                      <v:imagedata r:id="rId17" o:title=""/>
                      <o:lock v:ext="edit" rotation="t"/>
                    </v:shape>
                  </w:pict>
                </mc:Fallback>
              </mc:AlternateContent>
            </w:r>
            <w:r>
              <w:rPr>
                <w:rFonts w:ascii="Times New Roman" w:hAnsi="Times New Roman" w:eastAsia="Times New Roman" w:cs="Times New Roman"/>
                <w:color w:val="000000"/>
                <w:sz w:val="24"/>
              </w:rPr>
            </w:r>
            <w:r>
              <w:rPr>
                <w:color w:val="000000"/>
              </w:rPr>
            </w:r>
            <w:r>
              <w:rPr>
                <w:rFonts w:ascii="Times New Roman" w:hAnsi="Times New Roman" w:eastAsia="Times New Roman" w:cs="Times New Roman"/>
                <w:color w:val="000000"/>
                <w:sz w:val="24"/>
              </w:rPr>
            </w:r>
            <w:r>
              <w:rPr>
                <w:color w:val="000000"/>
              </w:rPr>
            </w:r>
            <w:r>
              <w:rPr>
                <w:rFonts w:ascii="Times New Roman" w:hAnsi="Times New Roman" w:eastAsia="Times New Roman" w:cs="Times New Roman"/>
                <w:color w:val="000000"/>
                <w:sz w:val="24"/>
              </w:rPr>
            </w:r>
            <w:r>
              <w:rPr>
                <w:color w:val="000000"/>
              </w:rPr>
            </w:r>
            <w:r>
              <w:rPr>
                <w:rFonts w:ascii="Times New Roman" w:hAnsi="Times New Roman" w:eastAsia="Times New Roman" w:cs="Times New Roman"/>
                <w:color w:val="000000"/>
                <w:sz w:val="24"/>
              </w:rPr>
            </w:r>
            <w:r/>
          </w:p>
        </w:tc>
      </w:tr>
      <w:tr>
        <w:trPr>
          <w:trHeight w:val="45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2.2.</w:t>
            </w: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899"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b/>
                <w:color w:val="000000"/>
                <w:sz w:val="24"/>
              </w:rPr>
              <w:t xml:space="preserve">Diện tích; Kích thước; Hình dáng</w:t>
            </w:r>
            <w:r/>
          </w:p>
        </w:tc>
      </w:tr>
      <w:tr>
        <w:trPr>
          <w:trHeight w:val="73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4"/>
              </w:rPr>
              <w:t xml:space="preserve">Diện tích sử dụng riêng thực tế (m²):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425"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4"/>
              </w:rPr>
              <w:t xml:space="preserve">50,0</w:t>
            </w:r>
            <w:r/>
          </w:p>
        </w:tc>
        <w:tc>
          <w:tcPr>
            <w:shd w:val="clear" w:color="ffffff" w:fill="ffffff"/>
            <w:tcBorders>
              <w:bottom w:val="single" w:color="000000" w:sz="6" w:space="0"/>
              <w:right w:val="single" w:color="000000" w:sz="6" w:space="0"/>
            </w:tcBorders>
            <w:tcMar>
              <w:left w:w="0" w:type="dxa"/>
              <w:top w:w="0" w:type="dxa"/>
              <w:right w:w="0" w:type="dxa"/>
              <w:bottom w:w="0" w:type="dxa"/>
            </w:tcMar>
            <w:tcW w:w="2360"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4"/>
              </w:rPr>
              <w:t xml:space="preserve">Diện tích sử dụng chung thực tế (m²):</w:t>
            </w:r>
            <w:r/>
          </w:p>
        </w:tc>
        <w:tc>
          <w:tcPr>
            <w:shd w:val="clear" w:color="ffffff" w:fill="ffffff"/>
            <w:tcBorders>
              <w:bottom w:val="single" w:color="000000" w:sz="6" w:space="0"/>
              <w:right w:val="single" w:color="000000" w:sz="6" w:space="0"/>
            </w:tcBorders>
            <w:tcMar>
              <w:left w:w="0" w:type="dxa"/>
              <w:top w:w="0" w:type="dxa"/>
              <w:right w:w="0" w:type="dxa"/>
              <w:bottom w:w="0" w:type="dxa"/>
            </w:tcMar>
            <w:tcW w:w="2793"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4"/>
              </w:rPr>
              <w:t xml:space="preserve">0,00</w:t>
            </w:r>
            <w:r/>
          </w:p>
        </w:tc>
      </w:tr>
      <w:tr>
        <w:trPr>
          <w:trHeight w:val="37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4"/>
              </w:rPr>
              <w:t xml:space="preserve">KT mặt tiền (m):</w:t>
            </w:r>
            <w:r/>
          </w:p>
        </w:tc>
        <w:tc>
          <w:tcPr>
            <w:shd w:val="clear" w:color="ffffff" w:fill="ffffff"/>
            <w:tcBorders>
              <w:bottom w:val="single" w:color="000000" w:sz="6" w:space="0"/>
              <w:right w:val="single" w:color="000000" w:sz="6" w:space="0"/>
            </w:tcBorders>
            <w:tcMar>
              <w:left w:w="0" w:type="dxa"/>
              <w:top w:w="0" w:type="dxa"/>
              <w:right w:w="0" w:type="dxa"/>
              <w:bottom w:w="0" w:type="dxa"/>
            </w:tcMar>
            <w:tcW w:w="2425"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4"/>
              </w:rPr>
              <w:t xml:space="preserve">5,0</w:t>
            </w:r>
            <w:r/>
          </w:p>
        </w:tc>
        <w:tc>
          <w:tcPr>
            <w:shd w:val="clear" w:color="ffffff" w:fill="ffffff"/>
            <w:tcBorders>
              <w:bottom w:val="single" w:color="000000" w:sz="6" w:space="0"/>
              <w:right w:val="single" w:color="000000" w:sz="6" w:space="0"/>
            </w:tcBorders>
            <w:tcMar>
              <w:left w:w="0" w:type="dxa"/>
              <w:top w:w="0" w:type="dxa"/>
              <w:right w:w="0" w:type="dxa"/>
              <w:bottom w:w="0" w:type="dxa"/>
            </w:tcMar>
            <w:tcW w:w="2360"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4"/>
              </w:rPr>
              <w:t xml:space="preserve">Chiều sâu (m): </w:t>
            </w:r>
            <w:r/>
          </w:p>
        </w:tc>
        <w:tc>
          <w:tcPr>
            <w:shd w:val="clear" w:color="ffffff" w:fill="ffffff"/>
            <w:tcBorders>
              <w:bottom w:val="single" w:color="000000" w:sz="6" w:space="0"/>
              <w:right w:val="single" w:color="000000" w:sz="6" w:space="0"/>
            </w:tcBorders>
            <w:tcMar>
              <w:left w:w="0" w:type="dxa"/>
              <w:top w:w="0" w:type="dxa"/>
              <w:right w:w="0" w:type="dxa"/>
              <w:bottom w:w="0" w:type="dxa"/>
            </w:tcMar>
            <w:tcW w:w="2793"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4"/>
              </w:rPr>
              <w:t xml:space="preserve">10,00</w:t>
            </w:r>
            <w:r/>
          </w:p>
        </w:tc>
      </w:tr>
      <w:tr>
        <w:trPr>
          <w:trHeight w:val="41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4"/>
              </w:rPr>
              <w:t xml:space="preserve">Hình dáng</w:t>
            </w:r>
            <w:r/>
          </w:p>
        </w:tc>
        <w:tc>
          <w:tcPr>
            <w:shd w:val="clear" w:color="ffffff" w:fill="ffffff"/>
            <w:tcBorders>
              <w:bottom w:val="single" w:color="000000" w:sz="6" w:space="0"/>
              <w:right w:val="single" w:color="000000" w:sz="6" w:space="0"/>
            </w:tcBorders>
            <w:tcMar>
              <w:left w:w="0" w:type="dxa"/>
              <w:top w:w="0" w:type="dxa"/>
              <w:right w:w="0" w:type="dxa"/>
              <w:bottom w:w="0" w:type="dxa"/>
            </w:tcMar>
            <w:tcW w:w="2425"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4"/>
              </w:rPr>
              <w:t xml:space="preserve">Hình chữ nhật </w:t>
            </w:r>
            <w:r/>
          </w:p>
        </w:tc>
        <w:tc>
          <w:tcPr>
            <w:shd w:val="clear" w:color="ffffff" w:fill="ffffff"/>
            <w:tcBorders>
              <w:bottom w:val="single" w:color="000000" w:sz="6" w:space="0"/>
              <w:right w:val="single" w:color="000000" w:sz="6" w:space="0"/>
            </w:tcBorders>
            <w:tcMar>
              <w:left w:w="0" w:type="dxa"/>
              <w:top w:w="0" w:type="dxa"/>
              <w:right w:w="0" w:type="dxa"/>
              <w:bottom w:w="0" w:type="dxa"/>
            </w:tcMar>
            <w:tcW w:w="2360"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4"/>
              </w:rPr>
              <w:t xml:space="preserve">Hướng chính</w:t>
            </w:r>
            <w:r/>
          </w:p>
        </w:tc>
        <w:tc>
          <w:tcPr>
            <w:shd w:val="clear" w:color="ffffff" w:fill="ffffff"/>
            <w:tcBorders>
              <w:bottom w:val="single" w:color="000000" w:sz="6" w:space="0"/>
              <w:right w:val="single" w:color="000000" w:sz="6" w:space="0"/>
            </w:tcBorders>
            <w:tcMar>
              <w:left w:w="0" w:type="dxa"/>
              <w:top w:w="0" w:type="dxa"/>
              <w:right w:w="0" w:type="dxa"/>
              <w:bottom w:w="0" w:type="dxa"/>
            </w:tcMar>
            <w:tcW w:w="2793"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4"/>
              </w:rPr>
              <w:t xml:space="preserve">Đông</w:t>
            </w:r>
            <w:r/>
          </w:p>
        </w:tc>
      </w:tr>
      <w:tr>
        <w:trPr>
          <w:trHeight w:val="6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2.3.</w:t>
            </w: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899"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350"/>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4"/>
              </w:rPr>
              <w:t xml:space="preserve">Mật độ dân cư:</w:t>
            </w:r>
            <w:r/>
          </w:p>
        </w:tc>
        <w:tc>
          <w:tcPr>
            <w:shd w:val="clear" w:color="ffffff" w:fill="ffffff"/>
            <w:tcBorders>
              <w:bottom w:val="single" w:color="000000" w:sz="6" w:space="0"/>
              <w:right w:val="single" w:color="000000" w:sz="6" w:space="0"/>
            </w:tcBorders>
            <w:tcMar>
              <w:left w:w="0" w:type="dxa"/>
              <w:top w:w="0" w:type="dxa"/>
              <w:right w:w="0" w:type="dxa"/>
              <w:bottom w:w="0" w:type="dxa"/>
            </w:tcMar>
            <w:tcW w:w="2425"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4"/>
              </w:rPr>
              <w:t xml:space="preserve">Khá </w:t>
            </w:r>
            <w:r/>
          </w:p>
        </w:tc>
        <w:tc>
          <w:tcPr>
            <w:tcBorders>
              <w:bottom w:val="single" w:color="000000" w:sz="6" w:space="0"/>
              <w:right w:val="single" w:color="000000" w:sz="6" w:space="0"/>
            </w:tcBorders>
            <w:tcMar>
              <w:left w:w="0" w:type="dxa"/>
              <w:top w:w="0" w:type="dxa"/>
              <w:right w:w="0" w:type="dxa"/>
              <w:bottom w:w="0" w:type="dxa"/>
            </w:tcMar>
            <w:tcW w:w="2360"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4"/>
              </w:rPr>
              <w:t xml:space="preserve">Đời sống dân cư:</w:t>
            </w:r>
            <w:r/>
          </w:p>
        </w:tc>
        <w:tc>
          <w:tcPr>
            <w:shd w:val="clear" w:color="ffffff" w:fill="ffffff"/>
            <w:tcBorders>
              <w:bottom w:val="single" w:color="000000" w:sz="6" w:space="0"/>
              <w:right w:val="single" w:color="000000" w:sz="6" w:space="0"/>
            </w:tcBorders>
            <w:tcMar>
              <w:left w:w="0" w:type="dxa"/>
              <w:top w:w="0" w:type="dxa"/>
              <w:right w:w="0" w:type="dxa"/>
              <w:bottom w:w="0" w:type="dxa"/>
            </w:tcMar>
            <w:tcW w:w="2793"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4"/>
              </w:rPr>
              <w:t xml:space="preserve">Ổn định</w:t>
            </w:r>
            <w:r/>
          </w:p>
        </w:tc>
      </w:tr>
      <w:tr>
        <w:trPr>
          <w:trHeight w:val="694"/>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4"/>
              </w:rPr>
              <w:t xml:space="preserve">Lợi thế kinh doanh:</w:t>
            </w:r>
            <w:r/>
          </w:p>
        </w:tc>
        <w:tc>
          <w:tcPr>
            <w:tcBorders>
              <w:bottom w:val="single" w:color="000000" w:sz="6" w:space="0"/>
              <w:right w:val="single" w:color="000000" w:sz="6" w:space="0"/>
            </w:tcBorders>
            <w:tcMar>
              <w:left w:w="0" w:type="dxa"/>
              <w:top w:w="0" w:type="dxa"/>
              <w:right w:w="0" w:type="dxa"/>
              <w:bottom w:w="0" w:type="dxa"/>
            </w:tcMar>
            <w:tcW w:w="2425"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4"/>
              </w:rPr>
              <w:t xml:space="preserve">Phù hợp để ở</w:t>
            </w:r>
            <w:r/>
          </w:p>
        </w:tc>
        <w:tc>
          <w:tcPr>
            <w:tcBorders>
              <w:bottom w:val="single" w:color="000000" w:sz="6" w:space="0"/>
              <w:right w:val="single" w:color="000000" w:sz="6" w:space="0"/>
            </w:tcBorders>
            <w:tcMar>
              <w:left w:w="0" w:type="dxa"/>
              <w:top w:w="0" w:type="dxa"/>
              <w:right w:w="0" w:type="dxa"/>
              <w:bottom w:w="0" w:type="dxa"/>
            </w:tcMar>
            <w:tcW w:w="2360"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4"/>
              </w:rPr>
              <w:t xml:space="preserve">Khả năng chuyển nhượng:</w:t>
            </w:r>
            <w:r/>
          </w:p>
        </w:tc>
        <w:tc>
          <w:tcPr>
            <w:tcBorders>
              <w:bottom w:val="single" w:color="000000" w:sz="6" w:space="0"/>
              <w:right w:val="single" w:color="000000" w:sz="6" w:space="0"/>
            </w:tcBorders>
            <w:tcMar>
              <w:left w:w="0" w:type="dxa"/>
              <w:top w:w="0" w:type="dxa"/>
              <w:right w:w="0" w:type="dxa"/>
              <w:bottom w:w="0" w:type="dxa"/>
            </w:tcMar>
            <w:tcW w:w="2793"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4"/>
              </w:rPr>
              <w:t xml:space="preserve">Tốt </w:t>
            </w:r>
            <w:r/>
          </w:p>
        </w:tc>
      </w:tr>
      <w:tr>
        <w:trPr>
          <w:trHeight w:val="1467"/>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6" w:space="0"/>
              <w:right w:val="single" w:color="000000" w:sz="6" w:space="0"/>
            </w:tcBorders>
            <w:tcMar>
              <w:left w:w="0" w:type="dxa"/>
              <w:top w:w="0" w:type="dxa"/>
              <w:right w:w="0" w:type="dxa"/>
              <w:bottom w:w="0" w:type="dxa"/>
            </w:tcMar>
            <w:tcW w:w="2321"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4"/>
              </w:rPr>
              <w:t xml:space="preserve">Điều kiện cơ sở hạ tầng kỹ thuật:</w:t>
            </w:r>
            <w:r/>
          </w:p>
        </w:tc>
        <w:tc>
          <w:tcPr>
            <w:tcBorders>
              <w:bottom w:val="single" w:color="000000" w:sz="6" w:space="0"/>
              <w:right w:val="single" w:color="000000" w:sz="6" w:space="0"/>
            </w:tcBorders>
            <w:tcMar>
              <w:left w:w="0" w:type="dxa"/>
              <w:top w:w="0" w:type="dxa"/>
              <w:right w:w="0" w:type="dxa"/>
              <w:bottom w:w="0" w:type="dxa"/>
            </w:tcMar>
            <w:tcW w:w="2425" w:type="dxa"/>
            <w:vAlign w:val="center"/>
            <w:textDirection w:val="lrTb"/>
            <w:noWrap w:val="false"/>
          </w:tcPr>
          <w:p>
            <w:pPr>
              <w:pBdr/>
              <w:spacing w:after="0" w:before="0" w:line="240" w:lineRule="auto"/>
              <w:ind w:right="0" w:firstLine="0" w:left="90"/>
              <w:jc w:val="both"/>
              <w:rPr/>
            </w:pPr>
            <w:r>
              <w:rPr>
                <w:rFonts w:ascii="Times New Roman" w:hAnsi="Times New Roman" w:eastAsia="Times New Roman" w:cs="Times New Roman"/>
                <w:color w:val="000000"/>
                <w:sz w:val="24"/>
              </w:rPr>
              <w:t xml:space="preserve">Hạ tầng khu đô thị, khu phân lô/ tái định cư : hệ thống cấp điện, cấp thoát nước đầy đủ</w:t>
            </w:r>
            <w:r/>
          </w:p>
        </w:tc>
        <w:tc>
          <w:tcPr>
            <w:tcBorders>
              <w:bottom w:val="single" w:color="000000" w:sz="6" w:space="0"/>
              <w:right w:val="single" w:color="000000" w:sz="6" w:space="0"/>
            </w:tcBorders>
            <w:tcMar>
              <w:left w:w="0" w:type="dxa"/>
              <w:top w:w="0" w:type="dxa"/>
              <w:right w:w="0" w:type="dxa"/>
              <w:bottom w:w="0" w:type="dxa"/>
            </w:tcMar>
            <w:tcW w:w="2360"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4"/>
              </w:rPr>
              <w:t xml:space="preserve">Điều kiện môi trường an ninh:</w:t>
            </w:r>
            <w:r/>
          </w:p>
        </w:tc>
        <w:tc>
          <w:tcPr>
            <w:tcBorders>
              <w:bottom w:val="single" w:color="000000" w:sz="6" w:space="0"/>
              <w:right w:val="single" w:color="000000" w:sz="6" w:space="0"/>
            </w:tcBorders>
            <w:tcMar>
              <w:left w:w="0" w:type="dxa"/>
              <w:top w:w="0" w:type="dxa"/>
              <w:right w:w="0" w:type="dxa"/>
              <w:bottom w:w="0" w:type="dxa"/>
            </w:tcMar>
            <w:tcW w:w="2793"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color w:val="000000"/>
                <w:sz w:val="24"/>
              </w:rPr>
              <w:t xml:space="preserve">Tốt </w:t>
            </w:r>
            <w:r/>
          </w:p>
        </w:tc>
      </w:tr>
      <w:tr>
        <w:trPr>
          <w:trHeight w:val="315"/>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3.</w:t>
            </w:r>
            <w:r/>
          </w:p>
        </w:tc>
        <w:tc>
          <w:tcPr>
            <w:gridSpan w:val="4"/>
            <w:tcBorders>
              <w:top w:val="single" w:color="000000" w:sz="6" w:space="0"/>
              <w:bottom w:val="single" w:color="000000" w:sz="6" w:space="0"/>
              <w:right w:val="single" w:color="000000" w:sz="6" w:space="0"/>
            </w:tcBorders>
            <w:tcMar>
              <w:left w:w="0" w:type="dxa"/>
              <w:top w:w="0" w:type="dxa"/>
              <w:right w:w="0" w:type="dxa"/>
              <w:bottom w:w="0" w:type="dxa"/>
            </w:tcMar>
            <w:tcW w:w="9899" w:type="dxa"/>
            <w:vAlign w:val="center"/>
            <w:textDirection w:val="lrTb"/>
            <w:noWrap w:val="false"/>
          </w:tcPr>
          <w:p>
            <w:pPr>
              <w:pBdr/>
              <w:spacing w:after="0" w:before="0" w:line="240" w:lineRule="auto"/>
              <w:ind w:right="0" w:firstLine="0" w:left="90"/>
              <w:rPr/>
            </w:pPr>
            <w:r>
              <w:rPr>
                <w:rFonts w:ascii="Times New Roman" w:hAnsi="Times New Roman" w:eastAsia="Times New Roman" w:cs="Times New Roman"/>
                <w:b/>
                <w:color w:val="000000"/>
                <w:sz w:val="24"/>
              </w:rPr>
              <w:t xml:space="preserve"> Tài sản gắn liền với đất: Nhà 5 tầng </w:t>
            </w:r>
            <w:r/>
          </w:p>
        </w:tc>
      </w:tr>
      <w:tr>
        <w:trPr>
          <w:trHeight w:val="1212"/>
        </w:trPr>
        <w:tc>
          <w:tcPr>
            <w:tcBorders>
              <w:left w:val="single" w:color="000000" w:sz="6" w:space="0"/>
              <w:bottom w:val="single" w:color="000000" w:sz="6" w:space="0"/>
              <w:right w:val="single" w:color="000000" w:sz="6" w:space="0"/>
            </w:tcBorders>
            <w:tcMar>
              <w:left w:w="0" w:type="dxa"/>
              <w:top w:w="0" w:type="dxa"/>
              <w:right w:w="0" w:type="dxa"/>
              <w:bottom w:w="0" w:type="dxa"/>
            </w:tcMar>
            <w:tcW w:w="656"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gridSpan w:val="4"/>
            <w:shd w:val="clear" w:color="ffffff" w:fill="ffffff"/>
            <w:tcBorders>
              <w:top w:val="single" w:color="000000" w:sz="6" w:space="0"/>
              <w:bottom w:val="single" w:color="000000" w:sz="6" w:space="0"/>
              <w:right w:val="single" w:color="000000" w:sz="6" w:space="0"/>
            </w:tcBorders>
            <w:tcMar>
              <w:left w:w="0" w:type="dxa"/>
              <w:top w:w="0" w:type="dxa"/>
              <w:right w:w="0" w:type="dxa"/>
              <w:bottom w:w="0" w:type="dxa"/>
            </w:tcMar>
            <w:tcW w:w="9899" w:type="dxa"/>
            <w:vAlign w:val="center"/>
            <w:textDirection w:val="lrTb"/>
            <w:noWrap w:val="false"/>
          </w:tcPr>
          <w:p>
            <w:pPr>
              <w:pBdr/>
              <w:spacing w:after="0" w:before="0" w:line="240" w:lineRule="auto"/>
              <w:ind w:right="0" w:firstLine="0" w:left="90"/>
              <w:jc w:val="both"/>
              <w:rPr/>
            </w:pPr>
            <w:r>
              <w:rPr>
                <w:rFonts w:ascii="Times New Roman" w:hAnsi="Times New Roman" w:eastAsia="Times New Roman" w:cs="Times New Roman"/>
                <w:color w:val="000000"/>
                <w:sz w:val="24"/>
              </w:rPr>
              <w:t xml:space="preserve">Tại thời điểm khảo sát, dưới sự hướng dẫn của chủ tài sản, trên đất có CTXD nhà 05 tầng, diện tích xây dựng khoảng 50m2, tổng diện tích sàn khoảng 250m2, xây sửa năm 2019. Công trình chưa được công nhận trên GCN QSDĐ số: CR 696042</w:t>
            </w:r>
            <w:r/>
          </w:p>
        </w:tc>
      </w:tr>
    </w:tbl>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737"/>
        <w:gridCol w:w="3657"/>
        <w:gridCol w:w="1560"/>
        <w:gridCol w:w="3571"/>
      </w:tblGrid>
      <w:tr>
        <w:trPr>
          <w:cantSplit/>
          <w:tblCellSpacing w:w="0" w:type="dxa"/>
          <w:trHeight w:val="300"/>
          <w:tblHeader/>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1560"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3571"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737"/>
        <w:gridCol w:w="3657"/>
        <w:gridCol w:w="1560"/>
        <w:gridCol w:w="3571"/>
      </w:tblGrid>
      <w:tr>
        <w:trPr>
          <w:cantSplit/>
          <w:tblCellSpacing w:w="0" w:type="dxa"/>
          <w:trHeight w:val="300"/>
          <w:tblHeader/>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1560"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3571"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Style w:val="102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5"/>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25"/>
        <w:numPr>
          <w:ilvl w:val="0"/>
          <w:numId w:val="3"/>
        </w:numPr>
        <w:pBdr/>
        <w:spacing w:after="0" w:before="0" w:line="240" w:lineRule="auto"/>
        <w:ind w:right="0"/>
        <w:jc w:val="both"/>
        <w:rPr/>
      </w:pPr>
      <w:r>
        <w:rPr>
          <w:rFonts w:ascii="Times New Roman" w:hAnsi="Times New Roman" w:eastAsia="Times New Roman" w:cs="Times New Roman"/>
          <w:color w:val="000000"/>
          <w:sz w:val="24"/>
        </w:rPr>
        <w:t xml:space="preserve">Tại thời điểm khảo sát, dưới sự hướng dẫn của chủ tài sản, trên đất có CTXD nhà 05 tầng, diện tích xây dựng khoảng 50m2, tổng diện tích sàn khoảng 250m2, xây sửa năm 2019. Công trình chưa được công nhận trên GCN QSDĐ số: CR 696042</w:t>
      </w:r>
      <w:r>
        <w:rPr>
          <w:spacing w:val="-2"/>
          <w:highlight w:val="none"/>
          <w:lang w:val="pt-BR"/>
        </w:rPr>
        <w:t xml:space="preserve">. Đồng thời, Tổ thẩm định cũng không nhận được bất kỳ giấy tờ pháp lý nào liên quan đến CTXD trên. Theo đề nghị của Khách hàng/ Ngân hàng, Tổ thẩm định không xác định giá trị CTXD nhưng vẫn coi đó là một phần không thể tách rời của tài sản thẩm định.</w:t>
      </w:r>
      <w:r/>
    </w:p>
    <w:p>
      <w:pPr>
        <w:pStyle w:val="1025"/>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5"/>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5"/>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5"/>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25"/>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2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5"/>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25"/>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25"/>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06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Hà Đông,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Hà Đông,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Hà Đông,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Hà Đông, Thành phố Hà Nội</w:t>
            </w:r>
            <w:r>
              <w:rPr>
                <w:sz w:val="22"/>
                <w:szCs w:val="22"/>
              </w:rPr>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https://alonhadat.com.vn/nha-mau-luong-kien-hung-ha-dong-31m-5t-mt5m-gia-6-5-ty-17634503.html</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https://batdongsan.com.vn/ban-dat-duong-mau-luong-phuong-kien-hung-15/phan-lo-k-t-ha-ong-via-he-3-o-to-tranh-63m2-mt5m-o-kinh-doanh-nhinh-12-ty-pr46123212</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https://batdongsan.com.vn/ban-dat-duong-mau-luong-phuong-kien-hung-15/ban-at-au-gia-gan-san-bong-60m-5m-mat-hon-10-ty-so-a4-cpxd-7-tang-thang-may-pr45555298</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0969925631</w:t>
            </w:r>
            <w:r>
              <w:rPr>
                <w:sz w:val="22"/>
                <w:szCs w:val="22"/>
              </w:rPr>
              <w:t xml:space="preserve"> </w:t>
            </w:r>
            <w:r>
              <w:rPr>
                <w:sz w:val="22"/>
                <w:szCs w:val="22"/>
              </w:rPr>
              <w:br/>
              <w:t xml:space="preserve">(</w:t>
            </w:r>
            <w:r>
              <w:rPr>
                <w:sz w:val="22"/>
                <w:szCs w:val="22"/>
              </w:rPr>
              <w:t xml:space="preserve">Quyên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0905597409</w:t>
            </w:r>
            <w:r>
              <w:rPr>
                <w:sz w:val="22"/>
                <w:szCs w:val="22"/>
              </w:rPr>
              <w:br/>
            </w:r>
            <w:r>
              <w:rPr>
                <w:sz w:val="22"/>
                <w:szCs w:val="22"/>
              </w:rPr>
              <w:t xml:space="preserve">(</w:t>
            </w:r>
            <w:r>
              <w:rPr>
                <w:sz w:val="22"/>
                <w:szCs w:val="22"/>
              </w:rPr>
              <w:t xml:space="preserve">Quang Trung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0961249968</w:t>
            </w:r>
            <w:r>
              <w:rPr>
                <w:sz w:val="22"/>
                <w:szCs w:val="22"/>
              </w:rPr>
              <w:br/>
            </w:r>
            <w:r>
              <w:rPr>
                <w:sz w:val="22"/>
                <w:szCs w:val="22"/>
              </w:rPr>
              <w:t xml:space="preserve">(</w:t>
            </w:r>
            <w:r>
              <w:rPr>
                <w:sz w:val="22"/>
                <w:szCs w:val="22"/>
              </w:rPr>
              <w:t xml:space="preserve">Thúy</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Đang giao dịch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t xml:space="preserve">Đang giao dịch</w:t>
            </w:r>
            <w: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t xml:space="preserve">Đang giao dịch</w:t>
            </w:r>
            <w: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08/2026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rFonts w:ascii="Times New Roman" w:hAnsi="Times New Roman" w:eastAsia="Times New Roman" w:cs="Times New Roman"/>
                <w:color w:val="000000"/>
                <w:sz w:val="24"/>
              </w:rPr>
              <w:t xml:space="preserve">khu đấu giá QSD đất Mậu Lương, phường  Hà Đông, thành phố Hà Nội</w:t>
            </w:r>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w:t>
            </w:r>
            <w:r>
              <w:rPr>
                <w:rFonts w:ascii="Times New Roman" w:hAnsi="Times New Roman" w:eastAsia="Times New Roman" w:cs="Times New Roman"/>
                <w:color w:val="000000"/>
                <w:sz w:val="24"/>
              </w:rPr>
              <w:t xml:space="preserve">khu dân cư, phường  Hà Đông, thành phố Hà Nội</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w:t>
            </w:r>
            <w:r>
              <w:rPr>
                <w:rFonts w:ascii="Times New Roman" w:hAnsi="Times New Roman" w:eastAsia="Times New Roman" w:cs="Times New Roman"/>
                <w:color w:val="000000"/>
                <w:sz w:val="24"/>
              </w:rPr>
              <w:t xml:space="preserve">khu đấu giá QSD đất Mậu Lương, phường  Hà Đông, thành phố Hà Nội</w:t>
            </w:r>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w:t>
            </w:r>
            <w:r>
              <w:rPr>
                <w:rFonts w:ascii="Times New Roman" w:hAnsi="Times New Roman" w:eastAsia="Times New Roman" w:cs="Times New Roman"/>
                <w:color w:val="000000"/>
                <w:sz w:val="24"/>
              </w:rPr>
              <w:t xml:space="preserve">khu đấu giá QSD đất Mậu Lương, phường  Hà Đông, thành phố Hà Nội</w:t>
            </w:r>
            <w: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6</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Cơ sở hạ tầng kỹ thuật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Hạ tầng khu đô thị, khu phân lô/tái định cư</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Hạ tầng khu dân cư thông thường</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Hạ tầng khu đô thị, khu phân lô/tái định cư</w:t>
            </w:r>
            <w:r>
              <w:rPr>
                <w:color w:val="000000"/>
                <w:sz w:val="22"/>
                <w:szCs w:val="22"/>
                <w:highlight w:val="white"/>
              </w:rPr>
            </w:r>
            <w:r>
              <w:rPr>
                <w:color w:val="000000"/>
                <w:sz w:val="22"/>
                <w:szCs w:val="22"/>
                <w:highlight w:val="white"/>
              </w:rPr>
            </w:r>
            <w:r>
              <w:rPr>
                <w:color w:val="000000" w:themeColor="text1"/>
                <w:sz w:val="22"/>
                <w:szCs w:val="22"/>
                <w:highlight w:val="white"/>
              </w:rPr>
            </w:r>
            <w:r>
              <w:rPr>
                <w:color w:val="000000"/>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Hạ tầng khu đô thị, khu phân lô/tái định cư</w:t>
            </w:r>
            <w:r>
              <w:rPr>
                <w:color w:val="000000"/>
                <w:sz w:val="22"/>
                <w:szCs w:val="22"/>
                <w:highlight w:val="white"/>
              </w:rPr>
            </w:r>
            <w:r>
              <w:rPr>
                <w:color w:val="000000"/>
                <w:sz w:val="22"/>
                <w:szCs w:val="22"/>
                <w:highlight w:val="white"/>
              </w:rPr>
            </w:r>
            <w:r>
              <w:rPr>
                <w:color w:val="000000" w:themeColor="text1"/>
                <w:sz w:val="22"/>
                <w:szCs w:val="22"/>
                <w:highlight w:val="white"/>
              </w:rPr>
            </w:r>
            <w:r>
              <w:rPr>
                <w:color w:val="000000"/>
                <w:sz w:val="22"/>
                <w:szCs w:val="22"/>
                <w:highlight w:val="white"/>
              </w:rPr>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highlight w:val="white"/>
              </w:rPr>
            </w:pPr>
            <w:r>
              <w:rPr>
                <w:color w:val="000000" w:themeColor="text1"/>
                <w:sz w:val="22"/>
                <w:szCs w:val="22"/>
                <w:highlight w:val="white"/>
              </w:rPr>
              <w:t xml:space="preserve">12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highlight w:val="white"/>
              </w:rPr>
            </w:pPr>
            <w:r>
              <w:rPr>
                <w:color w:val="000000" w:themeColor="text1"/>
                <w:sz w:val="22"/>
                <w:szCs w:val="22"/>
                <w:highlight w:val="white"/>
              </w:rPr>
              <w:t xml:space="preserve">Điều kiện môi trường an ninh</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Tốt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Tốt</w:t>
            </w:r>
            <w:r>
              <w:rPr>
                <w:color w:val="000000"/>
                <w:sz w:val="22"/>
                <w:szCs w:val="22"/>
                <w:highlight w:val="white"/>
              </w:rPr>
            </w:r>
            <w:r>
              <w:rPr>
                <w:color w:val="000000"/>
                <w:sz w:val="22"/>
                <w:szCs w:val="22"/>
                <w:highlight w:val="white"/>
              </w:rPr>
            </w:r>
            <w:r>
              <w:rPr>
                <w:color w:val="000000" w:themeColor="text1"/>
                <w:sz w:val="22"/>
                <w:szCs w:val="22"/>
                <w:highlight w:val="white"/>
              </w:rPr>
            </w:r>
            <w:r>
              <w:rPr>
                <w:color w:val="000000"/>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Tốt</w:t>
            </w:r>
            <w:r>
              <w:rPr>
                <w:color w:val="000000"/>
                <w:sz w:val="22"/>
                <w:szCs w:val="22"/>
                <w:highlight w:val="white"/>
              </w:rPr>
            </w:r>
            <w:r>
              <w:rPr>
                <w:color w:val="000000"/>
                <w:sz w:val="22"/>
                <w:szCs w:val="22"/>
                <w:highlight w:val="white"/>
              </w:rPr>
            </w:r>
            <w:r>
              <w:rPr>
                <w:color w:val="000000" w:themeColor="text1"/>
                <w:sz w:val="22"/>
                <w:szCs w:val="22"/>
                <w:highlight w:val="white"/>
              </w:rPr>
            </w:r>
            <w:r>
              <w:rPr>
                <w:color w:val="000000"/>
                <w:sz w:val="22"/>
                <w:szCs w:val="22"/>
                <w:highlight w:val="white"/>
              </w:rPr>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Tốt</w:t>
            </w:r>
            <w:r>
              <w:rPr>
                <w:color w:val="000000"/>
                <w:sz w:val="22"/>
                <w:szCs w:val="22"/>
                <w:highlight w:val="white"/>
              </w:rPr>
            </w:r>
            <w:r>
              <w:rPr>
                <w:color w:val="000000"/>
                <w:sz w:val="22"/>
                <w:szCs w:val="22"/>
                <w:highlight w:val="white"/>
              </w:rPr>
            </w:r>
            <w:r>
              <w:rPr>
                <w:color w:val="000000" w:themeColor="text1"/>
                <w:sz w:val="22"/>
                <w:szCs w:val="22"/>
                <w:highlight w:val="white"/>
              </w:rPr>
            </w:r>
            <w:r>
              <w:rPr>
                <w:color w:val="000000"/>
                <w:sz w:val="22"/>
                <w:szCs w:val="22"/>
                <w:highlight w:val="white"/>
              </w:rPr>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CTXD trên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Nhà 05 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Đất trống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Đất trống</w:t>
            </w:r>
            <w:r>
              <w:rPr>
                <w:color w:val="000000"/>
                <w:sz w:val="22"/>
                <w:szCs w:val="22"/>
              </w:rPr>
            </w:r>
            <w:r>
              <w:rPr>
                <w:color w:val="000000"/>
                <w:sz w:val="22"/>
                <w:szCs w:val="22"/>
              </w:rPr>
            </w:r>
            <w:r>
              <w:rPr>
                <w:color w:val="000000" w:themeColor="text1"/>
                <w:sz w:val="22"/>
                <w:szCs w:val="22"/>
              </w:rPr>
            </w:r>
            <w:r>
              <w:rPr>
                <w:color w:val="000000"/>
                <w:sz w:val="22"/>
                <w:szCs w:val="22"/>
              </w:rPr>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Diện tích sàn sử dụng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6.800.000.000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12.800.000.000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11.000.000.000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5.780.000.000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10.880.000.000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9.350.000.000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lang w:val="undefined"/>
              </w:rPr>
              <w:t xml:space="preserve"> </w:t>
            </w:r>
            <w:r>
              <w:rPr>
                <w:color w:val="000000" w:themeColor="text1"/>
                <w:sz w:val="22"/>
                <w:szCs w:val="22"/>
                <w:lang w:val="undefined" w:bidi="undefined"/>
              </w:rPr>
            </w:r>
            <w:r>
              <w:rPr>
                <w:color w:val="000000" w:themeColor="text1"/>
                <w:sz w:val="22"/>
                <w:szCs w:val="22"/>
                <w:lang w:val="undefined"/>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lang w:val="undefined"/>
              </w:rPr>
              <w:t xml:space="preserve"> </w:t>
            </w:r>
            <w:r>
              <w:rPr>
                <w:color w:val="000000" w:themeColor="text1"/>
                <w:sz w:val="22"/>
                <w:szCs w:val="22"/>
                <w:lang w:val="undefined" w:bidi="undefined"/>
              </w:rPr>
            </w:r>
            <w:r>
              <w:rPr>
                <w:color w:val="000000" w:themeColor="text1"/>
                <w:sz w:val="22"/>
                <w:szCs w:val="22"/>
                <w:lang w:val="undefined"/>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lang w:val="undefined"/>
              </w:rPr>
              <w:t xml:space="preserve"> </w:t>
            </w:r>
            <w:r>
              <w:rPr>
                <w:color w:val="000000" w:themeColor="text1"/>
                <w:sz w:val="22"/>
                <w:szCs w:val="22"/>
                <w:lang w:val="undefined" w:bidi="undefined"/>
              </w:rPr>
            </w:r>
            <w:r>
              <w:rPr>
                <w:color w:val="000000" w:themeColor="text1"/>
                <w:sz w:val="22"/>
                <w:szCs w:val="22"/>
                <w:lang w:val="undefined"/>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14:ligatures w14:val="none"/>
              </w:rPr>
            </w:pPr>
            <w:r>
              <w:rPr>
                <w:color w:val="000000" w:themeColor="text1"/>
                <w:sz w:val="22"/>
                <w:szCs w:val="22"/>
                <w:lang w:val="undefined" w:bidi="undefined"/>
              </w:rPr>
            </w:r>
            <w:r>
              <w:rPr>
                <w:color w:val="000000" w:themeColor="text1"/>
                <w:sz w:val="22"/>
                <w:szCs w:val="22"/>
                <w:lang w:val="undefined"/>
              </w:rPr>
              <w:t xml:space="preserve">1.103.721.907</w:t>
            </w:r>
            <w:r>
              <w:rPr>
                <w:color w:val="000000" w:themeColor="text1"/>
                <w:sz w:val="22"/>
                <w:szCs w:val="22"/>
                <w:lang w:val="undefined" w:bidi="undefined"/>
              </w:rPr>
            </w:r>
            <w:r>
              <w:rPr>
                <w:color w:val="000000" w:themeColor="text1"/>
                <w:sz w:val="22"/>
                <w:szCs w:val="22"/>
                <w:lang w:val="undefined"/>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0"/>
                <w:szCs w:val="20"/>
              </w:rPr>
            </w:pPr>
            <w:r>
              <w:rPr>
                <w:color w:val="000000" w:themeColor="text1"/>
                <w:sz w:val="22"/>
                <w:szCs w:val="22"/>
              </w:rPr>
              <w:t xml:space="preserve">4.676.278.093</w:t>
            </w:r>
            <w:r>
              <w:rPr>
                <w:color w:val="000000"/>
                <w:sz w:val="20"/>
                <w:szCs w:val="20"/>
              </w:rPr>
            </w:r>
            <w:r>
              <w:rPr>
                <w:color w:val="000000"/>
                <w:sz w:val="20"/>
                <w:szCs w:val="20"/>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10.880.000.000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9.350.000.000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150.847.680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172.698.413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155.833.333</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25"/>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891"/>
        <w:gridCol w:w="1417"/>
        <w:gridCol w:w="1559"/>
        <w:gridCol w:w="1729"/>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891"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417"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729"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891"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0"/>
                <w:szCs w:val="20"/>
              </w:rPr>
            </w:pPr>
            <w:r>
              <w:rPr>
                <w:color w:val="000000" w:themeColor="text1"/>
                <w:sz w:val="22"/>
                <w:szCs w:val="22"/>
              </w:rPr>
              <w:t xml:space="preserve">4.676.278.093</w:t>
            </w:r>
            <w:r>
              <w:rPr>
                <w:color w:val="000000"/>
                <w:sz w:val="20"/>
                <w:szCs w:val="20"/>
              </w:rPr>
            </w:r>
            <w:r>
              <w:rPr>
                <w:color w:val="000000"/>
                <w:sz w:val="20"/>
                <w:szCs w:val="20"/>
              </w:rPr>
            </w:r>
          </w:p>
        </w:tc>
        <w:tc>
          <w:tcPr>
            <w:shd w:val="clear" w:color="000000" w:fill="ffffff"/>
            <w:tcBorders/>
            <w:tcW w:w="1729" w:type="dxa"/>
            <w:vAlign w:val="center"/>
            <w:textDirection w:val="lrTb"/>
            <w:noWrap w:val="false"/>
          </w:tcPr>
          <w:p>
            <w:pPr>
              <w:pBdr/>
              <w:spacing/>
              <w:ind/>
              <w:jc w:val="center"/>
              <w:rPr>
                <w:color w:val="000000"/>
                <w:sz w:val="20"/>
                <w:szCs w:val="20"/>
              </w:rPr>
            </w:pPr>
            <w:r>
              <w:rPr>
                <w:color w:val="000000" w:themeColor="text1"/>
                <w:sz w:val="22"/>
                <w:szCs w:val="22"/>
              </w:rPr>
              <w:t xml:space="preserve">10.880.000.000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9.350.000.000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891"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150.847.680</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pPr>
              <w:pBdr/>
              <w:spacing/>
              <w:ind/>
              <w:jc w:val="center"/>
              <w:rPr>
                <w:color w:val="000000"/>
                <w:sz w:val="22"/>
                <w:szCs w:val="22"/>
              </w:rPr>
            </w:pPr>
            <w:r>
              <w:rPr>
                <w:color w:val="000000" w:themeColor="text1"/>
                <w:sz w:val="22"/>
                <w:szCs w:val="22"/>
              </w:rPr>
              <w:t xml:space="preserve">172.698.413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155.833.333</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891"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17"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59"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729"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891"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17"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rPr>
              <w:t xml:space="preserve">Giấy chứng nhận quyền sử dụng đất</w:t>
            </w:r>
            <w:r>
              <w:rPr>
                <w:color w:val="000000"/>
                <w:sz w:val="22"/>
                <w:szCs w:val="22"/>
              </w:rPr>
            </w:r>
            <w:r>
              <w:rPr>
                <w:color w:val="000000" w:themeColor="text1"/>
                <w:sz w:val="22"/>
                <w:szCs w:val="22"/>
                <w:highlight w:val="none"/>
              </w:rPr>
            </w:r>
            <w:r>
              <w:rPr>
                <w:color w:val="000000" w:themeColor="text1"/>
                <w:sz w:val="22"/>
                <w:szCs w:val="22"/>
                <w:highlight w:val="none"/>
              </w:rPr>
            </w:r>
            <w:r>
              <w:rPr>
                <w:color w:val="000000" w:themeColor="text1"/>
                <w:sz w:val="22"/>
                <w:szCs w:val="22"/>
                <w:highlight w:val="none"/>
              </w:rPr>
            </w:r>
            <w:r>
              <w:rPr>
                <w:color w:val="000000" w:themeColor="text1"/>
                <w:sz w:val="22"/>
                <w:szCs w:val="22"/>
                <w:highlight w:val="none"/>
              </w:rPr>
            </w:r>
          </w:p>
        </w:tc>
        <w:tc>
          <w:tcPr>
            <w:shd w:val="clear" w:color="000000" w:fill="ffffff"/>
            <w:tcBorders/>
            <w:tcW w:w="1559"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rPr>
              <w:t xml:space="preserve">Giấy chứng nhận quyền sử dụng đất</w:t>
            </w:r>
            <w:r>
              <w:rPr>
                <w:color w:val="000000" w:themeColor="text1"/>
                <w:sz w:val="22"/>
                <w:szCs w:val="22"/>
                <w:highlight w:val="none"/>
              </w:rPr>
            </w:r>
            <w:r>
              <w:rPr>
                <w:color w:val="000000" w:themeColor="text1"/>
                <w:sz w:val="22"/>
                <w:szCs w:val="22"/>
                <w:highlight w:val="none"/>
              </w:rPr>
            </w:r>
            <w:r>
              <w:rPr>
                <w:color w:val="000000" w:themeColor="text1"/>
                <w:sz w:val="22"/>
                <w:szCs w:val="22"/>
                <w:highlight w:val="none"/>
              </w:rPr>
            </w:r>
            <w:r>
              <w:rPr>
                <w:color w:val="000000" w:themeColor="text1"/>
                <w:sz w:val="22"/>
                <w:szCs w:val="22"/>
                <w:highlight w:val="none"/>
              </w:rPr>
            </w:r>
          </w:p>
        </w:tc>
        <w:tc>
          <w:tcPr>
            <w:shd w:val="clear" w:color="000000" w:fill="ffffff"/>
            <w:tcBorders/>
            <w:tcW w:w="1729"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rPr>
              <w:t xml:space="preserve">Giấy chứng nhận quyền sử dụng đất</w:t>
            </w:r>
            <w:r>
              <w:rPr>
                <w:color w:val="000000"/>
                <w:sz w:val="22"/>
                <w:szCs w:val="22"/>
              </w:rPr>
            </w:r>
            <w:r>
              <w:rPr>
                <w:color w:val="000000" w:themeColor="text1"/>
                <w:sz w:val="22"/>
                <w:szCs w:val="22"/>
                <w:highlight w:val="none"/>
              </w:rPr>
            </w:r>
            <w:r>
              <w:rPr>
                <w:color w:val="000000" w:themeColor="text1"/>
                <w:sz w:val="22"/>
                <w:szCs w:val="22"/>
                <w:highlight w:val="none"/>
              </w:rPr>
            </w:r>
            <w:r>
              <w:rPr>
                <w:color w:val="000000" w:themeColor="text1"/>
                <w:sz w:val="22"/>
                <w:szCs w:val="22"/>
                <w:highlight w:val="none"/>
              </w:rPr>
            </w:r>
            <w:r>
              <w:rPr>
                <w:color w:val="000000" w:themeColor="text1"/>
                <w:sz w:val="22"/>
                <w:szCs w:val="22"/>
                <w:highlight w:val="none"/>
              </w:rPr>
            </w:r>
          </w:p>
        </w:tc>
        <w:tc>
          <w:tcPr>
            <w:shd w:val="clear" w:color="000000" w:fill="ffffff"/>
            <w:tcBorders/>
            <w:tcW w:w="1522" w:type="dxa"/>
            <w:vAlign w:val="center"/>
            <w:textDirection w:val="lrTb"/>
            <w:noWrap w:val="false"/>
          </w:tcPr>
          <w:p>
            <w:pPr>
              <w:pBdr/>
              <w:spacing/>
              <w:ind/>
              <w:jc w:val="center"/>
              <w:rPr>
                <w:color w:val="000000" w:themeColor="text1"/>
                <w:sz w:val="22"/>
                <w:szCs w:val="22"/>
                <w:highlight w:val="none"/>
              </w:rPr>
            </w:pPr>
            <w:r>
              <w:rPr>
                <w:color w:val="000000" w:themeColor="text1"/>
                <w:sz w:val="22"/>
                <w:szCs w:val="22"/>
              </w:rPr>
              <w:t xml:space="preserve">Giấy chứng nhận quyền sử dụng đất</w:t>
            </w:r>
            <w:r>
              <w:rPr>
                <w:color w:val="000000"/>
                <w:sz w:val="22"/>
                <w:szCs w:val="22"/>
              </w:rPr>
            </w:r>
            <w:r>
              <w:rPr>
                <w:color w:val="000000" w:themeColor="text1"/>
                <w:sz w:val="22"/>
                <w:szCs w:val="22"/>
                <w:highlight w:val="none"/>
              </w:rPr>
            </w:r>
            <w:r>
              <w:rPr>
                <w:color w:val="000000" w:themeColor="text1"/>
                <w:sz w:val="22"/>
                <w:szCs w:val="22"/>
                <w:highlight w:val="none"/>
              </w:rPr>
            </w:r>
            <w:r>
              <w:rPr>
                <w:color w:val="000000" w:themeColor="text1"/>
                <w:sz w:val="22"/>
                <w:szCs w:val="22"/>
                <w:highlight w:val="none"/>
              </w:rPr>
            </w:r>
            <w:r>
              <w:rPr>
                <w:color w:val="000000" w:themeColor="text1"/>
                <w:sz w:val="22"/>
                <w:szCs w:val="22"/>
                <w:highlight w:val="non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891"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891"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891"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161.815.422</w:t>
            </w:r>
            <w:r>
              <w:rPr>
                <w:color w:val="000000"/>
                <w:sz w:val="22"/>
                <w:szCs w:val="22"/>
              </w:rPr>
            </w:r>
            <w:r>
              <w:rPr>
                <w:color w:val="000000"/>
                <w:sz w:val="22"/>
                <w:szCs w:val="22"/>
              </w:rPr>
            </w:r>
          </w:p>
        </w:tc>
        <w:tc>
          <w:tcPr>
            <w:shd w:val="clear" w:color="000000" w:fill="ffffff"/>
            <w:tcBorders/>
            <w:tcW w:w="1729" w:type="dxa"/>
            <w:vAlign w:val="center"/>
            <w:textDirection w:val="lrTb"/>
            <w:noWrap/>
          </w:tcPr>
          <w:p>
            <w:pPr>
              <w:pBdr/>
              <w:spacing/>
              <w:ind/>
              <w:jc w:val="center"/>
              <w:rPr>
                <w:color w:val="000000"/>
                <w:sz w:val="22"/>
                <w:szCs w:val="22"/>
              </w:rPr>
            </w:pPr>
            <w:r>
              <w:rPr>
                <w:color w:val="000000" w:themeColor="text1"/>
                <w:sz w:val="22"/>
                <w:szCs w:val="22"/>
              </w:rPr>
              <w:t xml:space="preserve">182.857.143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165.000.000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891"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17"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729"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891"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891"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891"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161.815.422</w:t>
            </w:r>
            <w:r>
              <w:rPr>
                <w:color w:val="000000"/>
                <w:sz w:val="22"/>
                <w:szCs w:val="22"/>
              </w:rPr>
            </w:r>
            <w:r>
              <w:rPr>
                <w:color w:val="000000"/>
                <w:sz w:val="22"/>
                <w:szCs w:val="22"/>
              </w:rPr>
            </w:r>
          </w:p>
        </w:tc>
        <w:tc>
          <w:tcPr>
            <w:shd w:val="clear" w:color="000000" w:fill="ffffff"/>
            <w:tcBorders/>
            <w:tcW w:w="1729" w:type="dxa"/>
            <w:vAlign w:val="center"/>
            <w:textDirection w:val="lrTb"/>
            <w:noWrap/>
          </w:tcPr>
          <w:p>
            <w:pPr>
              <w:pBdr/>
              <w:spacing/>
              <w:ind/>
              <w:jc w:val="center"/>
              <w:rPr>
                <w:color w:val="000000"/>
                <w:sz w:val="22"/>
                <w:szCs w:val="22"/>
              </w:rPr>
            </w:pPr>
            <w:r>
              <w:rPr>
                <w:color w:val="000000" w:themeColor="text1"/>
                <w:sz w:val="22"/>
                <w:szCs w:val="22"/>
              </w:rPr>
              <w:t xml:space="preserve">182.857.143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165.000.000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891"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17"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t xml:space="preserve"> Lâu dài</w:t>
            </w:r>
            <w:r>
              <w:rPr>
                <w:b/>
                <w:bCs/>
                <w:color w:val="000000"/>
                <w:sz w:val="22"/>
                <w:szCs w:val="22"/>
              </w:rPr>
            </w:r>
            <w:r>
              <w:rPr>
                <w:b/>
                <w:bCs/>
                <w:color w:val="000000"/>
                <w:sz w:val="22"/>
                <w:szCs w:val="22"/>
              </w:rPr>
            </w:r>
          </w:p>
        </w:tc>
        <w:tc>
          <w:tcPr>
            <w:shd w:val="clear" w:color="000000" w:fill="ffffff"/>
            <w:tcBorders/>
            <w:tcW w:w="1729"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891"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891"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891"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161.815.422</w:t>
            </w:r>
            <w:r>
              <w:rPr>
                <w:color w:val="000000"/>
                <w:sz w:val="22"/>
                <w:szCs w:val="22"/>
              </w:rPr>
            </w:r>
            <w:r>
              <w:rPr>
                <w:color w:val="000000"/>
                <w:sz w:val="22"/>
                <w:szCs w:val="22"/>
              </w:rPr>
            </w:r>
          </w:p>
        </w:tc>
        <w:tc>
          <w:tcPr>
            <w:shd w:val="clear" w:color="000000" w:fill="ffffff"/>
            <w:tcBorders/>
            <w:tcW w:w="1729" w:type="dxa"/>
            <w:vAlign w:val="center"/>
            <w:textDirection w:val="lrTb"/>
            <w:noWrap/>
          </w:tcPr>
          <w:p>
            <w:pPr>
              <w:pBdr/>
              <w:spacing/>
              <w:ind/>
              <w:jc w:val="center"/>
              <w:rPr>
                <w:color w:val="000000"/>
                <w:sz w:val="22"/>
                <w:szCs w:val="22"/>
              </w:rPr>
            </w:pPr>
            <w:r>
              <w:rPr>
                <w:color w:val="000000" w:themeColor="text1"/>
                <w:sz w:val="22"/>
                <w:szCs w:val="22"/>
              </w:rPr>
              <w:t xml:space="preserve">182.857.143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165.000.000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891"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rFonts w:ascii="Times New Roman" w:hAnsi="Times New Roman" w:eastAsia="Times New Roman" w:cs="Times New Roman"/>
                <w:color w:val="000000"/>
                <w:sz w:val="24"/>
              </w:rPr>
              <w:t xml:space="preserve">khu đấu giá QSD đất Mậu Lương, phường  Hà Đông, thành phố Hà Nội</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w:t>
            </w:r>
            <w:r>
              <w:rPr>
                <w:rFonts w:ascii="Times New Roman" w:hAnsi="Times New Roman" w:eastAsia="Times New Roman" w:cs="Times New Roman"/>
                <w:color w:val="000000"/>
                <w:sz w:val="24"/>
              </w:rPr>
              <w:t xml:space="preserve">khu dân cư, phường  Hà Đông, thành phố Hà Nội</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w:t>
            </w:r>
            <w:r>
              <w:rPr>
                <w:rFonts w:ascii="Times New Roman" w:hAnsi="Times New Roman" w:eastAsia="Times New Roman" w:cs="Times New Roman"/>
                <w:color w:val="000000"/>
                <w:sz w:val="24"/>
              </w:rPr>
              <w:t xml:space="preserve">khu đấu giá QSD đất Mậu Lương, phường  Hà Đông, thành phố Hà Nội</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 </w:t>
            </w:r>
            <w:r>
              <w:rPr>
                <w:rFonts w:ascii="Times New Roman" w:hAnsi="Times New Roman" w:eastAsia="Times New Roman" w:cs="Times New Roman"/>
                <w:color w:val="000000"/>
                <w:sz w:val="24"/>
              </w:rPr>
              <w:t xml:space="preserve">khu đấu giá QSD đất Mậu Lương, phường  Hà Đông, thành phố Hà Nội</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891"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891"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891"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161.815.422</w:t>
            </w:r>
            <w:r>
              <w:rPr>
                <w:color w:val="000000"/>
                <w:sz w:val="22"/>
                <w:szCs w:val="22"/>
              </w:rPr>
            </w:r>
            <w:r>
              <w:rPr>
                <w:color w:val="000000"/>
                <w:sz w:val="22"/>
                <w:szCs w:val="22"/>
              </w:rPr>
            </w:r>
          </w:p>
        </w:tc>
        <w:tc>
          <w:tcPr>
            <w:shd w:val="clear" w:color="000000" w:fill="ffffff"/>
            <w:tcBorders/>
            <w:tcW w:w="1729" w:type="dxa"/>
            <w:vAlign w:val="center"/>
            <w:textDirection w:val="lrTb"/>
            <w:noWrap/>
          </w:tcPr>
          <w:p>
            <w:pPr>
              <w:pBdr/>
              <w:spacing/>
              <w:ind/>
              <w:jc w:val="center"/>
              <w:rPr>
                <w:color w:val="000000"/>
                <w:sz w:val="22"/>
                <w:szCs w:val="22"/>
              </w:rPr>
            </w:pPr>
            <w:r>
              <w:rPr>
                <w:color w:val="000000" w:themeColor="text1"/>
                <w:sz w:val="22"/>
                <w:szCs w:val="22"/>
              </w:rPr>
              <w:t xml:space="preserve">182.857.143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165.000.000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891"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17"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729"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891"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891"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7.542.384</w:t>
            </w:r>
            <w:r>
              <w:rPr>
                <w:color w:val="000000"/>
                <w:sz w:val="22"/>
                <w:szCs w:val="22"/>
              </w:rPr>
            </w:r>
            <w:r>
              <w:rPr>
                <w:color w:val="000000"/>
                <w:sz w:val="22"/>
                <w:szCs w:val="22"/>
              </w:rPr>
            </w:r>
          </w:p>
        </w:tc>
        <w:tc>
          <w:tcPr>
            <w:shd w:val="clear" w:color="000000" w:fill="ffffff"/>
            <w:tcBorders/>
            <w:tcW w:w="172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891"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158.390.064</w:t>
            </w:r>
            <w:r>
              <w:rPr>
                <w:color w:val="000000"/>
                <w:sz w:val="22"/>
                <w:szCs w:val="22"/>
              </w:rPr>
            </w:r>
            <w:r>
              <w:rPr>
                <w:color w:val="000000"/>
                <w:sz w:val="22"/>
                <w:szCs w:val="22"/>
              </w:rPr>
            </w:r>
          </w:p>
        </w:tc>
        <w:tc>
          <w:tcPr>
            <w:shd w:val="clear" w:color="000000" w:fill="ffffff"/>
            <w:tcBorders/>
            <w:tcW w:w="1729" w:type="dxa"/>
            <w:vAlign w:val="center"/>
            <w:textDirection w:val="lrTb"/>
            <w:noWrap/>
          </w:tcPr>
          <w:p>
            <w:pPr>
              <w:pBdr/>
              <w:spacing/>
              <w:ind/>
              <w:jc w:val="center"/>
              <w:rPr>
                <w:color w:val="000000"/>
                <w:sz w:val="22"/>
                <w:szCs w:val="22"/>
              </w:rPr>
            </w:pPr>
            <w:r>
              <w:rPr>
                <w:color w:val="000000" w:themeColor="text1"/>
                <w:sz w:val="22"/>
                <w:szCs w:val="22"/>
              </w:rPr>
              <w:t xml:space="preserve">182.857.143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165.000.000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891"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17" w:type="dxa"/>
            <w:vAlign w:val="center"/>
            <w:textDirection w:val="lrTb"/>
            <w:noWrap w:val="false"/>
          </w:tcPr>
          <w:p>
            <w:pPr>
              <w:pBdr/>
              <w:spacing/>
              <w:ind/>
              <w:jc w:val="center"/>
              <w:rPr>
                <w:b w:val="0"/>
                <w:bCs w:val="0"/>
                <w:color w:val="000000"/>
                <w:sz w:val="22"/>
                <w:szCs w:val="22"/>
              </w:rPr>
            </w:pPr>
            <w:r>
              <w:rPr>
                <w:b w:val="0"/>
                <w:bCs w:val="0"/>
                <w:color w:val="000000"/>
                <w:sz w:val="22"/>
                <w:szCs w:val="22"/>
              </w:rPr>
              <w:t xml:space="preserve">6</w:t>
            </w:r>
            <w:r>
              <w:rPr>
                <w:b w:val="0"/>
                <w:bCs w:val="0"/>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t xml:space="preserve">2,2</w:t>
            </w:r>
            <w:r>
              <w:rPr>
                <w:b/>
                <w:bCs/>
                <w:color w:val="000000"/>
                <w:sz w:val="22"/>
                <w:szCs w:val="22"/>
              </w:rPr>
            </w:r>
            <w:r>
              <w:rPr>
                <w:b/>
                <w:bCs/>
                <w:color w:val="000000"/>
                <w:sz w:val="22"/>
                <w:szCs w:val="22"/>
              </w:rPr>
            </w:r>
          </w:p>
        </w:tc>
        <w:tc>
          <w:tcPr>
            <w:shd w:val="clear" w:color="000000" w:fill="ffffff"/>
            <w:tcBorders/>
            <w:tcW w:w="1729"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891"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891"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15.084.768</w:t>
            </w:r>
            <w:r>
              <w:rPr>
                <w:color w:val="000000"/>
                <w:sz w:val="22"/>
                <w:szCs w:val="22"/>
              </w:rPr>
            </w:r>
            <w:r>
              <w:rPr>
                <w:color w:val="000000"/>
                <w:sz w:val="22"/>
                <w:szCs w:val="22"/>
              </w:rPr>
            </w:r>
          </w:p>
        </w:tc>
        <w:tc>
          <w:tcPr>
            <w:shd w:val="clear" w:color="000000" w:fill="ffffff"/>
            <w:tcBorders/>
            <w:tcW w:w="172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891"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173.474.832</w:t>
            </w:r>
            <w:r>
              <w:rPr>
                <w:color w:val="000000"/>
                <w:sz w:val="22"/>
                <w:szCs w:val="22"/>
              </w:rPr>
            </w:r>
            <w:r>
              <w:rPr>
                <w:color w:val="000000"/>
                <w:sz w:val="22"/>
                <w:szCs w:val="22"/>
              </w:rPr>
            </w:r>
          </w:p>
        </w:tc>
        <w:tc>
          <w:tcPr>
            <w:shd w:val="clear" w:color="000000" w:fill="ffffff"/>
            <w:tcBorders/>
            <w:tcW w:w="1729" w:type="dxa"/>
            <w:vAlign w:val="center"/>
            <w:textDirection w:val="lrTb"/>
            <w:noWrap/>
          </w:tcPr>
          <w:p>
            <w:pPr>
              <w:pBdr/>
              <w:spacing/>
              <w:ind/>
              <w:jc w:val="center"/>
              <w:rPr>
                <w:color w:val="000000"/>
                <w:sz w:val="22"/>
                <w:szCs w:val="22"/>
              </w:rPr>
            </w:pPr>
            <w:r>
              <w:rPr>
                <w:color w:val="000000" w:themeColor="text1"/>
                <w:sz w:val="22"/>
                <w:szCs w:val="22"/>
              </w:rPr>
              <w:t xml:space="preserve">182.857.143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165.000.000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Cơ sở hạ tầng kỹ thuật</w:t>
            </w:r>
            <w:r>
              <w:rPr>
                <w:b/>
                <w:bCs/>
                <w:color w:val="000000"/>
                <w:sz w:val="22"/>
                <w:szCs w:val="22"/>
              </w:rPr>
            </w:r>
            <w:r>
              <w:rPr>
                <w:b/>
                <w:bCs/>
                <w:color w:val="000000"/>
                <w:sz w:val="22"/>
                <w:szCs w:val="22"/>
              </w:rPr>
            </w:r>
          </w:p>
        </w:tc>
        <w:tc>
          <w:tcPr>
            <w:shd w:val="clear" w:color="000000" w:fill="ffffff"/>
            <w:tcBorders/>
            <w:tcW w:w="891"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Hạ tầng khu đô thị, khu phân lô/tái định cư</w:t>
            </w:r>
            <w:r>
              <w:rPr>
                <w:color w:val="000000"/>
                <w:sz w:val="22"/>
                <w:szCs w:val="22"/>
                <w:highlight w:val="white"/>
              </w:rPr>
            </w:r>
            <w:r>
              <w:rPr>
                <w:color w:val="000000"/>
                <w:sz w:val="22"/>
                <w:szCs w:val="22"/>
                <w:highlight w:val="white"/>
              </w:rPr>
            </w:r>
          </w:p>
        </w:tc>
        <w:tc>
          <w:tcPr>
            <w:shd w:val="clear" w:color="000000" w:fill="ffffff"/>
            <w:tcBorders/>
            <w:tcW w:w="1559"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Hạ tầng khu dân cư thông thường</w:t>
            </w:r>
            <w:r>
              <w:rPr>
                <w:color w:val="000000"/>
                <w:sz w:val="22"/>
                <w:szCs w:val="22"/>
                <w:highlight w:val="white"/>
              </w:rPr>
            </w:r>
            <w:r>
              <w:rPr>
                <w:color w:val="000000"/>
                <w:sz w:val="22"/>
                <w:szCs w:val="22"/>
                <w:highlight w:val="white"/>
              </w:rPr>
            </w:r>
          </w:p>
        </w:tc>
        <w:tc>
          <w:tcPr>
            <w:shd w:val="clear" w:color="000000" w:fill="ffffff"/>
            <w:tcBorders/>
            <w:tcW w:w="1729"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Hạ tầng khu đô thị, khu phân lô/tái định cư</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Hạ tầng khu đô thị, khu phân lô/tái định cư</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891"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891"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7.542.384</w:t>
            </w:r>
            <w:r>
              <w:rPr>
                <w:color w:val="000000"/>
                <w:sz w:val="22"/>
                <w:szCs w:val="22"/>
              </w:rPr>
            </w:r>
            <w:r>
              <w:rPr>
                <w:color w:val="000000"/>
                <w:sz w:val="22"/>
                <w:szCs w:val="22"/>
              </w:rPr>
            </w:r>
          </w:p>
        </w:tc>
        <w:tc>
          <w:tcPr>
            <w:shd w:val="clear" w:color="000000" w:fill="ffffff"/>
            <w:tcBorders/>
            <w:tcW w:w="172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891"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181.017.216</w:t>
            </w:r>
            <w:r>
              <w:rPr>
                <w:color w:val="000000"/>
                <w:sz w:val="22"/>
                <w:szCs w:val="22"/>
              </w:rPr>
            </w:r>
            <w:r>
              <w:rPr>
                <w:color w:val="000000"/>
                <w:sz w:val="22"/>
                <w:szCs w:val="22"/>
              </w:rPr>
            </w:r>
          </w:p>
        </w:tc>
        <w:tc>
          <w:tcPr>
            <w:shd w:val="clear" w:color="000000" w:fill="ffffff"/>
            <w:tcBorders/>
            <w:tcW w:w="1729" w:type="dxa"/>
            <w:vAlign w:val="center"/>
            <w:textDirection w:val="lrTb"/>
            <w:noWrap/>
          </w:tcPr>
          <w:p>
            <w:pPr>
              <w:pBdr/>
              <w:spacing/>
              <w:ind/>
              <w:jc w:val="center"/>
              <w:rPr>
                <w:color w:val="000000"/>
                <w:sz w:val="22"/>
                <w:szCs w:val="22"/>
              </w:rPr>
            </w:pPr>
            <w:r>
              <w:rPr>
                <w:color w:val="000000" w:themeColor="text1"/>
                <w:sz w:val="22"/>
                <w:szCs w:val="22"/>
              </w:rPr>
              <w:t xml:space="preserve">182.857.143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165.000.000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Điều kiện môi trường an ninh</w:t>
            </w:r>
            <w:r>
              <w:rPr>
                <w:b/>
                <w:bCs/>
                <w:color w:val="000000"/>
                <w:sz w:val="22"/>
                <w:szCs w:val="22"/>
              </w:rPr>
            </w:r>
            <w:r>
              <w:rPr>
                <w:b/>
                <w:bCs/>
                <w:color w:val="000000"/>
                <w:sz w:val="22"/>
                <w:szCs w:val="22"/>
              </w:rPr>
            </w:r>
          </w:p>
        </w:tc>
        <w:tc>
          <w:tcPr>
            <w:shd w:val="clear" w:color="000000" w:fill="ffffff"/>
            <w:tcBorders/>
            <w:tcW w:w="891"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17"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r>
              <w:rPr>
                <w:color w:val="000000" w:themeColor="text1"/>
                <w:sz w:val="22"/>
                <w:szCs w:val="22"/>
              </w:rPr>
            </w:r>
            <w:r>
              <w:rPr>
                <w:b/>
                <w:bCs/>
                <w:color w:val="000000"/>
                <w:sz w:val="22"/>
                <w:szCs w:val="22"/>
              </w:rPr>
            </w:r>
            <w:r>
              <w:rPr>
                <w:b/>
                <w:bCs/>
                <w:color w:val="000000"/>
                <w:sz w:val="22"/>
                <w:szCs w:val="22"/>
              </w:rPr>
            </w:r>
            <w:r>
              <w:rPr>
                <w:b/>
                <w:bCs/>
                <w:color w:val="000000"/>
                <w:sz w:val="22"/>
                <w:szCs w:val="22"/>
              </w:rPr>
            </w:r>
          </w:p>
        </w:tc>
        <w:tc>
          <w:tcPr>
            <w:shd w:val="clear" w:color="000000" w:fill="ffffff"/>
            <w:tcBorders/>
            <w:tcW w:w="1729"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r>
              <w:rPr>
                <w:color w:val="000000" w:themeColor="text1"/>
                <w:sz w:val="22"/>
                <w:szCs w:val="22"/>
              </w:rPr>
            </w:r>
            <w:r>
              <w:rPr>
                <w:b/>
                <w:bCs/>
                <w:color w:val="000000"/>
                <w:sz w:val="22"/>
                <w:szCs w:val="22"/>
              </w:rPr>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Tốt</w:t>
            </w:r>
            <w:r>
              <w:rPr>
                <w:b/>
                <w:bCs/>
                <w:color w:val="000000"/>
                <w:sz w:val="22"/>
                <w:szCs w:val="22"/>
              </w:rPr>
            </w:r>
            <w:r>
              <w:rPr>
                <w:b/>
                <w:bCs/>
                <w:color w:val="000000"/>
                <w:sz w:val="22"/>
                <w:szCs w:val="22"/>
              </w:rPr>
            </w:r>
            <w:r>
              <w:rPr>
                <w:color w:val="000000" w:themeColor="text1"/>
                <w:sz w:val="22"/>
                <w:szCs w:val="22"/>
              </w:rPr>
            </w:r>
            <w:r>
              <w:rPr>
                <w:b/>
                <w:bCs/>
                <w:color w:val="000000"/>
                <w:sz w:val="22"/>
                <w:szCs w:val="22"/>
              </w:rPr>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891"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891"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891"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181.017.216</w:t>
            </w:r>
            <w:r>
              <w:rPr>
                <w:color w:val="000000"/>
                <w:sz w:val="22"/>
                <w:szCs w:val="22"/>
              </w:rPr>
            </w:r>
            <w:r>
              <w:rPr>
                <w:color w:val="000000"/>
                <w:sz w:val="22"/>
                <w:szCs w:val="22"/>
              </w:rPr>
            </w:r>
          </w:p>
        </w:tc>
        <w:tc>
          <w:tcPr>
            <w:shd w:val="clear" w:color="000000" w:fill="ffffff"/>
            <w:tcBorders/>
            <w:tcW w:w="1729" w:type="dxa"/>
            <w:vAlign w:val="center"/>
            <w:textDirection w:val="lrTb"/>
            <w:noWrap/>
          </w:tcPr>
          <w:p>
            <w:pPr>
              <w:pBdr/>
              <w:spacing/>
              <w:ind/>
              <w:jc w:val="center"/>
              <w:rPr>
                <w:color w:val="000000"/>
                <w:sz w:val="22"/>
                <w:szCs w:val="22"/>
              </w:rPr>
            </w:pPr>
            <w:r>
              <w:rPr>
                <w:color w:val="000000" w:themeColor="text1"/>
                <w:sz w:val="22"/>
                <w:szCs w:val="22"/>
              </w:rPr>
              <w:t xml:space="preserve">182.857.143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165.000.000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891"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17" w:type="dxa"/>
            <w:vAlign w:val="center"/>
            <w:textDirection w:val="lrTb"/>
            <w:noWrap w:val="false"/>
          </w:tcPr>
          <w:p>
            <w:pPr>
              <w:pBdr/>
              <w:spacing/>
              <w:ind/>
              <w:jc w:val="center"/>
              <w:rPr>
                <w:b/>
                <w:bCs/>
                <w:color w:val="000000"/>
                <w:sz w:val="22"/>
                <w:szCs w:val="22"/>
              </w:rPr>
            </w:pPr>
            <w:r>
              <w:rPr>
                <w:color w:val="000000" w:themeColor="text1"/>
                <w:sz w:val="22"/>
                <w:szCs w:val="22"/>
              </w:rPr>
              <w:t xml:space="preserve">50</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t xml:space="preserve">31</w:t>
            </w:r>
            <w:r>
              <w:rPr>
                <w:b/>
                <w:bCs/>
                <w:color w:val="000000"/>
                <w:sz w:val="22"/>
                <w:szCs w:val="22"/>
              </w:rPr>
            </w:r>
            <w:r>
              <w:rPr>
                <w:b/>
                <w:bCs/>
                <w:color w:val="000000"/>
                <w:sz w:val="22"/>
                <w:szCs w:val="22"/>
              </w:rPr>
            </w:r>
          </w:p>
        </w:tc>
        <w:tc>
          <w:tcPr>
            <w:shd w:val="clear" w:color="000000" w:fill="ffffff"/>
            <w:tcBorders/>
            <w:tcW w:w="1729" w:type="dxa"/>
            <w:vAlign w:val="center"/>
            <w:textDirection w:val="lrTb"/>
            <w:noWrap w:val="false"/>
          </w:tcPr>
          <w:p>
            <w:pPr>
              <w:pBdr/>
              <w:spacing/>
              <w:ind/>
              <w:jc w:val="center"/>
              <w:rPr>
                <w:b/>
                <w:bCs/>
                <w:color w:val="000000"/>
                <w:sz w:val="22"/>
                <w:szCs w:val="22"/>
              </w:rPr>
            </w:pPr>
            <w:r>
              <w:rPr>
                <w:color w:val="000000" w:themeColor="text1"/>
                <w:sz w:val="22"/>
                <w:szCs w:val="22"/>
              </w:rPr>
              <w:t xml:space="preserve">63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891"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891"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-12.067.814</w:t>
            </w:r>
            <w:r>
              <w:rPr>
                <w:color w:val="000000"/>
                <w:sz w:val="22"/>
                <w:szCs w:val="22"/>
              </w:rPr>
            </w:r>
            <w:r>
              <w:rPr>
                <w:color w:val="000000"/>
                <w:sz w:val="22"/>
                <w:szCs w:val="22"/>
              </w:rPr>
            </w:r>
          </w:p>
        </w:tc>
        <w:tc>
          <w:tcPr>
            <w:shd w:val="clear" w:color="000000" w:fill="ffffff"/>
            <w:tcBorders/>
            <w:tcW w:w="1729" w:type="dxa"/>
            <w:vAlign w:val="center"/>
            <w:textDirection w:val="lrTb"/>
            <w:noWrap/>
          </w:tcPr>
          <w:p>
            <w:pPr>
              <w:pBdr/>
              <w:spacing/>
              <w:ind/>
              <w:jc w:val="center"/>
              <w:rPr>
                <w:color w:val="000000"/>
                <w:sz w:val="22"/>
                <w:szCs w:val="22"/>
              </w:rPr>
            </w:pPr>
            <w:r>
              <w:rPr>
                <w:color w:val="000000" w:themeColor="text1"/>
                <w:sz w:val="22"/>
                <w:szCs w:val="22"/>
              </w:rPr>
              <w:t xml:space="preserve">3.453.968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891"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168.949.402</w:t>
            </w:r>
            <w:r>
              <w:rPr>
                <w:color w:val="000000"/>
                <w:sz w:val="22"/>
                <w:szCs w:val="22"/>
              </w:rPr>
            </w:r>
            <w:r>
              <w:rPr>
                <w:color w:val="000000"/>
                <w:sz w:val="22"/>
                <w:szCs w:val="22"/>
              </w:rPr>
            </w:r>
          </w:p>
        </w:tc>
        <w:tc>
          <w:tcPr>
            <w:shd w:val="clear" w:color="000000" w:fill="ffffff"/>
            <w:tcBorders/>
            <w:tcW w:w="1729" w:type="dxa"/>
            <w:vAlign w:val="center"/>
            <w:textDirection w:val="lrTb"/>
            <w:noWrap/>
          </w:tcPr>
          <w:p>
            <w:pPr>
              <w:pBdr/>
              <w:spacing/>
              <w:ind/>
              <w:jc w:val="center"/>
              <w:rPr>
                <w:color w:val="000000"/>
                <w:sz w:val="22"/>
                <w:szCs w:val="22"/>
              </w:rPr>
            </w:pPr>
            <w:r>
              <w:rPr>
                <w:color w:val="000000" w:themeColor="text1"/>
                <w:sz w:val="22"/>
                <w:szCs w:val="22"/>
              </w:rPr>
              <w:t xml:space="preserve">176.152.381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165.000.000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891"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17"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729"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891"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891"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891"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168.949.402</w:t>
            </w:r>
            <w:r>
              <w:rPr>
                <w:color w:val="000000"/>
                <w:sz w:val="22"/>
                <w:szCs w:val="22"/>
              </w:rPr>
            </w:r>
            <w:r>
              <w:rPr>
                <w:color w:val="000000"/>
                <w:sz w:val="22"/>
                <w:szCs w:val="22"/>
              </w:rPr>
            </w:r>
          </w:p>
        </w:tc>
        <w:tc>
          <w:tcPr>
            <w:shd w:val="clear" w:color="000000" w:fill="ffffff"/>
            <w:tcBorders/>
            <w:tcW w:w="1729" w:type="dxa"/>
            <w:vAlign w:val="center"/>
            <w:textDirection w:val="lrTb"/>
            <w:noWrap/>
          </w:tcPr>
          <w:p>
            <w:pPr>
              <w:pBdr/>
              <w:spacing/>
              <w:ind/>
              <w:jc w:val="center"/>
              <w:rPr>
                <w:color w:val="000000"/>
                <w:sz w:val="22"/>
                <w:szCs w:val="22"/>
              </w:rPr>
            </w:pPr>
            <w:r>
              <w:rPr>
                <w:color w:val="000000" w:themeColor="text1"/>
                <w:sz w:val="22"/>
                <w:szCs w:val="22"/>
              </w:rPr>
              <w:t xml:space="preserve">176.152.381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165.000.000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891"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17"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729"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891"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891"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891"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164.423.972</w:t>
            </w:r>
            <w:r>
              <w:rPr>
                <w:color w:val="000000"/>
                <w:sz w:val="22"/>
                <w:szCs w:val="22"/>
              </w:rPr>
            </w:r>
            <w:r>
              <w:rPr>
                <w:color w:val="000000"/>
                <w:sz w:val="22"/>
                <w:szCs w:val="22"/>
              </w:rPr>
            </w:r>
          </w:p>
        </w:tc>
        <w:tc>
          <w:tcPr>
            <w:shd w:val="clear" w:color="000000" w:fill="ffffff"/>
            <w:tcBorders/>
            <w:tcW w:w="1729" w:type="dxa"/>
            <w:vAlign w:val="center"/>
            <w:textDirection w:val="lrTb"/>
            <w:noWrap/>
          </w:tcPr>
          <w:p>
            <w:pPr>
              <w:pBdr/>
              <w:spacing/>
              <w:ind/>
              <w:jc w:val="center"/>
              <w:rPr>
                <w:color w:val="000000"/>
                <w:sz w:val="22"/>
                <w:szCs w:val="22"/>
              </w:rPr>
            </w:pPr>
            <w:r>
              <w:rPr>
                <w:color w:val="000000" w:themeColor="text1"/>
                <w:sz w:val="22"/>
                <w:szCs w:val="22"/>
              </w:rPr>
              <w:t xml:space="preserve">179.606.349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165.000.000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891"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17"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729"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891"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891"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72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891"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color w:val="000000"/>
                <w:sz w:val="22"/>
                <w:szCs w:val="22"/>
              </w:rPr>
            </w:pPr>
            <w:r>
              <w:rPr>
                <w:color w:val="000000" w:themeColor="text1"/>
                <w:sz w:val="22"/>
                <w:szCs w:val="22"/>
              </w:rPr>
              <w:t xml:space="preserve">164.423.972</w:t>
            </w:r>
            <w:r>
              <w:rPr>
                <w:color w:val="000000"/>
                <w:sz w:val="22"/>
                <w:szCs w:val="22"/>
              </w:rPr>
            </w:r>
            <w:r>
              <w:rPr>
                <w:color w:val="000000"/>
                <w:sz w:val="22"/>
                <w:szCs w:val="22"/>
              </w:rPr>
            </w:r>
          </w:p>
        </w:tc>
        <w:tc>
          <w:tcPr>
            <w:shd w:val="clear" w:color="000000" w:fill="ffffff"/>
            <w:tcBorders/>
            <w:tcW w:w="1729" w:type="dxa"/>
            <w:vAlign w:val="center"/>
            <w:textDirection w:val="lrTb"/>
            <w:noWrap/>
          </w:tcPr>
          <w:p>
            <w:pPr>
              <w:pBdr/>
              <w:spacing/>
              <w:ind/>
              <w:jc w:val="center"/>
              <w:rPr>
                <w:color w:val="000000"/>
                <w:sz w:val="22"/>
                <w:szCs w:val="22"/>
              </w:rPr>
            </w:pPr>
            <w:r>
              <w:rPr>
                <w:color w:val="000000" w:themeColor="text1"/>
                <w:sz w:val="22"/>
                <w:szCs w:val="22"/>
              </w:rPr>
              <w:t xml:space="preserve">179.606.349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165.000.000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891"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417"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164.423.972</w:t>
            </w:r>
            <w:r>
              <w:rPr>
                <w:b/>
                <w:bCs/>
                <w:color w:val="000000"/>
                <w:sz w:val="22"/>
                <w:szCs w:val="22"/>
              </w:rPr>
            </w:r>
            <w:r>
              <w:rPr>
                <w:b/>
                <w:bCs/>
                <w:color w:val="000000"/>
                <w:sz w:val="22"/>
                <w:szCs w:val="22"/>
              </w:rPr>
            </w:r>
          </w:p>
        </w:tc>
        <w:tc>
          <w:tcPr>
            <w:shd w:val="clear" w:color="000000" w:fill="ffffff"/>
            <w:tcBorders/>
            <w:tcW w:w="1729"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179.606.349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155.833.333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891"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417"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81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166.621.218</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891"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17"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color w:val="000000"/>
                <w:sz w:val="22"/>
                <w:szCs w:val="22"/>
              </w:rPr>
            </w:pPr>
            <w:r>
              <w:rPr>
                <w:color w:val="000000" w:themeColor="text1"/>
                <w:sz w:val="22"/>
                <w:szCs w:val="22"/>
              </w:rPr>
              <w:t xml:space="preserve">-1,32%</w:t>
            </w:r>
            <w:r>
              <w:rPr>
                <w:color w:val="000000"/>
                <w:sz w:val="22"/>
                <w:szCs w:val="22"/>
              </w:rPr>
            </w:r>
            <w:r>
              <w:rPr>
                <w:color w:val="000000"/>
                <w:sz w:val="22"/>
                <w:szCs w:val="22"/>
              </w:rPr>
            </w:r>
          </w:p>
        </w:tc>
        <w:tc>
          <w:tcPr>
            <w:shd w:val="clear" w:color="000000" w:fill="ffffff"/>
            <w:tcBorders/>
            <w:tcW w:w="1729" w:type="dxa"/>
            <w:vAlign w:val="center"/>
            <w:textDirection w:val="lrTb"/>
            <w:noWrap w:val="false"/>
          </w:tcPr>
          <w:p>
            <w:pPr>
              <w:pBdr/>
              <w:spacing/>
              <w:ind/>
              <w:jc w:val="center"/>
              <w:rPr>
                <w:color w:val="000000"/>
                <w:sz w:val="22"/>
                <w:szCs w:val="22"/>
              </w:rPr>
            </w:pPr>
            <w:r>
              <w:rPr>
                <w:color w:val="000000" w:themeColor="text1"/>
                <w:sz w:val="22"/>
                <w:szCs w:val="22"/>
              </w:rPr>
              <w:t xml:space="preserve">7,79%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-6,47%</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891"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17"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729"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891"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417"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val="false"/>
          </w:tcPr>
          <w:p>
            <w:pPr>
              <w:pBdr/>
              <w:spacing/>
              <w:ind/>
              <w:jc w:val="center"/>
              <w:rPr>
                <w:b/>
                <w:bCs/>
                <w:color w:val="000000"/>
                <w:sz w:val="22"/>
                <w:szCs w:val="22"/>
              </w:rPr>
            </w:pPr>
            <w:r>
              <w:rPr>
                <w:color w:val="000000" w:themeColor="text1"/>
                <w:sz w:val="22"/>
                <w:szCs w:val="22"/>
              </w:rPr>
              <w:t xml:space="preserve">46.762.780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729" w:type="dxa"/>
            <w:vAlign w:val="center"/>
            <w:textDirection w:val="lrTb"/>
            <w:noWrap w:val="false"/>
          </w:tcPr>
          <w:p>
            <w:pPr>
              <w:pBdr/>
              <w:spacing/>
              <w:ind/>
              <w:jc w:val="center"/>
              <w:rPr>
                <w:b/>
                <w:bCs/>
                <w:color w:val="000000"/>
                <w:sz w:val="22"/>
                <w:szCs w:val="22"/>
              </w:rPr>
            </w:pPr>
            <w:r>
              <w:rPr>
                <w:color w:val="000000" w:themeColor="text1"/>
                <w:sz w:val="22"/>
                <w:szCs w:val="22"/>
              </w:rPr>
              <w:t xml:space="preserve">6.907.936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891"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729"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891"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17"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c>
          <w:tcPr>
            <w:shd w:val="clear" w:color="000000" w:fill="ffffff"/>
            <w:tcBorders/>
            <w:tcW w:w="1729" w:type="dxa"/>
            <w:vAlign w:val="center"/>
            <w:textDirection w:val="lrTb"/>
            <w:noWrap/>
          </w:tcPr>
          <w:p>
            <w:pPr>
              <w:pBdr/>
              <w:spacing/>
              <w:ind/>
              <w:jc w:val="center"/>
              <w:rPr>
                <w:sz w:val="22"/>
                <w:szCs w:val="22"/>
              </w:rPr>
            </w:pPr>
            <w:r>
              <w:rPr>
                <w:color w:val="000000" w:themeColor="text1"/>
                <w:sz w:val="22"/>
                <w:szCs w:val="22"/>
              </w:rPr>
              <w:t xml:space="preserve">0% - 2%%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- 0%%</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891"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417"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59" w:type="dxa"/>
            <w:vAlign w:val="center"/>
            <w:textDirection w:val="lrTb"/>
            <w:noWrap/>
          </w:tcPr>
          <w:p>
            <w:pPr>
              <w:pBdr/>
              <w:spacing/>
              <w:ind/>
              <w:jc w:val="center"/>
              <w:rPr>
                <w:sz w:val="22"/>
                <w:szCs w:val="22"/>
              </w:rPr>
            </w:pPr>
            <w:r>
              <w:rPr>
                <w:color w:val="000000" w:themeColor="text1"/>
                <w:sz w:val="22"/>
                <w:szCs w:val="22"/>
              </w:rPr>
              <w:t xml:space="preserve">13.576.292</w:t>
            </w:r>
            <w:r>
              <w:rPr>
                <w:sz w:val="22"/>
                <w:szCs w:val="22"/>
              </w:rPr>
            </w:r>
            <w:r>
              <w:rPr>
                <w:sz w:val="22"/>
                <w:szCs w:val="22"/>
              </w:rPr>
            </w:r>
          </w:p>
        </w:tc>
        <w:tc>
          <w:tcPr>
            <w:shd w:val="clear" w:color="000000" w:fill="ffffff"/>
            <w:tcBorders/>
            <w:tcW w:w="1729" w:type="dxa"/>
            <w:vAlign w:val="center"/>
            <w:textDirection w:val="lrTb"/>
            <w:noWrap/>
          </w:tcPr>
          <w:p>
            <w:pPr>
              <w:pBdr/>
              <w:spacing/>
              <w:ind/>
              <w:jc w:val="center"/>
              <w:rPr>
                <w:sz w:val="22"/>
                <w:szCs w:val="22"/>
              </w:rPr>
            </w:pPr>
            <w:r>
              <w:rPr>
                <w:color w:val="000000" w:themeColor="text1"/>
                <w:sz w:val="22"/>
                <w:szCs w:val="22"/>
              </w:rPr>
              <w:t xml:space="preserve">6.907.936</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-6,47</w:t>
      </w:r>
      <w:r>
        <w:t xml:space="preserve">% đến</w:t>
      </w:r>
      <w:r>
        <w:t xml:space="preserve"> </w:t>
      </w:r>
      <w:r>
        <w:t xml:space="preserve"> </w:t>
      </w:r>
      <w:r>
        <w:t xml:space="preserve">7,79</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164.423.972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54.818.952</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179.606.349</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59.862.796</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155.833.333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51.939.250</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166.620.998</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166.000.000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166.000.000</w:t>
      </w:r>
      <w:r>
        <w:rPr>
          <w:b/>
          <w:bCs/>
          <w:color w:val="000000" w:themeColor="text1"/>
        </w:rPr>
        <w:t xml:space="preserve"> </w:t>
      </w:r>
      <w:r>
        <w:rPr>
          <w:b/>
          <w:bCs/>
        </w:rPr>
        <w:t xml:space="preserve">đồng/m².</w:t>
      </w:r>
      <w:r>
        <w:rPr>
          <w:b/>
          <w:bCs/>
        </w:rPr>
      </w:r>
      <w:r>
        <w:rPr>
          <w:b/>
          <w:bCs/>
        </w:rPr>
      </w:r>
    </w:p>
    <w:p>
      <w:pPr>
        <w:pStyle w:val="1025"/>
        <w:numPr>
          <w:ilvl w:val="0"/>
          <w:numId w:val="26"/>
        </w:numPr>
        <w:pBdr/>
        <w:spacing w:after="120" w:before="120" w:line="276" w:lineRule="auto"/>
        <w:ind w:hanging="357" w:left="357"/>
        <w:jc w:val="both"/>
        <w:rPr>
          <w:b/>
          <w:bCs/>
        </w:rPr>
      </w:pPr>
      <w:r>
        <w:rPr>
          <w:b/>
          <w:bCs/>
        </w:rPr>
        <w:t xml:space="preserve">Xác định giá trị tài sản gắn liền với đất</w:t>
      </w:r>
      <w:r>
        <w:rPr>
          <w:b/>
          <w:bCs/>
        </w:rPr>
      </w:r>
      <w:r>
        <w:rPr>
          <w:b/>
          <w:bCs/>
        </w:rPr>
      </w:r>
    </w:p>
    <w:p>
      <w:pPr>
        <w:pStyle w:val="1025"/>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09/2026</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b/>
                <w:bCs/>
                <w:color w:val="000000"/>
              </w:rPr>
              <w:t xml:space="preserve">Quyền sử dụng đất tại thửa đất số: LK20-L21, tờ bản đồ số: 00, có địa chỉ: Khu đấu giá QSD đất Mậu Lương, phường Kiến Hưng, quận Hà Đông, (nay là phường Kiến Hưng) thà</w:t>
            </w:r>
            <w:r>
              <w:rPr>
                <w:b/>
                <w:bCs/>
                <w:color w:val="000000"/>
              </w:rPr>
              <w:t xml:space="preserve">nh phố Hà Nội  theo Giấy chứng nhận quyền sử dụng đất, quyền sở hữu nhà ở và tài sản khác gắn liền với đất số: CR 696042, Số vào sổ cấp GCN: CS-HĐO 23932 do Sở Tài nguyên và môi trường Thành phố Hà Nội  cấp ngày 10/5/2019; chủ sử dụng đất là ông Hoàng Văn Hùng</w:t>
            </w:r>
            <w:r>
              <w:rPr>
                <w:b/>
                <w:bCs/>
              </w:rPr>
              <w:t xml:space="preserve">.</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97" w:type="pct"/>
            <w:vAlign w:val="center"/>
            <w:textDirection w:val="lrTb"/>
            <w:noWrap w:val="false"/>
          </w:tcPr>
          <w:p>
            <w:pPr>
              <w:pBdr/>
              <w:spacing w:after="40" w:before="40" w:line="288" w:lineRule="auto"/>
              <w:ind/>
              <w:rPr/>
            </w:pPr>
            <w:r>
              <w:rPr>
                <w:b/>
                <w:bCs/>
              </w:rPr>
              <w:t xml:space="preserve">Đất ở tại đô thị</w:t>
            </w: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50</w:t>
            </w:r>
            <w:r>
              <w:rPr>
                <w:color w:val="000000"/>
              </w:rPr>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166.000.000</w:t>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8.300.000.000</w:t>
            </w: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 </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t xml:space="preserve">8.300.000.000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Tám tỷ ba trăm triệu</w:t>
            </w:r>
            <w:r>
              <w:rPr>
                <w:b/>
                <w:bCs/>
                <w:i/>
                <w:iCs/>
                <w:color w:val="000000"/>
              </w:rPr>
              <w:t xml:space="preserve">./.)</w:t>
            </w:r>
            <w:r>
              <w:rPr>
                <w:b/>
                <w:bCs/>
                <w:i/>
                <w:iCs/>
                <w:color w:val="000000"/>
              </w:rPr>
            </w:r>
            <w:r>
              <w:rPr>
                <w:b/>
                <w:bCs/>
                <w:i/>
                <w:iCs/>
                <w:color w:val="000000"/>
              </w:rPr>
            </w:r>
          </w:p>
        </w:tc>
      </w:tr>
    </w:tbl>
    <w:p>
      <w:pPr>
        <w:pStyle w:val="1025"/>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5"/>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5"/>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25"/>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5"/>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5"/>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25"/>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5"/>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5"/>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25"/>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5"/>
        <w:numPr>
          <w:ilvl w:val="0"/>
          <w:numId w:val="40"/>
        </w:numPr>
        <w:pBdr/>
        <w:spacing w:after="0" w:before="0" w:line="240" w:lineRule="auto"/>
        <w:ind w:right="0"/>
        <w:jc w:val="both"/>
        <w:rPr/>
      </w:pPr>
      <w:r>
        <w:rPr>
          <w:rFonts w:ascii="Times New Roman" w:hAnsi="Times New Roman" w:eastAsia="Times New Roman" w:cs="Times New Roman"/>
          <w:color w:val="000000"/>
          <w:sz w:val="24"/>
        </w:rPr>
        <w:t xml:space="preserve">Tại thời điểm khảo sát, dưới sự hướng dẫn của chủ tài sản, trên đất có CTXD nhà 05 tầng, diện tích xây dựng khoảng 50m2, tổng diện tích sàn khoảng 250m2, xây sửa năm 2019. Công trình chưa được công nhận trên GCN QSDĐ số: CR 696042</w:t>
      </w:r>
      <w:r>
        <w:rPr>
          <w:spacing w:val="-2"/>
          <w:highlight w:val="none"/>
          <w:lang w:val="pt-BR"/>
        </w:rPr>
        <w:t xml:space="preserve">. Đồng thời, Tổ thẩm định cũng không nhận được bất kỳ giấy tờ pháp lý nào liên quan đến CTXD trên. Theo đề nghị của Khách hàng/ Ngân hàng, Tổ thẩm định không xác định giá trị CTXD nhưng vẫn coi đó là một phần không thể tách rời của tài sản thẩm định.</w:t>
      </w:r>
      <w:r/>
      <w:r/>
    </w:p>
    <w:p>
      <w:pPr>
        <w:pStyle w:val="1025"/>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5"/>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5"/>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5"/>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5"/>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25"/>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275/2026/1369/VFI-CT.T04.A</w:t>
      </w:r>
      <w:r>
        <w:rPr>
          <w:color w:val="ff0000"/>
          <w:lang w:val="vi-VN"/>
        </w:rPr>
        <w:t xml:space="preserve"> </w:t>
      </w:r>
      <w:r>
        <w:rPr>
          <w:color w:val="000000" w:themeColor="text1"/>
        </w:rPr>
        <w:t xml:space="preserve">ngày 3 tháng 9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Khánh Hà</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275/2026/1369/VFI-BC.T04.A ngày</w:t>
      </w:r>
      <w:r>
        <w:rPr>
          <w:i/>
          <w:lang w:val="pt-BR"/>
        </w:rPr>
        <w:t xml:space="preserve"> </w:t>
      </w:r>
      <w:r>
        <w:rPr>
          <w:i/>
          <w:lang w:val="pt-BR"/>
        </w:rPr>
        <w:t xml:space="preserve">3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2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84694" cy="2208620"/>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665813" name=""/>
                              <pic:cNvPicPr>
                                <a:picLocks noChangeAspect="1"/>
                              </pic:cNvPicPr>
                              <pic:nvPr/>
                            </pic:nvPicPr>
                            <pic:blipFill rotWithShape="1">
                              <a:blip r:embed="rId18"/>
                              <a:stretch/>
                            </pic:blipFill>
                            <pic:spPr bwMode="auto">
                              <a:xfrm rot="0" flipH="0" flipV="0">
                                <a:off x="0" y="0"/>
                                <a:ext cx="2984693" cy="220861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235.02pt;height:173.91pt;mso-wrap-distance-left:0.00pt;mso-wrap-distance-top:0.00pt;mso-wrap-distance-right:0.00pt;mso-wrap-distance-bottom:0.00pt;rotation:0;z-index:1;" stroked="false">
                      <v:imagedata r:id="rId18"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23206" cy="2258508"/>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177715" name=""/>
                              <pic:cNvPicPr>
                                <a:picLocks noChangeAspect="1"/>
                              </pic:cNvPicPr>
                              <pic:nvPr/>
                            </pic:nvPicPr>
                            <pic:blipFill rotWithShape="1">
                              <a:blip r:embed="rId19"/>
                              <a:stretch/>
                            </pic:blipFill>
                            <pic:spPr bwMode="auto">
                              <a:xfrm flipH="0" flipV="0">
                                <a:off x="0" y="0"/>
                                <a:ext cx="2923206" cy="225850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30.17pt;height:177.84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12488" cy="2109366"/>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130156" name=""/>
                              <pic:cNvPicPr>
                                <a:picLocks noChangeAspect="1"/>
                              </pic:cNvPicPr>
                              <pic:nvPr/>
                            </pic:nvPicPr>
                            <pic:blipFill rotWithShape="1">
                              <a:blip r:embed="rId20"/>
                              <a:stretch/>
                            </pic:blipFill>
                            <pic:spPr bwMode="auto">
                              <a:xfrm flipH="0" flipV="0">
                                <a:off x="0" y="0"/>
                                <a:ext cx="2812488" cy="210936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21.46pt;height:166.09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96214" cy="2118994"/>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777078" name=""/>
                              <pic:cNvPicPr>
                                <a:picLocks noChangeAspect="1"/>
                              </pic:cNvPicPr>
                              <pic:nvPr/>
                            </pic:nvPicPr>
                            <pic:blipFill rotWithShape="1">
                              <a:blip r:embed="rId21"/>
                              <a:stretch/>
                            </pic:blipFill>
                            <pic:spPr bwMode="auto">
                              <a:xfrm flipH="0" flipV="0">
                                <a:off x="0" y="0"/>
                                <a:ext cx="2996213" cy="211899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35.92pt;height:166.85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32990" cy="2195554"/>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545527" name=""/>
                              <pic:cNvPicPr>
                                <a:picLocks noChangeAspect="1"/>
                              </pic:cNvPicPr>
                              <pic:nvPr/>
                            </pic:nvPicPr>
                            <pic:blipFill rotWithShape="1">
                              <a:blip r:embed="rId22"/>
                              <a:stretch/>
                            </pic:blipFill>
                            <pic:spPr bwMode="auto">
                              <a:xfrm flipH="0" flipV="0">
                                <a:off x="0" y="0"/>
                                <a:ext cx="2832990" cy="219555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3.07pt;height:172.88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14875" cy="2139492"/>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949112" name=""/>
                              <pic:cNvPicPr>
                                <a:picLocks noChangeAspect="1"/>
                              </pic:cNvPicPr>
                              <pic:nvPr/>
                            </pic:nvPicPr>
                            <pic:blipFill rotWithShape="1">
                              <a:blip r:embed="rId23"/>
                              <a:stretch/>
                            </pic:blipFill>
                            <pic:spPr bwMode="auto">
                              <a:xfrm rot="0" flipH="0" flipV="0">
                                <a:off x="0" y="0"/>
                                <a:ext cx="2814873" cy="213949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1.64pt;height:168.46pt;mso-wrap-distance-left:0.00pt;mso-wrap-distance-top:0.00pt;mso-wrap-distance-right:0.00pt;mso-wrap-distance-bottom:0.00pt;rotation:0;z-index:1;" stroked="false">
                      <v:imagedata r:id="rId23"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highlight w:val="none"/>
        </w:rPr>
      </w:pPr>
      <w:r>
        <w:br w:type="page" w:clear="all"/>
      </w:r>
      <w:r/>
      <w:r/>
    </w:p>
    <w:p>
      <w:pPr>
        <w:pBdr/>
        <w:spacing w:after="200" w:line="276" w:lineRule="auto"/>
        <w:ind/>
        <w:jc w:val="center"/>
        <w:rPr>
          <w:b/>
          <w:bCs/>
          <w:highlight w:val="none"/>
        </w:rPr>
      </w:pPr>
      <w:r>
        <w:rPr>
          <w:b/>
          <w:bCs/>
          <w:highlight w:val="none"/>
        </w:rPr>
        <w:t xml:space="preserve">Giấy chứng nhận quyền sử dụng đất </w:t>
      </w:r>
      <w:r>
        <w:rPr>
          <w:b/>
          <w:bCs/>
          <w:highlight w:val="none"/>
        </w:rPr>
      </w:r>
    </w:p>
    <w:p>
      <w:pPr>
        <w:pBdr/>
        <w:spacing w:after="200" w:line="276" w:lineRule="auto"/>
        <w:ind/>
        <w:jc w:val="center"/>
        <w:rPr>
          <w:b/>
          <w:bCs/>
          <w:highlight w:val="none"/>
        </w:rPr>
      </w:pPr>
      <w:r>
        <w:rPr>
          <w:b/>
          <w:bCs/>
          <w:highlight w:val="none"/>
        </w:rPr>
      </w:r>
      <w:r>
        <mc:AlternateContent>
          <mc:Choice Requires="wpg">
            <w:drawing>
              <wp:inline xmlns:wp="http://schemas.openxmlformats.org/drawingml/2006/wordprocessingDrawing" distT="0" distB="0" distL="0" distR="0">
                <wp:extent cx="6048375" cy="7366177"/>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303112" name=""/>
                        <pic:cNvPicPr>
                          <a:picLocks noChangeAspect="1"/>
                        </pic:cNvPicPr>
                        <pic:nvPr/>
                      </pic:nvPicPr>
                      <pic:blipFill rotWithShape="1">
                        <a:blip r:embed="rId24"/>
                        <a:stretch/>
                      </pic:blipFill>
                      <pic:spPr bwMode="auto">
                        <a:xfrm>
                          <a:off x="0" y="0"/>
                          <a:ext cx="6048374" cy="736617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76.25pt;height:580.01pt;mso-wrap-distance-left:0.00pt;mso-wrap-distance-top:0.00pt;mso-wrap-distance-right:0.00pt;mso-wrap-distance-bottom:0.00pt;z-index:1;" stroked="false">
                <v:imagedata r:id="rId24" o:title=""/>
                <o:lock v:ext="edit" rotation="t"/>
              </v:shape>
            </w:pict>
          </mc:Fallback>
        </mc:AlternateContent>
      </w:r>
      <w:r>
        <w:rPr>
          <w:b/>
          <w:bCs/>
          <w:highlight w:val="none"/>
        </w:rPr>
      </w:r>
      <w:r>
        <w:rPr>
          <w:b/>
          <w:bCs/>
          <w:highlight w:val="none"/>
        </w:rPr>
      </w:r>
      <w:r>
        <w:rPr>
          <w:b/>
          <w:bCs/>
          <w:highlight w:val="none"/>
        </w:rPr>
      </w:r>
    </w:p>
    <w:p>
      <w:pPr>
        <w:pBdr/>
        <w:spacing w:after="200" w:line="276" w:lineRule="auto"/>
        <w:ind/>
        <w:jc w:val="center"/>
        <w:rPr>
          <w:b/>
          <w:bCs/>
          <w:highlight w:val="none"/>
        </w:rPr>
      </w:pPr>
      <w:r>
        <w:rPr>
          <w:b/>
          <w:bCs/>
          <w:highlight w:val="none"/>
        </w:rPr>
      </w:r>
      <w:r>
        <mc:AlternateContent>
          <mc:Choice Requires="wpg">
            <w:drawing>
              <wp:inline xmlns:wp="http://schemas.openxmlformats.org/drawingml/2006/wordprocessingDrawing" distT="0" distB="0" distL="0" distR="0">
                <wp:extent cx="8043403" cy="6032552"/>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125208" name=""/>
                        <pic:cNvPicPr>
                          <a:picLocks noChangeAspect="1"/>
                        </pic:cNvPicPr>
                        <pic:nvPr/>
                      </pic:nvPicPr>
                      <pic:blipFill rotWithShape="1">
                        <a:blip r:embed="rId25"/>
                        <a:stretch/>
                      </pic:blipFill>
                      <pic:spPr bwMode="auto">
                        <a:xfrm rot="16199969" flipH="0" flipV="0">
                          <a:off x="0" y="0"/>
                          <a:ext cx="8043402" cy="603255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633.34pt;height:475.00pt;mso-wrap-distance-left:0.00pt;mso-wrap-distance-top:0.00pt;mso-wrap-distance-right:0.00pt;mso-wrap-distance-bottom:0.00pt;rotation:269;z-index:1;" stroked="false">
                <v:imagedata r:id="rId25" o:title=""/>
                <o:lock v:ext="edit" rotation="t"/>
              </v:shape>
            </w:pict>
          </mc:Fallback>
        </mc:AlternateContent>
      </w:r>
      <w:r>
        <w:rPr>
          <w:b/>
          <w:bCs/>
          <w:highlight w:val="none"/>
        </w:rPr>
      </w:r>
      <w:r>
        <w:rPr>
          <w:b/>
          <w:bCs/>
          <w:highlight w:val="none"/>
        </w:rPr>
      </w:r>
      <w:r>
        <w:rPr>
          <w:b/>
          <w:bCs/>
          <w:highlight w:val="none"/>
        </w:rPr>
      </w:r>
    </w:p>
    <w:p>
      <w:pPr>
        <w:pBdr/>
        <w:spacing w:after="200" w:line="276" w:lineRule="auto"/>
        <w:ind/>
        <w:jc w:val="center"/>
        <w:rPr>
          <w:b/>
          <w:bCs/>
        </w:rPr>
      </w:pPr>
      <w:r>
        <w:rPr>
          <w:b/>
          <w:bCs/>
        </w:rPr>
      </w:r>
      <w:r>
        <w:rPr>
          <w:b/>
          <w:bCs/>
        </w:rPr>
      </w:r>
      <w:r>
        <mc:AlternateContent>
          <mc:Choice Requires="wpg">
            <w:drawing>
              <wp:inline xmlns:wp="http://schemas.openxmlformats.org/drawingml/2006/wordprocessingDrawing" distT="0" distB="0" distL="0" distR="0">
                <wp:extent cx="5867400" cy="8258175"/>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085454" name=""/>
                        <pic:cNvPicPr>
                          <a:picLocks noChangeAspect="1"/>
                        </pic:cNvPicPr>
                        <pic:nvPr/>
                      </pic:nvPicPr>
                      <pic:blipFill rotWithShape="1">
                        <a:blip r:embed="rId26"/>
                        <a:stretch/>
                      </pic:blipFill>
                      <pic:spPr bwMode="auto">
                        <a:xfrm>
                          <a:off x="0" y="0"/>
                          <a:ext cx="5867399" cy="82581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62.00pt;height:650.25pt;mso-wrap-distance-left:0.00pt;mso-wrap-distance-top:0.00pt;mso-wrap-distance-right:0.00pt;mso-wrap-distance-bottom:0.00pt;z-index:1;" stroked="false">
                <v:imagedata r:id="rId26" o:title=""/>
                <o:lock v:ext="edit" rotation="t"/>
              </v:shape>
            </w:pict>
          </mc:Fallback>
        </mc:AlternateContent>
      </w:r>
      <w:r>
        <w:rPr>
          <w:b/>
          <w:bCs/>
        </w:rPr>
      </w:r>
      <w:r>
        <w:rPr>
          <w:b/>
          <w:bCs/>
        </w:rPr>
      </w:r>
    </w:p>
    <w:p>
      <w:pPr>
        <w:pBdr/>
        <w:spacing w:after="200" w:line="276" w:lineRule="auto"/>
        <w:ind/>
        <w:jc w:val="center"/>
        <w:rPr>
          <w:b/>
          <w:bCs/>
        </w:rPr>
      </w:pPr>
      <w:r>
        <w:rPr>
          <w:b/>
          <w:bCs/>
          <w:highlight w:val="none"/>
        </w:rPr>
      </w:r>
      <w:r/>
      <w:r>
        <mc:AlternateContent>
          <mc:Choice Requires="wpg">
            <w:drawing>
              <wp:inline xmlns:wp="http://schemas.openxmlformats.org/drawingml/2006/wordprocessingDrawing" distT="0" distB="0" distL="0" distR="0">
                <wp:extent cx="8829135" cy="586774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181065" name=""/>
                        <pic:cNvPicPr>
                          <a:picLocks noChangeAspect="1"/>
                        </pic:cNvPicPr>
                        <pic:nvPr/>
                      </pic:nvPicPr>
                      <pic:blipFill rotWithShape="1">
                        <a:blip r:embed="rId27"/>
                        <a:stretch/>
                      </pic:blipFill>
                      <pic:spPr bwMode="auto">
                        <a:xfrm rot="16199969" flipH="0" flipV="0">
                          <a:off x="0" y="0"/>
                          <a:ext cx="8829135" cy="586773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695.21pt;height:462.03pt;mso-wrap-distance-left:0.00pt;mso-wrap-distance-top:0.00pt;mso-wrap-distance-right:0.00pt;mso-wrap-distance-bottom:0.00pt;rotation:269;z-index:1;" stroked="false">
                <v:imagedata r:id="rId27" o:title=""/>
                <o:lock v:ext="edit" rotation="t"/>
              </v:shape>
            </w:pict>
          </mc:Fallback>
        </mc:AlternateContent>
      </w:r>
      <w:r/>
      <w:r>
        <w:rPr>
          <w:b/>
          <w:bCs/>
          <w:highlight w:val="none"/>
        </w:rPr>
      </w:r>
      <w:r>
        <w:rPr>
          <w:b/>
          <w:bCs/>
          <w:highlight w:val="none"/>
        </w:rPr>
      </w:r>
    </w:p>
    <w:p>
      <w:pPr>
        <w:pBdr/>
        <w:spacing w:after="200" w:line="276" w:lineRule="auto"/>
        <w:ind/>
        <w:jc w:val="center"/>
        <w:rPr>
          <w:bCs/>
          <w:i/>
          <w:lang w:val="pt-BR"/>
        </w:rPr>
      </w:pPr>
      <w:r>
        <w:rPr>
          <w:b/>
          <w:highlight w:val="none"/>
        </w:rPr>
      </w:r>
      <w:r>
        <w:rPr>
          <w:b/>
          <w:highlight w:val="none"/>
        </w:rPr>
      </w:r>
      <w:r>
        <w:rPr>
          <w:b/>
          <w:highlight w:val="none"/>
        </w:rPr>
      </w:r>
    </w:p>
    <w:p>
      <w:pPr>
        <w:pBdr/>
        <w:spacing w:after="200" w:line="276" w:lineRule="auto"/>
        <w:ind/>
        <w:jc w:val="center"/>
        <w:rPr>
          <w:b/>
          <w:bCs/>
          <w:highlight w:val="none"/>
        </w:rPr>
      </w:pPr>
      <w:r>
        <w:rPr>
          <w:b/>
          <w:highlight w:val="none"/>
        </w:rPr>
        <w:t xml:space="preserve">Biên bản khảo sát </w:t>
      </w:r>
      <w:r>
        <w:rPr>
          <w:b/>
          <w:bCs/>
          <w:highlight w:val="none"/>
        </w:rPr>
      </w:r>
    </w:p>
    <w:p>
      <w:pPr>
        <w:pBdr/>
        <w:spacing w:after="200" w:line="276" w:lineRule="auto"/>
        <w:ind/>
        <w:jc w:val="center"/>
        <w:rPr>
          <w:b/>
          <w:bCs/>
          <w:highlight w:val="none"/>
        </w:rPr>
      </w:pPr>
      <w:r>
        <w:rPr>
          <w:b/>
          <w:highlight w:val="none"/>
        </w:rPr>
      </w:r>
      <w:r>
        <mc:AlternateContent>
          <mc:Choice Requires="wpg">
            <w:drawing>
              <wp:inline xmlns:wp="http://schemas.openxmlformats.org/drawingml/2006/wordprocessingDrawing" distT="0" distB="0" distL="0" distR="0">
                <wp:extent cx="6048375" cy="8595853"/>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309324" name=""/>
                        <pic:cNvPicPr>
                          <a:picLocks noChangeAspect="1"/>
                        </pic:cNvPicPr>
                        <pic:nvPr/>
                      </pic:nvPicPr>
                      <pic:blipFill rotWithShape="1">
                        <a:blip r:embed="rId28"/>
                        <a:stretch/>
                      </pic:blipFill>
                      <pic:spPr bwMode="auto">
                        <a:xfrm flipH="0" flipV="0">
                          <a:off x="0" y="0"/>
                          <a:ext cx="6048374" cy="859585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76.25pt;height:676.84pt;mso-wrap-distance-left:0.00pt;mso-wrap-distance-top:0.00pt;mso-wrap-distance-right:0.00pt;mso-wrap-distance-bottom:0.00pt;z-index:1;" stroked="false">
                <v:imagedata r:id="rId28" o:title=""/>
                <o:lock v:ext="edit" rotation="t"/>
              </v:shape>
            </w:pict>
          </mc:Fallback>
        </mc:AlternateContent>
      </w:r>
      <w:r>
        <w:rPr>
          <w:b/>
          <w:highlight w:val="none"/>
        </w:rPr>
      </w:r>
      <w:r/>
      <w:r>
        <w:rPr>
          <w:b/>
          <w:highlight w:val="none"/>
        </w:rPr>
      </w:r>
      <w:r>
        <w:rPr>
          <w:b/>
          <w:highlight w:val="none"/>
        </w:rPr>
      </w:r>
      <w:r>
        <w:rPr>
          <w:b/>
          <w:highlight w:val="none"/>
        </w:rPr>
      </w:r>
    </w:p>
    <w:p>
      <w:pPr>
        <w:pBdr/>
        <w:spacing w:after="200" w:line="276" w:lineRule="auto"/>
        <w:ind/>
        <w:jc w:val="center"/>
        <w:rPr>
          <w:b/>
          <w:bCs/>
          <w:highlight w:val="none"/>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275/2026/1369/VFI-BC.T04.A</w:t>
      </w:r>
      <w:r>
        <w:rPr>
          <w:i/>
          <w:lang w:val="pt-BR"/>
        </w:rPr>
        <w:t xml:space="preserve"> </w:t>
      </w:r>
      <w:r>
        <w:rPr>
          <w:i/>
          <w:lang w:val="pt-BR"/>
        </w:rPr>
        <w:t xml:space="preserve">3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https://alonhadat.com.vn/nha-mau-luong-kien-hung-ha-dong-31m-5t-mt5m-gia-6-5-ty-17634503.html</w:t>
            </w:r>
            <w:r>
              <w:rPr>
                <w:color w:val="000000" w:themeColor="text1"/>
                <w:sz w:val="22"/>
                <w:szCs w:val="22"/>
              </w:rPr>
              <w:br/>
              <w:t xml:space="preserve">0969925631</w:t>
            </w:r>
            <w:r>
              <w:rPr>
                <w:sz w:val="22"/>
                <w:szCs w:val="22"/>
              </w:rPr>
              <w:t xml:space="preserve"> </w:t>
            </w:r>
            <w:r>
              <w:rPr>
                <w:sz w:val="22"/>
                <w:szCs w:val="22"/>
              </w:rPr>
              <w:br/>
              <w:t xml:space="preserve">(Quyên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6.800.000.000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5.780.000.000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t xml:space="preserve">Đang giao dịch</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(31m²)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Phường Kiến Hưng, quận Hà Đông, (nay là phường Kiến Hưng) Thành phố Hà Nội, khoảng cách ra đường chính cách ô tô khoảng 100m, độ rộng đường trước mặt tài sản 2.2m, mặt tiền 5m,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có lợi thế thương mại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Ngõ cụt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569290" cy="2479135"/>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flipH="0" flipV="0">
                                <a:off x="0" y="0"/>
                                <a:ext cx="5569289" cy="24791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38.53pt;height:195.21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664165" cy="2538285"/>
                      <wp:effectExtent l="0" t="0" r="0" b="0"/>
                      <wp:docPr id="18" name=""/>
                      <wp:cNvGraphicFramePr/>
                      <a:graphic xmlns:a="http://schemas.openxmlformats.org/drawingml/2006/main">
                        <a:graphicData uri="http://schemas.openxmlformats.org/drawingml/2006/picture">
                          <pic:pic xmlns:pic="http://schemas.openxmlformats.org/drawingml/2006/picture">
                            <pic:nvPicPr>
                              <pic:cNvPr id="1930578483" name="" descr=""/>
                              <pic:cNvPicPr/>
                              <pic:nvPr/>
                            </pic:nvPicPr>
                            <pic:blipFill rotWithShape="1">
                              <a:blip r:embed="rId30"/>
                              <a:stretch/>
                            </pic:blipFill>
                            <pic:spPr bwMode="auto">
                              <a:xfrm flipH="0" flipV="0">
                                <a:off x="0" y="0"/>
                                <a:ext cx="2664164" cy="25382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09.78pt;height:199.86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657485" cy="2538285"/>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flipH="0" flipV="0">
                                <a:off x="0" y="0"/>
                                <a:ext cx="2657484" cy="25382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09.25pt;height:199.86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200" w:line="276" w:lineRule="auto"/>
        <w:ind/>
        <w:rPr>
          <w:b/>
          <w:bCs/>
          <w:lang w:val="pt-BR"/>
        </w:rPr>
      </w:pPr>
      <w:r>
        <w:rPr>
          <w:b/>
          <w:bCs/>
          <w:iCs/>
          <w:highlight w:val="none"/>
          <w:lang w:val="pt-BR"/>
        </w:rPr>
      </w:r>
      <w:r>
        <w:rPr>
          <w:b/>
          <w:bCs/>
          <w:iCs/>
          <w:highlight w:val="none"/>
          <w:lang w:val="pt-BR"/>
        </w:rPr>
      </w:r>
      <w:r>
        <w:rPr>
          <w:b/>
          <w:bCs/>
          <w:iCs/>
          <w:highlight w:val="none"/>
          <w:lang w:val="pt-BR"/>
        </w:rPr>
      </w:r>
    </w:p>
    <w:p>
      <w:pPr>
        <w:pBdr/>
        <w:spacing w:after="200" w:line="276" w:lineRule="auto"/>
        <w:ind/>
        <w:rPr>
          <w:b/>
          <w:bCs/>
          <w:highlight w:val="none"/>
          <w:lang w:val="pt-BR"/>
        </w:rPr>
      </w:pPr>
      <w:r>
        <w:rPr>
          <w:b/>
          <w:bCs/>
          <w:iCs/>
          <w:highlight w:val="none"/>
          <w:lang w:val="pt-BR"/>
        </w:rPr>
      </w:r>
      <w:r>
        <w:rPr>
          <w:b/>
          <w:bCs/>
          <w:iCs/>
          <w:highlight w:val="none"/>
          <w:lang w:val="pt-BR"/>
        </w:rPr>
      </w:r>
      <w:r>
        <w:rPr>
          <w:b/>
          <w:bCs/>
          <w:iCs/>
          <w:highlight w:val="none"/>
          <w:lang w:val="pt-BR"/>
        </w:rPr>
      </w:r>
    </w:p>
    <w:p>
      <w:pPr>
        <w:pBdr/>
        <w:spacing w:after="200" w:line="276" w:lineRule="auto"/>
        <w:ind/>
        <w:rPr>
          <w:b/>
          <w:bCs/>
          <w:highlight w:val="none"/>
          <w:lang w:val="pt-BR"/>
        </w:rPr>
      </w:pPr>
      <w:r>
        <w:rPr>
          <w:b/>
          <w:bCs/>
          <w:iCs/>
          <w:highlight w:val="none"/>
          <w:lang w:val="pt-BR"/>
        </w:rPr>
      </w:r>
      <w:r>
        <w:rPr>
          <w:b/>
          <w:bCs/>
          <w:iCs/>
          <w:highlight w:val="none"/>
          <w:lang w:val="pt-BR"/>
        </w:rPr>
      </w:r>
      <w:r>
        <w:rPr>
          <w:b/>
          <w:bCs/>
          <w:iCs/>
          <w:highlight w:val="none"/>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r/>
          </w:p>
          <w:p>
            <w:pPr>
              <w:pBdr/>
              <w:spacing/>
              <w:ind/>
              <w:rPr/>
            </w:pPr>
            <w:r/>
            <w:r/>
            <w:r/>
          </w:p>
          <w:p>
            <w:pPr>
              <w:pBdr/>
              <w:spacing/>
              <w:ind/>
              <w:jc w:val="center"/>
              <w:rPr/>
            </w:pPr>
            <w:r/>
            <w:r/>
            <w:r/>
          </w:p>
          <w:p>
            <w:pPr>
              <w:pBdr/>
              <w:spacing/>
              <w:ind/>
              <w:jc w:val="center"/>
              <w:rPr/>
            </w:pPr>
            <w:r/>
            <w:r/>
            <w:r/>
          </w:p>
          <w:p>
            <w:pPr>
              <w:pBdr/>
              <w:spacing/>
              <w:ind/>
              <w:jc w:val="center"/>
              <w:rPr/>
            </w:pPr>
            <w: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Khánh Hà</w:t>
            </w:r>
            <w:r/>
            <w:r/>
          </w:p>
        </w:tc>
      </w:tr>
    </w:tbl>
    <w:p>
      <w:pPr>
        <w:pBdr/>
        <w:spacing w:after="200" w:line="276" w:lineRule="auto"/>
        <w:ind/>
        <w:rPr>
          <w:b/>
          <w:bCs/>
          <w:iCs/>
          <w:highlight w:val="none"/>
          <w:lang w:val="pt-BR"/>
        </w:rPr>
      </w:pPr>
      <w:r>
        <w:rPr>
          <w:b/>
          <w:bCs/>
          <w:iCs/>
          <w:lang w:val="pt-BR"/>
        </w:rPr>
        <w:br w:type="page" w:clear="all"/>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https://batdongsan.com.vn/ban-dat-duong-mau-luong-phuong-kien-hung-15/phan-lo-k-t-ha-ong-via-he-3-o-to-tranh-63m2-mt5m-o-kinh-doanh-nhinh-12-ty-pr46123212</w:t>
            </w:r>
            <w:r>
              <w:rPr>
                <w:color w:val="000000" w:themeColor="text1"/>
                <w:sz w:val="22"/>
                <w:szCs w:val="22"/>
              </w:rPr>
              <w:br/>
              <w:t xml:space="preserve">0905597409</w:t>
            </w:r>
            <w:r>
              <w:rPr>
                <w:sz w:val="22"/>
                <w:szCs w:val="22"/>
              </w:rPr>
              <w:t xml:space="preserve"> </w:t>
            </w:r>
            <w:r>
              <w:rPr>
                <w:sz w:val="22"/>
                <w:szCs w:val="22"/>
              </w:rPr>
              <w:br/>
              <w:t xml:space="preserve">(Quang Trung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12.800.000.000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10.880.000.000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(63m²)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Phường Kiến Hưng, quận Hà Đông, (nay là phường Kiến Hưng) Thành phố Hà Nội, khoảng cách ra đường chính 600m, độ rộng đường trước mặt tài sản 6m, mặt tiền 5m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highlight w:val="none"/>
              </w:rPr>
            </w:pPr>
            <w:r>
              <w:rPr>
                <w:b/>
                <w:bCs/>
                <w:color w:val="000000"/>
                <w:sz w:val="22"/>
                <w:szCs w:val="22"/>
              </w:rPr>
              <w:t xml:space="preserve"> </w:t>
            </w:r>
            <w:r>
              <w:rPr>
                <w:color w:val="000000"/>
                <w:sz w:val="22"/>
                <w:szCs w:val="22"/>
              </w:rPr>
              <w:t xml:space="preserve">Hình ảnh đăng bán:</w:t>
            </w:r>
            <w:r>
              <w:rPr>
                <w:color w:val="000000"/>
                <w:sz w:val="22"/>
                <w:szCs w:val="22"/>
                <w:highlight w:val="none"/>
              </w:rPr>
            </w:r>
            <w:r>
              <w:rPr>
                <w:color w:val="000000"/>
                <w:sz w:val="22"/>
                <w:szCs w:val="22"/>
                <w:highlight w:val="none"/>
              </w:rPr>
            </w:r>
          </w:p>
          <w:p>
            <w:pPr>
              <w:pBdr/>
              <w:spacing w:line="276" w:lineRule="auto"/>
              <w:ind/>
              <w:jc w:val="center"/>
              <w:rPr>
                <w:color w:val="000000"/>
                <w:sz w:val="22"/>
                <w:szCs w:val="22"/>
              </w:rPr>
            </w:pPr>
            <w:r>
              <w:rPr>
                <w:color w:val="000000"/>
                <w:sz w:val="22"/>
                <w:szCs w:val="22"/>
                <w:highlight w:val="none"/>
              </w:rPr>
            </w:r>
            <w:r>
              <w:rPr>
                <w:color w:val="000000"/>
                <w:sz w:val="22"/>
                <w:szCs w:val="22"/>
              </w:rPr>
              <mc:AlternateContent>
                <mc:Choice Requires="wpg">
                  <w:drawing>
                    <wp:inline xmlns:wp="http://schemas.openxmlformats.org/drawingml/2006/wordprocessingDrawing" distT="0" distB="0" distL="0" distR="0">
                      <wp:extent cx="5207340" cy="2834395"/>
                      <wp:effectExtent l="0" t="0" r="0" b="0"/>
                      <wp:docPr id="20" name=""/>
                      <wp:cNvGraphicFramePr/>
                      <a:graphic xmlns:a="http://schemas.openxmlformats.org/drawingml/2006/main">
                        <a:graphicData uri="http://schemas.openxmlformats.org/drawingml/2006/picture">
                          <pic:pic xmlns:pic="http://schemas.openxmlformats.org/drawingml/2006/picture">
                            <pic:nvPicPr>
                              <pic:cNvPr id="1666466691" name="" descr=""/>
                              <pic:cNvPicPr/>
                              <pic:nvPr/>
                            </pic:nvPicPr>
                            <pic:blipFill rotWithShape="1">
                              <a:blip r:embed="rId32"/>
                              <a:stretch/>
                            </pic:blipFill>
                            <pic:spPr bwMode="auto">
                              <a:xfrm rot="0" flipH="0" flipV="0">
                                <a:off x="0" y="0"/>
                                <a:ext cx="5207339" cy="283439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10.03pt;height:223.18pt;mso-wrap-distance-left:0.00pt;mso-wrap-distance-top:0.00pt;mso-wrap-distance-right:0.00pt;mso-wrap-distance-bottom:0.00pt;rotation:0;z-index:1;" stroked="false">
                      <v:imagedata r:id="rId32"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1864065"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891617369" name="" descr=""/>
                              <pic:cNvPicPr/>
                              <pic:nvPr/>
                            </pic:nvPicPr>
                            <pic:blipFill rotWithShape="1">
                              <a:blip r:embed="rId33"/>
                              <a:stretch/>
                            </pic:blipFill>
                            <pic:spPr bwMode="auto">
                              <a:xfrm flipH="0" flipV="0">
                                <a:off x="0" y="0"/>
                                <a:ext cx="1864064"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46.78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822451"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1503817894" name="" descr=""/>
                              <pic:cNvPicPr/>
                              <pic:nvPr/>
                            </pic:nvPicPr>
                            <pic:blipFill rotWithShape="1">
                              <a:blip r:embed="rId34"/>
                              <a:stretch/>
                            </pic:blipFill>
                            <pic:spPr bwMode="auto">
                              <a:xfrm flipH="0" flipV="0">
                                <a:off x="0" y="0"/>
                                <a:ext cx="1822451"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43.50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708151" cy="3175000"/>
                      <wp:effectExtent l="0" t="0" r="0" b="0"/>
                      <wp:docPr id="23" name=""/>
                      <wp:cNvGraphicFramePr/>
                      <a:graphic xmlns:a="http://schemas.openxmlformats.org/drawingml/2006/main">
                        <a:graphicData uri="http://schemas.openxmlformats.org/drawingml/2006/picture">
                          <pic:pic xmlns:pic="http://schemas.openxmlformats.org/drawingml/2006/picture">
                            <pic:nvPicPr>
                              <pic:cNvPr id="510214715" name="" descr=""/>
                              <pic:cNvPicPr/>
                              <pic:nvPr/>
                            </pic:nvPicPr>
                            <pic:blipFill rotWithShape="1">
                              <a:blip r:embed="rId35"/>
                              <a:stretch/>
                            </pic:blipFill>
                            <pic:spPr bwMode="auto">
                              <a:xfrm flipH="0" flipV="0">
                                <a:off x="0" y="0"/>
                                <a:ext cx="1708151"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34.50pt;height:250.00pt;mso-wrap-distance-left:0.00pt;mso-wrap-distance-top:0.00pt;mso-wrap-distance-right:0.00pt;mso-wrap-distance-bottom:0.00pt;z-index:1;" stroked="false">
                      <v:imagedata r:id="rId35"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540340" cy="2634839"/>
                      <wp:effectExtent l="0" t="0" r="0" b="0"/>
                      <wp:docPr id="24" name=""/>
                      <wp:cNvGraphicFramePr/>
                      <a:graphic xmlns:a="http://schemas.openxmlformats.org/drawingml/2006/main">
                        <a:graphicData uri="http://schemas.openxmlformats.org/drawingml/2006/picture">
                          <pic:pic xmlns:pic="http://schemas.openxmlformats.org/drawingml/2006/picture">
                            <pic:nvPicPr>
                              <pic:cNvPr id="1904768178" name="" descr=""/>
                              <pic:cNvPicPr/>
                              <pic:nvPr/>
                            </pic:nvPicPr>
                            <pic:blipFill rotWithShape="1">
                              <a:blip r:embed="rId36"/>
                              <a:stretch/>
                            </pic:blipFill>
                            <pic:spPr bwMode="auto">
                              <a:xfrm flipH="0" flipV="0">
                                <a:off x="0" y="0"/>
                                <a:ext cx="2540340" cy="263483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200.03pt;height:207.47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607015" cy="2634839"/>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flipH="0" flipV="0">
                                <a:off x="0" y="0"/>
                                <a:ext cx="2607014" cy="263483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205.28pt;height:207.47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p>
      <w:pPr>
        <w:pBdr/>
        <w:spacing w:after="200" w:line="276" w:lineRule="auto"/>
        <w:ind/>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r/>
          </w:p>
          <w:p>
            <w:pPr>
              <w:pBdr/>
              <w:spacing/>
              <w:ind/>
              <w:rPr/>
            </w:pPr>
            <w:r/>
            <w:r/>
            <w:r/>
          </w:p>
          <w:p>
            <w:pPr>
              <w:pBdr/>
              <w:spacing/>
              <w:ind/>
              <w:jc w:val="center"/>
              <w:rPr/>
            </w:pPr>
            <w:r/>
            <w:r/>
            <w:r/>
          </w:p>
          <w:p>
            <w:pPr>
              <w:pBdr/>
              <w:spacing/>
              <w:ind/>
              <w:jc w:val="center"/>
              <w:rPr/>
            </w:pPr>
            <w:r/>
            <w:r/>
            <w:r/>
          </w:p>
          <w:p>
            <w:pPr>
              <w:pBdr/>
              <w:spacing/>
              <w:ind/>
              <w:jc w:val="center"/>
              <w:rPr/>
            </w:pPr>
            <w: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Khánh Hà</w:t>
            </w:r>
            <w:r/>
            <w:r/>
          </w:p>
        </w:tc>
      </w:tr>
    </w:tbl>
    <w:p>
      <w:pPr>
        <w:pBdr/>
        <w:spacing w:after="200" w:line="276" w:lineRule="auto"/>
        <w:ind/>
        <w:rPr>
          <w:iCs/>
          <w:lang w:val="pt-BR"/>
        </w:rPr>
      </w:pPr>
      <w:r>
        <w:rPr>
          <w:iCs/>
          <w:lang w:val="pt-BR"/>
        </w:rPr>
        <w:br w:type="page" w:clear="all"/>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https://batdongsan.com.vn/ban-dat-duong-mau-luong-phuong-kien-hung-15/ban-at-au-gia-gan-san-bong-60m-5m-mat-hon-10-ty-so-a4-cpxd-7-tang-thang-may-pr45555298</w:t>
            </w:r>
            <w:r>
              <w:rPr>
                <w:color w:val="000000" w:themeColor="text1"/>
                <w:sz w:val="22"/>
                <w:szCs w:val="22"/>
              </w:rPr>
              <w:br/>
            </w:r>
            <w:r>
              <w:rPr>
                <w:sz w:val="22"/>
                <w:szCs w:val="22"/>
              </w:rPr>
              <w:t xml:space="preserve">SĐT: </w:t>
            </w:r>
            <w:r>
              <w:rPr>
                <w:color w:val="000000" w:themeColor="text1"/>
                <w:sz w:val="22"/>
                <w:szCs w:val="22"/>
              </w:rPr>
              <w:t xml:space="preserve">0961249968</w:t>
            </w:r>
            <w:r>
              <w:rPr>
                <w:sz w:val="22"/>
                <w:szCs w:val="22"/>
              </w:rPr>
              <w:t xml:space="preserve"> </w:t>
            </w:r>
            <w:r>
              <w:rPr>
                <w:sz w:val="22"/>
                <w:szCs w:val="22"/>
              </w:rPr>
              <w:br/>
              <w:t xml:space="preserve">(Thúy</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9.350.000.000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(60m²)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Phường Kiến Hưng, quận Hà Đông, (nay là phường Kiến Hưng) Thành phố Hà Nội, mặt tiền 5m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highlight w:val="none"/>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color w:val="000000"/>
                <w:sz w:val="22"/>
                <w:szCs w:val="22"/>
                <w:highlight w:val="none"/>
              </w:rPr>
            </w:r>
            <w:r>
              <w:rPr>
                <w:color w:val="000000"/>
                <w:sz w:val="22"/>
                <w:szCs w:val="22"/>
                <w:highlight w:val="none"/>
              </w:rPr>
            </w:r>
          </w:p>
          <w:p>
            <w:pPr>
              <w:pBdr/>
              <w:spacing w:line="276" w:lineRule="auto"/>
              <w:ind/>
              <w:rPr>
                <w:b/>
                <w:bCs/>
                <w:color w:val="000000"/>
                <w:sz w:val="22"/>
                <w:szCs w:val="22"/>
              </w:rPr>
            </w:pPr>
            <w:r>
              <w:rPr>
                <w:color w:val="000000"/>
                <w:sz w:val="22"/>
                <w:szCs w:val="22"/>
                <w:highlight w:val="none"/>
              </w:rPr>
            </w:r>
            <w:r>
              <w:rPr>
                <w:color w:val="000000"/>
                <w:sz w:val="22"/>
                <w:szCs w:val="22"/>
              </w:rPr>
              <mc:AlternateContent>
                <mc:Choice Requires="wpg">
                  <w:drawing>
                    <wp:inline xmlns:wp="http://schemas.openxmlformats.org/drawingml/2006/wordprocessingDrawing" distT="0" distB="0" distL="0" distR="0">
                      <wp:extent cx="5550240" cy="3175000"/>
                      <wp:effectExtent l="0" t="0" r="0" b="0"/>
                      <wp:docPr id="26" name=""/>
                      <wp:cNvGraphicFramePr/>
                      <a:graphic xmlns:a="http://schemas.openxmlformats.org/drawingml/2006/main">
                        <a:graphicData uri="http://schemas.openxmlformats.org/drawingml/2006/picture">
                          <pic:pic xmlns:pic="http://schemas.openxmlformats.org/drawingml/2006/picture">
                            <pic:nvPicPr>
                              <pic:cNvPr id="276454163" name="" descr=""/>
                              <pic:cNvPicPr/>
                              <pic:nvPr/>
                            </pic:nvPicPr>
                            <pic:blipFill rotWithShape="1">
                              <a:blip r:embed="rId38"/>
                              <a:stretch/>
                            </pic:blipFill>
                            <pic:spPr bwMode="auto">
                              <a:xfrm rot="0" flipH="0" flipV="0">
                                <a:off x="0" y="0"/>
                                <a:ext cx="555023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437.03pt;height:250.00pt;mso-wrap-distance-left:0.00pt;mso-wrap-distance-top:0.00pt;mso-wrap-distance-right:0.00pt;mso-wrap-distance-bottom:0.00pt;rotation:0;z-index:1;" stroked="false">
                      <v:imagedata r:id="rId38" o:title=""/>
                      <o:lock v:ext="edit" rotation="t"/>
                    </v:shape>
                  </w:pict>
                </mc:Fallback>
              </mc:AlternateConten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1835490" cy="2374360"/>
                      <wp:effectExtent l="0" t="0" r="0" b="0"/>
                      <wp:docPr id="27" name=""/>
                      <wp:cNvGraphicFramePr/>
                      <a:graphic xmlns:a="http://schemas.openxmlformats.org/drawingml/2006/main">
                        <a:graphicData uri="http://schemas.openxmlformats.org/drawingml/2006/picture">
                          <pic:pic xmlns:pic="http://schemas.openxmlformats.org/drawingml/2006/picture">
                            <pic:nvPicPr>
                              <pic:cNvPr id="1844988016" name="" descr=""/>
                              <pic:cNvPicPr/>
                              <pic:nvPr/>
                            </pic:nvPicPr>
                            <pic:blipFill rotWithShape="1">
                              <a:blip r:embed="rId39"/>
                              <a:stretch/>
                            </pic:blipFill>
                            <pic:spPr bwMode="auto">
                              <a:xfrm rot="0" flipH="0" flipV="0">
                                <a:off x="0" y="0"/>
                                <a:ext cx="1835489" cy="237435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144.53pt;height:186.96pt;mso-wrap-distance-left:0.00pt;mso-wrap-distance-top:0.00pt;mso-wrap-distance-right:0.00pt;mso-wrap-distance-bottom:0.00pt;rotation:0;z-index:1;" stroked="false">
                      <v:imagedata r:id="rId3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876430" cy="2374360"/>
                      <wp:effectExtent l="0" t="0" r="0" b="0"/>
                      <wp:docPr id="28" name=""/>
                      <wp:cNvGraphicFramePr/>
                      <a:graphic xmlns:a="http://schemas.openxmlformats.org/drawingml/2006/main">
                        <a:graphicData uri="http://schemas.openxmlformats.org/drawingml/2006/picture">
                          <pic:pic xmlns:pic="http://schemas.openxmlformats.org/drawingml/2006/picture">
                            <pic:nvPicPr>
                              <pic:cNvPr id="1724308468" name="" descr=""/>
                              <pic:cNvPicPr/>
                              <pic:nvPr/>
                            </pic:nvPicPr>
                            <pic:blipFill rotWithShape="1">
                              <a:blip r:embed="rId40"/>
                              <a:stretch/>
                            </pic:blipFill>
                            <pic:spPr bwMode="auto">
                              <a:xfrm flipH="0" flipV="0">
                                <a:off x="0" y="0"/>
                                <a:ext cx="1876429" cy="237435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147.75pt;height:186.96pt;mso-wrap-distance-left:0.00pt;mso-wrap-distance-top:0.00pt;mso-wrap-distance-right:0.00pt;mso-wrap-distance-bottom:0.00pt;z-index:1;" stroked="false">
                      <v:imagedata r:id="rId4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698627" cy="2374360"/>
                      <wp:effectExtent l="0" t="0" r="0" b="0"/>
                      <wp:docPr id="29" name=""/>
                      <wp:cNvGraphicFramePr/>
                      <a:graphic xmlns:a="http://schemas.openxmlformats.org/drawingml/2006/main">
                        <a:graphicData uri="http://schemas.openxmlformats.org/drawingml/2006/picture">
                          <pic:pic xmlns:pic="http://schemas.openxmlformats.org/drawingml/2006/picture">
                            <pic:nvPicPr>
                              <pic:cNvPr id="744277052" name="" descr=""/>
                              <pic:cNvPicPr/>
                              <pic:nvPr/>
                            </pic:nvPicPr>
                            <pic:blipFill rotWithShape="1">
                              <a:blip r:embed="rId41"/>
                              <a:stretch/>
                            </pic:blipFill>
                            <pic:spPr bwMode="auto">
                              <a:xfrm flipH="0" flipV="0">
                                <a:off x="0" y="0"/>
                                <a:ext cx="1698626" cy="237435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133.75pt;height:186.96pt;mso-wrap-distance-left:0.00pt;mso-wrap-distance-top:0.00pt;mso-wrap-distance-right:0.00pt;mso-wrap-distance-bottom:0.00pt;z-index:1;" stroked="false">
                      <v:imagedata r:id="rId41"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5626440" cy="2162891"/>
                      <wp:effectExtent l="0" t="0" r="0" b="0"/>
                      <wp:docPr id="30" name=""/>
                      <wp:cNvGraphicFramePr/>
                      <a:graphic xmlns:a="http://schemas.openxmlformats.org/drawingml/2006/main">
                        <a:graphicData uri="http://schemas.openxmlformats.org/drawingml/2006/picture">
                          <pic:pic xmlns:pic="http://schemas.openxmlformats.org/drawingml/2006/picture">
                            <pic:nvPicPr>
                              <pic:cNvPr id="730574633" name="" descr=""/>
                              <pic:cNvPicPr/>
                              <pic:nvPr/>
                            </pic:nvPicPr>
                            <pic:blipFill rotWithShape="1">
                              <a:blip r:embed="rId42"/>
                              <a:stretch/>
                            </pic:blipFill>
                            <pic:spPr bwMode="auto">
                              <a:xfrm rot="0" flipH="0" flipV="0">
                                <a:off x="0" y="0"/>
                                <a:ext cx="5626440" cy="216289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443.03pt;height:170.31pt;mso-wrap-distance-left:0.00pt;mso-wrap-distance-top:0.00pt;mso-wrap-distance-right:0.00pt;mso-wrap-distance-bottom:0.00pt;rotation:0;z-index:1;" stroked="false">
                      <v:imagedata r:id="rId42"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2357" cy="2334341"/>
                      <wp:effectExtent l="0" t="0" r="0" b="0"/>
                      <wp:docPr id="31" name=""/>
                      <wp:cNvGraphicFramePr/>
                      <a:graphic xmlns:a="http://schemas.openxmlformats.org/drawingml/2006/main">
                        <a:graphicData uri="http://schemas.openxmlformats.org/drawingml/2006/picture">
                          <pic:pic xmlns:pic="http://schemas.openxmlformats.org/drawingml/2006/picture">
                            <pic:nvPicPr>
                              <pic:cNvPr id="1776839285" name="" descr=""/>
                              <pic:cNvPicPr/>
                              <pic:nvPr/>
                            </pic:nvPicPr>
                            <pic:blipFill rotWithShape="1">
                              <a:blip r:embed="rId43"/>
                              <a:stretch/>
                            </pic:blipFill>
                            <pic:spPr bwMode="auto">
                              <a:xfrm flipH="0" flipV="0">
                                <a:off x="0" y="0"/>
                                <a:ext cx="2382356" cy="233434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 o:spid="_x0000_s30" type="#_x0000_t75" style="width:187.59pt;height:183.81pt;mso-wrap-distance-left:0.00pt;mso-wrap-distance-top:0.00pt;mso-wrap-distance-right:0.00pt;mso-wrap-distance-bottom:0.00pt;z-index:1;" stroked="false">
                      <v:imagedata r:id="rId4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622" cy="2296241"/>
                      <wp:effectExtent l="0" t="0" r="0" b="0"/>
                      <wp:docPr id="32" name=""/>
                      <wp:cNvGraphicFramePr/>
                      <a:graphic xmlns:a="http://schemas.openxmlformats.org/drawingml/2006/main">
                        <a:graphicData uri="http://schemas.openxmlformats.org/drawingml/2006/picture">
                          <pic:pic xmlns:pic="http://schemas.openxmlformats.org/drawingml/2006/picture">
                            <pic:nvPicPr>
                              <pic:cNvPr id="1844214203" name="" descr=""/>
                              <pic:cNvPicPr/>
                              <pic:nvPr/>
                            </pic:nvPicPr>
                            <pic:blipFill rotWithShape="1">
                              <a:blip r:embed="rId44"/>
                              <a:stretch/>
                            </pic:blipFill>
                            <pic:spPr bwMode="auto">
                              <a:xfrm flipH="0" flipV="0">
                                <a:off x="0" y="0"/>
                                <a:ext cx="2381621" cy="229624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1" o:spid="_x0000_s31" type="#_x0000_t75" style="width:187.53pt;height:180.81pt;mso-wrap-distance-left:0.00pt;mso-wrap-distance-top:0.00pt;mso-wrap-distance-right:0.00pt;mso-wrap-distance-bottom:0.00pt;z-index:1;" stroked="false">
                      <v:imagedata r:id="rId4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Khánh Hà</w:t>
            </w:r>
            <w:r>
              <w:rPr>
                <w:b/>
                <w:bCs/>
              </w:rPr>
            </w: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78AA94F7"/>
    <w:lvl w:ilvl="0">
      <w:isLgl w:val="false"/>
      <w:lvlJc w:val="left"/>
      <w:lvlText w:val="-"/>
      <w:numFmt w:val="bullet"/>
      <w:pPr>
        <w:pBdr/>
        <w:spacing/>
        <w:ind w:hanging="360" w:left="720"/>
      </w:pPr>
      <w:rPr>
        <w:rFonts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8">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7">
    <w:name w:val="Table Grid Light"/>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1"/>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2"/>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3"/>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4"/>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5"/>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w:basedOn w:val="100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w:basedOn w:val="100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1"/>
    <w:basedOn w:val="100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2"/>
    <w:basedOn w:val="100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3"/>
    <w:basedOn w:val="100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4"/>
    <w:basedOn w:val="100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5"/>
    <w:basedOn w:val="100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6"/>
    <w:basedOn w:val="100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Accent 1"/>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2"/>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3"/>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Accent 4"/>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5"/>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6"/>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9">
    <w:name w:val="Grid Table 6 Colorful - Accent 1"/>
    <w:basedOn w:val="100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0">
    <w:name w:val="Grid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1">
    <w:name w:val="Grid Table 6 Colorful - Accent 3"/>
    <w:basedOn w:val="100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2">
    <w:name w:val="Grid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3">
    <w:name w:val="Grid Table 6 Colorful - Accent 5"/>
    <w:basedOn w:val="100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6 Colorful - Accent 6"/>
    <w:basedOn w:val="100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5">
    <w:name w:val="Grid Table 7 Colorful"/>
    <w:basedOn w:val="100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1"/>
    <w:basedOn w:val="100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5"/>
    <w:basedOn w:val="100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6"/>
    <w:basedOn w:val="100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1"/>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2"/>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3"/>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4"/>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5"/>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6"/>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w:basedOn w:val="100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1"/>
    <w:basedOn w:val="100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2"/>
    <w:basedOn w:val="100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3"/>
    <w:basedOn w:val="100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4"/>
    <w:basedOn w:val="100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5"/>
    <w:basedOn w:val="100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6"/>
    <w:basedOn w:val="100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1"/>
    <w:basedOn w:val="100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3"/>
    <w:basedOn w:val="100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5"/>
    <w:basedOn w:val="100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6"/>
    <w:basedOn w:val="100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1"/>
    <w:basedOn w:val="100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2"/>
    <w:basedOn w:val="100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3"/>
    <w:basedOn w:val="100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4"/>
    <w:basedOn w:val="100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5"/>
    <w:basedOn w:val="100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6"/>
    <w:basedOn w:val="100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5 Dark"/>
    <w:basedOn w:val="100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1"/>
    <w:basedOn w:val="100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2"/>
    <w:basedOn w:val="100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3"/>
    <w:basedOn w:val="100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4"/>
    <w:basedOn w:val="100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5"/>
    <w:basedOn w:val="100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6"/>
    <w:basedOn w:val="100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1"/>
    <w:basedOn w:val="100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3"/>
    <w:basedOn w:val="100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5"/>
    <w:basedOn w:val="100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6"/>
    <w:basedOn w:val="100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7 Colorful"/>
    <w:basedOn w:val="100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5">
    <w:name w:val="List Table 7 Colorful - Accent 1"/>
    <w:basedOn w:val="100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6">
    <w:name w:val="List Table 7 Colorful - Accent 2"/>
    <w:basedOn w:val="100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7">
    <w:name w:val="List Table 7 Colorful - Accent 3"/>
    <w:basedOn w:val="100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8">
    <w:name w:val="List Table 7 Colorful - Accent 4"/>
    <w:basedOn w:val="100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9">
    <w:name w:val="List Table 7 Colorful - Accent 5"/>
    <w:basedOn w:val="100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0">
    <w:name w:val="List Table 7 Colorful - Accent 6"/>
    <w:basedOn w:val="100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1">
    <w:name w:val="Lined - Accent"/>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1"/>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2"/>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3"/>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4"/>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5"/>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6"/>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w:basedOn w:val="100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1"/>
    <w:basedOn w:val="100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2"/>
    <w:basedOn w:val="100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3"/>
    <w:basedOn w:val="100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4"/>
    <w:basedOn w:val="100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5"/>
    <w:basedOn w:val="100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6"/>
    <w:basedOn w:val="100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w:basedOn w:val="100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2">
    <w:name w:val="Heading 5"/>
    <w:basedOn w:val="1003"/>
    <w:next w:val="1003"/>
    <w:link w:val="96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3">
    <w:name w:val="Heading 6"/>
    <w:basedOn w:val="1003"/>
    <w:next w:val="1003"/>
    <w:link w:val="96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4">
    <w:name w:val="Heading 7"/>
    <w:basedOn w:val="1003"/>
    <w:next w:val="1003"/>
    <w:link w:val="96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5">
    <w:name w:val="Heading 8"/>
    <w:basedOn w:val="1003"/>
    <w:next w:val="1003"/>
    <w:link w:val="97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6">
    <w:name w:val="Heading 9"/>
    <w:basedOn w:val="1003"/>
    <w:next w:val="1003"/>
    <w:link w:val="97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7">
    <w:name w:val="Heading 5 Char"/>
    <w:basedOn w:val="1008"/>
    <w:link w:val="962"/>
    <w:uiPriority w:val="9"/>
    <w:pPr>
      <w:pBdr/>
      <w:spacing/>
      <w:ind/>
    </w:pPr>
    <w:rPr>
      <w:rFonts w:ascii="Arial" w:hAnsi="Arial" w:eastAsia="Arial" w:cs="Arial"/>
      <w:color w:val="0f4761" w:themeColor="accent1" w:themeShade="BF"/>
    </w:rPr>
  </w:style>
  <w:style w:type="character" w:styleId="968">
    <w:name w:val="Heading 6 Char"/>
    <w:basedOn w:val="1008"/>
    <w:link w:val="963"/>
    <w:uiPriority w:val="9"/>
    <w:pPr>
      <w:pBdr/>
      <w:spacing/>
      <w:ind/>
    </w:pPr>
    <w:rPr>
      <w:rFonts w:ascii="Arial" w:hAnsi="Arial" w:eastAsia="Arial" w:cs="Arial"/>
      <w:i/>
      <w:iCs/>
      <w:color w:val="595959" w:themeColor="text1" w:themeTint="A6"/>
    </w:rPr>
  </w:style>
  <w:style w:type="character" w:styleId="969">
    <w:name w:val="Heading 7 Char"/>
    <w:basedOn w:val="1008"/>
    <w:link w:val="964"/>
    <w:uiPriority w:val="9"/>
    <w:pPr>
      <w:pBdr/>
      <w:spacing/>
      <w:ind/>
    </w:pPr>
    <w:rPr>
      <w:rFonts w:ascii="Arial" w:hAnsi="Arial" w:eastAsia="Arial" w:cs="Arial"/>
      <w:color w:val="595959" w:themeColor="text1" w:themeTint="A6"/>
    </w:rPr>
  </w:style>
  <w:style w:type="character" w:styleId="970">
    <w:name w:val="Heading 8 Char"/>
    <w:basedOn w:val="1008"/>
    <w:link w:val="965"/>
    <w:uiPriority w:val="9"/>
    <w:pPr>
      <w:pBdr/>
      <w:spacing/>
      <w:ind/>
    </w:pPr>
    <w:rPr>
      <w:rFonts w:ascii="Arial" w:hAnsi="Arial" w:eastAsia="Arial" w:cs="Arial"/>
      <w:i/>
      <w:iCs/>
      <w:color w:val="272727" w:themeColor="text1" w:themeTint="D8"/>
    </w:rPr>
  </w:style>
  <w:style w:type="character" w:styleId="971">
    <w:name w:val="Heading 9 Char"/>
    <w:basedOn w:val="1008"/>
    <w:link w:val="966"/>
    <w:uiPriority w:val="9"/>
    <w:pPr>
      <w:pBdr/>
      <w:spacing/>
      <w:ind/>
    </w:pPr>
    <w:rPr>
      <w:rFonts w:ascii="Arial" w:hAnsi="Arial" w:eastAsia="Arial" w:cs="Arial"/>
      <w:i/>
      <w:iCs/>
      <w:color w:val="272727" w:themeColor="text1" w:themeTint="D8"/>
    </w:rPr>
  </w:style>
  <w:style w:type="paragraph" w:styleId="972">
    <w:name w:val="Subtitle"/>
    <w:basedOn w:val="1003"/>
    <w:next w:val="1003"/>
    <w:link w:val="973"/>
    <w:uiPriority w:val="11"/>
    <w:qFormat/>
    <w:pPr>
      <w:numPr>
        <w:ilvl w:val="1"/>
      </w:numPr>
      <w:pBdr/>
      <w:spacing/>
      <w:ind/>
    </w:pPr>
    <w:rPr>
      <w:color w:val="595959" w:themeColor="text1" w:themeTint="A6"/>
      <w:spacing w:val="15"/>
      <w:sz w:val="28"/>
      <w:szCs w:val="28"/>
    </w:rPr>
  </w:style>
  <w:style w:type="character" w:styleId="973">
    <w:name w:val="Subtitle Char"/>
    <w:basedOn w:val="1008"/>
    <w:link w:val="972"/>
    <w:uiPriority w:val="11"/>
    <w:pPr>
      <w:pBdr/>
      <w:spacing/>
      <w:ind/>
    </w:pPr>
    <w:rPr>
      <w:color w:val="595959" w:themeColor="text1" w:themeTint="A6"/>
      <w:spacing w:val="15"/>
      <w:sz w:val="28"/>
      <w:szCs w:val="28"/>
    </w:rPr>
  </w:style>
  <w:style w:type="paragraph" w:styleId="974">
    <w:name w:val="Quote"/>
    <w:basedOn w:val="1003"/>
    <w:next w:val="1003"/>
    <w:link w:val="975"/>
    <w:uiPriority w:val="29"/>
    <w:qFormat/>
    <w:pPr>
      <w:pBdr/>
      <w:spacing w:before="160"/>
      <w:ind/>
      <w:jc w:val="center"/>
    </w:pPr>
    <w:rPr>
      <w:i/>
      <w:iCs/>
      <w:color w:val="404040" w:themeColor="text1" w:themeTint="BF"/>
    </w:rPr>
  </w:style>
  <w:style w:type="character" w:styleId="975">
    <w:name w:val="Quote Char"/>
    <w:basedOn w:val="1008"/>
    <w:link w:val="974"/>
    <w:uiPriority w:val="29"/>
    <w:pPr>
      <w:pBdr/>
      <w:spacing/>
      <w:ind/>
    </w:pPr>
    <w:rPr>
      <w:i/>
      <w:iCs/>
      <w:color w:val="404040" w:themeColor="text1" w:themeTint="BF"/>
    </w:rPr>
  </w:style>
  <w:style w:type="character" w:styleId="976">
    <w:name w:val="Intense Emphasis"/>
    <w:basedOn w:val="1008"/>
    <w:uiPriority w:val="21"/>
    <w:qFormat/>
    <w:pPr>
      <w:pBdr/>
      <w:spacing/>
      <w:ind/>
    </w:pPr>
    <w:rPr>
      <w:i/>
      <w:iCs/>
      <w:color w:val="0f4761" w:themeColor="accent1" w:themeShade="BF"/>
    </w:rPr>
  </w:style>
  <w:style w:type="paragraph" w:styleId="977">
    <w:name w:val="Intense Quote"/>
    <w:basedOn w:val="1003"/>
    <w:next w:val="1003"/>
    <w:link w:val="97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8">
    <w:name w:val="Intense Quote Char"/>
    <w:basedOn w:val="1008"/>
    <w:link w:val="977"/>
    <w:uiPriority w:val="30"/>
    <w:pPr>
      <w:pBdr/>
      <w:spacing/>
      <w:ind/>
    </w:pPr>
    <w:rPr>
      <w:i/>
      <w:iCs/>
      <w:color w:val="0f4761" w:themeColor="accent1" w:themeShade="BF"/>
    </w:rPr>
  </w:style>
  <w:style w:type="character" w:styleId="979">
    <w:name w:val="Intense Reference"/>
    <w:basedOn w:val="1008"/>
    <w:uiPriority w:val="32"/>
    <w:qFormat/>
    <w:pPr>
      <w:pBdr/>
      <w:spacing/>
      <w:ind/>
    </w:pPr>
    <w:rPr>
      <w:b/>
      <w:bCs/>
      <w:smallCaps/>
      <w:color w:val="0f4761" w:themeColor="accent1" w:themeShade="BF"/>
      <w:spacing w:val="5"/>
    </w:rPr>
  </w:style>
  <w:style w:type="paragraph" w:styleId="980">
    <w:name w:val="No Spacing"/>
    <w:basedOn w:val="1003"/>
    <w:uiPriority w:val="1"/>
    <w:qFormat/>
    <w:pPr>
      <w:pBdr/>
      <w:spacing w:after="0" w:line="240" w:lineRule="auto"/>
      <w:ind/>
    </w:pPr>
  </w:style>
  <w:style w:type="character" w:styleId="981">
    <w:name w:val="Subtle Emphasis"/>
    <w:basedOn w:val="1008"/>
    <w:uiPriority w:val="19"/>
    <w:qFormat/>
    <w:pPr>
      <w:pBdr/>
      <w:spacing/>
      <w:ind/>
    </w:pPr>
    <w:rPr>
      <w:i/>
      <w:iCs/>
      <w:color w:val="404040" w:themeColor="text1" w:themeTint="BF"/>
    </w:rPr>
  </w:style>
  <w:style w:type="character" w:styleId="982">
    <w:name w:val="Subtle Reference"/>
    <w:basedOn w:val="1008"/>
    <w:uiPriority w:val="31"/>
    <w:qFormat/>
    <w:pPr>
      <w:pBdr/>
      <w:spacing/>
      <w:ind/>
    </w:pPr>
    <w:rPr>
      <w:smallCaps/>
      <w:color w:val="5a5a5a" w:themeColor="text1" w:themeTint="A5"/>
    </w:rPr>
  </w:style>
  <w:style w:type="character" w:styleId="983">
    <w:name w:val="Book Title"/>
    <w:basedOn w:val="1008"/>
    <w:uiPriority w:val="33"/>
    <w:qFormat/>
    <w:pPr>
      <w:pBdr/>
      <w:spacing/>
      <w:ind/>
    </w:pPr>
    <w:rPr>
      <w:b/>
      <w:bCs/>
      <w:i/>
      <w:iCs/>
      <w:spacing w:val="5"/>
    </w:rPr>
  </w:style>
  <w:style w:type="paragraph" w:styleId="984">
    <w:name w:val="Caption"/>
    <w:basedOn w:val="1003"/>
    <w:next w:val="1003"/>
    <w:uiPriority w:val="35"/>
    <w:unhideWhenUsed/>
    <w:qFormat/>
    <w:pPr>
      <w:pBdr/>
      <w:spacing w:after="200" w:line="240" w:lineRule="auto"/>
      <w:ind/>
    </w:pPr>
    <w:rPr>
      <w:i/>
      <w:iCs/>
      <w:color w:val="0e2841" w:themeColor="text2"/>
      <w:sz w:val="18"/>
      <w:szCs w:val="18"/>
    </w:rPr>
  </w:style>
  <w:style w:type="paragraph" w:styleId="985">
    <w:name w:val="footnote text"/>
    <w:basedOn w:val="1003"/>
    <w:link w:val="986"/>
    <w:uiPriority w:val="99"/>
    <w:semiHidden/>
    <w:unhideWhenUsed/>
    <w:pPr>
      <w:pBdr/>
      <w:spacing w:after="0" w:line="240" w:lineRule="auto"/>
      <w:ind/>
    </w:pPr>
    <w:rPr>
      <w:sz w:val="20"/>
      <w:szCs w:val="20"/>
    </w:rPr>
  </w:style>
  <w:style w:type="character" w:styleId="986">
    <w:name w:val="Footnote Text Char"/>
    <w:basedOn w:val="1008"/>
    <w:link w:val="985"/>
    <w:uiPriority w:val="99"/>
    <w:semiHidden/>
    <w:pPr>
      <w:pBdr/>
      <w:spacing/>
      <w:ind/>
    </w:pPr>
    <w:rPr>
      <w:sz w:val="20"/>
      <w:szCs w:val="20"/>
    </w:rPr>
  </w:style>
  <w:style w:type="character" w:styleId="987">
    <w:name w:val="footnote reference"/>
    <w:basedOn w:val="1008"/>
    <w:uiPriority w:val="99"/>
    <w:semiHidden/>
    <w:unhideWhenUsed/>
    <w:pPr>
      <w:pBdr/>
      <w:spacing/>
      <w:ind/>
    </w:pPr>
    <w:rPr>
      <w:vertAlign w:val="superscript"/>
    </w:rPr>
  </w:style>
  <w:style w:type="paragraph" w:styleId="988">
    <w:name w:val="endnote text"/>
    <w:basedOn w:val="1003"/>
    <w:link w:val="989"/>
    <w:uiPriority w:val="99"/>
    <w:semiHidden/>
    <w:unhideWhenUsed/>
    <w:pPr>
      <w:pBdr/>
      <w:spacing w:after="0" w:line="240" w:lineRule="auto"/>
      <w:ind/>
    </w:pPr>
    <w:rPr>
      <w:sz w:val="20"/>
      <w:szCs w:val="20"/>
    </w:rPr>
  </w:style>
  <w:style w:type="character" w:styleId="989">
    <w:name w:val="Endnote Text Char"/>
    <w:basedOn w:val="1008"/>
    <w:link w:val="988"/>
    <w:uiPriority w:val="99"/>
    <w:semiHidden/>
    <w:pPr>
      <w:pBdr/>
      <w:spacing/>
      <w:ind/>
    </w:pPr>
    <w:rPr>
      <w:sz w:val="20"/>
      <w:szCs w:val="20"/>
    </w:rPr>
  </w:style>
  <w:style w:type="character" w:styleId="990">
    <w:name w:val="endnote reference"/>
    <w:basedOn w:val="1008"/>
    <w:uiPriority w:val="99"/>
    <w:semiHidden/>
    <w:unhideWhenUsed/>
    <w:pPr>
      <w:pBdr/>
      <w:spacing/>
      <w:ind/>
    </w:pPr>
    <w:rPr>
      <w:vertAlign w:val="superscript"/>
    </w:rPr>
  </w:style>
  <w:style w:type="paragraph" w:styleId="991">
    <w:name w:val="toc 1"/>
    <w:basedOn w:val="1003"/>
    <w:next w:val="1003"/>
    <w:uiPriority w:val="39"/>
    <w:unhideWhenUsed/>
    <w:pPr>
      <w:pBdr/>
      <w:spacing w:after="100"/>
      <w:ind/>
    </w:pPr>
  </w:style>
  <w:style w:type="paragraph" w:styleId="992">
    <w:name w:val="toc 2"/>
    <w:basedOn w:val="1003"/>
    <w:next w:val="1003"/>
    <w:uiPriority w:val="39"/>
    <w:unhideWhenUsed/>
    <w:pPr>
      <w:pBdr/>
      <w:spacing w:after="100"/>
      <w:ind w:left="220"/>
    </w:pPr>
  </w:style>
  <w:style w:type="paragraph" w:styleId="993">
    <w:name w:val="toc 3"/>
    <w:basedOn w:val="1003"/>
    <w:next w:val="1003"/>
    <w:uiPriority w:val="39"/>
    <w:unhideWhenUsed/>
    <w:pPr>
      <w:pBdr/>
      <w:spacing w:after="100"/>
      <w:ind w:left="440"/>
    </w:pPr>
  </w:style>
  <w:style w:type="paragraph" w:styleId="994">
    <w:name w:val="toc 4"/>
    <w:basedOn w:val="1003"/>
    <w:next w:val="1003"/>
    <w:uiPriority w:val="39"/>
    <w:unhideWhenUsed/>
    <w:pPr>
      <w:pBdr/>
      <w:spacing w:after="100"/>
      <w:ind w:left="660"/>
    </w:pPr>
  </w:style>
  <w:style w:type="paragraph" w:styleId="995">
    <w:name w:val="toc 5"/>
    <w:basedOn w:val="1003"/>
    <w:next w:val="1003"/>
    <w:uiPriority w:val="39"/>
    <w:unhideWhenUsed/>
    <w:pPr>
      <w:pBdr/>
      <w:spacing w:after="100"/>
      <w:ind w:left="880"/>
    </w:pPr>
  </w:style>
  <w:style w:type="paragraph" w:styleId="996">
    <w:name w:val="toc 6"/>
    <w:basedOn w:val="1003"/>
    <w:next w:val="1003"/>
    <w:uiPriority w:val="39"/>
    <w:unhideWhenUsed/>
    <w:pPr>
      <w:pBdr/>
      <w:spacing w:after="100"/>
      <w:ind w:left="1100"/>
    </w:pPr>
  </w:style>
  <w:style w:type="paragraph" w:styleId="997">
    <w:name w:val="toc 7"/>
    <w:basedOn w:val="1003"/>
    <w:next w:val="1003"/>
    <w:uiPriority w:val="39"/>
    <w:unhideWhenUsed/>
    <w:pPr>
      <w:pBdr/>
      <w:spacing w:after="100"/>
      <w:ind w:left="1320"/>
    </w:pPr>
  </w:style>
  <w:style w:type="paragraph" w:styleId="998">
    <w:name w:val="toc 8"/>
    <w:basedOn w:val="1003"/>
    <w:next w:val="1003"/>
    <w:uiPriority w:val="39"/>
    <w:unhideWhenUsed/>
    <w:pPr>
      <w:pBdr/>
      <w:spacing w:after="100"/>
      <w:ind w:left="1540"/>
    </w:pPr>
  </w:style>
  <w:style w:type="paragraph" w:styleId="999">
    <w:name w:val="toc 9"/>
    <w:basedOn w:val="1003"/>
    <w:next w:val="1003"/>
    <w:uiPriority w:val="39"/>
    <w:unhideWhenUsed/>
    <w:pPr>
      <w:pBdr/>
      <w:spacing w:after="100"/>
      <w:ind w:left="1760"/>
    </w:pPr>
  </w:style>
  <w:style w:type="character" w:styleId="1000">
    <w:name w:val="Placeholder Text"/>
    <w:basedOn w:val="1008"/>
    <w:uiPriority w:val="99"/>
    <w:semiHidden/>
    <w:pPr>
      <w:pBdr/>
      <w:spacing/>
      <w:ind/>
    </w:pPr>
    <w:rPr>
      <w:color w:val="666666"/>
    </w:rPr>
  </w:style>
  <w:style w:type="paragraph" w:styleId="1001">
    <w:name w:val="TOC Heading"/>
    <w:uiPriority w:val="39"/>
    <w:unhideWhenUsed/>
    <w:pPr>
      <w:pBdr/>
      <w:spacing/>
      <w:ind/>
    </w:pPr>
  </w:style>
  <w:style w:type="paragraph" w:styleId="1002">
    <w:name w:val="table of figures"/>
    <w:basedOn w:val="1003"/>
    <w:next w:val="1003"/>
    <w:uiPriority w:val="99"/>
    <w:unhideWhenUsed/>
    <w:pPr>
      <w:pBdr/>
      <w:spacing w:after="0" w:afterAutospacing="0"/>
      <w:ind/>
    </w:pPr>
  </w:style>
  <w:style w:type="paragraph" w:styleId="1003" w:default="1">
    <w:name w:val="Normal"/>
    <w:qFormat/>
    <w:pPr>
      <w:pBdr/>
      <w:spacing w:after="0" w:line="240" w:lineRule="auto"/>
      <w:ind/>
    </w:pPr>
    <w:rPr>
      <w:rFonts w:ascii="Times New Roman" w:hAnsi="Times New Roman" w:eastAsia="Times New Roman" w:cs="Times New Roman"/>
      <w:sz w:val="24"/>
      <w:szCs w:val="24"/>
    </w:rPr>
  </w:style>
  <w:style w:type="paragraph" w:styleId="1004">
    <w:name w:val="Heading 1"/>
    <w:basedOn w:val="1003"/>
    <w:next w:val="1003"/>
    <w:link w:val="1011"/>
    <w:qFormat/>
    <w:pPr>
      <w:keepNext w:val="true"/>
      <w:pBdr/>
      <w:spacing w:after="120" w:before="120"/>
      <w:ind/>
      <w:jc w:val="center"/>
      <w:outlineLvl w:val="0"/>
    </w:pPr>
    <w:rPr>
      <w:b/>
      <w:bCs/>
      <w:sz w:val="27"/>
      <w:szCs w:val="27"/>
    </w:rPr>
  </w:style>
  <w:style w:type="paragraph" w:styleId="1005">
    <w:name w:val="Heading 2"/>
    <w:basedOn w:val="1003"/>
    <w:next w:val="1003"/>
    <w:link w:val="101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6">
    <w:name w:val="Heading 3"/>
    <w:basedOn w:val="1003"/>
    <w:next w:val="1003"/>
    <w:link w:val="1013"/>
    <w:qFormat/>
    <w:pPr>
      <w:keepNext w:val="true"/>
      <w:pBdr/>
      <w:spacing w:before="60"/>
      <w:ind/>
      <w:outlineLvl w:val="2"/>
    </w:pPr>
    <w:rPr>
      <w:sz w:val="28"/>
      <w:szCs w:val="28"/>
    </w:rPr>
  </w:style>
  <w:style w:type="paragraph" w:styleId="1007">
    <w:name w:val="Heading 4"/>
    <w:basedOn w:val="1003"/>
    <w:next w:val="1003"/>
    <w:link w:val="1014"/>
    <w:qFormat/>
    <w:pPr>
      <w:keepNext w:val="true"/>
      <w:pBdr/>
      <w:spacing/>
      <w:ind/>
      <w:jc w:val="center"/>
      <w:outlineLvl w:val="3"/>
    </w:pPr>
    <w:rPr>
      <w:b/>
      <w:bCs/>
    </w:rPr>
  </w:style>
  <w:style w:type="character" w:styleId="1008" w:default="1">
    <w:name w:val="Default Paragraph Font"/>
    <w:uiPriority w:val="1"/>
    <w:semiHidden/>
    <w:unhideWhenUsed/>
    <w:pPr>
      <w:pBdr/>
      <w:spacing/>
      <w:ind/>
    </w:pPr>
  </w:style>
  <w:style w:type="table" w:styleId="100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0" w:default="1">
    <w:name w:val="No List"/>
    <w:uiPriority w:val="99"/>
    <w:semiHidden/>
    <w:unhideWhenUsed/>
    <w:pPr>
      <w:pBdr/>
      <w:spacing/>
      <w:ind/>
    </w:pPr>
  </w:style>
  <w:style w:type="character" w:styleId="1011" w:customStyle="1">
    <w:name w:val="Heading 1 Char"/>
    <w:basedOn w:val="1008"/>
    <w:link w:val="1004"/>
    <w:pPr>
      <w:pBdr/>
      <w:spacing/>
      <w:ind/>
    </w:pPr>
    <w:rPr>
      <w:rFonts w:ascii="Times New Roman" w:hAnsi="Times New Roman" w:eastAsia="Times New Roman" w:cs="Times New Roman"/>
      <w:b/>
      <w:bCs/>
      <w:sz w:val="27"/>
      <w:szCs w:val="27"/>
    </w:rPr>
  </w:style>
  <w:style w:type="character" w:styleId="1012" w:customStyle="1">
    <w:name w:val="Heading 2 Char"/>
    <w:basedOn w:val="1008"/>
    <w:link w:val="1005"/>
    <w:uiPriority w:val="9"/>
    <w:pPr>
      <w:pBdr/>
      <w:spacing/>
      <w:ind/>
    </w:pPr>
    <w:rPr>
      <w:rFonts w:asciiTheme="majorHAnsi" w:hAnsiTheme="majorHAnsi" w:eastAsiaTheme="majorEastAsia" w:cstheme="majorBidi"/>
      <w:color w:val="365f91" w:themeColor="accent1" w:themeShade="BF"/>
      <w:sz w:val="26"/>
      <w:szCs w:val="26"/>
    </w:rPr>
  </w:style>
  <w:style w:type="character" w:styleId="1013" w:customStyle="1">
    <w:name w:val="Heading 3 Char"/>
    <w:basedOn w:val="1008"/>
    <w:link w:val="1006"/>
    <w:pPr>
      <w:pBdr/>
      <w:spacing/>
      <w:ind/>
    </w:pPr>
    <w:rPr>
      <w:rFonts w:ascii="Times New Roman" w:hAnsi="Times New Roman" w:eastAsia="Times New Roman" w:cs="Times New Roman"/>
      <w:sz w:val="28"/>
      <w:szCs w:val="28"/>
    </w:rPr>
  </w:style>
  <w:style w:type="character" w:styleId="1014" w:customStyle="1">
    <w:name w:val="Heading 4 Char"/>
    <w:basedOn w:val="1008"/>
    <w:link w:val="1007"/>
    <w:pPr>
      <w:pBdr/>
      <w:spacing/>
      <w:ind/>
    </w:pPr>
    <w:rPr>
      <w:rFonts w:ascii="Times New Roman" w:hAnsi="Times New Roman" w:eastAsia="Times New Roman" w:cs="Times New Roman"/>
      <w:b/>
      <w:bCs/>
      <w:sz w:val="24"/>
      <w:szCs w:val="24"/>
    </w:rPr>
  </w:style>
  <w:style w:type="character" w:styleId="1015">
    <w:name w:val="Hyperlink"/>
    <w:uiPriority w:val="99"/>
    <w:pPr>
      <w:pBdr/>
      <w:spacing/>
      <w:ind/>
    </w:pPr>
    <w:rPr>
      <w:color w:val="000000"/>
      <w:u w:val="single"/>
    </w:rPr>
  </w:style>
  <w:style w:type="character" w:styleId="1016">
    <w:name w:val="Strong"/>
    <w:uiPriority w:val="22"/>
    <w:qFormat/>
    <w:pPr>
      <w:pBdr/>
      <w:spacing/>
      <w:ind/>
    </w:pPr>
    <w:rPr>
      <w:b/>
      <w:bCs/>
    </w:rPr>
  </w:style>
  <w:style w:type="paragraph" w:styleId="1017">
    <w:name w:val="Balloon Text"/>
    <w:basedOn w:val="1003"/>
    <w:link w:val="1018"/>
    <w:uiPriority w:val="99"/>
    <w:semiHidden/>
    <w:unhideWhenUsed/>
    <w:pPr>
      <w:pBdr/>
      <w:spacing/>
      <w:ind/>
    </w:pPr>
    <w:rPr>
      <w:rFonts w:ascii="Tahoma" w:hAnsi="Tahoma" w:cs="Tahoma"/>
      <w:sz w:val="16"/>
      <w:szCs w:val="16"/>
    </w:rPr>
  </w:style>
  <w:style w:type="character" w:styleId="1018" w:customStyle="1">
    <w:name w:val="Balloon Text Char"/>
    <w:basedOn w:val="1008"/>
    <w:link w:val="1017"/>
    <w:uiPriority w:val="99"/>
    <w:semiHidden/>
    <w:pPr>
      <w:pBdr/>
      <w:spacing/>
      <w:ind/>
    </w:pPr>
    <w:rPr>
      <w:rFonts w:ascii="Tahoma" w:hAnsi="Tahoma" w:eastAsia="Times New Roman" w:cs="Tahoma"/>
      <w:sz w:val="16"/>
      <w:szCs w:val="16"/>
    </w:rPr>
  </w:style>
  <w:style w:type="paragraph" w:styleId="1019">
    <w:name w:val="Header"/>
    <w:basedOn w:val="1003"/>
    <w:link w:val="1020"/>
    <w:unhideWhenUsed/>
    <w:pPr>
      <w:pBdr/>
      <w:tabs>
        <w:tab w:val="center" w:leader="none" w:pos="4680"/>
        <w:tab w:val="right" w:leader="none" w:pos="9360"/>
      </w:tabs>
      <w:spacing/>
      <w:ind/>
    </w:pPr>
  </w:style>
  <w:style w:type="character" w:styleId="1020" w:customStyle="1">
    <w:name w:val="Header Char"/>
    <w:basedOn w:val="1008"/>
    <w:link w:val="1019"/>
    <w:pPr>
      <w:pBdr/>
      <w:spacing/>
      <w:ind/>
    </w:pPr>
    <w:rPr>
      <w:rFonts w:ascii="Times New Roman" w:hAnsi="Times New Roman" w:eastAsia="Times New Roman" w:cs="Times New Roman"/>
      <w:sz w:val="24"/>
      <w:szCs w:val="24"/>
    </w:rPr>
  </w:style>
  <w:style w:type="paragraph" w:styleId="1021">
    <w:name w:val="Footer"/>
    <w:basedOn w:val="1003"/>
    <w:link w:val="1022"/>
    <w:uiPriority w:val="99"/>
    <w:unhideWhenUsed/>
    <w:pPr>
      <w:pBdr/>
      <w:tabs>
        <w:tab w:val="center" w:leader="none" w:pos="4680"/>
        <w:tab w:val="right" w:leader="none" w:pos="9360"/>
      </w:tabs>
      <w:spacing/>
      <w:ind/>
    </w:pPr>
  </w:style>
  <w:style w:type="character" w:styleId="1022" w:customStyle="1">
    <w:name w:val="Footer Char"/>
    <w:basedOn w:val="1008"/>
    <w:link w:val="1021"/>
    <w:uiPriority w:val="99"/>
    <w:pPr>
      <w:pBdr/>
      <w:spacing/>
      <w:ind/>
    </w:pPr>
    <w:rPr>
      <w:rFonts w:ascii="Times New Roman" w:hAnsi="Times New Roman" w:eastAsia="Times New Roman" w:cs="Times New Roman"/>
      <w:sz w:val="24"/>
      <w:szCs w:val="24"/>
    </w:rPr>
  </w:style>
  <w:style w:type="character" w:styleId="1023" w:customStyle="1">
    <w:name w:val="normal-h1"/>
    <w:pPr>
      <w:pBdr/>
      <w:spacing/>
      <w:ind/>
    </w:pPr>
    <w:rPr>
      <w:rFonts w:hint="default" w:ascii=".VnTime" w:hAnsi=".VnTime"/>
      <w:color w:val="0000ff"/>
      <w:sz w:val="24"/>
      <w:szCs w:val="24"/>
    </w:rPr>
  </w:style>
  <w:style w:type="paragraph" w:styleId="1024" w:customStyle="1">
    <w:name w:val="normal-p"/>
    <w:basedOn w:val="1003"/>
    <w:pPr>
      <w:pBdr/>
      <w:spacing/>
      <w:ind/>
      <w:jc w:val="both"/>
    </w:pPr>
    <w:rPr>
      <w:sz w:val="20"/>
      <w:szCs w:val="20"/>
    </w:rPr>
  </w:style>
  <w:style w:type="paragraph" w:styleId="1025">
    <w:name w:val="List Paragraph"/>
    <w:basedOn w:val="1003"/>
    <w:link w:val="1112"/>
    <w:uiPriority w:val="34"/>
    <w:qFormat/>
    <w:pPr>
      <w:pBdr/>
      <w:spacing/>
      <w:ind w:left="720"/>
    </w:pPr>
  </w:style>
  <w:style w:type="paragraph" w:styleId="1026">
    <w:name w:val="Normal (Web)"/>
    <w:basedOn w:val="1003"/>
    <w:uiPriority w:val="99"/>
    <w:pPr>
      <w:pBdr/>
      <w:spacing w:after="100" w:afterAutospacing="1" w:before="100" w:beforeAutospacing="1"/>
      <w:ind/>
    </w:pPr>
  </w:style>
  <w:style w:type="paragraph" w:styleId="1027">
    <w:name w:val="Body Text"/>
    <w:basedOn w:val="1003"/>
    <w:link w:val="1028"/>
    <w:pPr>
      <w:pBdr/>
      <w:spacing w:after="120"/>
      <w:ind/>
      <w:jc w:val="both"/>
    </w:pPr>
  </w:style>
  <w:style w:type="character" w:styleId="1028" w:customStyle="1">
    <w:name w:val="Body Text Char"/>
    <w:basedOn w:val="1008"/>
    <w:link w:val="1027"/>
    <w:pPr>
      <w:pBdr/>
      <w:spacing/>
      <w:ind/>
    </w:pPr>
    <w:rPr>
      <w:rFonts w:ascii="Times New Roman" w:hAnsi="Times New Roman" w:eastAsia="Times New Roman" w:cs="Times New Roman"/>
      <w:sz w:val="24"/>
      <w:szCs w:val="24"/>
    </w:rPr>
  </w:style>
  <w:style w:type="table" w:styleId="1029">
    <w:name w:val="Table Grid"/>
    <w:basedOn w:val="100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1">
    <w:name w:val="annotation reference"/>
    <w:basedOn w:val="1008"/>
    <w:uiPriority w:val="99"/>
    <w:semiHidden/>
    <w:unhideWhenUsed/>
    <w:pPr>
      <w:pBdr/>
      <w:spacing/>
      <w:ind/>
    </w:pPr>
    <w:rPr>
      <w:sz w:val="16"/>
      <w:szCs w:val="16"/>
    </w:rPr>
  </w:style>
  <w:style w:type="paragraph" w:styleId="1032">
    <w:name w:val="annotation text"/>
    <w:basedOn w:val="1003"/>
    <w:link w:val="1033"/>
    <w:uiPriority w:val="99"/>
    <w:unhideWhenUsed/>
    <w:pPr>
      <w:pBdr/>
      <w:spacing/>
      <w:ind/>
    </w:pPr>
    <w:rPr>
      <w:sz w:val="20"/>
      <w:szCs w:val="20"/>
    </w:rPr>
  </w:style>
  <w:style w:type="character" w:styleId="1033" w:customStyle="1">
    <w:name w:val="Comment Text Char"/>
    <w:basedOn w:val="1008"/>
    <w:link w:val="1032"/>
    <w:uiPriority w:val="99"/>
    <w:pPr>
      <w:pBdr/>
      <w:spacing/>
      <w:ind/>
    </w:pPr>
    <w:rPr>
      <w:rFonts w:ascii="Times New Roman" w:hAnsi="Times New Roman" w:eastAsia="Times New Roman" w:cs="Times New Roman"/>
      <w:sz w:val="20"/>
      <w:szCs w:val="20"/>
    </w:rPr>
  </w:style>
  <w:style w:type="paragraph" w:styleId="1034">
    <w:name w:val="annotation subject"/>
    <w:basedOn w:val="1032"/>
    <w:next w:val="1032"/>
    <w:link w:val="1035"/>
    <w:uiPriority w:val="99"/>
    <w:semiHidden/>
    <w:unhideWhenUsed/>
    <w:pPr>
      <w:pBdr/>
      <w:spacing/>
      <w:ind/>
    </w:pPr>
    <w:rPr>
      <w:b/>
      <w:bCs/>
    </w:rPr>
  </w:style>
  <w:style w:type="character" w:styleId="1035" w:customStyle="1">
    <w:name w:val="Comment Subject Char"/>
    <w:basedOn w:val="1033"/>
    <w:link w:val="1034"/>
    <w:uiPriority w:val="99"/>
    <w:semiHidden/>
    <w:pPr>
      <w:pBdr/>
      <w:spacing/>
      <w:ind/>
    </w:pPr>
    <w:rPr>
      <w:rFonts w:ascii="Times New Roman" w:hAnsi="Times New Roman" w:eastAsia="Times New Roman" w:cs="Times New Roman"/>
      <w:b/>
      <w:bCs/>
      <w:sz w:val="20"/>
      <w:szCs w:val="20"/>
    </w:rPr>
  </w:style>
  <w:style w:type="paragraph" w:styleId="1036" w:customStyle="1">
    <w:name w:val="font5"/>
    <w:basedOn w:val="1003"/>
    <w:pPr>
      <w:pBdr/>
      <w:spacing w:after="100" w:afterAutospacing="1" w:before="100" w:beforeAutospacing="1"/>
      <w:ind/>
    </w:pPr>
    <w:rPr>
      <w:rFonts w:ascii="Tahoma" w:hAnsi="Tahoma" w:cs="Tahoma"/>
      <w:color w:val="000000"/>
      <w:sz w:val="18"/>
      <w:szCs w:val="18"/>
    </w:rPr>
  </w:style>
  <w:style w:type="paragraph" w:styleId="1037" w:customStyle="1">
    <w:name w:val="font6"/>
    <w:basedOn w:val="1003"/>
    <w:pPr>
      <w:pBdr/>
      <w:spacing w:after="100" w:afterAutospacing="1" w:before="100" w:beforeAutospacing="1"/>
      <w:ind/>
    </w:pPr>
    <w:rPr>
      <w:rFonts w:ascii="Tahoma" w:hAnsi="Tahoma" w:cs="Tahoma"/>
      <w:b/>
      <w:bCs/>
      <w:color w:val="000000"/>
      <w:sz w:val="18"/>
      <w:szCs w:val="18"/>
    </w:rPr>
  </w:style>
  <w:style w:type="paragraph" w:styleId="1038" w:customStyle="1">
    <w:name w:val="xl23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9" w:customStyle="1">
    <w:name w:val="xl234"/>
    <w:basedOn w:val="1003"/>
    <w:pPr>
      <w:pBdr/>
      <w:spacing w:after="100" w:afterAutospacing="1" w:before="100" w:beforeAutospacing="1"/>
      <w:ind/>
      <w:jc w:val="center"/>
    </w:pPr>
  </w:style>
  <w:style w:type="paragraph" w:styleId="1040" w:customStyle="1">
    <w:name w:val="xl235"/>
    <w:basedOn w:val="1003"/>
    <w:pPr>
      <w:pBdr/>
      <w:spacing w:after="100" w:afterAutospacing="1" w:before="100" w:beforeAutospacing="1"/>
      <w:ind/>
      <w:jc w:val="center"/>
    </w:pPr>
    <w:rPr>
      <w:b/>
      <w:bCs/>
    </w:rPr>
  </w:style>
  <w:style w:type="paragraph" w:styleId="1041" w:customStyle="1">
    <w:name w:val="xl236"/>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2" w:customStyle="1">
    <w:name w:val="xl23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3" w:customStyle="1">
    <w:name w:val="xl238"/>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4" w:customStyle="1">
    <w:name w:val="xl23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5" w:customStyle="1">
    <w:name w:val="xl240"/>
    <w:basedOn w:val="1003"/>
    <w:pPr>
      <w:pBdr/>
      <w:spacing w:after="100" w:afterAutospacing="1" w:before="100" w:beforeAutospacing="1"/>
      <w:ind/>
    </w:pPr>
  </w:style>
  <w:style w:type="paragraph" w:styleId="1046" w:customStyle="1">
    <w:name w:val="xl241"/>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42"/>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8" w:customStyle="1">
    <w:name w:val="xl243"/>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9" w:customStyle="1">
    <w:name w:val="xl244"/>
    <w:basedOn w:val="1003"/>
    <w:pPr>
      <w:pBdr/>
      <w:spacing w:after="100" w:afterAutospacing="1" w:before="100" w:beforeAutospacing="1"/>
      <w:ind/>
    </w:pPr>
    <w:rPr>
      <w:b/>
      <w:bCs/>
    </w:rPr>
  </w:style>
  <w:style w:type="paragraph" w:styleId="1050" w:customStyle="1">
    <w:name w:val="xl245"/>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1" w:customStyle="1">
    <w:name w:val="xl24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2" w:customStyle="1">
    <w:name w:val="xl247"/>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3" w:customStyle="1">
    <w:name w:val="xl24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4" w:customStyle="1">
    <w:name w:val="xl24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5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5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5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3"/>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54"/>
    <w:basedOn w:val="100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55"/>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5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8"/>
    <w:basedOn w:val="100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0"/>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6" w:customStyle="1">
    <w:name w:val="xl261"/>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7" w:customStyle="1">
    <w:name w:val="xl262"/>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8" w:customStyle="1">
    <w:name w:val="xl263"/>
    <w:basedOn w:val="1003"/>
    <w:pPr>
      <w:pBdr/>
      <w:shd w:val="clear" w:color="000000" w:fill="ffffff"/>
      <w:spacing w:after="100" w:afterAutospacing="1" w:before="100" w:beforeAutospacing="1"/>
      <w:ind/>
    </w:pPr>
  </w:style>
  <w:style w:type="paragraph" w:styleId="1069" w:customStyle="1">
    <w:name w:val="xl264"/>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65"/>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6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6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68"/>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9"/>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7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71"/>
    <w:basedOn w:val="100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7" w:customStyle="1">
    <w:name w:val="xl27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73"/>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9" w:customStyle="1">
    <w:name w:val="xl274"/>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5"/>
    <w:basedOn w:val="1003"/>
    <w:pPr>
      <w:pBdr/>
      <w:spacing w:after="100" w:afterAutospacing="1" w:before="100" w:beforeAutospacing="1"/>
      <w:ind/>
    </w:pPr>
  </w:style>
  <w:style w:type="paragraph" w:styleId="1081" w:customStyle="1">
    <w:name w:val="xl27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77"/>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3" w:customStyle="1">
    <w:name w:val="xl27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7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8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8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8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8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4"/>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0" w:customStyle="1">
    <w:name w:val="xl285"/>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8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87"/>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8"/>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4" w:customStyle="1">
    <w:name w:val="xl289"/>
    <w:basedOn w:val="1003"/>
    <w:pPr>
      <w:pBdr>
        <w:left w:val="single" w:color="000000" w:sz="4" w:space="0"/>
        <w:right w:val="single" w:color="000000" w:sz="4" w:space="0"/>
      </w:pBdr>
      <w:spacing w:after="100" w:afterAutospacing="1" w:before="100" w:beforeAutospacing="1"/>
      <w:ind/>
    </w:pPr>
    <w:rPr>
      <w:b/>
      <w:bCs/>
    </w:rPr>
  </w:style>
  <w:style w:type="paragraph" w:styleId="1095" w:customStyle="1">
    <w:name w:val="xl29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6" w:customStyle="1">
    <w:name w:val="xl291"/>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7" w:customStyle="1">
    <w:name w:val="xl292"/>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93"/>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94"/>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name w:val="Title"/>
    <w:basedOn w:val="1003"/>
    <w:link w:val="1101"/>
    <w:qFormat/>
    <w:pPr>
      <w:pBdr/>
      <w:spacing/>
      <w:ind/>
      <w:jc w:val="center"/>
    </w:pPr>
    <w:rPr>
      <w:b/>
      <w:bCs/>
      <w:sz w:val="32"/>
      <w:szCs w:val="26"/>
    </w:rPr>
  </w:style>
  <w:style w:type="character" w:styleId="1101" w:customStyle="1">
    <w:name w:val="Title Char"/>
    <w:basedOn w:val="1008"/>
    <w:link w:val="1100"/>
    <w:pPr>
      <w:pBdr/>
      <w:spacing/>
      <w:ind/>
    </w:pPr>
    <w:rPr>
      <w:rFonts w:ascii="Times New Roman" w:hAnsi="Times New Roman" w:eastAsia="Times New Roman" w:cs="Times New Roman"/>
      <w:b/>
      <w:bCs/>
      <w:sz w:val="32"/>
      <w:szCs w:val="26"/>
    </w:rPr>
  </w:style>
  <w:style w:type="character" w:styleId="1102" w:customStyle="1">
    <w:name w:val="Unresolved Mention1"/>
    <w:basedOn w:val="1008"/>
    <w:uiPriority w:val="99"/>
    <w:semiHidden/>
    <w:unhideWhenUsed/>
    <w:pPr>
      <w:pBdr/>
      <w:spacing/>
      <w:ind/>
    </w:pPr>
    <w:rPr>
      <w:color w:val="605e5c"/>
      <w:shd w:val="clear" w:color="auto" w:fill="e1dfdd"/>
    </w:rPr>
  </w:style>
  <w:style w:type="character" w:styleId="1103" w:customStyle="1">
    <w:name w:val="Body text (3)_"/>
    <w:link w:val="1104"/>
    <w:pPr>
      <w:pBdr/>
      <w:spacing/>
      <w:ind/>
    </w:pPr>
    <w:rPr>
      <w:rFonts w:ascii="Times New Roman" w:hAnsi="Times New Roman" w:cs="Times New Roman"/>
      <w:i/>
      <w:iCs/>
      <w:spacing w:val="4"/>
      <w:shd w:val="clear" w:color="auto" w:fill="ffffff"/>
    </w:rPr>
  </w:style>
  <w:style w:type="paragraph" w:styleId="1104" w:customStyle="1">
    <w:name w:val="Body text (3)1"/>
    <w:basedOn w:val="1003"/>
    <w:link w:val="110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5" w:customStyle="1">
    <w:name w:val="t-j"/>
    <w:basedOn w:val="1003"/>
    <w:pPr>
      <w:pBdr/>
      <w:spacing w:after="100" w:afterAutospacing="1" w:before="100" w:beforeAutospacing="1"/>
      <w:ind/>
    </w:pPr>
  </w:style>
  <w:style w:type="character" w:styleId="1106" w:customStyle="1">
    <w:name w:val="Unresolved Mention2"/>
    <w:basedOn w:val="1008"/>
    <w:uiPriority w:val="99"/>
    <w:semiHidden/>
    <w:unhideWhenUsed/>
    <w:pPr>
      <w:pBdr/>
      <w:spacing/>
      <w:ind/>
    </w:pPr>
    <w:rPr>
      <w:color w:val="605e5c"/>
      <w:shd w:val="clear" w:color="auto" w:fill="e1dfdd"/>
    </w:rPr>
  </w:style>
  <w:style w:type="character" w:styleId="1107">
    <w:name w:val="FollowedHyperlink"/>
    <w:basedOn w:val="1008"/>
    <w:uiPriority w:val="99"/>
    <w:semiHidden/>
    <w:unhideWhenUsed/>
    <w:pPr>
      <w:pBdr/>
      <w:spacing/>
      <w:ind/>
    </w:pPr>
    <w:rPr>
      <w:color w:val="800080" w:themeColor="followedHyperlink"/>
      <w:u w:val="single"/>
    </w:rPr>
  </w:style>
  <w:style w:type="character" w:styleId="1108" w:customStyle="1">
    <w:name w:val="text"/>
    <w:basedOn w:val="1008"/>
    <w:pPr>
      <w:pBdr/>
      <w:spacing/>
      <w:ind/>
    </w:pPr>
  </w:style>
  <w:style w:type="character" w:styleId="1109" w:customStyle="1">
    <w:name w:val="card-send-time__sendtime"/>
    <w:basedOn w:val="1008"/>
    <w:pPr>
      <w:pBdr/>
      <w:spacing/>
      <w:ind/>
    </w:pPr>
  </w:style>
  <w:style w:type="character" w:styleId="1110" w:customStyle="1">
    <w:name w:val="Đề cập Chưa giải quyết1"/>
    <w:basedOn w:val="1008"/>
    <w:uiPriority w:val="99"/>
    <w:semiHidden/>
    <w:unhideWhenUsed/>
    <w:pPr>
      <w:pBdr/>
      <w:spacing/>
      <w:ind/>
    </w:pPr>
    <w:rPr>
      <w:color w:val="605e5c"/>
      <w:shd w:val="clear" w:color="auto" w:fill="e1dfdd"/>
    </w:rPr>
  </w:style>
  <w:style w:type="paragraph" w:styleId="1111" w:customStyle="1">
    <w:name w:val="nqtitle"/>
    <w:basedOn w:val="1003"/>
    <w:pPr>
      <w:pBdr/>
      <w:spacing w:after="100" w:afterAutospacing="1" w:before="100" w:beforeAutospacing="1"/>
      <w:ind/>
    </w:pPr>
    <w:rPr>
      <w:lang w:val="vi-VN" w:eastAsia="vi-VN"/>
    </w:rPr>
  </w:style>
  <w:style w:type="character" w:styleId="1112" w:customStyle="1">
    <w:name w:val="List Paragraph Char"/>
    <w:link w:val="1025"/>
    <w:uiPriority w:val="34"/>
    <w:qFormat/>
    <w:pPr>
      <w:pBdr/>
      <w:spacing/>
      <w:ind/>
    </w:pPr>
    <w:rPr>
      <w:rFonts w:ascii="Times New Roman" w:hAnsi="Times New Roman" w:eastAsia="Times New Roman" w:cs="Times New Roman"/>
      <w:sz w:val="24"/>
      <w:szCs w:val="24"/>
    </w:rPr>
  </w:style>
  <w:style w:type="character" w:styleId="1113" w:customStyle="1">
    <w:name w:val="Đề cập Chưa giải quyết2"/>
    <w:basedOn w:val="1008"/>
    <w:uiPriority w:val="99"/>
    <w:semiHidden/>
    <w:unhideWhenUsed/>
    <w:pPr>
      <w:pBdr/>
      <w:spacing/>
      <w:ind/>
    </w:pPr>
    <w:rPr>
      <w:color w:val="605e5c"/>
      <w:shd w:val="clear" w:color="auto" w:fill="e1dfdd"/>
    </w:rPr>
  </w:style>
  <w:style w:type="character" w:styleId="1114" w:customStyle="1">
    <w:name w:val="Unresolved Mention3"/>
    <w:basedOn w:val="1008"/>
    <w:uiPriority w:val="99"/>
    <w:semiHidden/>
    <w:unhideWhenUsed/>
    <w:pPr>
      <w:pBdr/>
      <w:spacing/>
      <w:ind/>
    </w:pPr>
    <w:rPr>
      <w:color w:val="605e5c"/>
      <w:shd w:val="clear" w:color="auto" w:fill="e1dfdd"/>
    </w:rPr>
  </w:style>
  <w:style w:type="character" w:styleId="1115" w:customStyle="1">
    <w:name w:val="copy"/>
    <w:basedOn w:val="1008"/>
    <w:pPr>
      <w:pBdr/>
      <w:spacing/>
      <w:ind/>
    </w:pPr>
  </w:style>
  <w:style w:type="paragraph" w:styleId="1116" w:customStyle="1">
    <w:name w:val="align-justify"/>
    <w:basedOn w:val="1003"/>
    <w:pPr>
      <w:pBdr/>
      <w:spacing w:after="100" w:afterAutospacing="1" w:before="100" w:beforeAutospacing="1"/>
      <w:ind/>
    </w:pPr>
  </w:style>
  <w:style w:type="character" w:styleId="1117" w:customStyle="1">
    <w:name w:val="btn"/>
    <w:basedOn w:val="1008"/>
    <w:pPr>
      <w:pBdr/>
      <w:spacing/>
      <w:ind/>
    </w:pPr>
  </w:style>
  <w:style w:type="character" w:styleId="1118" w:customStyle="1">
    <w:name w:val="hide_mobile"/>
    <w:basedOn w:val="1008"/>
    <w:pPr>
      <w:pBdr/>
      <w:spacing/>
      <w:ind/>
    </w:pPr>
  </w:style>
  <w:style w:type="character" w:styleId="1119">
    <w:name w:val="Emphasis"/>
    <w:basedOn w:val="1008"/>
    <w:uiPriority w:val="20"/>
    <w:qFormat/>
    <w:pPr>
      <w:pBdr/>
      <w:spacing/>
      <w:ind/>
    </w:pPr>
    <w:rPr>
      <w:i/>
      <w:iCs/>
    </w:rPr>
  </w:style>
  <w:style w:type="character" w:styleId="1120" w:customStyle="1">
    <w:name w:val="t1"/>
    <w:basedOn w:val="1008"/>
    <w:pPr>
      <w:pBdr/>
      <w:spacing/>
      <w:ind/>
    </w:pPr>
  </w:style>
  <w:style w:type="character" w:styleId="1121" w:customStyle="1">
    <w:name w:val="Unresolved Mention4"/>
    <w:basedOn w:val="1008"/>
    <w:uiPriority w:val="99"/>
    <w:semiHidden/>
    <w:unhideWhenUsed/>
    <w:pPr>
      <w:pBdr/>
      <w:spacing/>
      <w:ind/>
    </w:pPr>
    <w:rPr>
      <w:color w:val="605e5c"/>
      <w:shd w:val="clear" w:color="auto" w:fill="e1dfdd"/>
    </w:rPr>
  </w:style>
  <w:style w:type="character" w:styleId="1122">
    <w:name w:val="Unresolved Mention"/>
    <w:basedOn w:val="100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jpg"/><Relationship Id="rId33" Type="http://schemas.openxmlformats.org/officeDocument/2006/relationships/image" Target="media/image19.jpg"/><Relationship Id="rId34" Type="http://schemas.openxmlformats.org/officeDocument/2006/relationships/image" Target="media/image20.jpg"/><Relationship Id="rId35" Type="http://schemas.openxmlformats.org/officeDocument/2006/relationships/image" Target="media/image21.jpg"/><Relationship Id="rId36" Type="http://schemas.openxmlformats.org/officeDocument/2006/relationships/image" Target="media/image22.jpg"/><Relationship Id="rId37" Type="http://schemas.openxmlformats.org/officeDocument/2006/relationships/image" Target="media/image23.jpg"/><Relationship Id="rId38" Type="http://schemas.openxmlformats.org/officeDocument/2006/relationships/image" Target="media/image24.jpg"/><Relationship Id="rId39" Type="http://schemas.openxmlformats.org/officeDocument/2006/relationships/image" Target="media/image25.jpg"/><Relationship Id="rId40" Type="http://schemas.openxmlformats.org/officeDocument/2006/relationships/image" Target="media/image26.jpg"/><Relationship Id="rId41" Type="http://schemas.openxmlformats.org/officeDocument/2006/relationships/image" Target="media/image27.jpg"/><Relationship Id="rId42" Type="http://schemas.openxmlformats.org/officeDocument/2006/relationships/image" Target="media/image28.jpg"/><Relationship Id="rId43" Type="http://schemas.openxmlformats.org/officeDocument/2006/relationships/image" Target="media/image29.jpg"/><Relationship Id="rId44" Type="http://schemas.openxmlformats.org/officeDocument/2006/relationships/image" Target="media/image30.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Thùy</cp:lastModifiedBy>
  <cp:revision>281</cp:revision>
  <dcterms:created xsi:type="dcterms:W3CDTF">2025-09-15T09:58:00Z</dcterms:created>
  <dcterms:modified xsi:type="dcterms:W3CDTF">2026-09-04T03:43:47Z</dcterms:modified>
</cp:coreProperties>
</file>