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064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064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275/2026/1312/VFI-CT.T003.A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GIẢI PHÁP THI CÔNG SAKI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thuê trả tiền một lần có thời hạn đến ngày 31/12/2055 và công trình xây dựng trên đất theo giấy chứng nhận tại thửa đất số 116, tờ bản đồ số 214 có địa chỉ tại: Khu công nghiệp Sóng Thần 3, Phường Bình</w:t>
                            </w:r>
                            <w:r>
                              <w:rPr>
                                <w:color w:val="000000"/>
                              </w:rPr>
                              <w:t xml:space="preserve"> Dương, thành phố Hồ Chí Minh theo Giấy chứng nhận Quyền sử dụng đất, quyền sở hữu tài sản gắn liền với đất số AA 03312583, số vào sổ cấp GCN: VP 403 do Văn phòng Đăng ký đất đai tỉnh Bình Dương cấp ngày 21/08/2025 cho Công ty TNHH Giải pháp Thi công SAKI.</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275/2026/1312/VFI-CT.T003.A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GIẢI PHÁP THI CÔNG SAKI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thuê trả tiền một lần có thời hạn đến ngày 31/12/2055 và công trình xây dựng trên đất theo giấy chứng nhận tại thửa đất số 116, tờ bản đồ số 214 có địa chỉ tại: Khu công nghiệp Sóng Thần 3, Phường Bình</w:t>
                      </w:r>
                      <w:r>
                        <w:rPr>
                          <w:color w:val="000000"/>
                        </w:rPr>
                        <w:t xml:space="preserve"> Dương, thành phố Hồ Chí Minh theo Giấy chứng nhận Quyền sử dụng đất, quyền sở hữu tài sản gắn liền với đất số AA 03312583, số vào sổ cấp GCN: VP 403 do Văn phòng Đăng ký đất đai tỉnh Bình Dương cấp ngày 21/08/2025 cho Công ty TNHH Giải pháp Thi công SAKI.</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ff0000"/>
              </w:rPr>
            </w:pPr>
            <w:r>
              <w:rPr>
                <w:b/>
                <w:color w:val="ff0000"/>
              </w:rPr>
              <w:t xml:space="preserve">1-3</w:t>
            </w:r>
            <w:r>
              <w:rPr>
                <w:b/>
                <w:color w:val="ff0000"/>
              </w:rPr>
            </w:r>
            <w:r>
              <w:rPr>
                <w:b/>
                <w:color w:val="ff0000"/>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ff0000"/>
              </w:rPr>
            </w:pPr>
            <w:r>
              <w:rPr>
                <w:b/>
                <w:color w:val="ff0000"/>
              </w:rPr>
              <w:t xml:space="preserve">4-17</w:t>
            </w:r>
            <w:r>
              <w:rPr>
                <w:b/>
                <w:color w:val="ff0000"/>
              </w:rPr>
            </w:r>
            <w:r>
              <w:rPr>
                <w:b/>
                <w:color w:val="ff0000"/>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ff0000"/>
              </w:rPr>
            </w:pPr>
            <w:r>
              <w:rPr>
                <w:b/>
                <w:bCs/>
                <w:color w:val="ff0000"/>
              </w:rPr>
            </w:r>
            <w:r>
              <w:rPr>
                <w:b/>
                <w:bCs/>
                <w:color w:val="ff0000"/>
              </w:rPr>
            </w:r>
            <w:r>
              <w:rPr>
                <w:b/>
                <w:bCs/>
                <w:color w:val="ff0000"/>
              </w:rPr>
            </w:r>
          </w:p>
        </w:tc>
      </w:tr>
      <w:tr>
        <w:trPr/>
        <w:tc>
          <w:tcPr>
            <w:tcBorders/>
            <w:tcMar>
              <w:left w:w="108" w:type="dxa"/>
              <w:right w:w="108" w:type="dxa"/>
            </w:tcMar>
            <w:tcW w:w="7280" w:type="dxa"/>
            <w:vAlign w:val="center"/>
            <w:textDirection w:val="lrTb"/>
            <w:noWrap w:val="false"/>
          </w:tcPr>
          <w:p>
            <w:pPr>
              <w:pStyle w:val="106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ff0000"/>
              </w:rPr>
            </w:pPr>
            <w:r>
              <w:rPr>
                <w:b/>
                <w:bCs/>
                <w:color w:val="ff0000"/>
              </w:rPr>
              <w:t xml:space="preserve">18</w:t>
            </w:r>
            <w:r>
              <w:rPr>
                <w:b/>
                <w:bCs/>
                <w:color w:val="ff0000"/>
              </w:rPr>
            </w:r>
            <w:r>
              <w:rPr>
                <w:b/>
                <w:bCs/>
                <w:color w:val="ff0000"/>
              </w:rPr>
            </w:r>
          </w:p>
        </w:tc>
      </w:tr>
      <w:tr>
        <w:trPr/>
        <w:tc>
          <w:tcPr>
            <w:tcBorders/>
            <w:tcMar>
              <w:left w:w="108" w:type="dxa"/>
              <w:right w:w="108" w:type="dxa"/>
            </w:tcMar>
            <w:tcW w:w="7280" w:type="dxa"/>
            <w:vAlign w:val="center"/>
            <w:textDirection w:val="lrTb"/>
            <w:noWrap w:val="false"/>
          </w:tcPr>
          <w:p>
            <w:pPr>
              <w:pStyle w:val="106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ff0000"/>
              </w:rPr>
            </w:pPr>
            <w:r>
              <w:rPr>
                <w:b/>
                <w:bCs/>
                <w:color w:val="ff0000"/>
              </w:rPr>
              <w:t xml:space="preserve">19-22</w:t>
            </w:r>
            <w:r>
              <w:rPr>
                <w:b/>
                <w:bCs/>
                <w:color w:val="ff0000"/>
              </w:rPr>
            </w:r>
            <w:r>
              <w:rPr>
                <w:b/>
                <w:bCs/>
                <w:color w:val="ff0000"/>
              </w:rPr>
            </w:r>
          </w:p>
        </w:tc>
      </w:tr>
    </w:tbl>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6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28" w:type="dxa"/>
        <w:tblBorders/>
        <w:tblLayout w:type="fixed"/>
        <w:tblLook w:val="04A0" w:firstRow="1" w:lastRow="0" w:firstColumn="1" w:lastColumn="0" w:noHBand="0" w:noVBand="1"/>
      </w:tblPr>
      <w:tblGrid>
        <w:gridCol w:w="29"/>
        <w:gridCol w:w="2274"/>
        <w:gridCol w:w="7925"/>
      </w:tblGrid>
      <w:tr>
        <w:trPr>
          <w:trHeight w:val="1984"/>
        </w:trPr>
        <w:tc>
          <w:tcPr>
            <w:gridSpan w:val="2"/>
            <w:tcBorders/>
            <w:tcW w:w="2303" w:type="dxa"/>
            <w:textDirection w:val="lrTb"/>
            <w:noWrap w:val="false"/>
          </w:tcPr>
          <w:p>
            <w:pPr>
              <w:pBdr/>
              <w:spacing w:line="360" w:lineRule="auto"/>
              <w:ind w:right="4608" w:hanging="108" w:left="0"/>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92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5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60"/>
        </w:trPr>
        <w:tc>
          <w:tcPr>
            <w:gridSpan w:val="2"/>
            <w:shd w:val="clear" w:color="auto" w:fill="auto"/>
            <w:tcBorders/>
            <w:tcMar>
              <w:left w:w="108" w:type="dxa"/>
              <w:top w:w="0" w:type="dxa"/>
              <w:right w:w="108" w:type="dxa"/>
              <w:bottom w:w="0" w:type="dxa"/>
            </w:tcMar>
            <w:tcW w:w="10199" w:type="dxa"/>
            <w:textDirection w:val="lrTb"/>
            <w:noWrap w:val="false"/>
          </w:tcPr>
          <w:p>
            <w:pPr>
              <w:pStyle w:val="1064"/>
              <w:pBdr/>
              <w:spacing w:after="60"/>
              <w:ind/>
              <w:rPr>
                <w:color w:val="000000" w:themeColor="text1"/>
                <w:sz w:val="24"/>
                <w:szCs w:val="24"/>
              </w:rPr>
            </w:pPr>
            <w:r>
              <w:rPr>
                <w:rStyle w:val="1063"/>
                <w:rFonts w:ascii="Times New Roman" w:hAnsi="Times New Roman"/>
                <w:color w:val="000000" w:themeColor="text1"/>
                <w:lang w:val="pt-BR"/>
              </w:rPr>
              <w:t xml:space="preserve">Số: </w:t>
            </w:r>
            <w:r>
              <w:rPr>
                <w:rStyle w:val="1063"/>
                <w:rFonts w:ascii="Times New Roman" w:hAnsi="Times New Roman"/>
                <w:color w:val="000000" w:themeColor="text1"/>
                <w:lang w:val="pt-BR"/>
              </w:rPr>
              <w:t xml:space="preserve">275/2026/1312/VFI-CT.T003.A</w:t>
            </w:r>
            <w:r>
              <w:rPr>
                <w:color w:val="000000" w:themeColor="text1"/>
                <w:sz w:val="24"/>
                <w:szCs w:val="24"/>
              </w:rPr>
            </w:r>
            <w:r>
              <w:rPr>
                <w:color w:val="000000" w:themeColor="text1"/>
                <w:sz w:val="24"/>
                <w:szCs w:val="24"/>
              </w:rPr>
            </w:r>
          </w:p>
          <w:p>
            <w:pPr>
              <w:pStyle w:val="1064"/>
              <w:pBdr/>
              <w:spacing w:after="60"/>
              <w:ind w:right="-56"/>
              <w:jc w:val="right"/>
              <w:rPr>
                <w:color w:val="000000" w:themeColor="text1"/>
                <w:sz w:val="24"/>
                <w:szCs w:val="24"/>
                <w:lang w:val="vi-VN"/>
              </w:rPr>
            </w:pPr>
            <w:r>
              <w:rPr>
                <w:rStyle w:val="1063"/>
                <w:rFonts w:ascii="Times New Roman" w:hAnsi="Times New Roman"/>
                <w:i/>
                <w:color w:val="auto"/>
              </w:rPr>
              <w:t xml:space="preserve">TP. Hà Nội</w:t>
            </w:r>
            <w:r>
              <w:rPr>
                <w:rStyle w:val="1063"/>
                <w:rFonts w:ascii="Times New Roman" w:hAnsi="Times New Roman"/>
                <w:i/>
                <w:color w:val="auto"/>
                <w:lang w:val="vi-VN"/>
              </w:rPr>
              <w:t xml:space="preserve">, </w:t>
            </w:r>
            <w:r>
              <w:rPr>
                <w:rStyle w:val="1063"/>
                <w:rFonts w:ascii="Times New Roman" w:hAnsi="Times New Roman"/>
                <w:i/>
                <w:color w:val="000000" w:themeColor="text1"/>
                <w:lang w:val="vi-VN"/>
              </w:rPr>
              <w:t xml:space="preserve">ngày 20 tháng 8 năm 2026</w:t>
            </w:r>
            <w:r>
              <w:rPr>
                <w:color w:val="000000" w:themeColor="text1"/>
                <w:sz w:val="24"/>
                <w:szCs w:val="24"/>
                <w:lang w:val="vi-VN"/>
              </w:rPr>
            </w:r>
            <w:r>
              <w:rPr>
                <w:color w:val="000000" w:themeColor="text1"/>
                <w:sz w:val="24"/>
                <w:szCs w:val="24"/>
                <w:lang w:val="vi-VN"/>
              </w:rPr>
            </w:r>
          </w:p>
        </w:tc>
      </w:tr>
    </w:tbl>
    <w:p>
      <w:pPr>
        <w:pStyle w:val="1064"/>
        <w:pBdr/>
        <w:spacing w:after="120" w:before="200" w:line="288" w:lineRule="auto"/>
        <w:ind/>
        <w:jc w:val="center"/>
        <w:rPr>
          <w:rStyle w:val="1063"/>
          <w:rFonts w:ascii="Times New Roman" w:hAnsi="Times New Roman"/>
          <w:b/>
          <w:bCs/>
          <w:color w:val="auto"/>
          <w:sz w:val="30"/>
          <w:szCs w:val="30"/>
          <w:lang w:val="vi-VN"/>
        </w:rPr>
      </w:pPr>
      <w:r>
        <w:rPr>
          <w:rStyle w:val="1063"/>
          <w:rFonts w:ascii="Times New Roman" w:hAnsi="Times New Roman"/>
          <w:b/>
          <w:bCs/>
          <w:color w:val="auto"/>
          <w:sz w:val="30"/>
          <w:szCs w:val="30"/>
          <w:lang w:val="vi-VN"/>
        </w:rPr>
        <w:t xml:space="preserve">CHỨNG THƯ THẨM ĐỊNH GIÁ</w:t>
      </w:r>
      <w:r>
        <w:rPr>
          <w:rStyle w:val="1063"/>
          <w:rFonts w:ascii="Times New Roman" w:hAnsi="Times New Roman"/>
          <w:b/>
          <w:bCs/>
          <w:color w:val="auto"/>
          <w:sz w:val="30"/>
          <w:szCs w:val="30"/>
          <w:lang w:val="vi-VN"/>
        </w:rPr>
      </w:r>
      <w:r>
        <w:rPr>
          <w:rStyle w:val="106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GIẢI PHÁP THI CÔNG SAKI</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275/2026/1312/VFI-HĐTĐ.T003.A</w:t>
      </w:r>
      <w:r>
        <w:rPr>
          <w:spacing w:val="-4"/>
          <w:lang w:val="vi-VN"/>
        </w:rPr>
        <w:t xml:space="preserve"> ký ngày </w:t>
      </w:r>
      <w:r>
        <w:rPr>
          <w:color w:val="000000" w:themeColor="text1"/>
          <w:spacing w:val="-4"/>
        </w:rPr>
        <w:t xml:space="preserve">20 tháng 8 năm 2026</w:t>
      </w:r>
      <w:r>
        <w:rPr>
          <w:spacing w:val="-4"/>
          <w:lang w:val="vi-VN"/>
        </w:rPr>
        <w:t xml:space="preserve"> </w:t>
      </w:r>
      <w:r>
        <w:rPr>
          <w:spacing w:val="-4"/>
          <w:lang w:val="vi-VN"/>
        </w:rPr>
        <w:t xml:space="preserve">giữa </w:t>
      </w:r>
      <w:r>
        <w:rPr>
          <w:color w:val="000000" w:themeColor="text1"/>
          <w:spacing w:val="-4"/>
        </w:rPr>
        <w:t xml:space="preserve">CÔNG TY TNHH GIẢI PHÁP THI CÔNG SAKI</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275/2026/1312/VFI-BC.T003.A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CÔNG TY TNHH GIẢI PHÁP THI CÔNG SAKI</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3702500295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b/>
                <w:color w:val="000000"/>
                <w:sz w:val="24"/>
              </w:rPr>
              <w:t xml:space="preserve">Ông Đan Đình Lương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b/>
                <w:color w:val="000000"/>
                <w:sz w:val="24"/>
              </w:rPr>
              <w:t xml:space="preserve">Giám đốc</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color w:val="000000"/>
                <w:sz w:val="24"/>
              </w:rPr>
              <w:t xml:space="preserve">Lô CN13, Ô 1 - 2, Đường D1, Khu công nghiệp Sóng Thần 3, phường Bình Dương, thành phố Hồ Chí Minh</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b/>
        </w:rPr>
        <w:t xml:space="preserve"> </w:t>
      </w:r>
      <w:r>
        <w:rPr>
          <w:color w:val="000000"/>
        </w:rPr>
        <w:t xml:space="preserve">Quyền sử dụng đất thuê trả tiền một lần có thời hạn đến ngày 31/12/2055 và công trình xây dựng trên đất theo giấy chứng nhận tại thửa đất số 116, tờ bản đồ số 214 có địa chỉ tại: Khu công nghiệp Sóng Thần 3, Phường Bình</w:t>
      </w:r>
      <w:r>
        <w:rPr>
          <w:color w:val="000000"/>
        </w:rPr>
        <w:t xml:space="preserve"> Dương, thành phố Hồ Chí Minh theo Giấy chứng nhận Quyền sử dụng đất, quyền sở hữu tài sản gắn liền với đất số AA 03312583, số vào sổ cấp GCN: VP 403 do Văn phòng Đăng ký đất đai tỉnh Bình Dương cấp ngày 21/08/2025 cho Công ty TNHH Giải pháp Thi công SAKI.</w:t>
      </w:r>
      <w:r>
        <w:rPr>
          <w:bCs/>
          <w:i/>
          <w:iCs/>
        </w:rPr>
        <w:t xml:space="preserve">.</w:t>
      </w:r>
      <w:r/>
      <w:r>
        <w:rPr>
          <w:b/>
          <w:bCs/>
          <w:lang w:val="vi-VN"/>
        </w:rPr>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rPr>
          <w:b/>
          <w:bCs/>
          <w:highlight w:val="none"/>
          <w:lang w:val="vi-VN"/>
        </w:rPr>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850"/>
        <w:gridCol w:w="3260"/>
        <w:gridCol w:w="1872"/>
        <w:gridCol w:w="3373"/>
        <w:gridCol w:w="2524"/>
        <w:gridCol w:w="2693"/>
      </w:tblGrid>
      <w:tr>
        <w:trPr>
          <w:trHeight w:val="20"/>
        </w:trPr>
        <w:tc>
          <w:tcPr>
            <w:shd w:val="clear" w:color="000000" w:fill="ffffff"/>
            <w:tcBorders/>
            <w:tcW w:w="850" w:type="dxa"/>
            <w:vAlign w:val="center"/>
            <w:textDirection w:val="lrTb"/>
            <w:noWrap w:val="false"/>
          </w:tcPr>
          <w:p>
            <w:pPr>
              <w:pBdr/>
              <w:spacing w:after="40" w:before="40" w:line="288" w:lineRule="auto"/>
              <w:ind/>
              <w:jc w:val="center"/>
              <w:rPr>
                <w:b/>
                <w:bCs/>
                <w:sz w:val="24"/>
                <w:szCs w:val="24"/>
              </w:rPr>
            </w:pPr>
            <w:r>
              <w:rPr>
                <w:b/>
                <w:bCs/>
                <w:sz w:val="24"/>
                <w:szCs w:val="24"/>
              </w:rPr>
              <w:t xml:space="preserve">TT</w:t>
            </w:r>
            <w:r>
              <w:rPr>
                <w:b/>
                <w:bCs/>
                <w:sz w:val="24"/>
                <w:szCs w:val="24"/>
              </w:rPr>
            </w:r>
            <w:r>
              <w:rPr>
                <w:b/>
                <w:bCs/>
                <w:sz w:val="24"/>
                <w:szCs w:val="24"/>
              </w:rPr>
            </w:r>
          </w:p>
        </w:tc>
        <w:tc>
          <w:tcPr>
            <w:shd w:val="clear" w:color="000000" w:fill="ffffff"/>
            <w:tcBorders/>
            <w:tcW w:w="3260" w:type="dxa"/>
            <w:vAlign w:val="center"/>
            <w:textDirection w:val="lrTb"/>
            <w:noWrap w:val="false"/>
          </w:tcPr>
          <w:p>
            <w:pPr>
              <w:pBdr/>
              <w:spacing w:after="40" w:before="40" w:line="288" w:lineRule="auto"/>
              <w:ind/>
              <w:jc w:val="center"/>
              <w:rPr>
                <w:b/>
                <w:bCs/>
                <w:sz w:val="24"/>
                <w:szCs w:val="24"/>
              </w:rPr>
            </w:pPr>
            <w:r>
              <w:rPr>
                <w:b/>
                <w:bCs/>
                <w:sz w:val="24"/>
                <w:szCs w:val="24"/>
              </w:rPr>
              <w:t xml:space="preserve">Tài sản</w:t>
            </w:r>
            <w:r>
              <w:rPr>
                <w:b/>
                <w:bCs/>
                <w:sz w:val="24"/>
                <w:szCs w:val="24"/>
              </w:rPr>
            </w:r>
            <w:r>
              <w:rPr>
                <w:b/>
                <w:bCs/>
                <w:sz w:val="24"/>
                <w:szCs w:val="24"/>
              </w:rPr>
            </w:r>
          </w:p>
        </w:tc>
        <w:tc>
          <w:tcPr>
            <w:shd w:val="clear" w:color="000000" w:fill="ffffff"/>
            <w:tcBorders/>
            <w:tcW w:w="1872" w:type="dxa"/>
            <w:vAlign w:val="center"/>
            <w:textDirection w:val="lrTb"/>
            <w:noWrap w:val="false"/>
          </w:tcPr>
          <w:p>
            <w:pPr>
              <w:pBdr/>
              <w:spacing w:after="40" w:before="40" w:line="288" w:lineRule="auto"/>
              <w:ind/>
              <w:jc w:val="center"/>
              <w:rPr>
                <w:b/>
                <w:bCs/>
                <w:sz w:val="24"/>
                <w:szCs w:val="24"/>
              </w:rPr>
            </w:pPr>
            <w:r>
              <w:rPr>
                <w:b/>
                <w:bCs/>
                <w:sz w:val="24"/>
                <w:szCs w:val="24"/>
              </w:rPr>
              <w:t xml:space="preserve">Diện tích (m²)</w:t>
            </w:r>
            <w:r>
              <w:rPr>
                <w:b/>
                <w:bCs/>
                <w:sz w:val="24"/>
                <w:szCs w:val="24"/>
              </w:rPr>
            </w:r>
            <w:r>
              <w:rPr>
                <w:b/>
                <w:bCs/>
                <w:sz w:val="24"/>
                <w:szCs w:val="24"/>
              </w:rPr>
            </w:r>
          </w:p>
        </w:tc>
        <w:tc>
          <w:tcPr>
            <w:shd w:val="clear" w:color="000000" w:fill="ffffff"/>
            <w:tcBorders/>
            <w:tcW w:w="3373" w:type="dxa"/>
            <w:vAlign w:val="center"/>
            <w:textDirection w:val="lrTb"/>
            <w:noWrap w:val="false"/>
          </w:tcPr>
          <w:p>
            <w:pPr>
              <w:pBdr/>
              <w:spacing w:after="40" w:before="40" w:line="288" w:lineRule="auto"/>
              <w:ind/>
              <w:jc w:val="center"/>
              <w:rPr>
                <w:b/>
                <w:bCs/>
                <w:sz w:val="24"/>
                <w:szCs w:val="24"/>
              </w:rPr>
            </w:pPr>
            <w:r>
              <w:rPr>
                <w:b/>
                <w:bCs/>
                <w:sz w:val="24"/>
                <w:szCs w:val="24"/>
              </w:rPr>
              <w:t xml:space="preserve">Đơn giá (đồng/m²)</w:t>
            </w:r>
            <w:r>
              <w:rPr>
                <w:b/>
                <w:bCs/>
                <w:sz w:val="24"/>
                <w:szCs w:val="24"/>
              </w:rPr>
            </w:r>
            <w:r>
              <w:rPr>
                <w:b/>
                <w:bCs/>
                <w:sz w:val="24"/>
                <w:szCs w:val="24"/>
              </w:rPr>
            </w:r>
          </w:p>
        </w:tc>
        <w:tc>
          <w:tcPr>
            <w:shd w:val="clear" w:color="000000" w:fill="ffffff"/>
            <w:tcBorders/>
            <w:tcW w:w="2524" w:type="dxa"/>
            <w:vAlign w:val="center"/>
            <w:textDirection w:val="lrTb"/>
            <w:noWrap w:val="false"/>
          </w:tcPr>
          <w:p>
            <w:pPr>
              <w:pBdr/>
              <w:spacing/>
              <w:ind/>
              <w:rPr>
                <w:b/>
                <w:bCs/>
                <w:sz w:val="24"/>
                <w:szCs w:val="24"/>
              </w:rPr>
            </w:pPr>
            <w:r>
              <w:rPr>
                <w:b/>
                <w:bCs/>
                <w:sz w:val="24"/>
                <w:szCs w:val="24"/>
              </w:rPr>
              <w:t xml:space="preserve">Hệ số / CLCL (%) </w:t>
            </w:r>
            <w:r>
              <w:rPr>
                <w:b/>
                <w:bCs/>
                <w:sz w:val="24"/>
                <w:szCs w:val="24"/>
              </w:rPr>
            </w:r>
            <w:r>
              <w:rPr>
                <w:b/>
                <w:bCs/>
                <w:sz w:val="24"/>
                <w:szCs w:val="24"/>
              </w:rPr>
            </w:r>
          </w:p>
        </w:tc>
        <w:tc>
          <w:tcPr>
            <w:shd w:val="clear" w:color="000000" w:fill="ffffff"/>
            <w:tcBorders/>
            <w:tcW w:w="2693" w:type="dxa"/>
            <w:vAlign w:val="center"/>
            <w:textDirection w:val="lrTb"/>
            <w:noWrap w:val="false"/>
          </w:tcPr>
          <w:p>
            <w:pPr>
              <w:pBdr/>
              <w:spacing w:after="40" w:before="40" w:line="288" w:lineRule="auto"/>
              <w:ind/>
              <w:jc w:val="center"/>
              <w:rPr>
                <w:b/>
                <w:bCs/>
                <w:sz w:val="24"/>
                <w:szCs w:val="24"/>
              </w:rPr>
            </w:pPr>
            <w:r>
              <w:rPr>
                <w:b/>
                <w:bCs/>
                <w:sz w:val="24"/>
                <w:szCs w:val="24"/>
              </w:rPr>
              <w:t xml:space="preserve">Thành tiền (đồng)</w:t>
            </w:r>
            <w:r>
              <w:rPr>
                <w:b/>
                <w:bCs/>
                <w:sz w:val="24"/>
                <w:szCs w:val="24"/>
              </w:rPr>
            </w:r>
            <w:r>
              <w:rPr>
                <w:b/>
                <w:bCs/>
                <w:sz w:val="24"/>
                <w:szCs w:val="24"/>
              </w:rPr>
            </w:r>
          </w:p>
        </w:tc>
      </w:tr>
      <w:tr>
        <w:trPr>
          <w:trHeight w:val="20"/>
        </w:trPr>
        <w:tc>
          <w:tcPr>
            <w:shd w:val="clear" w:color="000000" w:fill="ffffff"/>
            <w:tcBorders/>
            <w:tcW w:w="850" w:type="dxa"/>
            <w:vAlign w:val="center"/>
            <w:textDirection w:val="lrTb"/>
            <w:noWrap w:val="false"/>
          </w:tcPr>
          <w:p>
            <w:pPr>
              <w:pBdr/>
              <w:spacing w:after="40" w:before="40" w:line="288" w:lineRule="auto"/>
              <w:ind/>
              <w:jc w:val="center"/>
              <w:rPr>
                <w:b/>
                <w:bCs/>
                <w:sz w:val="24"/>
                <w:szCs w:val="24"/>
              </w:rPr>
            </w:pPr>
            <w:r>
              <w:rPr>
                <w:b/>
                <w:bCs/>
                <w:sz w:val="24"/>
                <w:szCs w:val="24"/>
              </w:rPr>
              <w:t xml:space="preserve"> </w:t>
            </w:r>
            <w:r>
              <w:rPr>
                <w:b/>
                <w:bCs/>
                <w:sz w:val="24"/>
                <w:szCs w:val="24"/>
              </w:rPr>
            </w:r>
            <w:r>
              <w:rPr>
                <w:b/>
                <w:bCs/>
                <w:sz w:val="24"/>
                <w:szCs w:val="24"/>
              </w:rPr>
            </w:r>
          </w:p>
        </w:tc>
        <w:tc>
          <w:tcPr>
            <w:gridSpan w:val="4"/>
            <w:shd w:val="clear" w:color="000000" w:fill="ffffff"/>
            <w:tcBorders/>
            <w:tcW w:w="11028" w:type="dxa"/>
            <w:vAlign w:val="center"/>
            <w:textDirection w:val="lrTb"/>
            <w:noWrap w:val="false"/>
          </w:tcPr>
          <w:p>
            <w:pPr>
              <w:pBdr/>
              <w:spacing w:after="40" w:before="40" w:line="288" w:lineRule="auto"/>
              <w:ind/>
              <w:jc w:val="both"/>
              <w:rPr>
                <w:b/>
                <w:bCs/>
                <w:sz w:val="24"/>
                <w:szCs w:val="24"/>
              </w:rPr>
            </w:pPr>
            <w:r>
              <w:rPr>
                <w:color w:val="000000"/>
                <w:sz w:val="24"/>
                <w:szCs w:val="24"/>
              </w:rPr>
              <w:t xml:space="preserve">Quyền sử dụng đất thuê trả tiền một lần có thời hạn đến ngày 31/12/2055 và công trình xây dựng trên đất theo giấy chứng nhận tại thửa đất số 116, tờ bản đồ số 214 có địa chỉ tại: Khu công nghiệp Sóng Thần 3, Phường Bình</w:t>
            </w:r>
            <w:r>
              <w:rPr>
                <w:color w:val="000000"/>
                <w:sz w:val="24"/>
                <w:szCs w:val="24"/>
              </w:rPr>
              <w:t xml:space="preserve"> Dương, thành phố Hồ Chí Minh theo Giấy chứng nhận Quyền sử dụng đất, quyền sở hữu tài sản gắn liền với đất số AA 03312583, số vào sổ cấp GCN: VP 403 do Văn phòng Đăng ký đất đai tỉnh Bình Dương cấp ngày 21/08/2025 cho Công ty TNHH Giải pháp Thi công SAKI.</w:t>
            </w:r>
            <w:r>
              <w:rPr>
                <w:b/>
                <w:bCs/>
                <w:sz w:val="24"/>
                <w:szCs w:val="24"/>
              </w:rPr>
              <w:t xml:space="preserve">.</w:t>
            </w:r>
            <w:r>
              <w:rPr>
                <w:b/>
                <w:bCs/>
                <w:sz w:val="24"/>
                <w:szCs w:val="24"/>
              </w:rPr>
            </w:r>
            <w:r>
              <w:rPr>
                <w:b/>
                <w:bCs/>
                <w:sz w:val="24"/>
                <w:szCs w:val="24"/>
              </w:rPr>
            </w:r>
          </w:p>
        </w:tc>
        <w:tc>
          <w:tcPr>
            <w:shd w:val="clear" w:color="000000" w:fill="ffffff"/>
            <w:tcBorders/>
            <w:tcW w:w="2693" w:type="dxa"/>
            <w:vAlign w:val="center"/>
            <w:textDirection w:val="lrTb"/>
            <w:noWrap w:val="false"/>
          </w:tcPr>
          <w:p>
            <w:pPr>
              <w:pBdr/>
              <w:spacing w:after="40" w:before="40" w:line="288" w:lineRule="auto"/>
              <w:ind/>
              <w:jc w:val="right"/>
              <w:rPr>
                <w:b/>
                <w:bCs/>
                <w:sz w:val="24"/>
                <w:szCs w:val="24"/>
              </w:rPr>
            </w:pPr>
            <w:r>
              <w:rPr>
                <w:b/>
                <w:bCs/>
                <w:sz w:val="24"/>
                <w:szCs w:val="24"/>
              </w:rPr>
              <w:t xml:space="preserve"> </w:t>
            </w:r>
            <w:r>
              <w:rPr>
                <w:b/>
                <w:bCs/>
                <w:sz w:val="24"/>
                <w:szCs w:val="24"/>
              </w:rPr>
            </w:r>
            <w:r>
              <w:rPr>
                <w:b/>
                <w:bCs/>
                <w:sz w:val="24"/>
                <w:szCs w:val="24"/>
              </w:rPr>
            </w:r>
          </w:p>
        </w:tc>
      </w:tr>
      <w:tr>
        <w:trPr>
          <w:trHeight w:val="20"/>
        </w:trPr>
        <w:tc>
          <w:tcPr>
            <w:shd w:val="clear" w:color="000000" w:fill="ffffff"/>
            <w:tcBorders/>
            <w:tcW w:w="850" w:type="dxa"/>
            <w:vAlign w:val="center"/>
            <w:textDirection w:val="lrTb"/>
            <w:noWrap w:val="false"/>
          </w:tcPr>
          <w:p>
            <w:pPr>
              <w:pBdr/>
              <w:spacing w:after="40" w:before="40" w:line="288" w:lineRule="auto"/>
              <w:ind/>
              <w:jc w:val="center"/>
              <w:rPr>
                <w:sz w:val="24"/>
                <w:szCs w:val="24"/>
              </w:rPr>
            </w:pPr>
            <w:r>
              <w:rPr>
                <w:b/>
                <w:bCs/>
                <w:sz w:val="24"/>
                <w:szCs w:val="24"/>
              </w:rPr>
              <w:t xml:space="preserve">1</w:t>
            </w:r>
            <w:r>
              <w:rPr>
                <w:sz w:val="24"/>
                <w:szCs w:val="24"/>
              </w:rPr>
            </w:r>
            <w:r>
              <w:rPr>
                <w:sz w:val="24"/>
                <w:szCs w:val="24"/>
              </w:rPr>
            </w:r>
          </w:p>
        </w:tc>
        <w:tc>
          <w:tcPr>
            <w:shd w:val="clear" w:color="000000" w:fill="ffffff"/>
            <w:tcBorders/>
            <w:tcW w:w="3260" w:type="dxa"/>
            <w:vAlign w:val="center"/>
            <w:textDirection w:val="lrTb"/>
            <w:noWrap w:val="false"/>
          </w:tcPr>
          <w:p>
            <w:pPr>
              <w:pBdr/>
              <w:spacing w:after="40" w:before="40" w:line="288" w:lineRule="auto"/>
              <w:ind/>
              <w:rPr>
                <w:sz w:val="24"/>
                <w:szCs w:val="24"/>
              </w:rPr>
            </w:pPr>
            <w:r>
              <w:rPr>
                <w:b/>
                <w:bCs/>
                <w:sz w:val="24"/>
                <w:szCs w:val="24"/>
              </w:rPr>
              <w:t xml:space="preserve">Đất khu công nghiệp ( SKK)</w:t>
            </w:r>
            <w:r>
              <w:rPr>
                <w:sz w:val="24"/>
                <w:szCs w:val="24"/>
              </w:rPr>
            </w:r>
            <w:r>
              <w:rPr>
                <w:sz w:val="24"/>
                <w:szCs w:val="24"/>
              </w:rPr>
            </w:r>
          </w:p>
        </w:tc>
        <w:tc>
          <w:tcPr>
            <w:tcBorders/>
            <w:tcW w:w="1872" w:type="dxa"/>
            <w:vAlign w:val="center"/>
            <w:textDirection w:val="lrTb"/>
            <w:noWrap/>
          </w:tcPr>
          <w:p>
            <w:pPr>
              <w:pBdr/>
              <w:spacing w:after="40" w:before="40" w:line="288" w:lineRule="auto"/>
              <w:ind/>
              <w:jc w:val="center"/>
              <w:rPr>
                <w:color w:val="000000"/>
                <w:sz w:val="24"/>
                <w:szCs w:val="24"/>
              </w:rPr>
            </w:pPr>
            <w:r>
              <w:rPr>
                <w:color w:val="000000" w:themeColor="text1"/>
                <w:sz w:val="24"/>
                <w:szCs w:val="24"/>
              </w:rPr>
              <w:t xml:space="preserve">30959,7</w:t>
            </w:r>
            <w:r>
              <w:rPr>
                <w:color w:val="000000"/>
                <w:sz w:val="24"/>
                <w:szCs w:val="24"/>
              </w:rPr>
            </w:r>
            <w:r>
              <w:rPr>
                <w:color w:val="000000"/>
                <w:sz w:val="24"/>
                <w:szCs w:val="24"/>
              </w:rPr>
            </w:r>
          </w:p>
        </w:tc>
        <w:tc>
          <w:tcPr>
            <w:shd w:val="clear" w:color="000000" w:fill="ffffff"/>
            <w:tcBorders/>
            <w:tcW w:w="3373" w:type="dxa"/>
            <w:vAlign w:val="center"/>
            <w:textDirection w:val="lrTb"/>
            <w:noWrap w:val="false"/>
          </w:tcPr>
          <w:p>
            <w:pPr>
              <w:pBdr/>
              <w:spacing w:after="40" w:before="40" w:line="288" w:lineRule="auto"/>
              <w:ind/>
              <w:jc w:val="center"/>
              <w:rPr>
                <w:sz w:val="24"/>
                <w:szCs w:val="24"/>
              </w:rPr>
            </w:pPr>
            <w:r>
              <w:rPr>
                <w:color w:val="000000" w:themeColor="text1"/>
                <w:sz w:val="24"/>
                <w:szCs w:val="24"/>
              </w:rPr>
              <w:t xml:space="preserve">6.500.000</w:t>
            </w:r>
            <w:r>
              <w:rPr>
                <w:sz w:val="24"/>
                <w:szCs w:val="24"/>
              </w:rPr>
            </w:r>
            <w:r>
              <w:rPr>
                <w:sz w:val="24"/>
                <w:szCs w:val="24"/>
              </w:rPr>
            </w:r>
          </w:p>
        </w:tc>
        <w:tc>
          <w:tcPr>
            <w:shd w:val="clear" w:color="000000" w:fill="ffffff"/>
            <w:tcBorders/>
            <w:tcW w:w="2524" w:type="dxa"/>
            <w:vAlign w:val="center"/>
            <w:textDirection w:val="lrTb"/>
            <w:noWrap w:val="false"/>
          </w:tcPr>
          <w:p>
            <w:pPr>
              <w:pBdr/>
              <w:spacing/>
              <w:ind/>
              <w:rPr>
                <w:color w:val="000000" w:themeColor="text1"/>
                <w:sz w:val="24"/>
                <w:szCs w:val="24"/>
              </w:rPr>
            </w:pPr>
            <w:r>
              <w:rPr>
                <w:color w:val="000000" w:themeColor="text1"/>
                <w:sz w:val="24"/>
                <w:szCs w:val="24"/>
              </w:rPr>
              <w:t xml:space="preserve">100%</w:t>
            </w:r>
            <w:r>
              <w:rPr>
                <w:color w:val="000000" w:themeColor="text1"/>
                <w:sz w:val="24"/>
                <w:szCs w:val="24"/>
              </w:rPr>
            </w:r>
            <w:r>
              <w:rPr>
                <w:color w:val="000000" w:themeColor="text1"/>
                <w:sz w:val="24"/>
                <w:szCs w:val="24"/>
              </w:rPr>
            </w:r>
          </w:p>
        </w:tc>
        <w:tc>
          <w:tcPr>
            <w:shd w:val="clear" w:color="000000" w:fill="ffffff"/>
            <w:tcBorders/>
            <w:tcW w:w="2693" w:type="dxa"/>
            <w:vAlign w:val="center"/>
            <w:textDirection w:val="lrTb"/>
            <w:noWrap w:val="false"/>
          </w:tcPr>
          <w:p>
            <w:pPr>
              <w:pBdr/>
              <w:spacing w:after="40" w:before="40" w:line="288" w:lineRule="auto"/>
              <w:ind/>
              <w:jc w:val="center"/>
              <w:rPr>
                <w:sz w:val="24"/>
                <w:szCs w:val="24"/>
              </w:rPr>
            </w:pPr>
            <w:r>
              <w:rPr>
                <w:color w:val="000000" w:themeColor="text1"/>
                <w:sz w:val="24"/>
                <w:szCs w:val="24"/>
              </w:rPr>
              <w:t xml:space="preserve">201.238.050.000</w:t>
            </w:r>
            <w:r>
              <w:rPr>
                <w:sz w:val="24"/>
                <w:szCs w:val="24"/>
              </w:rPr>
            </w:r>
            <w:r>
              <w:rPr>
                <w:sz w:val="24"/>
                <w:szCs w:val="24"/>
              </w:rPr>
            </w:r>
          </w:p>
        </w:tc>
      </w:tr>
      <w:tr>
        <w:trPr>
          <w:trHeight w:val="20"/>
        </w:trPr>
        <w:tc>
          <w:tcPr>
            <w:shd w:val="clear" w:color="000000" w:fill="ffffff"/>
            <w:tcBorders/>
            <w:tcW w:w="850" w:type="dxa"/>
            <w:vAlign w:val="center"/>
            <w:vMerge w:val="restart"/>
            <w:textDirection w:val="lrTb"/>
            <w:noWrap w:val="false"/>
          </w:tcPr>
          <w:p>
            <w:pPr>
              <w:pBdr/>
              <w:spacing w:after="40" w:before="40" w:line="288" w:lineRule="auto"/>
              <w:ind/>
              <w:jc w:val="center"/>
              <w:rPr>
                <w:b/>
                <w:bCs/>
                <w:sz w:val="24"/>
                <w:szCs w:val="24"/>
              </w:rPr>
            </w:pPr>
            <w:r>
              <w:rPr>
                <w:b/>
                <w:bCs/>
                <w:sz w:val="24"/>
                <w:szCs w:val="24"/>
              </w:rPr>
              <w:t xml:space="preserve">2 </w:t>
            </w:r>
            <w:r>
              <w:rPr>
                <w:b/>
                <w:bCs/>
                <w:sz w:val="24"/>
                <w:szCs w:val="24"/>
              </w:rPr>
            </w:r>
            <w:r>
              <w:rPr>
                <w:b/>
                <w:bCs/>
                <w:sz w:val="24"/>
                <w:szCs w:val="24"/>
              </w:rPr>
            </w:r>
          </w:p>
        </w:tc>
        <w:tc>
          <w:tcPr>
            <w:shd w:val="clear" w:color="000000" w:fill="ffffff"/>
            <w:tcBorders/>
            <w:tcW w:w="3260" w:type="dxa"/>
            <w:vAlign w:val="center"/>
            <w:vMerge w:val="restart"/>
            <w:textDirection w:val="lrTb"/>
            <w:noWrap w:val="false"/>
          </w:tcPr>
          <w:p>
            <w:pPr>
              <w:pBdr/>
              <w:spacing w:after="40" w:before="40" w:line="288" w:lineRule="auto"/>
              <w:ind/>
              <w:rPr>
                <w:b/>
                <w:bCs/>
                <w:sz w:val="24"/>
                <w:szCs w:val="24"/>
              </w:rPr>
            </w:pPr>
            <w:r>
              <w:rPr>
                <w:b/>
                <w:bCs/>
                <w:sz w:val="24"/>
                <w:szCs w:val="24"/>
              </w:rPr>
              <w:t xml:space="preserve">Công trình xây dựng trên đất </w:t>
            </w:r>
            <w:r>
              <w:rPr>
                <w:b/>
                <w:bCs/>
                <w:sz w:val="24"/>
                <w:szCs w:val="24"/>
              </w:rPr>
            </w:r>
            <w:r>
              <w:rPr>
                <w:b/>
                <w:bCs/>
                <w:sz w:val="24"/>
                <w:szCs w:val="24"/>
              </w:rPr>
            </w:r>
          </w:p>
        </w:tc>
        <w:tc>
          <w:tcPr>
            <w:gridSpan w:val="4"/>
            <w:tcBorders/>
            <w:tcW w:w="10461" w:type="dxa"/>
            <w:vAlign w:val="center"/>
            <w:vMerge w:val="restart"/>
            <w:textDirection w:val="lrTb"/>
            <w:noWrap/>
          </w:tcPr>
          <w:p>
            <w:pPr>
              <w:pBdr/>
              <w:spacing w:after="40" w:before="40" w:line="288" w:lineRule="auto"/>
              <w:ind/>
              <w:jc w:val="center"/>
              <w:rPr>
                <w:color w:val="000000" w:themeColor="text1"/>
                <w:sz w:val="24"/>
                <w:szCs w:val="24"/>
              </w:rPr>
            </w:pPr>
            <w:r>
              <w:rPr>
                <w:color w:val="000000" w:themeColor="text1"/>
                <w:sz w:val="24"/>
                <w:szCs w:val="24"/>
              </w:rPr>
            </w:r>
            <w:r>
              <w:rPr>
                <w:color w:val="000000" w:themeColor="text1"/>
                <w:sz w:val="24"/>
                <w:szCs w:val="24"/>
              </w:rPr>
            </w:r>
            <w:r>
              <w:rPr>
                <w:color w:val="000000" w:themeColor="text1"/>
                <w:sz w:val="24"/>
                <w:szCs w:val="24"/>
              </w:rPr>
            </w:r>
          </w:p>
        </w:tc>
      </w:tr>
      <w:tr>
        <w:trPr>
          <w:trHeight w:val="20"/>
        </w:trPr>
        <w:tc>
          <w:tcPr>
            <w:shd w:val="clear" w:color="000000" w:fill="ffffff"/>
            <w:tcBorders/>
            <w:tcW w:w="850" w:type="dxa"/>
            <w:vAlign w:val="center"/>
            <w:textDirection w:val="lrTb"/>
            <w:noWrap w:val="false"/>
          </w:tcPr>
          <w:p>
            <w:pPr>
              <w:pBdr/>
              <w:spacing w:after="40" w:before="40" w:line="288" w:lineRule="auto"/>
              <w:ind/>
              <w:jc w:val="center"/>
              <w:rPr>
                <w:sz w:val="24"/>
                <w:szCs w:val="24"/>
              </w:rPr>
            </w:pPr>
            <w:r>
              <w:rPr>
                <w:b/>
                <w:bCs/>
                <w:sz w:val="24"/>
                <w:szCs w:val="24"/>
              </w:rPr>
              <w:t xml:space="preserve">-</w:t>
            </w:r>
            <w:r>
              <w:rPr>
                <w:sz w:val="24"/>
                <w:szCs w:val="24"/>
              </w:rPr>
            </w:r>
            <w:r>
              <w:rPr>
                <w:sz w:val="24"/>
                <w:szCs w:val="24"/>
              </w:rPr>
            </w:r>
          </w:p>
        </w:tc>
        <w:tc>
          <w:tcPr>
            <w:shd w:val="clear" w:color="000000" w:fill="ffffff"/>
            <w:tcBorders/>
            <w:tcW w:w="3260" w:type="dxa"/>
            <w:vAlign w:val="center"/>
            <w:textDirection w:val="lrTb"/>
            <w:noWrap w:val="false"/>
          </w:tcPr>
          <w:p>
            <w:pPr>
              <w:pBdr/>
              <w:spacing w:after="40" w:before="40" w:line="288" w:lineRule="auto"/>
              <w:ind/>
              <w:rPr>
                <w:sz w:val="24"/>
                <w:szCs w:val="24"/>
              </w:rPr>
            </w:pPr>
            <w:r>
              <w:rPr>
                <w:b/>
                <w:bCs/>
                <w:sz w:val="24"/>
                <w:szCs w:val="24"/>
              </w:rPr>
              <w:t xml:space="preserve">Nhà Xưởng 2</w:t>
            </w:r>
            <w:r>
              <w:rPr>
                <w:sz w:val="24"/>
                <w:szCs w:val="24"/>
              </w:rPr>
            </w:r>
            <w:r>
              <w:rPr>
                <w:sz w:val="24"/>
                <w:szCs w:val="24"/>
              </w:rPr>
            </w:r>
          </w:p>
        </w:tc>
        <w:tc>
          <w:tcPr>
            <w:tcBorders/>
            <w:tcW w:w="1872" w:type="dxa"/>
            <w:vAlign w:val="center"/>
            <w:textDirection w:val="lrTb"/>
            <w:noWrap/>
          </w:tcPr>
          <w:p>
            <w:pPr>
              <w:pBdr/>
              <w:spacing w:after="40" w:before="40" w:line="288" w:lineRule="auto"/>
              <w:ind/>
              <w:jc w:val="center"/>
              <w:rPr>
                <w:color w:val="000000"/>
                <w:sz w:val="24"/>
                <w:szCs w:val="24"/>
              </w:rPr>
            </w:pPr>
            <w:r>
              <w:rPr>
                <w:color w:val="000000" w:themeColor="text1"/>
                <w:sz w:val="24"/>
                <w:szCs w:val="24"/>
              </w:rPr>
              <w:t xml:space="preserve">4650</w:t>
            </w:r>
            <w:r>
              <w:rPr>
                <w:color w:val="000000"/>
                <w:sz w:val="24"/>
                <w:szCs w:val="24"/>
              </w:rPr>
            </w:r>
            <w:r>
              <w:rPr>
                <w:color w:val="000000"/>
                <w:sz w:val="24"/>
                <w:szCs w:val="24"/>
              </w:rPr>
            </w:r>
          </w:p>
        </w:tc>
        <w:tc>
          <w:tcPr>
            <w:shd w:val="clear" w:color="000000" w:fill="ffffff"/>
            <w:tcBorders/>
            <w:tcW w:w="33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3.240.000</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shd w:val="clear" w:color="000000" w:fill="ffffff"/>
            <w:tcBorders/>
            <w:tcW w:w="2524" w:type="dxa"/>
            <w:vAlign w:val="center"/>
            <w:textDirection w:val="lrTb"/>
            <w:noWrap w:val="false"/>
          </w:tcPr>
          <w:p>
            <w:pPr>
              <w:pBdr/>
              <w:spacing/>
              <w:ind/>
              <w:rPr>
                <w:color w:val="000000" w:themeColor="text1"/>
                <w:sz w:val="24"/>
                <w:szCs w:val="24"/>
              </w:rPr>
            </w:pPr>
            <w:r>
              <w:rPr>
                <w:color w:val="000000" w:themeColor="text1"/>
                <w:sz w:val="24"/>
                <w:szCs w:val="24"/>
              </w:rPr>
              <w:t xml:space="preserve">65%</w:t>
            </w:r>
            <w:r>
              <w:rPr>
                <w:color w:val="000000" w:themeColor="text1"/>
                <w:sz w:val="24"/>
                <w:szCs w:val="24"/>
              </w:rPr>
            </w:r>
            <w:r>
              <w:rPr>
                <w:color w:val="000000" w:themeColor="text1"/>
                <w:sz w:val="24"/>
                <w:szCs w:val="24"/>
              </w:rPr>
            </w:r>
          </w:p>
        </w:tc>
        <w:tc>
          <w:tcPr>
            <w:shd w:val="clear" w:color="000000" w:fill="ffffff"/>
            <w:tcBorders/>
            <w:tcW w:w="2693"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    9.792.900.000 </w:t>
            </w:r>
            <w:r>
              <w:rPr>
                <w:sz w:val="24"/>
                <w:szCs w:val="24"/>
              </w:rPr>
            </w:r>
            <w:r>
              <w:rPr>
                <w:sz w:val="24"/>
                <w:szCs w:val="24"/>
              </w:rPr>
            </w:r>
          </w:p>
        </w:tc>
      </w:tr>
      <w:tr>
        <w:trPr>
          <w:trHeight w:val="20"/>
        </w:trPr>
        <w:tc>
          <w:tcPr>
            <w:shd w:val="clear" w:color="000000" w:fill="ffffff"/>
            <w:tcBorders/>
            <w:tcW w:w="850" w:type="dxa"/>
            <w:vAlign w:val="center"/>
            <w:textDirection w:val="lrTb"/>
            <w:noWrap w:val="false"/>
          </w:tcPr>
          <w:p>
            <w:pPr>
              <w:pBdr/>
              <w:spacing w:after="40" w:before="40" w:line="288" w:lineRule="auto"/>
              <w:ind/>
              <w:jc w:val="center"/>
              <w:rPr>
                <w:sz w:val="24"/>
                <w:szCs w:val="24"/>
              </w:rPr>
            </w:pPr>
            <w:r>
              <w:rPr>
                <w:b/>
                <w:bCs/>
                <w:sz w:val="24"/>
                <w:szCs w:val="24"/>
              </w:rPr>
              <w:t xml:space="preserve">-</w:t>
            </w:r>
            <w:r>
              <w:rPr>
                <w:sz w:val="24"/>
                <w:szCs w:val="24"/>
              </w:rPr>
            </w:r>
            <w:r>
              <w:rPr>
                <w:sz w:val="24"/>
                <w:szCs w:val="24"/>
              </w:rPr>
            </w:r>
          </w:p>
        </w:tc>
        <w:tc>
          <w:tcPr>
            <w:shd w:val="clear" w:color="000000" w:fill="ffffff"/>
            <w:tcBorders/>
            <w:tcW w:w="3260" w:type="dxa"/>
            <w:vAlign w:val="center"/>
            <w:textDirection w:val="lrTb"/>
            <w:noWrap w:val="false"/>
          </w:tcPr>
          <w:p>
            <w:pPr>
              <w:pBdr/>
              <w:spacing w:after="40" w:before="40" w:line="288" w:lineRule="auto"/>
              <w:ind/>
              <w:rPr>
                <w:sz w:val="24"/>
                <w:szCs w:val="24"/>
              </w:rPr>
            </w:pPr>
            <w:r>
              <w:rPr>
                <w:b/>
                <w:bCs/>
                <w:sz w:val="24"/>
                <w:szCs w:val="24"/>
              </w:rPr>
              <w:t xml:space="preserve">Nhà xưởng 3</w:t>
            </w:r>
            <w:r>
              <w:rPr>
                <w:sz w:val="24"/>
                <w:szCs w:val="24"/>
              </w:rPr>
            </w:r>
            <w:r>
              <w:rPr>
                <w:sz w:val="24"/>
                <w:szCs w:val="24"/>
              </w:rPr>
            </w:r>
          </w:p>
        </w:tc>
        <w:tc>
          <w:tcPr>
            <w:tcBorders/>
            <w:tcW w:w="1872" w:type="dxa"/>
            <w:vAlign w:val="center"/>
            <w:textDirection w:val="lrTb"/>
            <w:noWrap/>
          </w:tcPr>
          <w:p>
            <w:pPr>
              <w:pBdr/>
              <w:spacing w:after="40" w:before="40" w:line="288" w:lineRule="auto"/>
              <w:ind/>
              <w:jc w:val="center"/>
              <w:rPr>
                <w:color w:val="000000"/>
                <w:sz w:val="24"/>
                <w:szCs w:val="24"/>
              </w:rPr>
            </w:pPr>
            <w:r>
              <w:rPr>
                <w:color w:val="000000" w:themeColor="text1"/>
                <w:sz w:val="24"/>
                <w:szCs w:val="24"/>
              </w:rPr>
              <w:t xml:space="preserve">1680</w:t>
            </w:r>
            <w:r>
              <w:rPr>
                <w:color w:val="000000"/>
                <w:sz w:val="24"/>
                <w:szCs w:val="24"/>
              </w:rPr>
            </w:r>
            <w:r>
              <w:rPr>
                <w:color w:val="000000"/>
                <w:sz w:val="24"/>
                <w:szCs w:val="24"/>
              </w:rPr>
            </w:r>
          </w:p>
        </w:tc>
        <w:tc>
          <w:tcPr>
            <w:shd w:val="clear" w:color="000000" w:fill="ffffff"/>
            <w:tcBorders/>
            <w:tcW w:w="33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3.240.000</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shd w:val="clear" w:color="000000" w:fill="ffffff"/>
            <w:tcBorders/>
            <w:tcW w:w="2524" w:type="dxa"/>
            <w:vAlign w:val="center"/>
            <w:textDirection w:val="lrTb"/>
            <w:noWrap w:val="false"/>
          </w:tcPr>
          <w:p>
            <w:pPr>
              <w:pBdr/>
              <w:spacing/>
              <w:ind/>
              <w:rPr>
                <w:color w:val="000000" w:themeColor="text1"/>
                <w:sz w:val="24"/>
                <w:szCs w:val="24"/>
              </w:rPr>
            </w:pPr>
            <w:r>
              <w:rPr>
                <w:color w:val="000000" w:themeColor="text1"/>
                <w:sz w:val="24"/>
                <w:szCs w:val="24"/>
              </w:rPr>
              <w:t xml:space="preserve">65%</w:t>
            </w:r>
            <w:r>
              <w:rPr>
                <w:color w:val="000000" w:themeColor="text1"/>
                <w:sz w:val="24"/>
                <w:szCs w:val="24"/>
              </w:rPr>
            </w:r>
            <w:r>
              <w:rPr>
                <w:color w:val="000000" w:themeColor="text1"/>
                <w:sz w:val="24"/>
                <w:szCs w:val="24"/>
              </w:rPr>
            </w:r>
          </w:p>
        </w:tc>
        <w:tc>
          <w:tcPr>
            <w:shd w:val="clear" w:color="000000" w:fill="ffffff"/>
            <w:tcBorders/>
            <w:tcW w:w="2693"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    3.538.080000 </w:t>
            </w:r>
            <w:r>
              <w:rPr>
                <w:sz w:val="24"/>
                <w:szCs w:val="24"/>
              </w:rPr>
            </w:r>
            <w:r>
              <w:rPr>
                <w:sz w:val="24"/>
                <w:szCs w:val="24"/>
              </w:rPr>
            </w:r>
          </w:p>
        </w:tc>
      </w:tr>
      <w:tr>
        <w:trPr>
          <w:trHeight w:val="20"/>
        </w:trPr>
        <w:tc>
          <w:tcPr>
            <w:shd w:val="clear" w:color="000000" w:fill="ffffff"/>
            <w:tcBorders/>
            <w:tcW w:w="850" w:type="dxa"/>
            <w:vAlign w:val="center"/>
            <w:textDirection w:val="lrTb"/>
            <w:noWrap w:val="false"/>
          </w:tcPr>
          <w:p>
            <w:pPr>
              <w:pBdr/>
              <w:spacing w:after="40" w:before="40" w:line="288" w:lineRule="auto"/>
              <w:ind/>
              <w:jc w:val="center"/>
              <w:rPr>
                <w:sz w:val="24"/>
                <w:szCs w:val="24"/>
              </w:rPr>
            </w:pPr>
            <w:r>
              <w:rPr>
                <w:b/>
                <w:bCs/>
                <w:sz w:val="24"/>
                <w:szCs w:val="24"/>
              </w:rPr>
              <w:t xml:space="preserve">-</w:t>
            </w:r>
            <w:r>
              <w:rPr>
                <w:sz w:val="24"/>
                <w:szCs w:val="24"/>
              </w:rPr>
            </w:r>
            <w:r>
              <w:rPr>
                <w:sz w:val="24"/>
                <w:szCs w:val="24"/>
              </w:rPr>
            </w:r>
          </w:p>
        </w:tc>
        <w:tc>
          <w:tcPr>
            <w:shd w:val="clear" w:color="000000" w:fill="ffffff"/>
            <w:tcBorders/>
            <w:tcW w:w="3260" w:type="dxa"/>
            <w:vAlign w:val="center"/>
            <w:textDirection w:val="lrTb"/>
            <w:noWrap w:val="false"/>
          </w:tcPr>
          <w:p>
            <w:pPr>
              <w:pBdr/>
              <w:spacing w:after="40" w:before="40" w:line="288" w:lineRule="auto"/>
              <w:ind/>
              <w:rPr>
                <w:sz w:val="24"/>
                <w:szCs w:val="24"/>
              </w:rPr>
            </w:pPr>
            <w:r>
              <w:rPr>
                <w:b/>
                <w:bCs/>
                <w:sz w:val="24"/>
                <w:szCs w:val="24"/>
              </w:rPr>
              <w:t xml:space="preserve">Nhà văn phòng</w:t>
            </w:r>
            <w:r>
              <w:rPr>
                <w:sz w:val="24"/>
                <w:szCs w:val="24"/>
              </w:rPr>
            </w:r>
            <w:r>
              <w:rPr>
                <w:sz w:val="24"/>
                <w:szCs w:val="24"/>
              </w:rPr>
            </w:r>
          </w:p>
        </w:tc>
        <w:tc>
          <w:tcPr>
            <w:tcBorders/>
            <w:tcW w:w="1872" w:type="dxa"/>
            <w:vAlign w:val="center"/>
            <w:textDirection w:val="lrTb"/>
            <w:noWrap/>
          </w:tcPr>
          <w:p>
            <w:pPr>
              <w:pBdr/>
              <w:spacing w:after="40" w:before="40" w:line="288" w:lineRule="auto"/>
              <w:ind/>
              <w:jc w:val="center"/>
              <w:rPr>
                <w:color w:val="000000"/>
                <w:sz w:val="24"/>
                <w:szCs w:val="24"/>
              </w:rPr>
            </w:pPr>
            <w:r>
              <w:rPr>
                <w:color w:val="000000" w:themeColor="text1"/>
                <w:sz w:val="24"/>
                <w:szCs w:val="24"/>
              </w:rPr>
              <w:t xml:space="preserve">738,3</w:t>
            </w:r>
            <w:r>
              <w:rPr>
                <w:color w:val="000000"/>
                <w:sz w:val="24"/>
                <w:szCs w:val="24"/>
              </w:rPr>
            </w:r>
            <w:r>
              <w:rPr>
                <w:color w:val="000000"/>
                <w:sz w:val="24"/>
                <w:szCs w:val="24"/>
              </w:rPr>
            </w:r>
          </w:p>
        </w:tc>
        <w:tc>
          <w:tcPr>
            <w:shd w:val="clear" w:color="000000" w:fill="ffffff"/>
            <w:tcBorders/>
            <w:tcW w:w="33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6.985.000</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shd w:val="clear" w:color="000000" w:fill="ffffff"/>
            <w:tcBorders/>
            <w:tcW w:w="2524" w:type="dxa"/>
            <w:vAlign w:val="center"/>
            <w:textDirection w:val="lrTb"/>
            <w:noWrap w:val="false"/>
          </w:tcPr>
          <w:p>
            <w:pPr>
              <w:pBdr/>
              <w:spacing/>
              <w:ind/>
              <w:rPr>
                <w:color w:val="000000" w:themeColor="text1"/>
                <w:sz w:val="24"/>
                <w:szCs w:val="24"/>
              </w:rPr>
            </w:pPr>
            <w:r>
              <w:rPr>
                <w:color w:val="000000" w:themeColor="text1"/>
                <w:sz w:val="24"/>
                <w:szCs w:val="24"/>
              </w:rPr>
              <w:t xml:space="preserve">71%</w:t>
            </w:r>
            <w:r>
              <w:rPr>
                <w:color w:val="000000" w:themeColor="text1"/>
                <w:sz w:val="24"/>
                <w:szCs w:val="24"/>
              </w:rPr>
            </w:r>
            <w:r>
              <w:rPr>
                <w:color w:val="000000" w:themeColor="text1"/>
                <w:sz w:val="24"/>
                <w:szCs w:val="24"/>
              </w:rPr>
            </w:r>
          </w:p>
        </w:tc>
        <w:tc>
          <w:tcPr>
            <w:shd w:val="clear" w:color="000000" w:fill="ffffff"/>
            <w:tcBorders/>
            <w:tcW w:w="2693"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    3.661.488.105 </w:t>
            </w:r>
            <w:r>
              <w:rPr>
                <w:sz w:val="24"/>
                <w:szCs w:val="24"/>
              </w:rPr>
            </w:r>
            <w:r>
              <w:rPr>
                <w:sz w:val="24"/>
                <w:szCs w:val="24"/>
              </w:rPr>
            </w:r>
          </w:p>
        </w:tc>
      </w:tr>
      <w:tr>
        <w:trPr>
          <w:trHeight w:val="20"/>
        </w:trPr>
        <w:tc>
          <w:tcPr>
            <w:gridSpan w:val="4"/>
            <w:tcBorders/>
            <w:tcW w:w="9354" w:type="dxa"/>
            <w:vAlign w:val="center"/>
            <w:textDirection w:val="lrTb"/>
            <w:noWrap/>
          </w:tcPr>
          <w:p>
            <w:pPr>
              <w:pBdr/>
              <w:spacing w:after="40" w:before="40" w:line="288" w:lineRule="auto"/>
              <w:ind/>
              <w:jc w:val="center"/>
              <w:rPr>
                <w:b/>
                <w:bCs/>
                <w:color w:val="000000"/>
                <w:sz w:val="24"/>
                <w:szCs w:val="24"/>
              </w:rPr>
            </w:pPr>
            <w:r>
              <w:rPr>
                <w:b/>
                <w:bCs/>
                <w:color w:val="000000"/>
                <w:sz w:val="24"/>
                <w:szCs w:val="24"/>
              </w:rPr>
              <w:t xml:space="preserve">TỔNG CỘNG</w:t>
            </w:r>
            <w:r>
              <w:rPr>
                <w:b/>
                <w:bCs/>
                <w:color w:val="000000"/>
                <w:sz w:val="24"/>
                <w:szCs w:val="24"/>
              </w:rPr>
            </w:r>
            <w:r>
              <w:rPr>
                <w:b/>
                <w:bCs/>
                <w:color w:val="000000"/>
                <w:sz w:val="24"/>
                <w:szCs w:val="24"/>
              </w:rPr>
            </w:r>
          </w:p>
        </w:tc>
        <w:tc>
          <w:tcPr>
            <w:tcBorders/>
            <w:tcW w:w="2524" w:type="dxa"/>
            <w:vAlign w:val="center"/>
            <w:textDirection w:val="lrTb"/>
            <w:noWrap/>
          </w:tcPr>
          <w:p>
            <w:pPr>
              <w:pBdr/>
              <w:spacing/>
              <w:ind/>
              <w:rPr>
                <w:sz w:val="24"/>
                <w:szCs w:val="24"/>
              </w:rPr>
            </w:pPr>
            <w:r>
              <w:rPr>
                <w:sz w:val="24"/>
                <w:szCs w:val="24"/>
              </w:rPr>
            </w:r>
            <w:r>
              <w:rPr>
                <w:sz w:val="24"/>
                <w:szCs w:val="24"/>
              </w:rPr>
            </w:r>
            <w:r>
              <w:rPr>
                <w:sz w:val="24"/>
                <w:szCs w:val="24"/>
              </w:rPr>
            </w:r>
          </w:p>
        </w:tc>
        <w:tc>
          <w:tcPr>
            <w:tcBorders/>
            <w:tcW w:w="2693" w:type="dxa"/>
            <w:vAlign w:val="center"/>
            <w:textDirection w:val="lrTb"/>
            <w:noWrap/>
          </w:tcPr>
          <w:p>
            <w:pPr>
              <w:pBdr/>
              <w:spacing w:after="40" w:before="40" w:line="288" w:lineRule="auto"/>
              <w:ind/>
              <w:jc w:val="center"/>
              <w:rPr>
                <w:b/>
                <w:bCs/>
                <w:color w:val="000000"/>
                <w:sz w:val="24"/>
                <w:szCs w:val="24"/>
              </w:rPr>
            </w:pPr>
            <w:r>
              <w:rPr>
                <w:b/>
                <w:bCs/>
                <w:sz w:val="24"/>
                <w:szCs w:val="24"/>
              </w:rPr>
              <w:t xml:space="preserve">218.230.518.105</w:t>
            </w:r>
            <w:r>
              <w:rPr>
                <w:b/>
                <w:bCs/>
                <w:color w:val="000000"/>
                <w:sz w:val="24"/>
                <w:szCs w:val="24"/>
              </w:rPr>
            </w:r>
            <w:r>
              <w:rPr>
                <w:b/>
                <w:bCs/>
                <w:color w:val="000000"/>
                <w:sz w:val="24"/>
                <w:szCs w:val="24"/>
              </w:rPr>
            </w:r>
          </w:p>
        </w:tc>
      </w:tr>
      <w:tr>
        <w:trPr>
          <w:trHeight w:val="20"/>
        </w:trPr>
        <w:tc>
          <w:tcPr>
            <w:gridSpan w:val="4"/>
            <w:tcBorders/>
            <w:tcW w:w="9354" w:type="dxa"/>
            <w:vAlign w:val="center"/>
            <w:textDirection w:val="lrTb"/>
            <w:noWrap/>
          </w:tcPr>
          <w:p>
            <w:pPr>
              <w:pBdr/>
              <w:spacing w:after="40" w:before="40" w:line="288" w:lineRule="auto"/>
              <w:ind/>
              <w:jc w:val="center"/>
              <w:rPr>
                <w:b/>
                <w:bCs/>
                <w:color w:val="000000"/>
                <w:sz w:val="24"/>
                <w:szCs w:val="24"/>
              </w:rPr>
            </w:pPr>
            <w:r>
              <w:rPr>
                <w:b/>
                <w:bCs/>
                <w:color w:val="000000"/>
                <w:sz w:val="24"/>
                <w:szCs w:val="24"/>
              </w:rPr>
              <w:t xml:space="preserve">LÀM TRÒN</w:t>
            </w:r>
            <w:r>
              <w:rPr>
                <w:b/>
                <w:bCs/>
                <w:color w:val="000000"/>
                <w:sz w:val="24"/>
                <w:szCs w:val="24"/>
              </w:rPr>
            </w:r>
            <w:r>
              <w:rPr>
                <w:b/>
                <w:bCs/>
                <w:color w:val="000000"/>
                <w:sz w:val="24"/>
                <w:szCs w:val="24"/>
              </w:rPr>
            </w:r>
          </w:p>
        </w:tc>
        <w:tc>
          <w:tcPr>
            <w:tcBorders/>
            <w:tcW w:w="2524" w:type="dxa"/>
            <w:vAlign w:val="center"/>
            <w:textDirection w:val="lrTb"/>
            <w:noWrap/>
          </w:tcPr>
          <w:p>
            <w:pPr>
              <w:pBdr/>
              <w:spacing/>
              <w:ind/>
              <w:rPr>
                <w:b/>
                <w:bCs/>
                <w:color w:val="000000"/>
                <w:sz w:val="24"/>
                <w:szCs w:val="24"/>
              </w:rPr>
            </w:pPr>
            <w:r>
              <w:rPr>
                <w:b/>
                <w:bCs/>
                <w:color w:val="000000"/>
                <w:sz w:val="24"/>
                <w:szCs w:val="24"/>
              </w:rPr>
            </w:r>
            <w:r>
              <w:rPr>
                <w:b/>
                <w:bCs/>
                <w:color w:val="000000"/>
                <w:sz w:val="24"/>
                <w:szCs w:val="24"/>
              </w:rPr>
            </w:r>
            <w:r>
              <w:rPr>
                <w:b/>
                <w:bCs/>
                <w:color w:val="000000"/>
                <w:sz w:val="24"/>
                <w:szCs w:val="24"/>
              </w:rPr>
            </w:r>
          </w:p>
        </w:tc>
        <w:tc>
          <w:tcPr>
            <w:tcBorders/>
            <w:tcW w:w="2693" w:type="dxa"/>
            <w:vAlign w:val="center"/>
            <w:textDirection w:val="lrTb"/>
            <w:noWrap/>
          </w:tcPr>
          <w:p>
            <w:pPr>
              <w:pBdr/>
              <w:spacing w:after="40" w:before="40" w:line="288" w:lineRule="auto"/>
              <w:ind/>
              <w:jc w:val="center"/>
              <w:rPr>
                <w:b/>
                <w:bCs/>
                <w:color w:val="000000"/>
                <w:sz w:val="24"/>
                <w:szCs w:val="24"/>
              </w:rPr>
            </w:pPr>
            <w:r>
              <w:rPr>
                <w:b/>
                <w:bCs/>
                <w:color w:val="000000"/>
                <w:sz w:val="24"/>
                <w:szCs w:val="24"/>
              </w:rPr>
              <w:t xml:space="preserve">218.230.500.000</w:t>
            </w:r>
            <w:r>
              <w:rPr>
                <w:b/>
                <w:bCs/>
                <w:color w:val="000000"/>
                <w:sz w:val="24"/>
                <w:szCs w:val="24"/>
              </w:rPr>
            </w:r>
            <w:r>
              <w:rPr>
                <w:b/>
                <w:bCs/>
                <w:color w:val="000000"/>
                <w:sz w:val="24"/>
                <w:szCs w:val="24"/>
              </w:rPr>
            </w:r>
          </w:p>
        </w:tc>
      </w:tr>
      <w:tr>
        <w:trPr>
          <w:trHeight w:val="20"/>
        </w:trPr>
        <w:tc>
          <w:tcPr>
            <w:gridSpan w:val="6"/>
            <w:tcBorders/>
            <w:tcW w:w="14571" w:type="dxa"/>
            <w:vAlign w:val="center"/>
            <w:textDirection w:val="lrTb"/>
            <w:noWrap w:val="false"/>
          </w:tcPr>
          <w:p>
            <w:pPr>
              <w:pBdr/>
              <w:spacing w:after="40" w:before="40" w:line="288" w:lineRule="auto"/>
              <w:ind/>
              <w:jc w:val="center"/>
              <w:rPr>
                <w:b/>
                <w:bCs/>
                <w:i/>
                <w:iCs/>
                <w:color w:val="000000"/>
                <w:sz w:val="24"/>
                <w:szCs w:val="24"/>
              </w:rPr>
            </w:pPr>
            <w:r>
              <w:rPr>
                <w:b/>
                <w:bCs/>
                <w:i/>
                <w:iCs/>
                <w:color w:val="000000"/>
                <w:sz w:val="24"/>
                <w:szCs w:val="24"/>
              </w:rPr>
              <w:t xml:space="preserve">(Bằng chữ: </w:t>
            </w:r>
            <w:r>
              <w:rPr>
                <w:b/>
                <w:bCs/>
                <w:i/>
                <w:iCs/>
                <w:color w:val="000000"/>
                <w:sz w:val="24"/>
                <w:szCs w:val="24"/>
              </w:rPr>
              <w:t xml:space="preserve">Hai trăm mười tám tỷ hai trăm ba mươi  triệu năm trăm nghìn</w:t>
            </w:r>
            <w:r>
              <w:rPr>
                <w:b/>
                <w:bCs/>
                <w:i/>
                <w:iCs/>
                <w:color w:val="000000"/>
                <w:sz w:val="24"/>
                <w:szCs w:val="24"/>
              </w:rPr>
              <w:t xml:space="preserve">./.)</w:t>
            </w:r>
            <w:r>
              <w:rPr>
                <w:b/>
                <w:bCs/>
                <w:i/>
                <w:iCs/>
                <w:color w:val="000000"/>
                <w:sz w:val="24"/>
                <w:szCs w:val="24"/>
              </w:rPr>
            </w:r>
            <w:r>
              <w:rPr>
                <w:b/>
                <w:bCs/>
                <w:i/>
                <w:iCs/>
                <w:color w:val="000000"/>
                <w:sz w:val="24"/>
                <w:szCs w:val="24"/>
              </w:rPr>
            </w:r>
          </w:p>
        </w:tc>
      </w:tr>
    </w:tbl>
    <w:p>
      <w:pPr>
        <w:pBdr/>
        <w:spacing w:after="120" w:before="120" w:line="312" w:lineRule="auto"/>
        <w:ind/>
        <w:jc w:val="both"/>
        <w:rPr>
          <w:b/>
          <w:bCs/>
          <w:highlight w:val="none"/>
          <w:lang w:val="vi-VN"/>
        </w:rPr>
      </w:pPr>
      <w:r>
        <w:rPr>
          <w:b/>
          <w:bCs/>
          <w:lang w:val="vi-VN"/>
        </w:rPr>
        <w:t xml:space="preserve">10. Thời hạn hiệu lực của kết quả thẩm định giá:</w:t>
      </w:r>
      <w:r>
        <w:rPr>
          <w:b/>
          <w:bCs/>
          <w:highlight w:val="none"/>
          <w:lang w:val="vi-VN"/>
        </w:rPr>
      </w:r>
      <w:r>
        <w:rPr>
          <w:b/>
          <w:bCs/>
          <w:highlight w:val="none"/>
          <w:lang w:val="vi-VN"/>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370" w:type="dxa"/>
        <w:tblBorders/>
        <w:tblLayout w:type="fixed"/>
        <w:tblLook w:val="04A0" w:firstRow="1" w:lastRow="0" w:firstColumn="1" w:lastColumn="0" w:noHBand="0" w:noVBand="1"/>
      </w:tblPr>
      <w:tblGrid>
        <w:gridCol w:w="29"/>
        <w:gridCol w:w="1417"/>
        <w:gridCol w:w="8924"/>
      </w:tblGrid>
      <w:tr>
        <w:trPr>
          <w:trHeight w:val="1528"/>
        </w:trPr>
        <w:tc>
          <w:tcPr>
            <w:gridSpan w:val="2"/>
            <w:tcBorders/>
            <w:tcW w:w="144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92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5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965"/>
        </w:trPr>
        <w:tc>
          <w:tcPr>
            <w:gridSpan w:val="2"/>
            <w:shd w:val="clear" w:color="auto" w:fill="auto"/>
            <w:tcBorders/>
            <w:tcMar>
              <w:left w:w="108" w:type="dxa"/>
              <w:top w:w="0" w:type="dxa"/>
              <w:right w:w="108" w:type="dxa"/>
              <w:bottom w:w="0" w:type="dxa"/>
            </w:tcMar>
            <w:tcW w:w="10341" w:type="dxa"/>
            <w:textDirection w:val="lrTb"/>
            <w:noWrap w:val="false"/>
          </w:tcPr>
          <w:p>
            <w:pPr>
              <w:pStyle w:val="1064"/>
              <w:pBdr/>
              <w:spacing w:after="60"/>
              <w:ind/>
              <w:rPr>
                <w:color w:val="000000" w:themeColor="text1"/>
                <w:sz w:val="24"/>
                <w:szCs w:val="24"/>
              </w:rPr>
            </w:pPr>
            <w:r>
              <w:rPr>
                <w:rStyle w:val="1063"/>
                <w:rFonts w:ascii="Times New Roman" w:hAnsi="Times New Roman"/>
                <w:color w:val="000000" w:themeColor="text1"/>
                <w:lang w:val="pt-BR"/>
              </w:rPr>
              <w:t xml:space="preserve">Số: </w:t>
            </w:r>
            <w:r>
              <w:rPr>
                <w:rStyle w:val="1063"/>
                <w:rFonts w:ascii="Times New Roman" w:hAnsi="Times New Roman"/>
                <w:color w:val="000000" w:themeColor="text1"/>
                <w:lang w:val="pt-BR"/>
              </w:rPr>
              <w:t xml:space="preserve">275/2026/1312/VFI-CT.T003.A</w:t>
            </w:r>
            <w:r>
              <w:rPr>
                <w:color w:val="000000" w:themeColor="text1"/>
                <w:sz w:val="24"/>
                <w:szCs w:val="24"/>
              </w:rPr>
            </w:r>
            <w:r>
              <w:rPr>
                <w:color w:val="000000" w:themeColor="text1"/>
                <w:sz w:val="24"/>
                <w:szCs w:val="24"/>
              </w:rPr>
            </w:r>
          </w:p>
          <w:p>
            <w:pPr>
              <w:pStyle w:val="1064"/>
              <w:pBdr/>
              <w:spacing w:after="60"/>
              <w:ind w:right="-56"/>
              <w:jc w:val="right"/>
              <w:rPr>
                <w:color w:val="000000" w:themeColor="text1"/>
                <w:sz w:val="24"/>
                <w:szCs w:val="24"/>
                <w:lang w:val="vi-VN"/>
              </w:rPr>
            </w:pPr>
            <w:r>
              <w:rPr>
                <w:rStyle w:val="1063"/>
                <w:rFonts w:ascii="Times New Roman" w:hAnsi="Times New Roman"/>
                <w:i/>
                <w:color w:val="auto"/>
              </w:rPr>
              <w:t xml:space="preserve">TP. Hà Nội</w:t>
            </w:r>
            <w:r>
              <w:rPr>
                <w:rStyle w:val="1063"/>
                <w:rFonts w:ascii="Times New Roman" w:hAnsi="Times New Roman"/>
                <w:i/>
                <w:color w:val="auto"/>
                <w:lang w:val="vi-VN"/>
              </w:rPr>
              <w:t xml:space="preserve">, </w:t>
            </w:r>
            <w:r>
              <w:rPr>
                <w:rStyle w:val="1063"/>
                <w:rFonts w:ascii="Times New Roman" w:hAnsi="Times New Roman"/>
                <w:i/>
                <w:color w:val="000000" w:themeColor="text1"/>
                <w:lang w:val="vi-VN"/>
              </w:rPr>
              <w:t xml:space="preserve">ngày 20 tháng 8 năm 2026</w:t>
            </w:r>
            <w:r>
              <w:rPr>
                <w:color w:val="000000" w:themeColor="text1"/>
                <w:sz w:val="24"/>
                <w:szCs w:val="24"/>
                <w:lang w:val="vi-VN"/>
              </w:rPr>
            </w:r>
            <w:r>
              <w:rPr>
                <w:color w:val="000000" w:themeColor="text1"/>
                <w:sz w:val="24"/>
                <w:szCs w:val="24"/>
                <w:lang w:val="vi-VN"/>
              </w:rPr>
            </w:r>
          </w:p>
        </w:tc>
      </w:tr>
    </w:tbl>
    <w:p>
      <w:pPr>
        <w:pStyle w:val="106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4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275/2026/1312/VFI-CT.T003.A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4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6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CÔNG TY TNHH GIẢI PHÁP THI CÔNG SAKI</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Mã số thuế</w:t>
            </w:r>
            <w:r>
              <w:rPr>
                <w:bCs/>
                <w:lang w:val="pt-BR"/>
              </w:rPr>
            </w:r>
            <w:r>
              <w:rPr>
                <w:bCs/>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rFonts w:ascii="Times New Roman" w:hAnsi="Times New Roman" w:eastAsia="Times New Roman" w:cs="Times New Roman"/>
                <w:color w:val="000000"/>
                <w:sz w:val="24"/>
              </w:rPr>
              <w:t xml:space="preserve">3702500295</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Đại diện</w:t>
            </w:r>
            <w:r>
              <w:rPr>
                <w:bCs/>
                <w:lang w:val="pt-BR"/>
              </w:rPr>
            </w:r>
            <w:r>
              <w:rPr>
                <w:bCs/>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b/>
                <w:color w:val="000000"/>
                <w:sz w:val="24"/>
              </w:rPr>
              <w:t xml:space="preserve">Ông Đan Đình Lương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Chức vụ</w:t>
            </w:r>
            <w:r>
              <w:rPr>
                <w:bCs/>
                <w:lang w:val="pt-BR"/>
              </w:rPr>
            </w:r>
            <w:r>
              <w:rPr>
                <w:bCs/>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b/>
                <w:color w:val="000000"/>
                <w:sz w:val="24"/>
              </w:rPr>
              <w:t xml:space="preserve">Giám đốc</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 trụ sở</w:t>
            </w:r>
            <w:r>
              <w:rPr>
                <w:bCs/>
                <w:lang w:val="pt-BR"/>
              </w:rPr>
            </w:r>
            <w:r>
              <w:rPr>
                <w:bCs/>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color w:val="000000"/>
                <w:sz w:val="24"/>
              </w:rPr>
              <w:t xml:space="preserve">Lô CN13, Ô 1 - 2, Đường D1, Khu công nghiệp Sóng Thần 3, phường Bình Dương, thành phố Hồ Chí Minh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b/>
              </w:rPr>
              <w:t xml:space="preserve"> </w:t>
            </w:r>
            <w:r>
              <w:rPr>
                <w:color w:val="000000"/>
              </w:rPr>
              <w:t xml:space="preserve">Quyền sử dụng đất thuê trả tiền một lần có thời hạn đến ngày 31/12/2055 và công trình xây dựng trên đất theo giấy chứng nhận tại thửa đất số 116, tờ bản đồ số 214 có địa chỉ tại: Khu công nghiệp Sóng Thần 3, Phường Bình</w:t>
            </w:r>
            <w:r>
              <w:rPr>
                <w:color w:val="000000"/>
              </w:rPr>
              <w:t xml:space="preserve"> Dương, thành phố Hồ Chí Minh theo Giấy chứng nhận Quyền sử dụng đất, quyền sở hữu tài sản gắn liền với đất số AA 03312583, số vào sổ cấp GCN: VP 403 do Văn phòng Đăng ký đất đai tỉnh Bình Dương cấp ngày 21/08/2025 cho Công ty TNHH Giải pháp Thi công SAKI.</w:t>
            </w:r>
            <w:r>
              <w:rPr>
                <w:bCs/>
                <w:i/>
                <w:iCs/>
              </w:rPr>
              <w:t xml:space="preserve">.</w:t>
            </w:r>
            <w:r/>
            <w:r>
              <w:rPr>
                <w:bCs/>
                <w:color w:val="000000" w:themeColor="text1"/>
                <w:lang w:val="pt-BR"/>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KCN Sóng Thần 3, Phường Bình Dương, Thành phố Hồ Chí Minh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4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(11.0314654, 106.702382)</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6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6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6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6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65"/>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6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6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6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6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6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6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6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6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6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6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tLeast"/>
        <w:ind/>
        <w:jc w:val="both"/>
        <w:rPr/>
      </w:pPr>
      <w:r>
        <w:rPr>
          <w:rFonts w:ascii="Times New Roman" w:hAnsi="Times New Roman" w:eastAsia="Times New Roman" w:cs="Times New Roman"/>
          <w:color w:val="000000"/>
          <w:sz w:val="24"/>
        </w:rPr>
        <w:t xml:space="preserve">Giấy chứng nhận Quyền sử dụng đất, quyền sở hữu tài sản gắn liền với đất số AA 03312583, số vào sổ cấp GCN: VP 403 do Văn phòng Đăng ký đất đai tỉnh Bình Dương cấp ngày 21/08/2025 cho Công ty TNHH Giải pháp Thi công SAKI</w:t>
      </w:r>
      <w:r>
        <w:rPr>
          <w:rFonts w:ascii="Times New Roman" w:hAnsi="Times New Roman" w:eastAsia="Times New Roman" w:cs="Times New Roman"/>
          <w:color w:val="000000"/>
          <w:spacing w:val="-6"/>
          <w:sz w:val="24"/>
        </w:rPr>
        <w:t xml:space="preserve">.</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Hồ sơ, tài liệu, chứng từ liên quan đến tài sản thẩm định giá.</w:t>
      </w:r>
      <w:r>
        <w:rPr>
          <w:rFonts w:ascii="Times New Roman" w:hAnsi="Times New Roman" w:eastAsia="Times New Roman" w:cs="Times New Roman"/>
          <w:sz w:val="24"/>
        </w:rPr>
      </w: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65"/>
        <w:numPr>
          <w:ilvl w:val="0"/>
          <w:numId w:val="2"/>
        </w:numPr>
        <w:pBdr/>
        <w:tabs>
          <w:tab w:val="left" w:leader="none" w:pos="993"/>
        </w:tabs>
        <w:spacing w:after="120" w:before="120" w:line="276" w:lineRule="auto"/>
        <w:ind/>
        <w:jc w:val="both"/>
        <w:rPr>
          <w:b/>
          <w:lang w:val="pt-BR"/>
        </w:rPr>
      </w:pPr>
      <w:r>
        <w:rPr>
          <w:color w:val="ff0000"/>
          <w:lang w:val="pt-BR"/>
        </w:rPr>
        <w:t xml:space="preserve">Hợp đồng số HSTD-20260814-0010/HĐTĐ-VFI ngày 20/08/2026</w:t>
      </w:r>
      <w:r>
        <w:rPr>
          <w:color w:val="000000" w:themeColor="text1"/>
          <w:lang w:val="pt-BR"/>
        </w:rPr>
        <w:t xml:space="preserve"> giữa CÔNG TY TNHH GIẢI PHÁP THI CÔNG SAKI với Công ty Cổ phần Thẩm định và Đầu tư Tài chính Hoa Sen.</w:t>
      </w:r>
      <w:r>
        <w:rPr>
          <w:b/>
          <w:lang w:val="pt-BR"/>
        </w:rPr>
      </w:r>
      <w:r>
        <w:rPr>
          <w:b/>
          <w:lang w:val="pt-BR"/>
        </w:rPr>
      </w:r>
    </w:p>
    <w:p>
      <w:pPr>
        <w:pStyle w:val="106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Style w:val="1044"/>
        <w:pBdr>
          <w:top w:val="none" w:color="000000" w:sz="4" w:space="0"/>
          <w:left w:val="none" w:color="000000" w:sz="4" w:space="0"/>
          <w:bottom w:val="none" w:color="000000" w:sz="4" w:space="0"/>
          <w:right w:val="none" w:color="000000" w:sz="4" w:space="0"/>
        </w:pBdr>
        <w:spacing w:line="276" w:lineRule="auto"/>
        <w:ind w:right="0" w:firstLine="0" w:left="0"/>
        <w:jc w:val="left"/>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    Bất động sản Bình Dương bước vào chu kỳ tăng trưởng mới năm 2026</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Sau giai đoạn trầm lắng, thị trường bất động sản khu vực Bình Dương đang đứng trước một chu kỳ phát triển mới trong năm 2026, khi hàng loạt động lực về hạ tầng, đô thị hóa, nhu cầu nhà ở và sự mở rộng không gian phát triển của TP.HCM cùng hội tụ. Đặc biệt,</w:t>
      </w:r>
      <w:r>
        <w:rPr>
          <w:rFonts w:ascii="Times New Roman" w:hAnsi="Times New Roman" w:eastAsia="Times New Roman" w:cs="Times New Roman"/>
          <w:color w:val="000000"/>
          <w:sz w:val="24"/>
          <w:szCs w:val="24"/>
        </w:rPr>
        <w:t xml:space="preserve"> từ ngày 1/7/2025, Bình Dương cùng Bà Rịa - Vũng Tàu được sáp nhập vào TP.HCM, tạo ra một không gian đô thị có quy mô lớn hơn và làm thay đổi đáng kể cách nhìn về thị trường bất động sản khu vực này. Từ vị thế một thị trường vệ tinh, Bình Dương đang từng b</w:t>
      </w:r>
      <w:r>
        <w:rPr>
          <w:rFonts w:ascii="Times New Roman" w:hAnsi="Times New Roman" w:eastAsia="Times New Roman" w:cs="Times New Roman"/>
          <w:color w:val="000000"/>
          <w:sz w:val="24"/>
          <w:szCs w:val="24"/>
        </w:rPr>
        <w:t xml:space="preserve">ước trở thành một phần quan trọng trong cấu trúc đô thị, công nghiệp và dịch vụ của TP.HCM mở rộng.</w:t>
      </w:r>
      <w:r>
        <w:rPr>
          <w:rFonts w:ascii="Times New Roman" w:hAnsi="Times New Roman" w:cs="Times New Roman"/>
          <w:szCs w:val="24"/>
        </w:rPr>
      </w:r>
      <w:r>
        <w:rPr>
          <w:rFonts w:ascii="Times New Roman" w:hAnsi="Times New Roman" w:cs="Times New Roman"/>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szCs w:val="24"/>
        </w:rPr>
      </w:pPr>
      <w:r>
        <w:rPr>
          <w:rFonts w:ascii="Times New Roman" w:hAnsi="Times New Roman" w:eastAsia="Times New Roman" w:cs="Times New Roman"/>
          <w:color w:val="000000"/>
          <w:sz w:val="24"/>
          <w:szCs w:val="24"/>
        </w:rPr>
        <w:t xml:space="preserve">Bước sang năm 2026, hạ tầng tiếp tục được xem là động lực quan trọng thúc đẩy thị trường. Nổi bật là dự án Vành đai 3 TP.HCM, tuyến giao thông có vai trò kết nối TP.HCM với Đồng Nai, Bình Dương cũ và Long An cũ. Sau thời gian dài triển khai, dự án đang bướ</w:t>
      </w:r>
      <w:r>
        <w:rPr>
          <w:rFonts w:ascii="Times New Roman" w:hAnsi="Times New Roman" w:eastAsia="Times New Roman" w:cs="Times New Roman"/>
          <w:color w:val="000000"/>
          <w:sz w:val="24"/>
          <w:szCs w:val="24"/>
        </w:rPr>
        <w:t xml:space="preserve">c vào giai đoạn nước rút để hoàn thành trong năm 2026. Khi đưa vào khai thác, tuyến đường được kỳ vọng rút ngắn thời gian di chuyển giữa các khu vực, tăng khả năng kết nối với các trung tâm công nghiệp, logistics, cảng biển và sân bay, đồng thời tạo thêm d</w:t>
      </w:r>
      <w:r>
        <w:rPr>
          <w:rFonts w:ascii="Times New Roman" w:hAnsi="Times New Roman" w:eastAsia="Times New Roman" w:cs="Times New Roman"/>
          <w:color w:val="000000"/>
          <w:sz w:val="24"/>
          <w:szCs w:val="24"/>
        </w:rPr>
        <w:t xml:space="preserve">ư địa phát triển đô thị dọc tuyến.</w:t>
      </w:r>
      <w:r>
        <w:rPr>
          <w:rFonts w:ascii="Times New Roman" w:hAnsi="Times New Roman" w:cs="Times New Roman"/>
          <w:szCs w:val="24"/>
        </w:rPr>
      </w:r>
      <w:r>
        <w:rPr>
          <w:rFonts w:ascii="Times New Roman" w:hAnsi="Times New Roman" w:cs="Times New Roman"/>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szCs w:val="24"/>
        </w:rPr>
      </w:pPr>
      <w:r>
        <w:rPr>
          <w:rFonts w:ascii="Times New Roman" w:hAnsi="Times New Roman" w:eastAsia="Times New Roman" w:cs="Times New Roman"/>
          <w:color w:val="000000"/>
          <w:sz w:val="24"/>
          <w:szCs w:val="24"/>
        </w:rPr>
        <w:t xml:space="preserve">Bên cạnh Vành đai 3, các tuyến giao thông liên vùng và định hướng mở rộng hệ thống giao thông công cộng cũng đang tạo ra những kỳ vọng mới cho thị trường. Việc phát triển các tuyến metro kết nối TP.HCM với khu vực Bình Dương cũ trong tương lai có thể hình </w:t>
      </w:r>
      <w:r>
        <w:rPr>
          <w:rFonts w:ascii="Times New Roman" w:hAnsi="Times New Roman" w:eastAsia="Times New Roman" w:cs="Times New Roman"/>
          <w:color w:val="000000"/>
          <w:sz w:val="24"/>
          <w:szCs w:val="24"/>
        </w:rPr>
        <w:t xml:space="preserve">thành những hành lang đô thị mới, thúc đẩy xu hướng phát triển bất động sản gắn với giao thông công cộng. Đây là yếu tố có thể tạo ra sự thay đổi đáng kể trong lựa chọn nơi ở của người dân khi khoảng cách giữa các trung tâm việc làm và khu vực nhà ở được r</w:t>
      </w:r>
      <w:r>
        <w:rPr>
          <w:rFonts w:ascii="Times New Roman" w:hAnsi="Times New Roman" w:eastAsia="Times New Roman" w:cs="Times New Roman"/>
          <w:color w:val="000000"/>
          <w:sz w:val="24"/>
          <w:szCs w:val="24"/>
        </w:rPr>
        <w:t xml:space="preserve">út ngắn.</w:t>
      </w:r>
      <w:r>
        <w:rPr>
          <w:rFonts w:ascii="Times New Roman" w:hAnsi="Times New Roman" w:cs="Times New Roman"/>
          <w:szCs w:val="24"/>
        </w:rPr>
      </w:r>
      <w:r>
        <w:rPr>
          <w:rFonts w:ascii="Times New Roman" w:hAnsi="Times New Roman" w:cs="Times New Roman"/>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szCs w:val="24"/>
        </w:rPr>
      </w:pPr>
      <w:r>
        <w:rPr>
          <w:rFonts w:ascii="Times New Roman" w:hAnsi="Times New Roman" w:eastAsia="Times New Roman" w:cs="Times New Roman"/>
          <w:color w:val="000000"/>
          <w:sz w:val="24"/>
          <w:szCs w:val="24"/>
        </w:rPr>
        <w:t xml:space="preserve">Trong bức tranh đó, Dĩ An và Thuận An tiếp tục là hai khu vực được quan tâm nhiều nhờ vị trí giáp TP.HCM, hệ thống giao thông tương đối hoàn thiện và nền tảng công nghiệp phát triển. Trước đây, hai địa phương này đã được xác định là những khu vực động lực </w:t>
      </w:r>
      <w:r>
        <w:rPr>
          <w:rFonts w:ascii="Times New Roman" w:hAnsi="Times New Roman" w:eastAsia="Times New Roman" w:cs="Times New Roman"/>
          <w:color w:val="000000"/>
          <w:sz w:val="24"/>
          <w:szCs w:val="24"/>
        </w:rPr>
        <w:t xml:space="preserve">trong quá trình phát triển đô thị phía Nam Bình Dương. Đến năm 2026, lợi thế này càng rõ nét khi ranh giới hành chính không còn là yếu tố quyết định trong việc đánh giá giá trị bất động sản. Người mua ngày càng quan tâm nhiều hơn đến khả năng kết nối thực </w:t>
      </w:r>
      <w:r>
        <w:rPr>
          <w:rFonts w:ascii="Times New Roman" w:hAnsi="Times New Roman" w:eastAsia="Times New Roman" w:cs="Times New Roman"/>
          <w:color w:val="000000"/>
          <w:sz w:val="24"/>
          <w:szCs w:val="24"/>
        </w:rPr>
        <w:t xml:space="preserve">tế với trung tâm TP.HCM, các khu công nghệ cao, khu công nghiệp, trung tâm thương mại, trường học và hệ thống tiện ích hiện hữu.</w:t>
      </w:r>
      <w:r>
        <w:rPr>
          <w:rFonts w:ascii="Times New Roman" w:hAnsi="Times New Roman" w:cs="Times New Roman"/>
          <w:szCs w:val="24"/>
        </w:rPr>
      </w:r>
      <w:r>
        <w:rPr>
          <w:rFonts w:ascii="Times New Roman" w:hAnsi="Times New Roman" w:cs="Times New Roman"/>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szCs w:val="24"/>
        </w:rPr>
      </w:pPr>
      <w:r>
        <w:rPr>
          <w:rFonts w:ascii="Times New Roman" w:hAnsi="Times New Roman" w:eastAsia="Times New Roman" w:cs="Times New Roman"/>
          <w:color w:val="000000"/>
          <w:sz w:val="24"/>
          <w:szCs w:val="24"/>
        </w:rPr>
        <w:t xml:space="preserve">Cùng với hạ tầng, nhu cầu nhà ở tiếp tục là yếu tố quan trọng hỗ trợ thị trường. Bình Dương cũ là một trong những khu vực tập trung đông khu công nghiệp và lực lượng lao động lớn, đồng thời thu hút lượng đáng kể chuyên gia, kỹ sư và người lao động có thu n</w:t>
      </w:r>
      <w:r>
        <w:rPr>
          <w:rFonts w:ascii="Times New Roman" w:hAnsi="Times New Roman" w:eastAsia="Times New Roman" w:cs="Times New Roman"/>
          <w:color w:val="000000"/>
          <w:sz w:val="24"/>
          <w:szCs w:val="24"/>
        </w:rPr>
        <w:t xml:space="preserve">hập khá. Quá trình đô thị hóa diễn ra nhanh khiến nhu cầu về nhà ở chất lượng, đặc biệt là căn hộ, tiếp tục duy trì. Trong khi đó, quỹ đất tại những khu vực có vị trí thuận lợi ngày càng hạn chế, khiến chi phí phát triển dự án có xu hướng gia tăng và tạo á</w:t>
      </w:r>
      <w:r>
        <w:rPr>
          <w:rFonts w:ascii="Times New Roman" w:hAnsi="Times New Roman" w:eastAsia="Times New Roman" w:cs="Times New Roman"/>
          <w:color w:val="000000"/>
          <w:sz w:val="24"/>
          <w:szCs w:val="24"/>
        </w:rPr>
        <w:t xml:space="preserve">p lực lên mặt bằng giá.</w:t>
      </w:r>
      <w:r>
        <w:rPr>
          <w:rFonts w:ascii="Times New Roman" w:hAnsi="Times New Roman" w:cs="Times New Roman"/>
          <w:szCs w:val="24"/>
        </w:rPr>
      </w:r>
      <w:r>
        <w:rPr>
          <w:rFonts w:ascii="Times New Roman" w:hAnsi="Times New Roman" w:cs="Times New Roman"/>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szCs w:val="24"/>
        </w:rPr>
      </w:pPr>
      <w:r>
        <w:rPr>
          <w:rFonts w:ascii="Times New Roman" w:hAnsi="Times New Roman" w:eastAsia="Times New Roman" w:cs="Times New Roman"/>
          <w:color w:val="000000"/>
          <w:sz w:val="24"/>
          <w:szCs w:val="24"/>
        </w:rPr>
        <w:t xml:space="preserve">Phân khúc căn hộ vì thế được kỳ vọng tiếp tục đóng vai trò nổi bật trong thị trường năm 2026. Tuy nhiên, khác với giai đoạn trước, thị trường đang có xu hướng phân hóa mạnh. Không phải dự án nào nằm trong khu vực có hạ tầng phát triển cũng có khả năng tăng</w:t>
      </w:r>
      <w:r>
        <w:rPr>
          <w:rFonts w:ascii="Times New Roman" w:hAnsi="Times New Roman" w:eastAsia="Times New Roman" w:cs="Times New Roman"/>
          <w:color w:val="000000"/>
          <w:sz w:val="24"/>
          <w:szCs w:val="24"/>
        </w:rPr>
        <w:t xml:space="preserve"> giá như nhau. Những dự án có pháp lý rõ ràng, tiến độ xây dựng thực tế, chất lượng sản phẩm tốt, vị trí thuận lợi và đáp ứng được nhu cầu ở thực sẽ có nhiều lợi thế hơn. Ngược lại, các dự án phụ thuộc quá nhiều vào kỳ vọng quy hoạch hoặc khả năng tăng giá</w:t>
      </w:r>
      <w:r>
        <w:rPr>
          <w:rFonts w:ascii="Times New Roman" w:hAnsi="Times New Roman" w:eastAsia="Times New Roman" w:cs="Times New Roman"/>
          <w:color w:val="000000"/>
          <w:sz w:val="24"/>
          <w:szCs w:val="24"/>
        </w:rPr>
        <w:t xml:space="preserve"> trong tương lai có thể gặp khó khăn về thanh khoản nếu mức giá không tương xứng với giá trị thực.</w:t>
      </w:r>
      <w:r>
        <w:rPr>
          <w:rFonts w:ascii="Times New Roman" w:hAnsi="Times New Roman" w:cs="Times New Roman"/>
          <w:szCs w:val="24"/>
        </w:rPr>
      </w:r>
      <w:r>
        <w:rPr>
          <w:rFonts w:ascii="Times New Roman" w:hAnsi="Times New Roman" w:cs="Times New Roman"/>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szCs w:val="24"/>
        </w:rPr>
      </w:pPr>
      <w:r>
        <w:rPr>
          <w:rFonts w:ascii="Times New Roman" w:hAnsi="Times New Roman" w:eastAsia="Times New Roman" w:cs="Times New Roman"/>
          <w:color w:val="000000"/>
          <w:sz w:val="24"/>
          <w:szCs w:val="24"/>
        </w:rPr>
        <w:t xml:space="preserve">Đây cũng là điểm khác biệt quan trọng của thị trường năm 2026. Nếu trước đây câu chuyện đầu tư bất động sản thường tập trung vào việc đón đầu quy hoạch và mua trước khi hạ tầng hoàn thiện, thì hiện nay nhà đầu tư có xu hướng thận trọng hơn. Hạ tầng vẫn là </w:t>
      </w:r>
      <w:r>
        <w:rPr>
          <w:rFonts w:ascii="Times New Roman" w:hAnsi="Times New Roman" w:eastAsia="Times New Roman" w:cs="Times New Roman"/>
          <w:color w:val="000000"/>
          <w:sz w:val="24"/>
          <w:szCs w:val="24"/>
        </w:rPr>
        <w:t xml:space="preserve">yếu tố tạo lực đẩy nhưng không còn là điều kiện duy nhất. Giá trị của một bất động sản ngày càng được quyết định bởi khả năng khai thác thực tế, cộng đồng cư dân, tiện ích, chất lượng xây dựng, pháp lý và khả năng kết nối với các trung tâm kinh tế.</w:t>
      </w:r>
      <w:r>
        <w:rPr>
          <w:rFonts w:ascii="Times New Roman" w:hAnsi="Times New Roman" w:cs="Times New Roman"/>
          <w:szCs w:val="24"/>
        </w:rPr>
      </w:r>
      <w:r>
        <w:rPr>
          <w:rFonts w:ascii="Times New Roman" w:hAnsi="Times New Roman" w:cs="Times New Roman"/>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szCs w:val="24"/>
        </w:rPr>
      </w:pPr>
      <w:r>
        <w:rPr>
          <w:rFonts w:ascii="Times New Roman" w:hAnsi="Times New Roman" w:eastAsia="Times New Roman" w:cs="Times New Roman"/>
          <w:color w:val="000000"/>
          <w:sz w:val="24"/>
          <w:szCs w:val="24"/>
        </w:rPr>
        <w:t xml:space="preserve">Sự mở rộng không gian đô thị TP.HCM cũng tạo thêm một lợi thế đáng kể cho bất động sản Bình Dương cũ. Khi mặt bằng giá tại các khu vực trung tâm và khu Đông TP.HCM duy trì ở mức cao, những khu vực có khoảng cách di chuyển hợp lý nhưng giá bất động sản cạnh</w:t>
      </w:r>
      <w:r>
        <w:rPr>
          <w:rFonts w:ascii="Times New Roman" w:hAnsi="Times New Roman" w:eastAsia="Times New Roman" w:cs="Times New Roman"/>
          <w:color w:val="000000"/>
          <w:sz w:val="24"/>
          <w:szCs w:val="24"/>
        </w:rPr>
        <w:t xml:space="preserve"> tranh hơn vẫn có khả năng thu hút nhu cầu ở thực. Dĩ An và Thuận An nhờ vị trí liền kề TP.HCM có thể tiếp tục hưởng lợi từ xu hướng giãn dân, đặc biệt khi hệ thống giao thông liên vùng ngày càng hoàn thiện.</w:t>
      </w:r>
      <w:r>
        <w:rPr>
          <w:rFonts w:ascii="Times New Roman" w:hAnsi="Times New Roman" w:cs="Times New Roman"/>
          <w:szCs w:val="24"/>
        </w:rPr>
      </w:r>
      <w:r>
        <w:rPr>
          <w:rFonts w:ascii="Times New Roman" w:hAnsi="Times New Roman" w:cs="Times New Roman"/>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szCs w:val="24"/>
        </w:rPr>
      </w:pPr>
      <w:r>
        <w:rPr>
          <w:rFonts w:ascii="Times New Roman" w:hAnsi="Times New Roman" w:eastAsia="Times New Roman" w:cs="Times New Roman"/>
          <w:color w:val="000000"/>
          <w:sz w:val="24"/>
          <w:szCs w:val="24"/>
        </w:rPr>
        <w:t xml:space="preserve">Tuy nhiên, kỳ vọng tăng trưởng không đồng nghĩa với việc thị trường sẽ tăng giá đồng loạt. Năm 2026 nhiều khả năng là giai đoạn bất động sản bước vào quá trình sàng lọc rõ rệt hơn. Nhà đầu tư sẽ phải quan tâm đến những yếu tố cụ thể như pháp lý dự án, giấy</w:t>
      </w:r>
      <w:r>
        <w:rPr>
          <w:rFonts w:ascii="Times New Roman" w:hAnsi="Times New Roman" w:eastAsia="Times New Roman" w:cs="Times New Roman"/>
          <w:color w:val="000000"/>
          <w:sz w:val="24"/>
          <w:szCs w:val="24"/>
        </w:rPr>
        <w:t xml:space="preserve"> phép xây dựng, điều kiện mở bán, tiến độ thi công, thời điểm bàn giao, năng lực chủ đầu tư, chất lượng sản phẩm và mức giá so với những dự án cạnh tranh trong cùng khu vực. Những sản phẩm có giá trị sử dụng thực, khả năng cho thuê tốt và nằm gần các trục </w:t>
      </w:r>
      <w:r>
        <w:rPr>
          <w:rFonts w:ascii="Times New Roman" w:hAnsi="Times New Roman" w:eastAsia="Times New Roman" w:cs="Times New Roman"/>
          <w:color w:val="000000"/>
          <w:sz w:val="24"/>
          <w:szCs w:val="24"/>
        </w:rPr>
        <w:t xml:space="preserve">giao thông quan trọng sẽ có lợi thế hơn so với những tài sản chỉ dựa vào kỳ vọng tăng giá.</w:t>
      </w:r>
      <w:r>
        <w:rPr>
          <w:rFonts w:ascii="Times New Roman" w:hAnsi="Times New Roman" w:cs="Times New Roman"/>
          <w:szCs w:val="24"/>
        </w:rPr>
      </w:r>
      <w:r>
        <w:rPr>
          <w:rFonts w:ascii="Times New Roman" w:hAnsi="Times New Roman" w:cs="Times New Roman"/>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szCs w:val="24"/>
        </w:rPr>
      </w:pPr>
      <w:r>
        <w:rPr>
          <w:rFonts w:ascii="Times New Roman" w:hAnsi="Times New Roman" w:eastAsia="Times New Roman" w:cs="Times New Roman"/>
          <w:color w:val="000000"/>
          <w:sz w:val="24"/>
          <w:szCs w:val="24"/>
        </w:rPr>
        <w:t xml:space="preserve">Với những động lực đang hội tụ, bất động sản khu vực Bình Dương cũ có cơ sở để kỳ vọng vào một chu kỳ phát triển mới trong năm 2026. Tuy nhiên, đây nhiều khả năng sẽ không phải là một chu kỳ tăng trưởng theo kiểu "mua gì cũng tăng", mà là giai đoạn tăng tr</w:t>
      </w:r>
      <w:r>
        <w:rPr>
          <w:rFonts w:ascii="Times New Roman" w:hAnsi="Times New Roman" w:eastAsia="Times New Roman" w:cs="Times New Roman"/>
          <w:color w:val="000000"/>
          <w:sz w:val="24"/>
          <w:szCs w:val="24"/>
        </w:rPr>
        <w:t xml:space="preserve">ưởng có chọn lọc, trong đó hạ tầng, nhu cầu ở thực và chất lượng dự án trở thành những yếu tố quyết định. Dĩ An và Thuận An vẫn là hai khu vực đáng chú ý nhờ vị trí chiến lược, trong khi các khu vực hưởng lợi trực tiếp từ Vành đai 3, các tuyến giao thông l</w:t>
      </w:r>
      <w:r>
        <w:rPr>
          <w:rFonts w:ascii="Times New Roman" w:hAnsi="Times New Roman" w:eastAsia="Times New Roman" w:cs="Times New Roman"/>
          <w:color w:val="000000"/>
          <w:sz w:val="24"/>
          <w:szCs w:val="24"/>
        </w:rPr>
        <w:t xml:space="preserve">iên vùng và định hướng phát triển metro có thể tiếp tục thu hút dòng tiền.</w:t>
      </w:r>
      <w:r>
        <w:rPr>
          <w:rFonts w:ascii="Times New Roman" w:hAnsi="Times New Roman" w:cs="Times New Roman"/>
          <w:szCs w:val="24"/>
        </w:rPr>
      </w:r>
      <w:r>
        <w:rPr>
          <w:rFonts w:ascii="Times New Roman" w:hAnsi="Times New Roman" w:cs="Times New Roman"/>
          <w:szCs w:val="24"/>
        </w:rPr>
      </w:r>
    </w:p>
    <w:p>
      <w:pPr>
        <w:pBdr>
          <w:top w:val="none" w:color="000000" w:sz="4" w:space="0"/>
          <w:left w:val="none" w:color="000000" w:sz="4" w:space="0"/>
          <w:bottom w:val="none" w:color="000000" w:sz="4" w:space="0"/>
          <w:right w:val="none" w:color="000000" w:sz="4" w:space="0"/>
        </w:pBdr>
        <w:spacing w:line="276" w:lineRule="auto"/>
        <w:ind w:right="0" w:firstLine="0" w:left="0"/>
        <w:rPr>
          <w:bCs/>
          <w:i/>
          <w:highlight w:val="none"/>
          <w:lang w:val="pt-BR"/>
        </w:rPr>
      </w:pPr>
      <w:r>
        <w:rPr>
          <w:rFonts w:ascii="Times New Roman" w:hAnsi="Times New Roman" w:eastAsia="Times New Roman" w:cs="Times New Roman"/>
          <w:color w:val="000000"/>
          <w:sz w:val="24"/>
          <w:szCs w:val="24"/>
        </w:rPr>
        <w:t xml:space="preserve">Trong dài hạn, khi Bình Dương cũ ngày càng được tích hợp sâu vào không gian phát triển của TP.HCM, khoảng cách giữa "bất động sản Bình Dương" và "bất động sản TP.HCM" sẽ ngày càng thu hẹp. Đây có thể là nền tảng quan trọng để thị trường hình thành mặt bằng</w:t>
      </w:r>
      <w:r>
        <w:rPr>
          <w:rFonts w:ascii="Times New Roman" w:hAnsi="Times New Roman" w:eastAsia="Times New Roman" w:cs="Times New Roman"/>
          <w:color w:val="000000"/>
          <w:sz w:val="24"/>
          <w:szCs w:val="24"/>
        </w:rPr>
        <w:t xml:space="preserve"> giá mới, nhưng mức độ tăng trưởng sẽ phụ thuộc vào chất lượng từng dự án và khả năng đáp ứng nhu cầu thực tế của thị trường. Vì vậy, năm 2026 được kỳ vọng sẽ là năm bản lề, mở ra một giai đoạn phát triển bền vững hơn cho bất động sản khu vực Bình Dương cũ</w:t>
      </w:r>
      <w:r>
        <w:rPr>
          <w:rFonts w:ascii="Times New Roman" w:hAnsi="Times New Roman" w:eastAsia="Times New Roman" w:cs="Times New Roman"/>
          <w:color w:val="000000"/>
          <w:sz w:val="24"/>
          <w:szCs w:val="24"/>
        </w:rPr>
        <w:t xml:space="preserve">, với hạ tầng và đô thị hóa đóng vai trò dẫn dắt, còn nhu cầu ở thực là nền tảng tạo nên giá trị dài hạn.</w:t>
      </w:r>
      <w:r>
        <w:rPr>
          <w:bCs/>
          <w:i/>
          <w:highlight w:val="none"/>
          <w:lang w:val="pt-BR"/>
        </w:rPr>
      </w:r>
      <w:r>
        <w:rPr>
          <w:bCs/>
          <w:i/>
          <w:highlight w:val="none"/>
          <w:lang w:val="pt-BR"/>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bCs/>
          <w:i/>
          <w:sz w:val="24"/>
          <w:szCs w:val="24"/>
        </w:rPr>
      </w:pPr>
      <w:r>
        <w:rPr>
          <w:i/>
          <w:iCs/>
          <w:highlight w:val="none"/>
          <w:lang w:val="pt-BR"/>
        </w:rPr>
        <w:t xml:space="preserve"> (Nguồn : </w:t>
      </w:r>
      <w:r>
        <w:rPr>
          <w:i/>
          <w:iCs/>
          <w:highlight w:val="none"/>
          <w:lang w:val="pt-BR"/>
        </w:rPr>
      </w:r>
      <w:hyperlink r:id="rId17" w:tooltip="https://tienphong.vn/toan-canh-duong-vanh-dai-3-tphcm-qua-binh-duong-truoc-muc" w:history="1">
        <w:r>
          <w:rPr>
            <w:rStyle w:val="1055"/>
            <w:i/>
            <w:iCs/>
            <w:highlight w:val="none"/>
            <w:lang w:val="pt-BR"/>
          </w:rPr>
          <w:t xml:space="preserve">https://tienphong.vn/toan-canh-duong-vanh-dai-3-tphcm-qua-binh-duong-truoc-muc</w:t>
        </w:r>
      </w:hyperlink>
      <w:r>
        <w:rPr>
          <w:i/>
          <w:iCs/>
          <w:highlight w:val="none"/>
          <w:lang w:val="pt-BR"/>
        </w:rPr>
        <w:t xml:space="preserve"> tieu-thong-xe-trong-nam-2026-post1858757.tpo?utm_source)</w:t>
      </w:r>
      <w:r>
        <w:rPr>
          <w:rFonts w:ascii="Times New Roman" w:hAnsi="Times New Roman" w:cs="Times New Roman"/>
          <w:bCs/>
          <w:i/>
          <w:sz w:val="24"/>
          <w:szCs w:val="24"/>
        </w:rPr>
      </w:r>
      <w:r>
        <w:rPr>
          <w:rFonts w:ascii="Times New Roman" w:hAnsi="Times New Roman" w:cs="Times New Roman"/>
          <w:bCs/>
          <w:i/>
          <w:sz w:val="24"/>
          <w:szCs w:val="24"/>
        </w:rPr>
      </w:r>
    </w:p>
    <w:p>
      <w:pPr>
        <w:pStyle w:val="106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pPr>
      <w:r>
        <w:rPr>
          <w:rFonts w:ascii="Times New Roman" w:hAnsi="Times New Roman" w:eastAsia="Times New Roman" w:cs="Times New Roman"/>
          <w:b/>
          <w:color w:val="000000"/>
          <w:sz w:val="24"/>
        </w:rPr>
        <w:t xml:space="preserve">1. Thông tin về thửa đất:</w:t>
      </w:r>
      <w:r>
        <w:rPr>
          <w:rFonts w:ascii="Times New Roman" w:hAnsi="Times New Roman" w:eastAsia="Times New Roman" w:cs="Times New Roman"/>
          <w:sz w:val="24"/>
        </w:rPr>
      </w: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412"/>
        <w:gridCol w:w="223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thuê trả tiền một lần có thời hạn đến ngày 31/12/2055 và công trình xây dựng trên đất theo giấy chứng nhận tại thửa đất số 116, tờ bản đồ số 214 có địa chỉ tại: Khu công nghiệp Sóng Thần 3, Phường Bình</w:t>
            </w:r>
            <w:r>
              <w:rPr>
                <w:b/>
                <w:bCs/>
                <w:color w:val="000000"/>
              </w:rPr>
              <w:t xml:space="preserve"> Dương, thành phố Hồ Chí Minh theo Giấy chứng nhận Quyền sử dụng đất, quyền sở hữu tài sản gắn liền với đất số AA 03312583, số vào sổ cấp GCN: VP 403 do Văn phòng Đăng ký đất đai tỉnh Bình Dương cấp ngày 21/08/2025 cho Công ty TNHH Giải pháp Thi công SAKI.</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themeColor="text1"/>
              </w:rPr>
              <w:t xml:space="preserve">116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214</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369" w:type="dxa"/>
            <w:vAlign w:val="center"/>
            <w:textDirection w:val="lrTb"/>
            <w:noWrap w:val="false"/>
          </w:tcPr>
          <w:p>
            <w:pPr>
              <w:pBdr/>
              <w:spacing/>
              <w:ind/>
              <w:jc w:val="both"/>
              <w:rPr>
                <w:color w:val="000000"/>
              </w:rPr>
            </w:pPr>
            <w:r>
              <w:rPr>
                <w:color w:val="000000"/>
              </w:rPr>
              <w:t xml:space="preserve">KCN Sóng Thần 3, Phường Bình Dương, Thành phố Hồ Chí Minh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rPr>
              <w:t xml:space="preserve">30.959,7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30.959,7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236" w:type="dxa"/>
            <w:vAlign w:val="center"/>
            <w:textDirection w:val="lrTb"/>
            <w:noWrap w:val="false"/>
          </w:tcPr>
          <w:p>
            <w:pPr>
              <w:pBdr/>
              <w:spacing/>
              <w:ind/>
              <w:jc w:val="center"/>
              <w:rPr>
                <w:color w:val="000000" w:themeColor="text1"/>
                <w:highlight w:val="none"/>
              </w:rPr>
            </w:pPr>
            <w:r>
              <w:rPr>
                <w:color w:val="000000" w:themeColor="text1"/>
              </w:rPr>
              <w:t xml:space="preserve">Đất khu công nghiệp (SKK)</w:t>
            </w:r>
            <w:r>
              <w:rPr>
                <w:color w:val="000000" w:themeColor="text1"/>
                <w:highlight w:val="none"/>
              </w:rPr>
            </w:r>
            <w:r>
              <w:rPr>
                <w:color w:val="000000" w:themeColor="text1"/>
                <w:highlight w:val="none"/>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Đến ngày 31/12/2055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369" w:type="dxa"/>
            <w:vAlign w:val="center"/>
            <w:textDirection w:val="lrTb"/>
            <w:noWrap w:val="false"/>
          </w:tcPr>
          <w:p>
            <w:pPr>
              <w:pBdr/>
              <w:spacing/>
              <w:ind/>
              <w:jc w:val="both"/>
              <w:rPr>
                <w:color w:val="000000"/>
              </w:rPr>
            </w:pPr>
            <w:r>
              <w:rPr>
                <w:color w:val="000000"/>
              </w:rPr>
              <w:t xml:space="preserve">Thuê đất trả tiền một lần của chủ đầu tư hạ tầng khu công nghiệp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Ghi chú :</w:t>
            </w:r>
            <w:r>
              <w:rPr>
                <w:color w:val="000000"/>
              </w:rPr>
            </w:r>
            <w:r>
              <w:rPr>
                <w:color w:val="000000"/>
              </w:rPr>
            </w:r>
          </w:p>
        </w:tc>
        <w:tc>
          <w:tcPr>
            <w:gridSpan w:val="3"/>
            <w:tcBorders/>
            <w:tcW w:w="6369" w:type="dxa"/>
            <w:vAlign w:val="center"/>
            <w:textDirection w:val="lrTb"/>
            <w:noWrap w:val="false"/>
          </w:tcPr>
          <w:p>
            <w:pPr>
              <w:pStyle w:val="1065"/>
              <w:numPr>
                <w:ilvl w:val="0"/>
                <w:numId w:val="44"/>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Nhận góp vốn bằng quyền sử dụng đất theo Hợp đồng góp vốn bằng quyền sử dụng đất số công chứng 014440 quyển số 10 TP/CC – SCC/HĐGD ngày 20/10/2017.</w:t>
            </w:r>
            <w:r/>
          </w:p>
          <w:p>
            <w:pPr>
              <w:pStyle w:val="1065"/>
              <w:numPr>
                <w:ilvl w:val="0"/>
                <w:numId w:val="44"/>
              </w:numPr>
              <w:pBdr/>
              <w:spacing/>
              <w:ind/>
              <w:jc w:val="both"/>
              <w:rPr>
                <w:color w:val="000000"/>
              </w:rPr>
            </w:pPr>
            <w:r>
              <w:rPr>
                <w:rFonts w:ascii="Times New Roman" w:hAnsi="Times New Roman" w:eastAsia="Times New Roman" w:cs="Times New Roman"/>
                <w:color w:val="000000"/>
                <w:sz w:val="24"/>
              </w:rPr>
              <w:t xml:space="preserve">Đăng ký quyền sở hữu tài sản gắn liền với thửa đất đã được cấp Giấy chứng nhận quyền sử dụng đất (Giấy chứng nhận quyền sử dụng đất, quyền sở hữu nhà ở và tài sản khác gắn liền với đất số CE 220399 ngày 11/11/2016)</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đường trước sau</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Khoảng 17m + vỉa hè</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Khoảng 17m + vỉa hè</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369"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nằm Tiếp giáp đường D1 và Đường số 4 nội bộ bên trong khu công nghiệp.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369" w:type="dxa"/>
            <w:vAlign w:val="center"/>
            <w:textDirection w:val="lrTb"/>
            <w:noWrap w:val="false"/>
          </w:tcPr>
          <w:p>
            <w:pPr>
              <w:pStyle w:val="1065"/>
              <w:numPr>
                <w:ilvl w:val="0"/>
                <w:numId w:val="48"/>
              </w:numPr>
              <w:pBdr>
                <w:top w:val="none" w:color="000000" w:sz="4" w:space="0"/>
                <w:left w:val="none" w:color="000000" w:sz="4" w:space="0"/>
                <w:bottom w:val="none" w:color="000000" w:sz="4" w:space="0"/>
                <w:right w:val="none" w:color="000000" w:sz="4" w:space="0"/>
              </w:pBdr>
              <w:spacing/>
              <w:ind/>
              <w:jc w:val="left"/>
              <w:rPr/>
            </w:pPr>
            <w:r>
              <w:rPr>
                <w:rFonts w:ascii="Times New Roman" w:hAnsi="Times New Roman" w:eastAsia="Times New Roman" w:cs="Times New Roman"/>
                <w:color w:val="000000"/>
                <w:sz w:val="24"/>
              </w:rPr>
              <w:t xml:space="preserve">Hướng Tây Bắc: Tiếp giáp đường D1 nội bộ bên trong khu công nghiệp rộng 17m.</w:t>
            </w:r>
            <w:r/>
          </w:p>
          <w:p>
            <w:pPr>
              <w:pStyle w:val="1065"/>
              <w:numPr>
                <w:ilvl w:val="0"/>
                <w:numId w:val="48"/>
              </w:numPr>
              <w:pBdr>
                <w:top w:val="none" w:color="000000" w:sz="4" w:space="0"/>
                <w:left w:val="none" w:color="000000" w:sz="4" w:space="0"/>
                <w:bottom w:val="none" w:color="000000" w:sz="4" w:space="0"/>
                <w:right w:val="none" w:color="000000" w:sz="4" w:space="0"/>
              </w:pBdr>
              <w:spacing/>
              <w:ind/>
              <w:jc w:val="left"/>
              <w:rPr/>
            </w:pPr>
            <w:r>
              <w:rPr>
                <w:rFonts w:ascii="Times New Roman" w:hAnsi="Times New Roman" w:eastAsia="Times New Roman" w:cs="Times New Roman"/>
                <w:color w:val="000000"/>
                <w:sz w:val="24"/>
              </w:rPr>
              <w:t xml:space="preserve">Hướng Đông Nam: Tiếp giáp đường Số 4 nội bộ bên trong khu công nghiệp rộng 17m.</w:t>
            </w:r>
            <w:r/>
          </w:p>
          <w:p>
            <w:pPr>
              <w:pStyle w:val="1065"/>
              <w:numPr>
                <w:ilvl w:val="0"/>
                <w:numId w:val="48"/>
              </w:numPr>
              <w:pBdr/>
              <w:spacing/>
              <w:ind/>
              <w:jc w:val="left"/>
              <w:rPr>
                <w:color w:val="000000" w:themeColor="text1"/>
              </w:rPr>
            </w:pPr>
            <w:r>
              <w:rPr>
                <w:rFonts w:ascii="Times New Roman" w:hAnsi="Times New Roman" w:eastAsia="Times New Roman" w:cs="Times New Roman"/>
                <w:color w:val="000000"/>
                <w:sz w:val="24"/>
              </w:rPr>
              <w:t xml:space="preserve">Các hướng còn lại: Tiếp giáp với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(11.0314654, 106.702382)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494995"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494995"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2.68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30.959,7 m</w:t>
            </w:r>
            <w:r>
              <w:rPr>
                <w:rFonts w:ascii="Times New Roman" w:hAnsi="Times New Roman" w:eastAsia="Times New Roman" w:cs="Times New Roman"/>
                <w:color w:val="000000"/>
                <w:sz w:val="20"/>
                <w:vertAlign w:val="superscript"/>
              </w:rPr>
              <w:t xml:space="preserve">2</w:t>
            </w: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173,29m</w:t>
            </w: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186m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Bắc</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3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HTKT trong khu công nghiệp, hạ tầng điện nước đầy đủ</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3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23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2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 </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rFonts w:ascii="Times New Roman" w:hAnsi="Times New Roman" w:eastAsia="Times New Roman" w:cs="Times New Roman"/>
                <w:b/>
                <w:color w:val="000000"/>
                <w:sz w:val="24"/>
              </w:rPr>
              <w:t xml:space="preserve">Hệ thống công trình nhà xưởng, nhà văn phòng, và công trình phụ trợ trên đất</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6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KCN Sóng Thần 3, phường Bình Dương, TP Hồ Chí Minh</w:t>
            </w:r>
            <w:r/>
          </w:p>
        </w:tc>
        <w:tc>
          <w:tcPr>
            <w:tcBorders/>
            <w:tcW w:w="1605" w:type="dxa"/>
            <w:vAlign w:val="center"/>
            <w:textDirection w:val="lrTb"/>
            <w:noWrap w:val="false"/>
          </w:tcPr>
          <w:p>
            <w:pPr>
              <w:pBdr/>
              <w:spacing/>
              <w:ind/>
              <w:jc w:val="center"/>
              <w:rPr/>
            </w:pPr>
            <w:r>
              <w:t xml:space="preserve">KCN Sóng Thần 3, phường Bình Dương, TP Hồ Chí Minh</w:t>
            </w:r>
            <w:r/>
          </w:p>
          <w:p>
            <w:pPr>
              <w:pBdr/>
              <w:spacing/>
              <w:ind/>
              <w:jc w:val="center"/>
              <w:rPr/>
            </w:pPr>
            <w:r>
              <w:t xml:space="preserve"> ✔</w:t>
            </w:r>
            <w:r/>
          </w:p>
        </w:tc>
        <w:tc>
          <w:tcPr>
            <w:tcBorders/>
            <w:tcW w:w="1371" w:type="dxa"/>
            <w:vAlign w:val="center"/>
            <w:textDirection w:val="lrTb"/>
            <w:noWrap w:val="false"/>
          </w:tcPr>
          <w:p>
            <w:pPr>
              <w:pBdr/>
              <w:spacing/>
              <w:ind/>
              <w:jc w:val="center"/>
              <w:rPr/>
            </w:pPr>
            <w:r>
              <w:t xml:space="preserve">Không</w:t>
            </w:r>
            <w:r/>
          </w:p>
          <w:p>
            <w:pPr>
              <w:pBdr/>
              <w:spacing/>
              <w:ind/>
              <w:jc w:val="center"/>
              <w:rPr/>
            </w:pPr>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KCN Sóng Thần 3, Phường Bình Dương, Thành phố Hồ Chí Minh</w:t>
            </w:r>
            <w:r/>
          </w:p>
        </w:tc>
        <w:tc>
          <w:tcPr>
            <w:tcBorders/>
            <w:tcW w:w="1605" w:type="dxa"/>
            <w:vAlign w:val="center"/>
            <w:textDirection w:val="lrTb"/>
            <w:noWrap w:val="false"/>
          </w:tcPr>
          <w:p>
            <w:pPr>
              <w:pBdr/>
              <w:spacing/>
              <w:ind/>
              <w:jc w:val="center"/>
              <w:rPr/>
            </w:pPr>
            <w:r>
              <w:t xml:space="preserve">KCN Sóng Thần 3, Phường Bình Dương, Thành phố Hồ Chí Minh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khu công nghiệp</w:t>
            </w:r>
            <w:r/>
          </w:p>
        </w:tc>
        <w:tc>
          <w:tcPr>
            <w:tcBorders/>
            <w:tcW w:w="1605" w:type="dxa"/>
            <w:vAlign w:val="center"/>
            <w:textDirection w:val="lrTb"/>
            <w:noWrap w:val="false"/>
          </w:tcPr>
          <w:p>
            <w:pPr>
              <w:pBdr/>
              <w:spacing/>
              <w:ind/>
              <w:jc w:val="center"/>
              <w:rPr/>
            </w:pPr>
            <w:r>
              <w:t xml:space="preserve">Đất khu công nghiệp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Có thời hạn</w:t>
            </w:r>
            <w:r/>
          </w:p>
        </w:tc>
        <w:tc>
          <w:tcPr>
            <w:tcBorders/>
            <w:tcW w:w="1605" w:type="dxa"/>
            <w:vAlign w:val="center"/>
            <w:textDirection w:val="lrTb"/>
            <w:noWrap w:val="false"/>
          </w:tcPr>
          <w:p>
            <w:pPr>
              <w:pBdr/>
              <w:spacing/>
              <w:ind/>
              <w:jc w:val="center"/>
              <w:rPr/>
            </w:pPr>
            <w:r>
              <w:t xml:space="preserve">Có thời hạn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VT1</w:t>
            </w:r>
            <w:r/>
          </w:p>
        </w:tc>
        <w:tc>
          <w:tcPr>
            <w:tcBorders/>
            <w:tcW w:w="1605" w:type="dxa"/>
            <w:vAlign w:val="center"/>
            <w:textDirection w:val="lrTb"/>
            <w:noWrap w:val="false"/>
          </w:tcPr>
          <w:p>
            <w:pPr>
              <w:pBdr/>
              <w:spacing/>
              <w:ind/>
              <w:jc w:val="center"/>
              <w:rPr/>
            </w:pPr>
            <w:r>
              <w:t xml:space="preserve">VT1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17</w:t>
            </w:r>
            <w:r/>
          </w:p>
        </w:tc>
        <w:tc>
          <w:tcPr>
            <w:tcBorders/>
            <w:tcW w:w="1605" w:type="dxa"/>
            <w:vAlign w:val="center"/>
            <w:textDirection w:val="lrTb"/>
            <w:noWrap w:val="false"/>
          </w:tcPr>
          <w:p>
            <w:pPr>
              <w:pBdr/>
              <w:spacing/>
              <w:ind/>
              <w:jc w:val="center"/>
              <w:rPr/>
            </w:pPr>
            <w:r>
              <w:t xml:space="preserve">17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công nghiệp, cụm công nghiệp</w:t>
            </w:r>
            <w:r/>
          </w:p>
        </w:tc>
        <w:tc>
          <w:tcPr>
            <w:tcBorders/>
            <w:tcW w:w="1605" w:type="dxa"/>
            <w:vAlign w:val="center"/>
            <w:textDirection w:val="lrTb"/>
            <w:noWrap w:val="false"/>
          </w:tcPr>
          <w:p>
            <w:pPr>
              <w:pBdr/>
              <w:spacing/>
              <w:ind/>
              <w:jc w:val="center"/>
              <w:rPr/>
            </w:pPr>
            <w:r>
              <w:t xml:space="preserve">Hạ tầng khu công nghiệp, cụm công nghiệp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Khá </w:t>
            </w:r>
            <w:r/>
          </w:p>
        </w:tc>
        <w:tc>
          <w:tcPr>
            <w:tcBorders/>
            <w:tcW w:w="1605" w:type="dxa"/>
            <w:vAlign w:val="center"/>
            <w:textDirection w:val="lrTb"/>
            <w:noWrap w:val="false"/>
          </w:tcPr>
          <w:p>
            <w:pPr>
              <w:pBdr/>
              <w:spacing/>
              <w:ind/>
              <w:jc w:val="center"/>
              <w:rPr/>
            </w:pPr>
            <w:r>
              <w:t xml:space="preserve">Khá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30959.7</w:t>
            </w:r>
            <w:r/>
          </w:p>
        </w:tc>
        <w:tc>
          <w:tcPr>
            <w:tcBorders/>
            <w:tcW w:w="1605" w:type="dxa"/>
            <w:vAlign w:val="center"/>
            <w:textDirection w:val="lrTb"/>
            <w:noWrap w:val="false"/>
          </w:tcPr>
          <w:p>
            <w:pPr>
              <w:pBdr/>
              <w:spacing/>
              <w:ind/>
              <w:jc w:val="center"/>
              <w:rPr/>
            </w:pPr>
            <w:r>
              <w:t xml:space="preserve">30959.7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178.8</w:t>
            </w:r>
            <w:r/>
          </w:p>
        </w:tc>
        <w:tc>
          <w:tcPr>
            <w:tcBorders/>
            <w:tcW w:w="1605" w:type="dxa"/>
            <w:vAlign w:val="center"/>
            <w:textDirection w:val="lrTb"/>
            <w:noWrap w:val="false"/>
          </w:tcPr>
          <w:p>
            <w:pPr>
              <w:pBdr/>
              <w:spacing/>
              <w:ind/>
              <w:jc w:val="center"/>
              <w:rPr/>
            </w:pPr>
            <w:r>
              <w:t xml:space="preserve">178.8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173.15 ✔</w:t>
            </w:r>
            <w:r/>
          </w:p>
        </w:tc>
        <w:tc>
          <w:tcPr>
            <w:tcBorders/>
            <w:tcW w:w="1605" w:type="dxa"/>
            <w:vAlign w:val="center"/>
            <w:textDirection w:val="lrTb"/>
            <w:noWrap w:val="false"/>
          </w:tcPr>
          <w:p>
            <w:pPr>
              <w:pBdr/>
              <w:spacing/>
              <w:ind/>
              <w:jc w:val="center"/>
              <w:rPr/>
            </w:pPr>
            <w:r>
              <w:t xml:space="preserve">173.15</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2 mặt đường trước sau</w:t>
            </w:r>
            <w:r/>
          </w:p>
        </w:tc>
        <w:tc>
          <w:tcPr>
            <w:tcBorders/>
            <w:tcW w:w="1605" w:type="dxa"/>
            <w:vAlign w:val="center"/>
            <w:textDirection w:val="lrTb"/>
            <w:noWrap w:val="false"/>
          </w:tcPr>
          <w:p>
            <w:pPr>
              <w:pBdr/>
              <w:spacing/>
              <w:ind/>
              <w:jc w:val="center"/>
              <w:rPr/>
            </w:pPr>
            <w:r>
              <w:t xml:space="preserve">Tiếp giáp 2 mặt đường trước sau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Tương đối vuông vức</w:t>
            </w:r>
            <w:r/>
          </w:p>
        </w:tc>
        <w:tc>
          <w:tcPr>
            <w:tcBorders/>
            <w:tcW w:w="1605" w:type="dxa"/>
            <w:vAlign w:val="center"/>
            <w:textDirection w:val="lrTb"/>
            <w:noWrap w:val="false"/>
          </w:tcPr>
          <w:p>
            <w:pPr>
              <w:pBdr/>
              <w:spacing/>
              <w:ind/>
              <w:jc w:val="center"/>
              <w:rPr/>
            </w:pPr>
            <w:r>
              <w:t xml:space="preserve">Tương đối vuông vức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Height w:val="245"/>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Pr>
                <w:rFonts w:ascii="Times New Roman" w:hAnsi="Times New Roman" w:eastAsia="Times New Roman" w:cs="Times New Roman"/>
                <w:color w:val="000000"/>
                <w:sz w:val="24"/>
              </w:rPr>
              <w:t xml:space="preserve">Tây Bắc</w:t>
            </w:r>
            <w:r/>
          </w:p>
        </w:tc>
        <w:tc>
          <w:tcPr>
            <w:tcBorders/>
            <w:tcW w:w="1605" w:type="dxa"/>
            <w:vAlign w:val="center"/>
            <w:textDirection w:val="lrTb"/>
            <w:noWrap w:val="false"/>
          </w:tcPr>
          <w:p>
            <w:pPr>
              <w:pBdr/>
              <w:spacing/>
              <w:ind/>
              <w:jc w:val="center"/>
              <w:rPr/>
            </w:pPr>
            <w:r>
              <w:rPr>
                <w:rFonts w:ascii="Times New Roman" w:hAnsi="Times New Roman" w:eastAsia="Times New Roman" w:cs="Times New Roman"/>
                <w:color w:val="000000"/>
                <w:sz w:val="24"/>
              </w:rPr>
              <w:t xml:space="preserve">Tây Bắc</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khu dân cư</w:t>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Trung bình</w:t>
            </w:r>
            <w:r/>
          </w:p>
        </w:tc>
        <w:tc>
          <w:tcPr>
            <w:tcBorders/>
            <w:tcW w:w="1605" w:type="dxa"/>
            <w:vAlign w:val="center"/>
            <w:textDirection w:val="lrTb"/>
            <w:noWrap w:val="false"/>
          </w:tcPr>
          <w:p>
            <w:pPr>
              <w:pBdr/>
              <w:spacing/>
              <w:ind/>
              <w:jc w:val="center"/>
              <w:rPr/>
            </w:pPr>
            <w:r>
              <w:t xml:space="preserve">Trung bình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2. Thông tin về tài sản thẩm định giá là Công trình xây dựng gắn liền với đất:</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tbl>
      <w:tblPr>
        <w:tblStyle w:val="1069"/>
        <w:tblInd w:w="-289"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32"/>
        <w:gridCol w:w="1842"/>
        <w:gridCol w:w="681"/>
        <w:gridCol w:w="909"/>
        <w:gridCol w:w="1309"/>
        <w:gridCol w:w="9587"/>
        <w:gridCol w:w="57"/>
      </w:tblGrid>
      <w:tr>
        <w:trPr>
          <w:trHeight w:val="517"/>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ĐVT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DIỆN TÍCH SÀN SỬ DỤNG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THỜI ĐIỂM ĐƯA VÀO SỬ DỤNG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58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KẾT CẤU VÀ HIỆN TRẠNG CỦA TÀI SẢN</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17"/>
        </w:trPr>
        <w:tc>
          <w:tcPr>
            <w:tcBorders>
              <w:top w:val="single" w:color="000000" w:sz="8" w:space="0"/>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I</w:t>
            </w:r>
            <w:r/>
          </w:p>
        </w:tc>
        <w:tc>
          <w:tcPr>
            <w:gridSpan w:val="5"/>
            <w:tcBorders>
              <w:bottom w:val="single" w:color="000000" w:sz="8" w:space="0"/>
              <w:right w:val="single" w:color="000000" w:sz="8" w:space="0"/>
            </w:tcBorders>
            <w:tcMar>
              <w:left w:w="108" w:type="dxa"/>
              <w:top w:w="0" w:type="dxa"/>
              <w:right w:w="108" w:type="dxa"/>
              <w:bottom w:w="0" w:type="dxa"/>
            </w:tcMar>
            <w:tcW w:w="143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pacing w:val="-6"/>
                <w:sz w:val="24"/>
              </w:rPr>
              <w:t xml:space="preserve">Tài sản gắn liền với đất tại thửa đất số 116, tờ bản đồ số 214 có địa chỉ tại: Khu công nghiệp Sóng Thần 3, Phường Bình Dương, thành phố Hồ Chí Minh</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xưởng 2</w:t>
            </w:r>
            <w:r/>
          </w:p>
        </w:tc>
        <w:tc>
          <w:tcPr>
            <w:tcBorders>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9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4650</w:t>
            </w:r>
            <w:r/>
          </w:p>
        </w:tc>
        <w:tc>
          <w:tcPr>
            <w:tcBorders>
              <w:bottom w:val="single" w:color="000000" w:sz="8" w:space="0"/>
              <w:right w:val="single" w:color="000000" w:sz="8" w:space="0"/>
            </w:tcBorders>
            <w:tcMar>
              <w:left w:w="108" w:type="dxa"/>
              <w:top w:w="0" w:type="dxa"/>
              <w:right w:w="108"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11/11/2016</w:t>
            </w:r>
            <w:r/>
          </w:p>
        </w:tc>
        <w:tc>
          <w:tcPr>
            <w:tcBorders>
              <w:bottom w:val="single" w:color="000000" w:sz="8" w:space="0"/>
              <w:right w:val="single" w:color="000000" w:sz="8" w:space="0"/>
            </w:tcBorders>
            <w:tcMar>
              <w:left w:w="108" w:type="dxa"/>
              <w:top w:w="0" w:type="dxa"/>
              <w:right w:w="108" w:type="dxa"/>
              <w:bottom w:w="0" w:type="dxa"/>
            </w:tcMar>
            <w:tcW w:w="95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Công trình được xây dựng mới. Kết cấu khung cột Thép chịu lực, xây gạch kết hợp vạch tôn bao quanh, nền đổ BTXM, mái lợp tôn. Tại thời điểm khảo sát tài sản có kết cấu ổn định, bền vững, cũ theo thời gian sử dụng. Đang hoạt động bình thường phục vụ mục đíc</w:t>
            </w:r>
            <w:r>
              <w:rPr>
                <w:rFonts w:ascii="Times New Roman" w:hAnsi="Times New Roman" w:eastAsia="Times New Roman" w:cs="Times New Roman"/>
                <w:color w:val="000000"/>
                <w:sz w:val="22"/>
              </w:rPr>
              <w:t xml:space="preserve">h hoạt động sản xuất kinh doanh</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xưởng 3</w:t>
            </w:r>
            <w:r/>
          </w:p>
        </w:tc>
        <w:tc>
          <w:tcPr>
            <w:tcBorders>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9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1680</w:t>
            </w:r>
            <w:r/>
          </w:p>
        </w:tc>
        <w:tc>
          <w:tcPr>
            <w:tcBorders>
              <w:bottom w:val="single" w:color="000000" w:sz="8" w:space="0"/>
              <w:right w:val="single" w:color="000000" w:sz="8" w:space="0"/>
            </w:tcBorders>
            <w:tcMar>
              <w:left w:w="108" w:type="dxa"/>
              <w:top w:w="0" w:type="dxa"/>
              <w:right w:w="108"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11/11/2016</w:t>
            </w:r>
            <w:r/>
          </w:p>
        </w:tc>
        <w:tc>
          <w:tcPr>
            <w:tcBorders>
              <w:bottom w:val="single" w:color="000000" w:sz="8" w:space="0"/>
              <w:right w:val="single" w:color="000000" w:sz="8" w:space="0"/>
            </w:tcBorders>
            <w:tcMar>
              <w:left w:w="108" w:type="dxa"/>
              <w:top w:w="0" w:type="dxa"/>
              <w:right w:w="108" w:type="dxa"/>
              <w:bottom w:w="0" w:type="dxa"/>
            </w:tcMar>
            <w:tcW w:w="95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Công trình được xây dựng mới. Kết cấu khung cột Thép chịu lực, xây gạch kết hợp vạch tôn bao quanh, nền đổ BTXM, mái lợp tôn. Tại thời điểm khảo sát tài sản có kết cấu ổn định, bền vững, cũ theo thời gian sử dụng. Đang hoạt động bình thường phục vụ mục đíc</w:t>
            </w:r>
            <w:r>
              <w:rPr>
                <w:rFonts w:ascii="Times New Roman" w:hAnsi="Times New Roman" w:eastAsia="Times New Roman" w:cs="Times New Roman"/>
                <w:color w:val="000000"/>
                <w:sz w:val="22"/>
              </w:rPr>
              <w:t xml:space="preserve">h hoạt động sản xuất kinh doanh</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văn phòng</w:t>
            </w:r>
            <w:r/>
          </w:p>
        </w:tc>
        <w:tc>
          <w:tcPr>
            <w:tcBorders>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9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738,3</w:t>
            </w:r>
            <w:r/>
          </w:p>
        </w:tc>
        <w:tc>
          <w:tcPr>
            <w:tcBorders>
              <w:bottom w:val="single" w:color="000000" w:sz="8" w:space="0"/>
              <w:right w:val="single" w:color="000000" w:sz="8" w:space="0"/>
            </w:tcBorders>
            <w:tcMar>
              <w:left w:w="108" w:type="dxa"/>
              <w:top w:w="0" w:type="dxa"/>
              <w:right w:w="108"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11/11/2016</w:t>
            </w:r>
            <w:r/>
          </w:p>
        </w:tc>
        <w:tc>
          <w:tcPr>
            <w:tcBorders>
              <w:bottom w:val="single" w:color="000000" w:sz="8" w:space="0"/>
              <w:right w:val="single" w:color="000000" w:sz="8" w:space="0"/>
            </w:tcBorders>
            <w:tcMar>
              <w:left w:w="108" w:type="dxa"/>
              <w:top w:w="0" w:type="dxa"/>
              <w:right w:w="108" w:type="dxa"/>
              <w:bottom w:w="0" w:type="dxa"/>
            </w:tcMar>
            <w:tcW w:w="95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Công trình được xây dựng mới. </w:t>
            </w:r>
            <w:r>
              <w:rPr>
                <w:rFonts w:ascii="Times New Roman" w:hAnsi="Times New Roman" w:eastAsia="Times New Roman" w:cs="Times New Roman"/>
                <w:color w:val="000000"/>
                <w:sz w:val="24"/>
              </w:rPr>
              <w:t xml:space="preserve">Kết cấu khung cột BTCT chịu lực, tường xây gạch bao che, dầm BTCT, nền lát gạch ceramic, mái BTCT</w:t>
            </w:r>
            <w:r>
              <w:rPr>
                <w:rFonts w:ascii="Times New Roman" w:hAnsi="Times New Roman" w:eastAsia="Times New Roman" w:cs="Times New Roman"/>
                <w:color w:val="000000"/>
                <w:sz w:val="22"/>
              </w:rPr>
              <w:t xml:space="preserve">. Tại thời điểm khảo sát tài sản có kết cấu ổn định, bền vững, cũ theo thời gian sử dụng. Đang hoạt động bình thường phục vụ mục đích hoạt động sản xuất kinh doanh</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bl>
    <w:p>
      <w:pPr>
        <w:numPr>
          <w:ilvl w:val="0"/>
          <w:numId w:val="49"/>
        </w:numPr>
        <w:pBdr>
          <w:top w:val="none" w:color="000000" w:sz="4" w:space="0"/>
          <w:left w:val="none" w:color="000000" w:sz="4" w:space="0"/>
          <w:bottom w:val="none" w:color="000000" w:sz="4" w:space="0"/>
          <w:right w:val="none" w:color="000000" w:sz="4" w:space="0"/>
        </w:pBdr>
        <w:spacing w:after="60" w:before="60" w:line="380" w:lineRule="atLeast"/>
        <w:ind/>
        <w:jc w:val="both"/>
        <w:rPr/>
      </w:pPr>
      <w:r>
        <w:rPr>
          <w:rFonts w:ascii="Times New Roman" w:hAnsi="Times New Roman" w:eastAsia="Times New Roman" w:cs="Times New Roman"/>
          <w:b/>
          <w:color w:val="000000"/>
          <w:sz w:val="24"/>
        </w:rPr>
        <w:t xml:space="preserve">Yếu tố rủi ro có thể ảnh hưởng nghiêm trọng đến giá trị thị trường của tài sản thẩm định giá:</w:t>
      </w:r>
      <w:r/>
    </w:p>
    <w:p>
      <w:pPr>
        <w:pBdr>
          <w:top w:val="none" w:color="000000" w:sz="4" w:space="0"/>
          <w:left w:val="none" w:color="000000" w:sz="4" w:space="0"/>
          <w:bottom w:val="none" w:color="000000" w:sz="4" w:space="0"/>
          <w:right w:val="none" w:color="000000" w:sz="4" w:space="0"/>
        </w:pBdr>
        <w:spacing w:after="60" w:before="60" w:line="380" w:lineRule="atLeast"/>
        <w:ind w:right="0" w:firstLine="0" w:left="272"/>
        <w:jc w:val="both"/>
        <w:rPr/>
      </w:pPr>
      <w:r>
        <w:rPr>
          <w:rFonts w:ascii="Times New Roman" w:hAnsi="Times New Roman" w:eastAsia="Times New Roman" w:cs="Times New Roman"/>
          <w:color w:val="000000"/>
          <w:sz w:val="24"/>
        </w:rPr>
        <w:t xml:space="preserve">Tại thời điểm thẩm định giá, Công ty cổ phẩn Thẩm định và Đầu tư tài chính Hoa Sen chưa thu thập được các tài liệu liên quan cần thiết cho thấy </w:t>
      </w:r>
      <w:r>
        <w:rPr>
          <w:rFonts w:ascii="Times New Roman" w:hAnsi="Times New Roman" w:eastAsia="Times New Roman" w:cs="Times New Roman"/>
          <w:color w:val="000000"/>
          <w:spacing w:val="-6"/>
          <w:sz w:val="24"/>
        </w:rPr>
        <w:t xml:space="preserve">Công ty TNHH Giải pháp Thi công SAKI</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có lý do để dừng hoạt động.</w:t>
      </w:r>
      <w:r/>
    </w:p>
    <w:p>
      <w:pPr>
        <w:numPr>
          <w:ilvl w:val="0"/>
          <w:numId w:val="49"/>
        </w:numPr>
        <w:pBdr>
          <w:top w:val="none" w:color="000000" w:sz="4" w:space="0"/>
          <w:left w:val="none" w:color="000000" w:sz="4" w:space="0"/>
          <w:bottom w:val="none" w:color="000000" w:sz="4" w:space="0"/>
          <w:right w:val="none" w:color="000000" w:sz="4" w:space="0"/>
        </w:pBdr>
        <w:spacing w:after="60" w:before="60" w:line="380" w:lineRule="atLeast"/>
        <w:ind/>
        <w:jc w:val="both"/>
        <w:rPr/>
      </w:pPr>
      <w:r>
        <w:rPr>
          <w:rFonts w:ascii="Times New Roman" w:hAnsi="Times New Roman" w:eastAsia="Times New Roman" w:cs="Times New Roman"/>
          <w:b/>
          <w:color w:val="000000"/>
          <w:sz w:val="24"/>
        </w:rPr>
        <w:t xml:space="preserve">Đánh giá về hệ thống bảo vệ môi trường:</w:t>
      </w:r>
      <w:r/>
    </w:p>
    <w:p>
      <w:pPr>
        <w:pBdr>
          <w:top w:val="none" w:color="000000" w:sz="4" w:space="0"/>
          <w:left w:val="none" w:color="000000" w:sz="4" w:space="0"/>
          <w:bottom w:val="none" w:color="000000" w:sz="4" w:space="0"/>
          <w:right w:val="none" w:color="000000" w:sz="4" w:space="0"/>
        </w:pBdr>
        <w:spacing w:after="60" w:before="60" w:line="380" w:lineRule="atLeast"/>
        <w:ind w:right="0" w:firstLine="0" w:left="272"/>
        <w:jc w:val="both"/>
        <w:rPr/>
      </w:pPr>
      <w:r>
        <w:rPr>
          <w:rFonts w:ascii="Times New Roman" w:hAnsi="Times New Roman" w:eastAsia="Times New Roman" w:cs="Times New Roman"/>
          <w:color w:val="000000"/>
          <w:sz w:val="24"/>
        </w:rPr>
        <w:t xml:space="preserve">Tại thời điểm thẩm định chúng tôi không thu thập được hồ sơ thiết kế, kỹ thuật liên quan đến việc xử lý nước thải và các văn bản đánh giá, kiểm tra của các cơ quan chức năng có liên quan đến hoạt động xử lý nước thải, bảo vệ môi trường của nhà máy.</w:t>
      </w:r>
      <w:r>
        <w:rPr>
          <w:rFonts w:ascii="Times New Roman" w:hAnsi="Times New Roman" w:eastAsia="Times New Roman" w:cs="Times New Roman"/>
          <w:sz w:val="24"/>
        </w:rPr>
      </w:r>
      <w:r/>
    </w:p>
    <w:p>
      <w:pPr>
        <w:pStyle w:val="106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Công ty Cổ phần Thẩm định và Đầu tư Tài chính Hoa Sen thẩm định giá trị thị trường của tài sản căn cứ vào những giả định quan trọng sau đây:</w:t>
      </w:r>
      <w:r/>
    </w:p>
    <w:p>
      <w:pPr>
        <w:numPr>
          <w:ilvl w:val="0"/>
          <w:numId w:val="5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5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Khách hàng và ngân hàng chỉ đề nghị xác định giá trị của những tài sản đã được chứng nhận tại Giấy chứng nhận Quyền sử dụng đất, quyền sở hữu tài sản gắn liền với đất số AA 03312583. Đối với phần Công trình xây dựng chưa được ghi nhận trên Giấy chứng nhận </w:t>
      </w:r>
      <w:r>
        <w:rPr>
          <w:rFonts w:ascii="Times New Roman" w:hAnsi="Times New Roman" w:eastAsia="Times New Roman" w:cs="Times New Roman"/>
          <w:color w:val="000000"/>
          <w:sz w:val="24"/>
        </w:rPr>
        <w:t xml:space="preserve">Quyền sử dụng đất, quyền sở hữu tài sản gắn liền với đất số AA 03312583 và chưa được cấp phép xây dựng của các cơ quan có thẩm quyền, theo đề nghị của Ngân hàng/Khách hàng, Tổ thẩm định không xác định giá trị của công trình xây dựng vào tổng giá trị, nhưng</w:t>
      </w:r>
      <w:r>
        <w:rPr>
          <w:rFonts w:ascii="Times New Roman" w:hAnsi="Times New Roman" w:eastAsia="Times New Roman" w:cs="Times New Roman"/>
          <w:color w:val="000000"/>
          <w:sz w:val="24"/>
        </w:rPr>
        <w:t xml:space="preserve"> vẫn coi đó là phần không thể tách rời của tài sản thẩm định. Yếu tố này ảnh hưởng trực tiếp giá trị của tài sản. Kính đề nghị đơn vị sử dụng kết quả lưu ý.</w:t>
      </w:r>
      <w:r/>
    </w:p>
    <w:p>
      <w:pPr>
        <w:numPr>
          <w:ilvl w:val="0"/>
          <w:numId w:val="5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u w:val="none"/>
        </w:rPr>
        <w:t xml:space="preserve">Qua quá trình khảo sát thưc tế tài sản thẩm định, Chúng tôi nhận thấy toàn bộ tài sản bao gồm các công trình nhà xưởng sản xuất và các công trình phụ trợ khác là bộ phận không tách rời và đã được chứng nhận cũng như cấp giấy phép xây dựng. Tất cả các công </w:t>
      </w:r>
      <w:r>
        <w:rPr>
          <w:rFonts w:ascii="Times New Roman" w:hAnsi="Times New Roman" w:eastAsia="Times New Roman" w:cs="Times New Roman"/>
          <w:color w:val="000000"/>
          <w:spacing w:val="-2"/>
          <w:sz w:val="24"/>
          <w:u w:val="none"/>
        </w:rPr>
        <w:t xml:space="preserve">trình đều là tài sản gắn liền với đất tại </w:t>
      </w:r>
      <w:r>
        <w:rPr>
          <w:rFonts w:ascii="Times New Roman" w:hAnsi="Times New Roman" w:eastAsia="Times New Roman" w:cs="Times New Roman"/>
          <w:color w:val="000000"/>
          <w:spacing w:val="-6"/>
          <w:sz w:val="24"/>
        </w:rPr>
        <w:t xml:space="preserve">thửa đất số 116, tờ bản đồ số 214 có địa chỉ tại: Khu công nghiệp Sóng Thần 3, Phường Bình Dương, thành phố Hồ Chí Minh theo Giấy chứng nhận Quyền sử dụng đất, quyền sở hữu tài sản gắn liền với đất số AA 03312583, số vào sổ cấp GCN: VP 403 do Văn phòng Đăn</w:t>
      </w:r>
      <w:r>
        <w:rPr>
          <w:rFonts w:ascii="Times New Roman" w:hAnsi="Times New Roman" w:eastAsia="Times New Roman" w:cs="Times New Roman"/>
          <w:color w:val="000000"/>
          <w:spacing w:val="-6"/>
          <w:sz w:val="24"/>
        </w:rPr>
        <w:t xml:space="preserve">g ký đất đai tỉnh Bình Dương cấp ngày 21/08/2025 cho Công ty TNHH Giải pháp Thi công SAKI</w:t>
      </w:r>
      <w:r>
        <w:rPr>
          <w:rFonts w:ascii="Times New Roman" w:hAnsi="Times New Roman" w:eastAsia="Times New Roman" w:cs="Times New Roman"/>
          <w:color w:val="000000"/>
          <w:spacing w:val="-2"/>
          <w:sz w:val="24"/>
        </w:rPr>
        <w:t xml:space="preserve">. Vậy nên, Chúng tôi giả định rằng: Quyền sử dụng đất thuê tại </w:t>
      </w:r>
      <w:r>
        <w:rPr>
          <w:rFonts w:ascii="Times New Roman" w:hAnsi="Times New Roman" w:eastAsia="Times New Roman" w:cs="Times New Roman"/>
          <w:color w:val="000000"/>
          <w:spacing w:val="-6"/>
          <w:sz w:val="24"/>
        </w:rPr>
        <w:t xml:space="preserve">thửa đất số 116, tờ bản đồ số 214 có địa chỉ tại: Khu công nghiệp Sóng Thần 3, Phường Bình Dương, thành phố Hồ Chí Minh theo Giấy chứng nhận Quyền sử dụng đất, quyền sở hữu tài sản gắn liền với đất số AA 03312583 </w:t>
      </w:r>
      <w:r>
        <w:rPr>
          <w:rFonts w:ascii="Times New Roman" w:hAnsi="Times New Roman" w:eastAsia="Times New Roman" w:cs="Times New Roman"/>
          <w:color w:val="000000"/>
          <w:spacing w:val="-2"/>
          <w:sz w:val="24"/>
        </w:rPr>
        <w:t xml:space="preserve">sẽ không chuyển nhượng cho chủ sở hữu mới. Tài sản gắn liền với đất tại </w:t>
      </w:r>
      <w:r>
        <w:rPr>
          <w:rFonts w:ascii="Times New Roman" w:hAnsi="Times New Roman" w:eastAsia="Times New Roman" w:cs="Times New Roman"/>
          <w:color w:val="000000"/>
          <w:spacing w:val="-6"/>
          <w:sz w:val="24"/>
        </w:rPr>
        <w:t xml:space="preserve">thửa đất số 116, tờ bản đồ số 214 có địa chỉ tại: Khu công nghiệp Sóng Thần 3, Phường Bình Dương, thành phố Hồ Chí Minh theo Giấy chứng nhận Quyền sử dụng đất, quyền sở hữu tài sản gắn liền với đất số AA 03312583 </w:t>
      </w:r>
      <w:r>
        <w:rPr>
          <w:rFonts w:ascii="Times New Roman" w:hAnsi="Times New Roman" w:eastAsia="Times New Roman" w:cs="Times New Roman"/>
          <w:color w:val="000000"/>
          <w:spacing w:val="-2"/>
          <w:sz w:val="24"/>
        </w:rPr>
        <w:t xml:space="preserve">đang được sử dụng để tiến hành các hoạt động sản xuất kinh doanh của doanh nghiệp bình thường và tiếp tục sử dụng trong suốt quá trình thuê đất của </w:t>
      </w:r>
      <w:r>
        <w:rPr>
          <w:rFonts w:ascii="Times New Roman" w:hAnsi="Times New Roman" w:eastAsia="Times New Roman" w:cs="Times New Roman"/>
          <w:color w:val="000000"/>
          <w:spacing w:val="-6"/>
          <w:sz w:val="24"/>
        </w:rPr>
        <w:t xml:space="preserve">Công ty TNHH Giải pháp Thi công SAKI</w:t>
      </w:r>
      <w:r>
        <w:rPr>
          <w:rFonts w:ascii="Times New Roman" w:hAnsi="Times New Roman" w:eastAsia="Times New Roman" w:cs="Times New Roman"/>
          <w:color w:val="000000"/>
          <w:spacing w:val="-2"/>
          <w:sz w:val="24"/>
        </w:rPr>
        <w:t xml:space="preserve"> không bị tranh chấp với bất kỳ bên nào. Sau ngày phát hành chứng thư thẩm định giá, tài sản trên bị tranh chấp hoặc Quyền sử dụng đất thuê tại </w:t>
      </w:r>
      <w:r>
        <w:rPr>
          <w:rFonts w:ascii="Times New Roman" w:hAnsi="Times New Roman" w:eastAsia="Times New Roman" w:cs="Times New Roman"/>
          <w:color w:val="000000"/>
          <w:spacing w:val="-6"/>
          <w:sz w:val="24"/>
        </w:rPr>
        <w:t xml:space="preserve">thửa đất số 116, tờ bản đồ số 214 có địa chỉ tại: Khu công nghiệp Sóng Thần 3, Phường Bình Dương, thành phố Hồ Chí Minh theo Giấy chứng nhận Quyền sử dụng đất, quyền sở hữu tài sản gắn liền với đất số AA 03312583 </w:t>
      </w:r>
      <w:r>
        <w:rPr>
          <w:rFonts w:ascii="Times New Roman" w:hAnsi="Times New Roman" w:eastAsia="Times New Roman" w:cs="Times New Roman"/>
          <w:color w:val="000000"/>
          <w:spacing w:val="-2"/>
          <w:sz w:val="24"/>
        </w:rPr>
        <w:t xml:space="preserve">nói trên được chuyển nhượng cho chủ sở hữu mới thì giá trị tài sản sẽ được thẩm định ở một cuộc thẩm định giá khác.</w:t>
      </w:r>
      <w:r/>
    </w:p>
    <w:p>
      <w:pPr>
        <w:numPr>
          <w:ilvl w:val="0"/>
          <w:numId w:val="5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giả định tại thời điểm thẩm định giá, Tài sản thẩm định giá đang hoạt động và tiếp tục sẽ được hoạt động liên tục trong tương lai với công suất, tiêu chuẩn kỹ thuật đã được đầu tư.</w:t>
      </w:r>
      <w:r/>
    </w:p>
    <w:p>
      <w:pPr>
        <w:numPr>
          <w:ilvl w:val="0"/>
          <w:numId w:val="5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u w:val="none"/>
        </w:rPr>
        <w:t xml:space="preserve">Giá trị tài sản thẩm định được xác định trong điều kiện công ty hoạt động với đầy đủ các hệ thống xử lý nước thải, khí thải, phòng cháy chữa cháy….phù hợp với điều kiện khu vực. Sau ngày phát hành chứng thư nếu vì bất kỳ lý do gì dẫn đến nhà máy dừng h</w:t>
      </w:r>
      <w:r>
        <w:rPr>
          <w:rFonts w:ascii="Times New Roman" w:hAnsi="Times New Roman" w:eastAsia="Times New Roman" w:cs="Times New Roman"/>
          <w:color w:val="000000"/>
          <w:spacing w:val="-2"/>
          <w:sz w:val="24"/>
          <w:u w:val="none"/>
        </w:rPr>
        <w:t xml:space="preserve">oạt động sẽ nằm ngoài phạm vi, trách nhiệm của Công ty Cổ phần Thẩm định và Đầu tư Tài chính Hoa Sen.</w:t>
      </w:r>
      <w:r>
        <w:rPr>
          <w:rFonts w:ascii="Times New Roman" w:hAnsi="Times New Roman" w:eastAsia="Times New Roman" w:cs="Times New Roman"/>
          <w:sz w:val="24"/>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b/>
          <w:color w:val="000000"/>
          <w:sz w:val="24"/>
        </w:rPr>
        <w:t xml:space="preserve">Giá trị đầu tư</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“Giá trị đầu tư là số tiền ước tính tại thời điểm thẩm định giá của một tài sản đối với một chủ sở hữu cụ thể hoặc chủ sở hữu tiềm năng cho hoạt động đầu tư cụ thể hoặc các mục đích hoạt động cụ thể. Giá trị đầu tư là cơ sở giá trị có tính đặc thù cho một </w:t>
      </w:r>
      <w:r>
        <w:rPr>
          <w:rFonts w:ascii="Times New Roman" w:hAnsi="Times New Roman" w:eastAsia="Times New Roman" w:cs="Times New Roman"/>
          <w:i/>
          <w:color w:val="000000"/>
          <w:sz w:val="24"/>
        </w:rPr>
        <w:t xml:space="preserve">đối tượng cụ thể. Cơ sở giá trị này phản ánh những lợi ích mà chủ sở hữu này nhận được từ việc nắm giữ tài sản đó. Giá trị đầu tư thường phản ánh các tình huống và mục tiêu tài chính của đối tượng cụ thể mà việc thẩm định giá hướng đến. Giá trị đầu tư cũng</w:t>
      </w:r>
      <w:r>
        <w:rPr>
          <w:rFonts w:ascii="Times New Roman" w:hAnsi="Times New Roman" w:eastAsia="Times New Roman" w:cs="Times New Roman"/>
          <w:i/>
          <w:color w:val="000000"/>
          <w:sz w:val="24"/>
        </w:rPr>
        <w:t xml:space="preserve"> thường được sử dụng để đo lường hiệu quả đầu tư”</w:t>
      </w:r>
      <w:r>
        <w:rPr>
          <w:rFonts w:ascii="Times New Roman" w:hAnsi="Times New Roman" w:eastAsia="Times New Roman" w:cs="Times New Roman"/>
          <w:color w:val="000000"/>
          <w:sz w:val="24"/>
        </w:rPr>
        <w:t xml:space="preserve">. </w:t>
      </w: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b/>
          <w:color w:val="000000"/>
          <w:sz w:val="24"/>
        </w:rPr>
        <w:t xml:space="preserve">Giá trị ngang bằng:</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“Giá trị ngang bằng là mức giá ước tính cho việc chuyển nhượng của tài sản giữa hai bên đã được xác định cụ thể, có hiểu biết và sẵn sàng mua bán tại địa điểm, thời điểm thẩm định giá; mức giá này phản ánh lợi ích tương ứng của các bên. Giá trị ngang bằng </w:t>
      </w:r>
      <w:r>
        <w:rPr>
          <w:rFonts w:ascii="Times New Roman" w:hAnsi="Times New Roman" w:eastAsia="Times New Roman" w:cs="Times New Roman"/>
          <w:i/>
          <w:color w:val="000000"/>
          <w:sz w:val="24"/>
        </w:rPr>
        <w:t xml:space="preserve">yêu cầu đánh giá mức giá hợp lý giữa hai bên cụ thể, xác định có tính đến các lợi thế và bất lợi tương ứng mà mỗi bên sẽ có được khi thực hiện giao dịch”</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6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6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6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6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6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6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6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6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6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6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6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6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450"/>
        <w:gridCol w:w="2126"/>
        <w:gridCol w:w="1751"/>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450"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50"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26"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sz w:val="22"/>
                <w:szCs w:val="22"/>
              </w:rPr>
            </w:pPr>
            <w:r>
              <w:rPr>
                <w:color w:val="000000" w:themeColor="text1"/>
                <w:sz w:val="22"/>
                <w:szCs w:val="22"/>
              </w:rPr>
              <w:t xml:space="preserve">KCN Sóng Thần 3, Phường Bình Dương,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Điện Biên Phủ, Phường Bình Dương,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N11, Phường Bình Dương,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Bình Dương, Thành phố Hồ Chí Minh</w:t>
            </w:r>
            <w:r>
              <w:rPr>
                <w:sz w:val="22"/>
                <w:szCs w:val="22"/>
              </w:rPr>
            </w:r>
            <w:r>
              <w:rPr>
                <w:sz w:val="22"/>
                <w:szCs w:val="22"/>
              </w:rPr>
            </w:r>
          </w:p>
        </w:tc>
      </w:tr>
      <w:tr>
        <w:trPr>
          <w:trHeight w:val="218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https://namphaticd.com.vn/san-pham/ban-dat-40000m2-tai-khu-cong-nghiep-song-than-3-binh-duong/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https://batdongsan.com.vn/ban-kho-nha-xuong-phuong-phu-tan/ban-trong-kcn-st-3-dien-tich-vp-cong-trinh-3800m2-gia-66-ty-thuong-luong-pr44100060</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0981455750</w:t>
            </w:r>
            <w:r>
              <w:rPr>
                <w:sz w:val="22"/>
                <w:szCs w:val="22"/>
              </w:rPr>
              <w:t xml:space="preserve"> </w:t>
            </w:r>
            <w:r>
              <w:rPr>
                <w:sz w:val="22"/>
                <w:szCs w:val="22"/>
              </w:rPr>
              <w:br/>
              <w:t xml:space="preserve">(</w:t>
            </w:r>
            <w:r>
              <w:rPr>
                <w:sz w:val="22"/>
                <w:szCs w:val="22"/>
              </w:rPr>
              <w:t xml:space="preserve">Nam Phát ICD</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0974661686</w:t>
            </w:r>
            <w:r>
              <w:rPr>
                <w:sz w:val="22"/>
                <w:szCs w:val="22"/>
              </w:rPr>
              <w:br/>
            </w:r>
            <w:r>
              <w:rPr>
                <w:sz w:val="22"/>
                <w:szCs w:val="22"/>
              </w:rPr>
              <w:t xml:space="preserve">(</w:t>
            </w:r>
            <w:r>
              <w:rPr>
                <w:sz w:val="22"/>
                <w:szCs w:val="22"/>
              </w:rPr>
              <w:t xml:space="preserve">Nguyễn thanh Bình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0348222778</w:t>
            </w:r>
            <w:r>
              <w:rPr>
                <w:sz w:val="22"/>
                <w:szCs w:val="22"/>
              </w:rPr>
              <w:br/>
            </w:r>
            <w:r>
              <w:rPr>
                <w:sz w:val="22"/>
                <w:szCs w:val="22"/>
              </w:rPr>
              <w:t xml:space="preserve">(</w:t>
            </w:r>
            <w:r>
              <w:rPr>
                <w:sz w:val="22"/>
                <w:szCs w:val="22"/>
              </w:rPr>
              <w:t xml:space="preserve">Phan Tiến Dũng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rFonts w:ascii="Times New Roman" w:hAnsi="Times New Roman" w:eastAsia="Times New Roman" w:cs="Times New Roman"/>
                <w:color w:val="000000"/>
                <w:sz w:val="22"/>
              </w:rPr>
              <w:t xml:space="preserve"> Giao dịch bình thường trên thị trường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rFonts w:ascii="Times New Roman" w:hAnsi="Times New Roman" w:eastAsia="Times New Roman" w:cs="Times New Roman"/>
                <w:color w:val="000000"/>
                <w:sz w:val="22"/>
              </w:rPr>
              <w:t xml:space="preserve"> Giao dịch bình thường trên thị trường </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rFonts w:ascii="Times New Roman" w:hAnsi="Times New Roman" w:eastAsia="Times New Roman" w:cs="Times New Roman"/>
                <w:color w:val="000000"/>
                <w:sz w:val="22"/>
              </w:rPr>
              <w:t xml:space="preserve"> Giao dịch bình thường trên thị trường </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t xml:space="preserve">Đất khu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Đất khu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khu công nghiệp</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 ( đến 31/12/2055)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 (đến 30/11/2055)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 (đến 31/12/2063)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 (đến 30/12/2055)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KCN Sóng Thần 3, Phường Bình Dương, Thành phố Hồ Chí Minh, độ rộng đường trước mặt tài sản 17m, mặt tiền 178.8m, 11.0314654, 106.702382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Điện Biên Phủ, Phường Bình Dương, Thành phố Hồ Chí Minh, độ rộng đường trước mặt tài sản 17,6m, mặt tiền 190.38m, 11.0370558400703, 106.69479856281545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N11, Phường Bình Dương, Thành phố Hồ Chí Minh, đường N11, độ rộng đường trước mặt tài sản 24m, mặt tiền 90,5m, 11.008213863845189, 106.68874301886596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Bình Dương, Thành phố Hồ Chí Minh, đường Nằm trong KCN Sóng thần 3, độ rộng đường trước mặt tài sản 17,6m, mặt tiền 27m, 11.036321048842641, 106.69481011310177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17m + vỉa hè</w:t>
            </w: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17m + vỉa hè</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24m</w:t>
            </w:r>
            <w:r>
              <w:rPr>
                <w:rFonts w:ascii="Times New Roman" w:hAnsi="Times New Roman" w:eastAsia="Times New Roman" w:cs="Times New Roman"/>
                <w:color w:val="000000"/>
                <w:sz w:val="22"/>
              </w:rPr>
              <w:t xml:space="preserve">+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17m + vỉa hè</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t xml:space="preserve">30.959,7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40.000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t xml:space="preserve">178,8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190,38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t xml:space="preserve">173,15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210,11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198,9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222,22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3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b w:val="0"/>
                <w:bCs w:val="0"/>
                <w:color w:val="000000"/>
                <w:sz w:val="22"/>
                <w:szCs w:val="22"/>
              </w:rPr>
            </w:pPr>
            <w:r>
              <w:rPr>
                <w:b w:val="0"/>
                <w:bCs w:val="0"/>
                <w:color w:val="000000"/>
                <w:sz w:val="22"/>
                <w:szCs w:val="22"/>
              </w:rPr>
            </w:r>
            <w:r>
              <w:rPr>
                <w:rFonts w:ascii="Times New Roman" w:hAnsi="Times New Roman" w:eastAsia="Times New Roman" w:cs="Times New Roman"/>
                <w:b w:val="0"/>
                <w:bCs w:val="0"/>
                <w:color w:val="000000"/>
                <w:sz w:val="22"/>
              </w:rPr>
              <w:t xml:space="preserve">Đường đâm vào đất</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val="0"/>
                <w:bCs w:val="0"/>
                <w:color w:val="000000"/>
                <w:sz w:val="22"/>
                <w:szCs w:val="22"/>
              </w:rPr>
            </w:pPr>
            <w:r>
              <w:rPr>
                <w:b w:val="0"/>
                <w:bCs w:val="0"/>
                <w:color w:val="000000" w:themeColor="text1"/>
                <w:sz w:val="22"/>
                <w:szCs w:val="22"/>
              </w:rPr>
            </w:r>
            <w:r>
              <w:rPr>
                <w:rFonts w:ascii="Times New Roman" w:hAnsi="Times New Roman" w:eastAsia="Times New Roman" w:cs="Times New Roman"/>
                <w:b w:val="0"/>
                <w:bCs w:val="0"/>
                <w:color w:val="000000"/>
                <w:sz w:val="22"/>
              </w:rPr>
              <w:t xml:space="preserve">Không lỗi phong thủy</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val="0"/>
                <w:bCs w:val="0"/>
                <w:color w:val="000000"/>
                <w:sz w:val="22"/>
                <w:szCs w:val="22"/>
              </w:rPr>
            </w:pPr>
            <w:r>
              <w:rPr>
                <w:b w:val="0"/>
                <w:bCs w:val="0"/>
                <w:color w:val="000000" w:themeColor="text1"/>
                <w:sz w:val="22"/>
                <w:szCs w:val="22"/>
              </w:rPr>
            </w:r>
            <w:r>
              <w:rPr>
                <w:rFonts w:ascii="Times New Roman" w:hAnsi="Times New Roman" w:eastAsia="Times New Roman" w:cs="Times New Roman"/>
                <w:b w:val="0"/>
                <w:bCs w:val="0"/>
                <w:color w:val="000000"/>
                <w:sz w:val="22"/>
              </w:rPr>
              <w:t xml:space="preserve">Không lỗi phong thủy</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val="0"/>
                <w:bCs w:val="0"/>
                <w:color w:val="000000"/>
                <w:sz w:val="22"/>
                <w:szCs w:val="22"/>
              </w:rPr>
            </w:pPr>
            <w:r>
              <w:rPr>
                <w:b w:val="0"/>
                <w:bCs w:val="0"/>
                <w:color w:val="000000" w:themeColor="text1"/>
                <w:sz w:val="22"/>
                <w:szCs w:val="22"/>
              </w:rPr>
            </w:r>
            <w:r>
              <w:rPr>
                <w:rFonts w:ascii="Times New Roman" w:hAnsi="Times New Roman" w:eastAsia="Times New Roman" w:cs="Times New Roman"/>
                <w:b w:val="0"/>
                <w:bCs w:val="0"/>
                <w:color w:val="000000"/>
                <w:sz w:val="22"/>
              </w:rPr>
              <w:t xml:space="preserve">Không lỗi phong thủy</w:t>
            </w:r>
            <w:r>
              <w:rPr>
                <w:b w:val="0"/>
                <w:bCs w:val="0"/>
                <w:color w:val="000000"/>
                <w:sz w:val="22"/>
                <w:szCs w:val="22"/>
              </w:rPr>
            </w:r>
            <w:r>
              <w:rPr>
                <w:b w:val="0"/>
                <w:bCs w:val="0"/>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275.246.400.000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225.000.000.000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233.959.440.000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184.500.000.000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46.463.277.300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9.462.182.400</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1. 4.843.591</w:t>
              <w:br/>
              <w:t xml:space="preserve">2. 7.974.327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1. 5.951.687</w:t>
              <w:br/>
              <w:t xml:space="preserve">2. 2.989.273</w:t>
              <w:br/>
              <w:t xml:space="preserve">3. 7.974.327</w:t>
              <w:b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 100 %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233.959.440.000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138.036.722.700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41.537.817.600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tcPr>
          <w:p>
            <w:pPr>
              <w:pBdr/>
              <w:spacing/>
              <w:ind/>
              <w:jc w:val="center"/>
              <w:rPr>
                <w:color w:val="000000"/>
                <w:sz w:val="22"/>
                <w:szCs w:val="22"/>
              </w:rPr>
            </w:pPr>
            <w:r>
              <w:rPr>
                <w:color w:val="000000" w:themeColor="text1"/>
                <w:sz w:val="22"/>
                <w:szCs w:val="22"/>
              </w:rPr>
              <w:t xml:space="preserve">5.848.986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7.668.707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6.922.970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50"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6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420"/>
        <w:gridCol w:w="1701"/>
        <w:gridCol w:w="1445"/>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233.959.440.000</w:t>
            </w:r>
            <w:r>
              <w:rPr>
                <w:color w:val="000000"/>
                <w:sz w:val="20"/>
                <w:szCs w:val="20"/>
              </w:rPr>
            </w:r>
            <w:r>
              <w:rPr>
                <w:color w:val="000000"/>
                <w:sz w:val="20"/>
                <w:szCs w:val="20"/>
              </w:rPr>
            </w:r>
          </w:p>
        </w:tc>
        <w:tc>
          <w:tcPr>
            <w:shd w:val="clear" w:color="000000" w:fill="ffffff"/>
            <w:tcBorders/>
            <w:tcW w:w="1445" w:type="dxa"/>
            <w:vAlign w:val="center"/>
            <w:textDirection w:val="lrTb"/>
            <w:noWrap w:val="false"/>
          </w:tcPr>
          <w:p>
            <w:pPr>
              <w:pBdr/>
              <w:spacing/>
              <w:ind/>
              <w:jc w:val="center"/>
              <w:rPr>
                <w:color w:val="000000"/>
                <w:sz w:val="20"/>
                <w:szCs w:val="20"/>
              </w:rPr>
            </w:pPr>
            <w:r>
              <w:rPr>
                <w:color w:val="000000" w:themeColor="text1"/>
                <w:sz w:val="22"/>
                <w:szCs w:val="22"/>
              </w:rPr>
              <w:t xml:space="preserve">138.036.722.700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41.537.817.600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5.848.986</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7.668.707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6.922.970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4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5.848.986</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7.668.707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6.922.970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khu công nghiệp</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khu công nghiệp</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khu công nghiệp</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5.848.986</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7.668.707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6.922.970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thời hạn</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khu công nghiệp – Có thời hạn (đến 30/11/2055, 29 năm)</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cụm công nghiệp – Có thời hạn (đến 31/12/2063, 37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khu công nghiệp – Có thời hạn (đến 30/12/2055, 29 năm)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-766.871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5.848.986</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6.901.836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6.922.970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KCN Sóng Thần 3, Phường Bình Dương, Thành phố Hồ Chí Minh, độ rộng đường trước mặt tài sản 17m, mặt tiền 178.8m, 11.0314654, 106.702382</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Điện Biên Phủ, Phường Bình Dương, Thành phố Hồ Chí Minh, độ rộng đường trước mặt tài sản 17.6m, mặt tiền 190.38m, 11.0370558400703, 106.69479856281545</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N11, Phường Bình Dương, Thành phố Hồ Chí Minh, đường N11, độ rộng đường trước mặt tài sản 24m, mặt tiền 90.5m, 11.008213863845189, 106.68874301886596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Bình Dương, Thành phố Hồ Chí Minh, đường Nằm trong KCN Sóng thần 3, độ rộng đường trước mặt tài sản 17.6m, mặt tiền 27m, 11.036321048842641, 106.69481011310177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5.848.986</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6.901.836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6.922.970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5.848.986</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6.901.836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6.922.970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17</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17</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-613.497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5.848.986</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6.288.339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6.922.970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30.959,7</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40.000</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18.000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877.348</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-920.245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-1.384.594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6.726.334</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5.368.094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5.538.376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178,8</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190,38</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90,5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-175.470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1.533.741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1.038.446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6.550.864</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6.901.835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6.576.822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173,15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210,11</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198,9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222,22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6.550.864</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6.901.835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6.576.822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3 mặt đường, phố</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-584.899</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536.809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484.608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5.965.965</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7.438.644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7.061.430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5.965.965</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7.438.644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7.061.430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r>
            <w:r>
              <w:rPr>
                <w:rFonts w:ascii="Times New Roman" w:hAnsi="Times New Roman" w:eastAsia="Times New Roman" w:cs="Times New Roman"/>
                <w:b/>
                <w:color w:val="000000"/>
                <w:sz w:val="22"/>
              </w:rPr>
              <w:t xml:space="preserve">Đường đâm vào đất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r>
            <w:r>
              <w:rPr>
                <w:rFonts w:ascii="Times New Roman" w:hAnsi="Times New Roman" w:eastAsia="Times New Roman" w:cs="Times New Roman"/>
                <w:b/>
                <w:color w:val="000000"/>
                <w:sz w:val="22"/>
              </w:rPr>
              <w:t xml:space="preserve">Không lỗi phong thủy</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r>
            <w:r>
              <w:rPr>
                <w:rFonts w:ascii="Times New Roman" w:hAnsi="Times New Roman" w:eastAsia="Times New Roman" w:cs="Times New Roman"/>
                <w:b/>
                <w:color w:val="000000"/>
                <w:sz w:val="22"/>
              </w:rPr>
              <w:t xml:space="preserve">Không lỗi phong thủy</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rFonts w:ascii="Times New Roman" w:hAnsi="Times New Roman" w:eastAsia="Times New Roman" w:cs="Times New Roman"/>
                <w:b/>
                <w:color w:val="000000"/>
                <w:sz w:val="22"/>
              </w:rPr>
              <w:t xml:space="preserve">Không lỗi phong thủy</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-292.449</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-383.435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-346.149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5.673.516</w:t>
            </w:r>
            <w:r>
              <w:rPr>
                <w:color w:val="000000"/>
                <w:sz w:val="22"/>
                <w:szCs w:val="22"/>
              </w:rPr>
            </w:r>
            <w:r>
              <w:rPr>
                <w:color w:val="000000"/>
                <w:sz w:val="22"/>
                <w:szCs w:val="22"/>
              </w:rPr>
            </w:r>
          </w:p>
        </w:tc>
        <w:tc>
          <w:tcPr>
            <w:shd w:val="clear" w:color="000000" w:fill="ffffff"/>
            <w:tcBorders/>
            <w:tcW w:w="1445" w:type="dxa"/>
            <w:vAlign w:val="center"/>
            <w:textDirection w:val="lrTb"/>
            <w:noWrap/>
          </w:tcPr>
          <w:p>
            <w:pPr>
              <w:pBdr/>
              <w:spacing/>
              <w:ind/>
              <w:jc w:val="center"/>
              <w:rPr>
                <w:color w:val="000000"/>
                <w:sz w:val="22"/>
                <w:szCs w:val="22"/>
              </w:rPr>
            </w:pPr>
            <w:r>
              <w:rPr>
                <w:color w:val="000000" w:themeColor="text1"/>
                <w:sz w:val="22"/>
                <w:szCs w:val="22"/>
              </w:rPr>
              <w:t xml:space="preserve">7.055.209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6.715.281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20"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5.673.516</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7.055.209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6.715.281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66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6.481.335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-12.46%</w:t>
            </w:r>
            <w:r>
              <w:rPr>
                <w:color w:val="000000"/>
                <w:sz w:val="22"/>
                <w:szCs w:val="22"/>
              </w:rPr>
            </w:r>
            <w:r>
              <w:rPr>
                <w:color w:val="000000"/>
                <w:sz w:val="22"/>
                <w:szCs w:val="22"/>
              </w:rPr>
            </w:r>
          </w:p>
        </w:tc>
        <w:tc>
          <w:tcPr>
            <w:shd w:val="clear" w:color="000000" w:fill="ffffff"/>
            <w:tcBorders/>
            <w:tcW w:w="1445" w:type="dxa"/>
            <w:vAlign w:val="center"/>
            <w:textDirection w:val="lrTb"/>
            <w:noWrap w:val="false"/>
          </w:tcPr>
          <w:p>
            <w:pPr>
              <w:pBdr/>
              <w:spacing/>
              <w:ind/>
              <w:jc w:val="center"/>
              <w:rPr>
                <w:color w:val="000000"/>
                <w:sz w:val="22"/>
                <w:szCs w:val="22"/>
              </w:rPr>
            </w:pPr>
            <w:r>
              <w:rPr>
                <w:color w:val="000000" w:themeColor="text1"/>
                <w:sz w:val="22"/>
                <w:szCs w:val="22"/>
              </w:rPr>
              <w:t xml:space="preserve">8.85%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1.930.166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45" w:type="dxa"/>
            <w:vAlign w:val="center"/>
            <w:textDirection w:val="lrTb"/>
            <w:noWrap w:val="false"/>
          </w:tcPr>
          <w:p>
            <w:pPr>
              <w:pBdr/>
              <w:spacing/>
              <w:ind/>
              <w:jc w:val="center"/>
              <w:rPr>
                <w:b/>
                <w:bCs/>
                <w:color w:val="000000"/>
                <w:sz w:val="22"/>
                <w:szCs w:val="22"/>
              </w:rPr>
            </w:pPr>
            <w:r>
              <w:rPr>
                <w:color w:val="000000" w:themeColor="text1"/>
                <w:sz w:val="22"/>
                <w:szCs w:val="22"/>
              </w:rPr>
              <w:t xml:space="preserve">4.754.598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3.253.797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445"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445"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175.470</w:t>
            </w:r>
            <w:r>
              <w:rPr>
                <w:sz w:val="22"/>
                <w:szCs w:val="22"/>
              </w:rPr>
            </w:r>
            <w:r>
              <w:rPr>
                <w:sz w:val="22"/>
                <w:szCs w:val="22"/>
              </w:rPr>
            </w:r>
          </w:p>
        </w:tc>
        <w:tc>
          <w:tcPr>
            <w:shd w:val="clear" w:color="000000" w:fill="ffffff"/>
            <w:tcBorders/>
            <w:tcW w:w="1445" w:type="dxa"/>
            <w:vAlign w:val="center"/>
            <w:textDirection w:val="lrTb"/>
            <w:noWrap/>
          </w:tcPr>
          <w:p>
            <w:pPr>
              <w:pBdr/>
              <w:spacing/>
              <w:ind/>
              <w:jc w:val="center"/>
              <w:rPr>
                <w:sz w:val="22"/>
                <w:szCs w:val="22"/>
              </w:rPr>
            </w:pPr>
            <w:r>
              <w:rPr>
                <w:color w:val="000000" w:themeColor="text1"/>
                <w:sz w:val="22"/>
                <w:szCs w:val="22"/>
              </w:rPr>
              <w:t xml:space="preserve">613.498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207.689</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-12.46</w:t>
      </w:r>
      <w:r>
        <w:t xml:space="preserve">% đến </w:t>
      </w:r>
      <w:r>
        <w:t xml:space="preserve">8.85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5.673.516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1.891.550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7.055.209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2.351.501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6.715.281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2.238.203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6.481.254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6.500.000</w:t>
            </w:r>
            <w:r>
              <w:rPr>
                <w:b/>
                <w:bCs/>
                <w:color w:val="000000"/>
              </w:rPr>
            </w:r>
            <w:r>
              <w:rPr>
                <w:b/>
                <w:bCs/>
                <w:color w:val="000000"/>
              </w:rPr>
            </w:r>
          </w:p>
        </w:tc>
      </w:tr>
    </w:tbl>
    <w:p>
      <w:pPr>
        <w:pBdr/>
        <w:spacing w:after="120" w:before="120" w:line="276" w:lineRule="auto"/>
        <w:ind/>
        <w:jc w:val="both"/>
        <w:rPr>
          <w:b/>
          <w:bCs/>
          <w:highlight w:val="none"/>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6.500.000</w:t>
      </w:r>
      <w:r>
        <w:rPr>
          <w:b/>
          <w:bCs/>
          <w:color w:val="000000" w:themeColor="text1"/>
        </w:rPr>
        <w:t xml:space="preserve"> </w:t>
      </w:r>
      <w:r>
        <w:rPr>
          <w:b/>
          <w:bCs/>
        </w:rPr>
        <w:t xml:space="preserve">đồng/m².</w:t>
      </w:r>
      <w:r>
        <w:rPr>
          <w:b/>
          <w:bCs/>
          <w:highlight w:val="none"/>
        </w:rPr>
      </w:r>
      <w:r>
        <w:rPr>
          <w:b/>
          <w:bCs/>
          <w:highlight w:val="none"/>
        </w:rPr>
      </w:r>
    </w:p>
    <w:p>
      <w:pPr>
        <w:pBdr/>
        <w:spacing w:after="120" w:before="120" w:line="276" w:lineRule="auto"/>
        <w:ind/>
        <w:jc w:val="both"/>
        <w:rPr>
          <w:b/>
          <w:bCs/>
        </w:rPr>
      </w:pPr>
      <w:r>
        <w:rPr>
          <w:b/>
          <w:bCs/>
          <w:highlight w:val="none"/>
        </w:rPr>
      </w:r>
      <w:r>
        <w:rPr>
          <w:b/>
          <w:bCs/>
        </w:rPr>
      </w:r>
      <w:r>
        <w:rPr>
          <w:b/>
          <w:bCs/>
        </w:rPr>
      </w:r>
    </w:p>
    <w:p>
      <w:pPr>
        <w:pStyle w:val="1065"/>
        <w:numPr>
          <w:ilvl w:val="0"/>
          <w:numId w:val="26"/>
        </w:numPr>
        <w:pBdr/>
        <w:spacing w:after="120" w:before="120" w:line="276" w:lineRule="auto"/>
        <w:ind w:hanging="357" w:left="357"/>
        <w:jc w:val="both"/>
        <w:rPr>
          <w:b/>
          <w:bCs/>
          <w:color w:val="ff0000"/>
        </w:rPr>
      </w:pPr>
      <w:r>
        <w:rPr>
          <w:b/>
          <w:bCs/>
          <w:color w:val="ff0000"/>
        </w:rPr>
      </w:r>
      <w:r>
        <w:rPr>
          <w:rFonts w:ascii="Times New Roman" w:hAnsi="Times New Roman" w:eastAsia="Times New Roman" w:cs="Times New Roman"/>
          <w:b/>
          <w:color w:val="000000"/>
          <w:sz w:val="24"/>
        </w:rPr>
        <w:t xml:space="preserve">Xác định giá trị tài sản là Công trình xây dựng gắn liền với đất</w:t>
      </w:r>
      <w:r>
        <w:rPr>
          <w:b/>
          <w:bCs/>
          <w:color w:val="ff0000"/>
        </w:rPr>
      </w:r>
      <w:r>
        <w:rPr>
          <w:b/>
          <w:bCs/>
          <w:color w:val="ff0000"/>
        </w:rPr>
      </w:r>
    </w:p>
    <w:p>
      <w:pPr>
        <w:pBdr>
          <w:top w:val="none" w:color="000000" w:sz="4" w:space="0"/>
          <w:left w:val="none" w:color="000000" w:sz="4" w:space="0"/>
          <w:bottom w:val="none" w:color="000000" w:sz="4" w:space="0"/>
          <w:right w:val="none" w:color="000000" w:sz="4" w:space="0"/>
        </w:pBdr>
        <w:tabs>
          <w:tab w:val="left" w:leader="none" w:pos="993"/>
        </w:tabs>
        <w:spacing w:after="40" w:before="40" w:line="380" w:lineRule="atLeast"/>
        <w:ind w:right="0" w:firstLine="0" w:left="360"/>
        <w:jc w:val="both"/>
        <w:rPr/>
      </w:pPr>
      <w:r>
        <w:rPr>
          <w:rFonts w:ascii="Times New Roman" w:hAnsi="Times New Roman" w:eastAsia="Times New Roman" w:cs="Times New Roman"/>
          <w:color w:val="000000"/>
          <w:sz w:val="24"/>
        </w:rPr>
        <w:t xml:space="preserve">Trên cơ sở tham khảo và phân tích tài sản, thẩm định viên lựa chọn phương pháp chi phí thay thế để tính giá trị công trình xây dựng như sau:</w:t>
      </w:r>
      <w:r/>
    </w:p>
    <w:p>
      <w:pPr>
        <w:pBdr>
          <w:top w:val="none" w:color="000000" w:sz="4" w:space="0"/>
          <w:left w:val="none" w:color="000000" w:sz="4" w:space="0"/>
          <w:bottom w:val="none" w:color="000000" w:sz="4" w:space="0"/>
          <w:right w:val="none" w:color="000000" w:sz="4" w:space="0"/>
        </w:pBdr>
        <w:tabs>
          <w:tab w:val="left" w:leader="none" w:pos="993"/>
        </w:tabs>
        <w:spacing w:after="40" w:before="40" w:line="380" w:lineRule="atLeast"/>
        <w:ind w:right="0" w:firstLine="0" w:left="360"/>
        <w:jc w:val="both"/>
        <w:rPr/>
      </w:pPr>
      <w:r>
        <w:rPr>
          <w:rFonts w:ascii="Times New Roman" w:hAnsi="Times New Roman" w:eastAsia="Times New Roman" w:cs="Times New Roman"/>
          <w:color w:val="000000"/>
          <w:sz w:val="24"/>
        </w:rPr>
        <w:t xml:space="preserve">Theo phương pháp chi phí thay thế đã được đề cập ở trên, giá trị tài sản được tính theo công thức: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Giá trị tài sản = Chi phí thay thế - Tổng giá trị hao mòn = Chi phí thay thế x (1- tỷ lệ hao mòn)= Chi phí thay thế x Tỷ lệ chất lượng còn lại</w:t>
      </w:r>
      <w:r/>
    </w:p>
    <w:p>
      <w:pPr>
        <w:numPr>
          <w:ilvl w:val="0"/>
          <w:numId w:val="58"/>
        </w:num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jc w:val="both"/>
        <w:rPr/>
      </w:pPr>
      <w:r>
        <w:rPr>
          <w:rFonts w:ascii="Times New Roman" w:hAnsi="Times New Roman" w:eastAsia="Times New Roman" w:cs="Times New Roman"/>
          <w:b/>
          <w:i/>
          <w:color w:val="000000"/>
          <w:sz w:val="24"/>
        </w:rPr>
        <w:t xml:space="preserve">Chi phí thay thế CTXD được xác định theo công thức sau: </w:t>
      </w:r>
      <w:r/>
    </w:p>
    <w:p>
      <w:pPr>
        <w:pBdr>
          <w:top w:val="none" w:color="000000" w:sz="4" w:space="0"/>
          <w:left w:val="none" w:color="000000" w:sz="4" w:space="0"/>
          <w:bottom w:val="none" w:color="000000" w:sz="4" w:space="0"/>
          <w:right w:val="none" w:color="000000" w:sz="4" w:space="0"/>
        </w:pBdr>
        <w:spacing w:after="60" w:before="60" w:line="276" w:lineRule="auto"/>
        <w:ind w:right="0" w:firstLine="0" w:left="720"/>
        <w:jc w:val="center"/>
        <w:rPr/>
      </w:pPr>
      <w:r>
        <w:rPr>
          <w:rFonts w:ascii="Times New Roman" w:hAnsi="Times New Roman" w:eastAsia="Times New Roman" w:cs="Times New Roman"/>
          <w:b/>
          <w:i/>
          <w:color w:val="000000"/>
          <w:sz w:val="24"/>
        </w:rPr>
        <w:t xml:space="preserve">Chi phí thay thế = Diện tích sàn x Đơn giá xây dựng x Hệ số vùng/(1+ Thuế suất thuế GTGT)</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hanging="284" w:left="284"/>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  Đơn giá xây dựng được áp dụng theo Quyết định số 45/2024/QĐ-UBND ngày 18/10/2024 của Ủy ban nhân dân tỉnh Bình Dương về việc về việc Ban hành quy định về đơn giá bồi thường thiệt hại thực tế về nhà, nhà ở, công trình xây dựng gắn liền với đất và q</w:t>
      </w:r>
      <w:r>
        <w:rPr>
          <w:rFonts w:ascii="Times New Roman" w:hAnsi="Times New Roman" w:eastAsia="Times New Roman" w:cs="Times New Roman"/>
          <w:color w:val="000000"/>
          <w:sz w:val="24"/>
        </w:rPr>
        <w:t xml:space="preserve">uy định mức bồi thường chi phí di chuyển tài sản khi Nhà nước thu hồi đất trên địa bàn tỉnh Bình Dương.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hanging="284" w:left="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hanging="284" w:left="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hanging="284" w:left="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hanging="284" w:left="284"/>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bl>
      <w:tblPr>
        <w:tblStyle w:val="1069"/>
        <w:tblInd w:w="-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493"/>
        <w:gridCol w:w="2850"/>
        <w:gridCol w:w="1255"/>
        <w:gridCol w:w="9888"/>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Hạng mục</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Đơn giá</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8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1"/>
              </w:rPr>
              <w:t xml:space="preserve">Ghi chú đơn giá áp dụng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1"/>
              </w:rPr>
              <w:t xml:space="preserve">(</w:t>
            </w:r>
            <w:r>
              <w:rPr>
                <w:rFonts w:ascii="Times New Roman" w:hAnsi="Times New Roman" w:eastAsia="Times New Roman" w:cs="Times New Roman"/>
                <w:b/>
                <w:i/>
                <w:color w:val="000000"/>
                <w:sz w:val="24"/>
              </w:rPr>
              <w:t xml:space="preserve">Áp dụng theo Quyết định số 45/2024/QĐ-UBND ngày 18/10/2024 của UBND tỉnh Bình Dương)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I</w:t>
            </w:r>
            <w:r/>
          </w:p>
        </w:tc>
        <w:tc>
          <w:tcPr>
            <w:gridSpan w:val="3"/>
            <w:tcBorders>
              <w:bottom w:val="single" w:color="000000" w:sz="8" w:space="0"/>
              <w:right w:val="single" w:color="000000" w:sz="8" w:space="0"/>
            </w:tcBorders>
            <w:tcMar>
              <w:left w:w="108" w:type="dxa"/>
              <w:top w:w="0" w:type="dxa"/>
              <w:right w:w="108" w:type="dxa"/>
              <w:bottom w:w="0" w:type="dxa"/>
            </w:tcMar>
            <w:tcW w:w="13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pacing w:val="-6"/>
                <w:sz w:val="24"/>
              </w:rPr>
              <w:t xml:space="preserve">Tài sản gắn liền với đất tại thửa đất số 116, tờ bản đồ số 214 có địa chỉ tại: Khu công nghiệp Sóng Thần 3, Phường Bình Dương, thành phố Hồ Chí Minh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Nhà xưởng 2</w:t>
            </w:r>
            <w:r/>
          </w:p>
        </w:tc>
        <w:tc>
          <w:tcPr>
            <w:tcBorders>
              <w:bottom w:val="single" w:color="000000" w:sz="8" w:space="0"/>
              <w:right w:val="single" w:color="000000" w:sz="8" w:space="0"/>
            </w:tcBorders>
            <w:tcMar>
              <w:left w:w="108" w:type="dxa"/>
              <w:top w:w="0" w:type="dxa"/>
              <w:right w:w="108" w:type="dxa"/>
              <w:bottom w:w="0" w:type="dxa"/>
            </w:tcMar>
            <w:tcW w:w="12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3.240.000</w:t>
            </w:r>
            <w:r/>
          </w:p>
        </w:tc>
        <w:tc>
          <w:tcPr>
            <w:tcBorders>
              <w:bottom w:val="single" w:color="000000" w:sz="8" w:space="0"/>
              <w:right w:val="single" w:color="000000" w:sz="8" w:space="0"/>
            </w:tcBorders>
            <w:tcMar>
              <w:left w:w="108" w:type="dxa"/>
              <w:top w:w="0" w:type="dxa"/>
              <w:right w:w="108" w:type="dxa"/>
              <w:bottom w:w="0" w:type="dxa"/>
            </w:tcMar>
            <w:tcW w:w="98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STT E.1. Phụ lục 01 QĐ số 45/2024/QĐ-UBND ngày 18/10/2024 của UBND tỉnh Bình Dương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Nhà xưởng 3</w:t>
            </w:r>
            <w:r/>
          </w:p>
        </w:tc>
        <w:tc>
          <w:tcPr>
            <w:tcBorders>
              <w:bottom w:val="single" w:color="000000" w:sz="8" w:space="0"/>
              <w:right w:val="single" w:color="000000" w:sz="8" w:space="0"/>
            </w:tcBorders>
            <w:tcMar>
              <w:left w:w="108" w:type="dxa"/>
              <w:top w:w="0" w:type="dxa"/>
              <w:right w:w="108" w:type="dxa"/>
              <w:bottom w:w="0" w:type="dxa"/>
            </w:tcMar>
            <w:tcW w:w="12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3.240.000</w:t>
            </w:r>
            <w:r/>
          </w:p>
        </w:tc>
        <w:tc>
          <w:tcPr>
            <w:tcBorders>
              <w:bottom w:val="single" w:color="000000" w:sz="8" w:space="0"/>
              <w:right w:val="single" w:color="000000" w:sz="8" w:space="0"/>
            </w:tcBorders>
            <w:tcMar>
              <w:left w:w="108" w:type="dxa"/>
              <w:top w:w="0" w:type="dxa"/>
              <w:right w:w="108" w:type="dxa"/>
              <w:bottom w:w="0" w:type="dxa"/>
            </w:tcMar>
            <w:tcW w:w="98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STT E.1. Phụ lục 01 QĐ số 45/2024/QĐ-UBND ngày 18/10/2024 của UBND tỉnh Bình Dương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Nhà Văn phòng</w:t>
            </w:r>
            <w:r/>
          </w:p>
        </w:tc>
        <w:tc>
          <w:tcPr>
            <w:tcBorders>
              <w:bottom w:val="single" w:color="000000" w:sz="8" w:space="0"/>
              <w:right w:val="single" w:color="000000" w:sz="8" w:space="0"/>
            </w:tcBorders>
            <w:tcMar>
              <w:left w:w="108" w:type="dxa"/>
              <w:top w:w="0" w:type="dxa"/>
              <w:right w:w="108" w:type="dxa"/>
              <w:bottom w:w="0" w:type="dxa"/>
            </w:tcMar>
            <w:tcW w:w="12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6.985.000</w:t>
            </w:r>
            <w:r/>
          </w:p>
        </w:tc>
        <w:tc>
          <w:tcPr>
            <w:tcBorders>
              <w:bottom w:val="single" w:color="000000" w:sz="8" w:space="0"/>
              <w:right w:val="single" w:color="000000" w:sz="8" w:space="0"/>
            </w:tcBorders>
            <w:tcMar>
              <w:left w:w="108" w:type="dxa"/>
              <w:top w:w="0" w:type="dxa"/>
              <w:right w:w="108" w:type="dxa"/>
              <w:bottom w:w="0" w:type="dxa"/>
            </w:tcMar>
            <w:tcW w:w="98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STT B.5. Phụ lục 01 QĐ số 45/2024/QĐ-UBND ngày 18/10/2024 của UBND tỉnh Bình Dương</w:t>
            </w:r>
            <w:r/>
          </w:p>
        </w:tc>
      </w:tr>
    </w:tbl>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hanging="284" w:left="284"/>
        <w:jc w:val="both"/>
        <w:rPr/>
      </w:pPr>
      <w:r>
        <w:rPr>
          <w:rFonts w:ascii="Times New Roman" w:hAnsi="Times New Roman" w:eastAsia="Times New Roman" w:cs="Times New Roman"/>
          <w:color w:val="000000"/>
          <w:sz w:val="2"/>
        </w:rPr>
        <w:t xml:space="preserve"> </w:t>
      </w:r>
      <w:r/>
    </w:p>
    <w:p>
      <w:pPr>
        <w:pStyle w:val="1065"/>
        <w:numPr>
          <w:ilvl w:val="0"/>
          <w:numId w:val="59"/>
        </w:num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jc w:val="both"/>
        <w:rPr/>
      </w:pPr>
      <w:r>
        <w:rPr>
          <w:rFonts w:ascii="Times New Roman" w:hAnsi="Times New Roman" w:eastAsia="Times New Roman" w:cs="Times New Roman"/>
          <w:b/>
          <w:i/>
          <w:color w:val="000000"/>
          <w:sz w:val="24"/>
        </w:rPr>
        <w:t xml:space="preserve">Tỷ lệ chất lượng còn lại của tài sản</w:t>
      </w:r>
      <w:r>
        <w:rPr>
          <w:rFonts w:ascii="Times New Roman" w:hAnsi="Times New Roman" w:eastAsia="Times New Roman" w:cs="Times New Roman"/>
          <w:color w:val="000000"/>
          <w:sz w:val="24"/>
        </w:rPr>
        <w:t xml:space="preserve"> được xác định căn cứ vào thực trạng của tài sản; niên hạn sử dụng và thời gian đã sử dụng của công trình xây dựng. Ngoài ra, Tổ thẩm định căn cứ vào hiện trạng sử dụng của tài sản và quá trình cải tạo, nâng cấp để xác định tỷ lệ chất lượng còn lại của tài</w:t>
      </w:r>
      <w:r>
        <w:rPr>
          <w:rFonts w:ascii="Times New Roman" w:hAnsi="Times New Roman" w:eastAsia="Times New Roman" w:cs="Times New Roman"/>
          <w:color w:val="000000"/>
          <w:sz w:val="24"/>
        </w:rPr>
        <w:t xml:space="preserve"> sản cho phù hợp với thực tế. Căn cứ theo đặc thù và hiện trạng sử dụng của tài sản, tổ thẩm định sử dụng phương pháp tuổi đời và phương pháp chuyên gia để xác định tỷ lệ chất lượng còn lại của tài sản với công thức như sau:</w:t>
      </w:r>
      <w:r/>
    </w:p>
    <w:p>
      <w:pPr>
        <w:pBdr>
          <w:top w:val="none" w:color="000000" w:sz="4" w:space="0"/>
          <w:left w:val="none" w:color="000000" w:sz="4" w:space="0"/>
          <w:bottom w:val="none" w:color="000000" w:sz="4" w:space="0"/>
          <w:right w:val="none" w:color="000000" w:sz="4" w:space="0"/>
        </w:pBdr>
        <w:tabs>
          <w:tab w:val="left" w:leader="none" w:pos="142"/>
          <w:tab w:val="left" w:leader="none" w:pos="9360"/>
        </w:tabs>
        <w:spacing w:after="120" w:before="120" w:line="276" w:lineRule="auto"/>
        <w:ind w:right="145" w:firstLine="0" w:left="0"/>
        <w:jc w:val="left"/>
        <w:rPr/>
      </w:pPr>
      <w:r>
        <w:rPr>
          <w:rFonts w:ascii="Times New Roman" w:hAnsi="Times New Roman" w:eastAsia="Times New Roman" w:cs="Times New Roman"/>
          <w:b/>
          <w:i/>
          <w:color w:val="000000"/>
          <w:sz w:val="24"/>
        </w:rPr>
        <w:t xml:space="preserve">Tỷ lệ chất lượng còn lại = (Tỷ lệ CLCL theo PP tuổi đời + Tỷ lệ CLCL theo PP chuyên gia)/ 2</w:t>
      </w:r>
      <w:r/>
    </w:p>
    <w:p>
      <w:pPr>
        <w:pBdr>
          <w:top w:val="none" w:color="000000" w:sz="4" w:space="0"/>
          <w:left w:val="none" w:color="000000" w:sz="4" w:space="0"/>
          <w:bottom w:val="none" w:color="000000" w:sz="4" w:space="0"/>
          <w:right w:val="none" w:color="000000" w:sz="4" w:space="0"/>
        </w:pBdr>
        <w:tabs>
          <w:tab w:val="left" w:leader="none" w:pos="142"/>
          <w:tab w:val="left" w:leader="none" w:pos="9360"/>
        </w:tabs>
        <w:spacing w:after="120" w:before="120" w:line="276" w:lineRule="auto"/>
        <w:ind w:right="145" w:firstLine="0" w:left="284"/>
        <w:jc w:val="both"/>
        <w:rPr/>
      </w:pPr>
      <w:r>
        <w:rPr>
          <w:rFonts w:ascii="Times New Roman" w:hAnsi="Times New Roman" w:eastAsia="Times New Roman" w:cs="Times New Roman"/>
          <w:color w:val="000000"/>
          <w:sz w:val="24"/>
        </w:rPr>
        <w:t xml:space="preserve">Đối với các công trình có chênh lệch giữa tỷ lệ CLCL theo PP tuổi đời và tỷ lệ CLCL theo PP chuyên gia chênh lệch lớn, tổ thẩm định đề xuất sử dụng tỷ lệ CLCL theo PP chuyên gia để xác định giá trị tài sản.</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firstLine="0" w:left="0"/>
        <w:jc w:val="both"/>
        <w:rPr/>
      </w:pPr>
      <w:r>
        <w:rPr>
          <w:rFonts w:ascii="Times New Roman" w:hAnsi="Times New Roman" w:eastAsia="Times New Roman" w:cs="Times New Roman"/>
          <w:b/>
          <w:i/>
          <w:color w:val="000000"/>
          <w:sz w:val="24"/>
        </w:rPr>
        <w:t xml:space="preserve">+  Xác định chất lượng còn lại theo phương pháp tuổi đời: </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firstLine="0" w:left="284"/>
        <w:jc w:val="both"/>
        <w:rPr/>
      </w:pPr>
      <w:r>
        <w:rPr>
          <w:rFonts w:ascii="Times New Roman" w:hAnsi="Times New Roman" w:eastAsia="Times New Roman" w:cs="Times New Roman"/>
          <w:color w:val="000000"/>
          <w:sz w:val="24"/>
        </w:rPr>
        <w:t xml:space="preserve">Theo phương pháp tuổi đời, tỷ lệ chất lượng còn lại của tài sản được tính theo công thức: </w:t>
      </w:r>
      <w:r/>
    </w:p>
    <w:p>
      <w:pPr>
        <w:pBdr>
          <w:top w:val="none" w:color="000000" w:sz="4" w:space="0"/>
          <w:left w:val="none" w:color="000000" w:sz="4" w:space="0"/>
          <w:bottom w:val="none" w:color="000000" w:sz="4" w:space="0"/>
          <w:right w:val="none" w:color="000000" w:sz="4" w:space="0"/>
        </w:pBdr>
        <w:tabs>
          <w:tab w:val="left" w:leader="none" w:pos="142"/>
          <w:tab w:val="left" w:leader="none" w:pos="9360"/>
        </w:tabs>
        <w:spacing w:after="120" w:before="120" w:line="276" w:lineRule="auto"/>
        <w:ind w:right="145" w:firstLine="0" w:left="720"/>
        <w:jc w:val="left"/>
        <w:rPr/>
      </w:pPr>
      <w:r>
        <w:rPr>
          <w:rFonts w:ascii="Times New Roman" w:hAnsi="Times New Roman" w:eastAsia="Times New Roman" w:cs="Times New Roman"/>
          <w:b/>
          <w:i/>
          <w:color w:val="000000"/>
          <w:sz w:val="24"/>
        </w:rPr>
        <w:t xml:space="preserve">Tỷ lệ chất lượng còn lại = 1 – (Tuổi đời hiệu quả/ Tuổi đời kinh tế)</w:t>
      </w:r>
      <w:r/>
    </w:p>
    <w:p>
      <w:pPr>
        <w:pBdr>
          <w:top w:val="none" w:color="000000" w:sz="4" w:space="0"/>
          <w:left w:val="none" w:color="000000" w:sz="4" w:space="0"/>
          <w:bottom w:val="none" w:color="000000" w:sz="4" w:space="0"/>
          <w:right w:val="none" w:color="000000" w:sz="4" w:space="0"/>
        </w:pBdr>
        <w:tabs>
          <w:tab w:val="left" w:leader="none" w:pos="284"/>
        </w:tabs>
        <w:spacing w:after="60" w:before="60" w:line="276" w:lineRule="auto"/>
        <w:ind w:right="0" w:firstLine="0" w:left="284"/>
        <w:jc w:val="both"/>
        <w:rPr/>
      </w:pPr>
      <w:r>
        <w:rPr>
          <w:rFonts w:ascii="Times New Roman" w:hAnsi="Times New Roman" w:eastAsia="Times New Roman" w:cs="Times New Roman"/>
          <w:color w:val="000000"/>
          <w:sz w:val="24"/>
        </w:rPr>
        <w:t xml:space="preserve">Tuổi đời kinh tế (T): Vận dụng thời gian khấu hao của công trình xây dựng tại Thông tư số 45/2013/TT-BTC ngày 24/5/2013 của Bộ Tài chính về việc hướng dẫn chế độ quản lý, sử dụng và trích khấu hao tài sản cố định.</w:t>
      </w:r>
      <w:r/>
    </w:p>
    <w:p>
      <w:pPr>
        <w:pBdr>
          <w:top w:val="none" w:color="000000" w:sz="4" w:space="0"/>
          <w:left w:val="none" w:color="000000" w:sz="4" w:space="0"/>
          <w:bottom w:val="none" w:color="000000" w:sz="4" w:space="0"/>
          <w:right w:val="none" w:color="000000" w:sz="4" w:space="0"/>
        </w:pBdr>
        <w:tabs>
          <w:tab w:val="left" w:leader="none" w:pos="284"/>
        </w:tabs>
        <w:spacing w:after="60" w:before="60" w:line="276" w:lineRule="auto"/>
        <w:ind w:right="0" w:firstLine="0" w:left="284"/>
        <w:jc w:val="both"/>
        <w:rPr/>
      </w:pPr>
      <w:r>
        <w:rPr>
          <w:rFonts w:ascii="Times New Roman" w:hAnsi="Times New Roman" w:eastAsia="Times New Roman" w:cs="Times New Roman"/>
          <w:color w:val="000000"/>
          <w:sz w:val="24"/>
        </w:rPr>
        <w:t xml:space="preserve">Tuổi đời hiệu quả là khoảng thời gian tính từ lúc công trình xây dựng được bàn giao đưa vào sử dụng đến thời điểm thầm định Tháng 09/2025 (t). </w:t>
      </w:r>
      <w:r/>
    </w:p>
    <w:p>
      <w:p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b/>
          <w:i/>
          <w:color w:val="000000"/>
          <w:sz w:val="24"/>
        </w:rPr>
        <w:t xml:space="preserve">+ Xác định chất lượng còn lại theo phương pháp chuyên gia: </w:t>
      </w:r>
      <w:r>
        <w:rPr>
          <w:rFonts w:ascii="Times New Roman" w:hAnsi="Times New Roman" w:eastAsia="Times New Roman" w:cs="Times New Roman"/>
          <w:color w:val="000000"/>
          <w:sz w:val="24"/>
        </w:rPr>
        <w:t xml:space="preserve">Tổ thẩm định tiến hành xác định tỷ lệ CLCL của tài sản thẩm định dựa theo hiện trạng ngoại quan, tình trạng hoạt động, tình trạng cải tạo sửa chữa,..... kèm theo đó là vận dụng các thông tư hướng dẫn của các sở ban ngành liên quan. Từ đó tiến hành xác định</w:t>
      </w:r>
      <w:r>
        <w:rPr>
          <w:rFonts w:ascii="Times New Roman" w:hAnsi="Times New Roman" w:eastAsia="Times New Roman" w:cs="Times New Roman"/>
          <w:color w:val="000000"/>
          <w:sz w:val="24"/>
        </w:rPr>
        <w:t xml:space="preserve"> tỷ lệ CLCL của từng tài sản.</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300" w:lineRule="atLeast"/>
        <w:ind w:right="0" w:firstLine="0" w:left="0"/>
        <w:jc w:val="center"/>
        <w:rPr/>
      </w:pPr>
      <w:r>
        <w:rPr>
          <w:rFonts w:ascii="Times New Roman" w:hAnsi="Times New Roman" w:eastAsia="Times New Roman" w:cs="Times New Roman"/>
          <w:b/>
          <w:color w:val="000000"/>
          <w:sz w:val="22"/>
        </w:rPr>
        <w:t xml:space="preserve">GIÁ TRỊ CÔNG TRÌNH XÂY DỰNG  </w:t>
      </w:r>
      <w:r/>
    </w:p>
    <w:p>
      <w:pPr>
        <w:pBdr>
          <w:top w:val="none" w:color="000000" w:sz="4" w:space="0"/>
          <w:left w:val="none" w:color="000000" w:sz="4" w:space="0"/>
          <w:bottom w:val="none" w:color="000000" w:sz="4" w:space="0"/>
          <w:right w:val="none" w:color="000000" w:sz="4" w:space="0"/>
        </w:pBdr>
        <w:tabs>
          <w:tab w:val="left" w:leader="none" w:pos="993"/>
        </w:tabs>
        <w:spacing w:line="300" w:lineRule="atLeast"/>
        <w:ind w:right="0" w:firstLine="0" w:left="0"/>
        <w:jc w:val="center"/>
        <w:rPr/>
      </w:pPr>
      <w:r>
        <w:rPr>
          <w:rFonts w:ascii="Times New Roman" w:hAnsi="Times New Roman" w:eastAsia="Times New Roman" w:cs="Times New Roman"/>
          <w:b/>
          <w:color w:val="000000"/>
          <w:sz w:val="22"/>
        </w:rPr>
        <w:t xml:space="preserve">Thời điểm thẩm định giá: Tháng 08/2026</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993"/>
        </w:tabs>
        <w:spacing w:after="60" w:before="60" w:line="380" w:lineRule="atLeast"/>
        <w:ind w:right="0" w:firstLine="0" w:left="360"/>
        <w:jc w:val="right"/>
        <w:rPr>
          <w:sz w:val="20"/>
          <w:szCs w:val="20"/>
        </w:rPr>
      </w:pPr>
      <w:r>
        <w:rPr>
          <w:rFonts w:ascii="Times New Roman" w:hAnsi="Times New Roman" w:eastAsia="Times New Roman" w:cs="Times New Roman"/>
          <w:i/>
          <w:color w:val="000000"/>
          <w:sz w:val="20"/>
          <w:szCs w:val="20"/>
        </w:rPr>
        <w:t xml:space="preserve">Đơn vị tính: đồng</w:t>
      </w:r>
      <w:r>
        <w:rPr>
          <w:sz w:val="20"/>
          <w:szCs w:val="20"/>
        </w:rPr>
      </w:r>
      <w:r>
        <w:rPr>
          <w:sz w:val="20"/>
          <w:szCs w:val="20"/>
        </w:rPr>
      </w:r>
    </w:p>
    <w:tbl>
      <w:tblPr>
        <w:tblStyle w:val="1069"/>
        <w:tblInd w:w="-431"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73"/>
        <w:gridCol w:w="1559"/>
        <w:gridCol w:w="567"/>
        <w:gridCol w:w="850"/>
        <w:gridCol w:w="1134"/>
        <w:gridCol w:w="1701"/>
        <w:gridCol w:w="1276"/>
        <w:gridCol w:w="992"/>
        <w:gridCol w:w="983"/>
        <w:gridCol w:w="859"/>
        <w:gridCol w:w="992"/>
        <w:gridCol w:w="850"/>
        <w:gridCol w:w="850"/>
        <w:gridCol w:w="1843"/>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7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TT</w:t>
            </w:r>
            <w:r>
              <w:rPr>
                <w:sz w:val="20"/>
                <w:szCs w:val="20"/>
              </w:rPr>
            </w:r>
            <w:r>
              <w:rPr>
                <w:sz w:val="20"/>
                <w:szCs w:val="2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Tên tài sản</w:t>
            </w:r>
            <w:r>
              <w:rPr>
                <w:sz w:val="20"/>
                <w:szCs w:val="20"/>
              </w:rPr>
            </w:r>
            <w:r>
              <w:rPr>
                <w:sz w:val="20"/>
                <w:szCs w:val="2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56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ĐVT</w:t>
            </w:r>
            <w:r>
              <w:rPr>
                <w:sz w:val="20"/>
                <w:szCs w:val="20"/>
              </w:rPr>
            </w:r>
            <w:r>
              <w:rPr>
                <w:sz w:val="20"/>
                <w:szCs w:val="2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85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 Diện tích sử dụng (m²) </w:t>
            </w:r>
            <w:r>
              <w:rPr>
                <w:sz w:val="20"/>
                <w:szCs w:val="20"/>
              </w:rPr>
            </w:r>
            <w:r>
              <w:rPr>
                <w:sz w:val="20"/>
                <w:szCs w:val="2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3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Đơn giá xây mới (đồng/m²)</w:t>
            </w:r>
            <w:r>
              <w:rPr>
                <w:sz w:val="20"/>
                <w:szCs w:val="20"/>
              </w:rPr>
            </w:r>
            <w:r>
              <w:rPr>
                <w:sz w:val="20"/>
                <w:szCs w:val="2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 Chi phí thay thế</w:t>
              <w:br/>
              <w:t xml:space="preserve"> (đồng) </w:t>
            </w:r>
            <w:r>
              <w:rPr>
                <w:sz w:val="20"/>
                <w:szCs w:val="20"/>
              </w:rPr>
            </w:r>
            <w:r>
              <w:rPr>
                <w:sz w:val="20"/>
                <w:szCs w:val="2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7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Thời điểm đưa vào sử dụng</w:t>
            </w:r>
            <w:r>
              <w:rPr>
                <w:sz w:val="20"/>
                <w:szCs w:val="20"/>
              </w:rPr>
            </w:r>
            <w:r>
              <w:rPr>
                <w:sz w:val="20"/>
                <w:szCs w:val="2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99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Thời điểm thẩm định giá</w:t>
            </w:r>
            <w:r>
              <w:rPr>
                <w:sz w:val="20"/>
                <w:szCs w:val="20"/>
              </w:rPr>
            </w:r>
            <w:r>
              <w:rPr>
                <w:sz w:val="20"/>
                <w:szCs w:val="2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98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Tỷ lệ CLCL Phương pháp chuyên gia</w:t>
            </w:r>
            <w:r>
              <w:rPr>
                <w:sz w:val="20"/>
                <w:szCs w:val="20"/>
              </w:rPr>
            </w:r>
            <w:r>
              <w:rPr>
                <w:sz w:val="20"/>
                <w:szCs w:val="20"/>
              </w:rPr>
            </w:r>
          </w:p>
        </w:tc>
        <w:tc>
          <w:tcPr>
            <w:gridSpan w:val="3"/>
            <w:tcBorders>
              <w:top w:val="single" w:color="000000" w:sz="8" w:space="0"/>
              <w:bottom w:val="single" w:color="000000" w:sz="8" w:space="0"/>
              <w:right w:val="single" w:color="000000" w:sz="8" w:space="0"/>
            </w:tcBorders>
            <w:tcMar>
              <w:left w:w="108" w:type="dxa"/>
              <w:top w:w="0" w:type="dxa"/>
              <w:right w:w="108" w:type="dxa"/>
              <w:bottom w:w="0" w:type="dxa"/>
            </w:tcMar>
            <w:tcW w:w="2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Tỷ lệ CLCL PP tuổi đời</w:t>
            </w:r>
            <w:r>
              <w:rPr>
                <w:sz w:val="20"/>
                <w:szCs w:val="20"/>
              </w:rPr>
            </w:r>
            <w:r>
              <w:rPr>
                <w:sz w:val="20"/>
                <w:szCs w:val="2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85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Tỷ lệ</w:t>
            </w:r>
            <w:r>
              <w:rPr>
                <w:sz w:val="20"/>
                <w:szCs w:val="20"/>
              </w:rPr>
            </w:r>
            <w:r>
              <w:rPr>
                <w:sz w:val="20"/>
                <w:szCs w:val="20"/>
              </w:rPr>
            </w:r>
          </w:p>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chất lượng còn lại (%)</w:t>
            </w:r>
            <w:r>
              <w:rPr>
                <w:sz w:val="20"/>
                <w:szCs w:val="20"/>
              </w:rPr>
            </w:r>
            <w:r>
              <w:rPr>
                <w:sz w:val="20"/>
                <w:szCs w:val="2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 Giá trị thẩm định </w:t>
              <w:br/>
              <w:t xml:space="preserve"> (đồng) </w:t>
            </w:r>
            <w:r>
              <w:rPr>
                <w:sz w:val="20"/>
                <w:szCs w:val="20"/>
              </w:rPr>
            </w:r>
            <w:r>
              <w:rPr>
                <w:sz w:val="20"/>
                <w:szCs w:val="20"/>
              </w:rPr>
            </w:r>
          </w:p>
        </w:tc>
      </w:tr>
      <w:tr>
        <w:trPr>
          <w:trHeight w:val="1654"/>
        </w:trPr>
        <w:tc>
          <w:tcPr>
            <w:tcBorders>
              <w:top w:val="single" w:color="000000" w:sz="8" w:space="0"/>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8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Tuổi đời kinh tế</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Tuổi đời hiệu quả</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Tỷ lệ CLCL (%)</w:t>
            </w:r>
            <w:r>
              <w:rPr>
                <w:sz w:val="20"/>
                <w:szCs w:val="20"/>
              </w:rPr>
            </w:r>
            <w:r>
              <w:rPr>
                <w:sz w:val="20"/>
                <w:szCs w:val="20"/>
              </w:rP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I</w:t>
            </w:r>
            <w:r>
              <w:rPr>
                <w:sz w:val="20"/>
                <w:szCs w:val="20"/>
              </w:rPr>
            </w:r>
            <w:r>
              <w:rPr>
                <w:sz w:val="20"/>
                <w:szCs w:val="20"/>
              </w:rPr>
            </w:r>
          </w:p>
        </w:tc>
        <w:tc>
          <w:tcPr>
            <w:gridSpan w:val="7"/>
            <w:tcBorders>
              <w:bottom w:val="single" w:color="000000" w:sz="8" w:space="0"/>
              <w:right w:val="single" w:color="000000" w:sz="8" w:space="0"/>
            </w:tcBorders>
            <w:tcMar>
              <w:left w:w="108" w:type="dxa"/>
              <w:top w:w="0" w:type="dxa"/>
              <w:right w:w="108" w:type="dxa"/>
              <w:bottom w:w="0" w:type="dxa"/>
            </w:tcMar>
            <w:tcW w:w="807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both"/>
              <w:rPr>
                <w:sz w:val="20"/>
                <w:szCs w:val="20"/>
              </w:rPr>
            </w:pPr>
            <w:r>
              <w:rPr>
                <w:rFonts w:ascii="Times New Roman" w:hAnsi="Times New Roman" w:eastAsia="Times New Roman" w:cs="Times New Roman"/>
                <w:b/>
                <w:color w:val="000000"/>
                <w:spacing w:val="-6"/>
                <w:sz w:val="20"/>
                <w:szCs w:val="20"/>
              </w:rPr>
              <w:t xml:space="preserve">Tài sản gắn liền với đất tại thửa đất số 116, tờ bản đồ số 214 có địa chỉ tại: Khu công nghiệp Sóng Thần 3, Phường Bình Dương, thành phố Hồ Chí Minh</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9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b/>
                <w:color w:val="000000"/>
                <w:sz w:val="20"/>
                <w:szCs w:val="20"/>
              </w:rPr>
              <w:t xml:space="preserve"> </w:t>
            </w:r>
            <w:r>
              <w:rPr>
                <w:sz w:val="20"/>
                <w:szCs w:val="20"/>
              </w:rPr>
            </w:r>
            <w:r>
              <w:rPr>
                <w:sz w:val="20"/>
                <w:szCs w:val="20"/>
              </w:rPr>
            </w:r>
          </w:p>
        </w:tc>
      </w:tr>
      <w:tr>
        <w:trPr>
          <w:trHeight w:val="350"/>
        </w:trPr>
        <w:tc>
          <w:tcPr>
            <w:tcBorders>
              <w:left w:val="single" w:color="000000" w:sz="8" w:space="0"/>
              <w:bottom w:val="single" w:color="000000" w:sz="8" w:space="0"/>
              <w:right w:val="single" w:color="000000" w:sz="8" w:space="0"/>
            </w:tcBorders>
            <w:tcMar>
              <w:left w:w="108" w:type="dxa"/>
              <w:top w:w="0" w:type="dxa"/>
              <w:right w:w="108" w:type="dxa"/>
              <w:bottom w:w="0" w:type="dxa"/>
            </w:tcMar>
            <w:tcW w:w="5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1</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both"/>
              <w:rPr>
                <w:sz w:val="20"/>
                <w:szCs w:val="20"/>
              </w:rPr>
            </w:pPr>
            <w:r>
              <w:rPr>
                <w:rFonts w:ascii="Times New Roman" w:hAnsi="Times New Roman" w:eastAsia="Times New Roman" w:cs="Times New Roman"/>
                <w:color w:val="000000"/>
                <w:sz w:val="20"/>
                <w:szCs w:val="20"/>
              </w:rPr>
              <w:t xml:space="preserve">Nhà xưởng 2</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 m²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4650</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3.240.000</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  15.066.000.000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11/11/2016</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0"/>
                <w:szCs w:val="20"/>
              </w:rPr>
            </w:pPr>
            <w:r>
              <w:rPr>
                <w:rFonts w:ascii="Times New Roman" w:hAnsi="Times New Roman" w:eastAsia="Times New Roman" w:cs="Times New Roman"/>
                <w:b w:val="0"/>
                <w:bCs w:val="0"/>
                <w:color w:val="000000"/>
                <w:sz w:val="20"/>
                <w:szCs w:val="20"/>
              </w:rPr>
            </w:r>
            <w:r>
              <w:rPr>
                <w:rFonts w:ascii="Times New Roman" w:hAnsi="Times New Roman" w:eastAsia="Times New Roman" w:cs="Times New Roman"/>
                <w:b w:val="0"/>
                <w:bCs w:val="0"/>
                <w:color w:val="000000"/>
                <w:sz w:val="22"/>
              </w:rPr>
              <w:t xml:space="preserve">08/2026</w:t>
            </w:r>
            <w:r>
              <w:rPr>
                <w:b w:val="0"/>
                <w:bCs w:val="0"/>
                <w:sz w:val="20"/>
                <w:szCs w:val="20"/>
              </w:rPr>
            </w:r>
            <w:r>
              <w:rPr>
                <w:b w:val="0"/>
                <w:bCs w:val="0"/>
                <w:sz w:val="20"/>
                <w:szCs w:val="20"/>
              </w:rPr>
            </w:r>
          </w:p>
        </w:tc>
        <w:tc>
          <w:tcPr>
            <w:tcBorders>
              <w:bottom w:val="single" w:color="000000" w:sz="8" w:space="0"/>
              <w:right w:val="single" w:color="000000" w:sz="8" w:space="0"/>
            </w:tcBorders>
            <w:tcMar>
              <w:left w:w="108" w:type="dxa"/>
              <w:top w:w="0" w:type="dxa"/>
              <w:right w:w="108" w:type="dxa"/>
              <w:bottom w:w="0" w:type="dxa"/>
            </w:tcMar>
            <w:tcW w:w="9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65%</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30</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9,8</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65%</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65%</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2"/>
              </w:rPr>
              <w:t xml:space="preserve">    9,792,900,000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2</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both"/>
              <w:rPr>
                <w:sz w:val="20"/>
                <w:szCs w:val="20"/>
              </w:rPr>
            </w:pPr>
            <w:r>
              <w:rPr>
                <w:rFonts w:ascii="Times New Roman" w:hAnsi="Times New Roman" w:eastAsia="Times New Roman" w:cs="Times New Roman"/>
                <w:color w:val="000000"/>
                <w:sz w:val="20"/>
                <w:szCs w:val="20"/>
              </w:rPr>
              <w:t xml:space="preserve">Nhà xưởng 3</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 m²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1680</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3.240.000</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    5.443.200.000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11/11/2016</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0"/>
                <w:szCs w:val="20"/>
              </w:rPr>
            </w:pPr>
            <w:r>
              <w:rPr>
                <w:rFonts w:ascii="Times New Roman" w:hAnsi="Times New Roman" w:eastAsia="Times New Roman" w:cs="Times New Roman"/>
                <w:b w:val="0"/>
                <w:bCs w:val="0"/>
                <w:color w:val="000000"/>
                <w:sz w:val="20"/>
                <w:szCs w:val="20"/>
              </w:rPr>
            </w:r>
            <w:r>
              <w:rPr>
                <w:rFonts w:ascii="Times New Roman" w:hAnsi="Times New Roman" w:eastAsia="Times New Roman" w:cs="Times New Roman"/>
                <w:b w:val="0"/>
                <w:bCs w:val="0"/>
                <w:color w:val="000000"/>
                <w:sz w:val="22"/>
              </w:rPr>
              <w:t xml:space="preserve">08/2026</w:t>
            </w:r>
            <w:r>
              <w:rPr>
                <w:b w:val="0"/>
                <w:bCs w:val="0"/>
                <w:sz w:val="20"/>
                <w:szCs w:val="20"/>
              </w:rPr>
            </w:r>
            <w:r>
              <w:rPr>
                <w:b w:val="0"/>
                <w:bCs w:val="0"/>
                <w:sz w:val="20"/>
                <w:szCs w:val="20"/>
              </w:rPr>
            </w:r>
          </w:p>
        </w:tc>
        <w:tc>
          <w:tcPr>
            <w:tcBorders>
              <w:bottom w:val="single" w:color="000000" w:sz="8" w:space="0"/>
              <w:right w:val="single" w:color="000000" w:sz="8" w:space="0"/>
            </w:tcBorders>
            <w:tcMar>
              <w:left w:w="108" w:type="dxa"/>
              <w:top w:w="0" w:type="dxa"/>
              <w:right w:w="108" w:type="dxa"/>
              <w:bottom w:w="0" w:type="dxa"/>
            </w:tcMar>
            <w:tcW w:w="9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65%</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30</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9,8</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65%</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65%</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2"/>
              </w:rPr>
              <w:t xml:space="preserve">    3,538,080,000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5</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both"/>
              <w:rPr>
                <w:sz w:val="20"/>
                <w:szCs w:val="20"/>
              </w:rPr>
            </w:pPr>
            <w:r>
              <w:rPr>
                <w:rFonts w:ascii="Times New Roman" w:hAnsi="Times New Roman" w:eastAsia="Times New Roman" w:cs="Times New Roman"/>
                <w:color w:val="000000"/>
                <w:sz w:val="20"/>
                <w:szCs w:val="20"/>
              </w:rPr>
              <w:t xml:space="preserve">Nhà văn phòng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 m²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738,3</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6.985.000</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    5.157.025.500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11/11/2016</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0"/>
                <w:szCs w:val="20"/>
              </w:rPr>
            </w:pPr>
            <w:r>
              <w:rPr>
                <w:rFonts w:ascii="Times New Roman" w:hAnsi="Times New Roman" w:eastAsia="Times New Roman" w:cs="Times New Roman"/>
                <w:b w:val="0"/>
                <w:bCs w:val="0"/>
                <w:color w:val="000000"/>
                <w:sz w:val="20"/>
                <w:szCs w:val="20"/>
              </w:rPr>
            </w:r>
            <w:r>
              <w:rPr>
                <w:rFonts w:ascii="Times New Roman" w:hAnsi="Times New Roman" w:eastAsia="Times New Roman" w:cs="Times New Roman"/>
                <w:b w:val="0"/>
                <w:bCs w:val="0"/>
                <w:color w:val="000000"/>
                <w:sz w:val="22"/>
              </w:rPr>
              <w:t xml:space="preserve">08/2026</w:t>
            </w:r>
            <w:r>
              <w:rPr>
                <w:b w:val="0"/>
                <w:bCs w:val="0"/>
                <w:sz w:val="20"/>
                <w:szCs w:val="20"/>
              </w:rPr>
            </w:r>
            <w:r>
              <w:rPr>
                <w:b w:val="0"/>
                <w:bCs w:val="0"/>
                <w:sz w:val="20"/>
                <w:szCs w:val="20"/>
              </w:rPr>
            </w:r>
          </w:p>
        </w:tc>
        <w:tc>
          <w:tcPr>
            <w:tcBorders>
              <w:bottom w:val="single" w:color="000000" w:sz="8" w:space="0"/>
              <w:right w:val="single" w:color="000000" w:sz="8" w:space="0"/>
            </w:tcBorders>
            <w:tcMar>
              <w:left w:w="108" w:type="dxa"/>
              <w:top w:w="0" w:type="dxa"/>
              <w:right w:w="108" w:type="dxa"/>
              <w:bottom w:w="0" w:type="dxa"/>
            </w:tcMar>
            <w:tcW w:w="9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70%</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40</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9,8</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72%</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color w:val="000000"/>
                <w:sz w:val="20"/>
                <w:szCs w:val="20"/>
              </w:rPr>
              <w:t xml:space="preserve">71%</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2"/>
              </w:rPr>
              <w:t xml:space="preserve">    3,661,488,105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b/>
                <w:color w:val="000000"/>
                <w:sz w:val="20"/>
                <w:szCs w:val="20"/>
              </w:rPr>
              <w:t xml:space="preserve">TỔNG CỘNG</w:t>
            </w:r>
            <w:r>
              <w:rPr>
                <w:sz w:val="20"/>
                <w:szCs w:val="20"/>
              </w:rPr>
            </w:r>
            <w:r>
              <w:rPr>
                <w:sz w:val="20"/>
                <w:szCs w:val="20"/>
              </w:rPr>
            </w:r>
          </w:p>
        </w:tc>
        <w:tc>
          <w:tcPr>
            <w:gridSpan w:val="11"/>
            <w:tcBorders>
              <w:bottom w:val="single" w:color="000000" w:sz="8" w:space="0"/>
              <w:right w:val="single" w:color="000000" w:sz="8" w:space="0"/>
            </w:tcBorders>
            <w:tcMar>
              <w:left w:w="108" w:type="dxa"/>
              <w:top w:w="0" w:type="dxa"/>
              <w:right w:w="108" w:type="dxa"/>
              <w:bottom w:w="0" w:type="dxa"/>
            </w:tcMar>
            <w:tcW w:w="110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0"/>
                <w:szCs w:val="20"/>
              </w:rPr>
            </w:pP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rPr>
              <w:t xml:space="preserve"> </w:t>
            </w:r>
            <w:r>
              <w:rPr>
                <w:sz w:val="20"/>
                <w:szCs w:val="20"/>
              </w:rPr>
            </w:r>
            <w:r>
              <w:rPr>
                <w:sz w:val="20"/>
                <w:szCs w:val="20"/>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sz w:val="20"/>
                <w:szCs w:val="20"/>
              </w:rPr>
            </w:pPr>
            <w:r>
              <w:rPr>
                <w:rFonts w:ascii="Times New Roman" w:hAnsi="Times New Roman" w:eastAsia="Times New Roman" w:cs="Times New Roman"/>
                <w:b/>
                <w:color w:val="000000"/>
                <w:sz w:val="20"/>
                <w:szCs w:val="20"/>
              </w:rPr>
              <w:t xml:space="preserve">16,992,468,105</w:t>
            </w:r>
            <w:r>
              <w:rPr>
                <w:sz w:val="20"/>
                <w:szCs w:val="20"/>
              </w:rPr>
            </w:r>
            <w:r>
              <w:rPr>
                <w:sz w:val="20"/>
                <w:szCs w:val="20"/>
              </w:rPr>
            </w:r>
          </w:p>
        </w:tc>
      </w:tr>
    </w:tbl>
    <w:p>
      <w:pPr>
        <w:pStyle w:val="1065"/>
        <w:pBdr/>
        <w:spacing w:after="120" w:before="120" w:line="276" w:lineRule="auto"/>
        <w:ind w:left="0"/>
        <w:jc w:val="both"/>
        <w:rPr>
          <w:b/>
          <w:bCs/>
          <w:lang w:val="pt-BR"/>
        </w:rPr>
      </w:pPr>
      <w:r>
        <w:rPr>
          <w:b/>
          <w:bCs/>
          <w:lang w:val="pt-BR"/>
        </w:rPr>
      </w:r>
      <w:r>
        <w:rPr>
          <w:b/>
          <w:bCs/>
          <w:lang w:val="pt-BR"/>
        </w:rPr>
      </w:r>
      <w:r>
        <w:rPr>
          <w:b/>
          <w:bCs/>
          <w:lang w:val="pt-BR"/>
        </w:rPr>
      </w:r>
    </w:p>
    <w:p>
      <w:pPr>
        <w:pStyle w:val="1065"/>
        <w:pBdr/>
        <w:spacing w:after="120" w:before="120" w:line="276" w:lineRule="auto"/>
        <w:ind w:left="0"/>
        <w:jc w:val="both"/>
        <w:rPr>
          <w:b/>
          <w:bCs/>
          <w:lang w:val="pt-BR"/>
        </w:rPr>
      </w:pPr>
      <w:r>
        <w:rPr>
          <w:b/>
          <w:bCs/>
          <w:lang w:val="pt-BR"/>
        </w:rPr>
      </w:r>
      <w:r>
        <w:rPr>
          <w:b/>
          <w:bCs/>
          <w:lang w:val="pt-BR"/>
        </w:rPr>
      </w:r>
      <w:r>
        <w:rPr>
          <w:b/>
          <w:bCs/>
          <w:lang w:val="pt-BR"/>
        </w:rPr>
      </w:r>
    </w:p>
    <w:p>
      <w:pPr>
        <w:pStyle w:val="1065"/>
        <w:pBdr/>
        <w:spacing w:after="120" w:before="120" w:line="276" w:lineRule="auto"/>
        <w:ind w:left="0"/>
        <w:jc w:val="both"/>
        <w:rPr>
          <w:b/>
          <w:bCs/>
          <w:lang w:val="pt-BR"/>
        </w:rPr>
      </w:pPr>
      <w:r>
        <w:rPr>
          <w:b/>
          <w:bCs/>
          <w:lang w:val="pt-BR"/>
        </w:rPr>
      </w:r>
      <w:r>
        <w:rPr>
          <w:b/>
          <w:bCs/>
          <w:lang w:val="pt-BR"/>
        </w:rPr>
      </w:r>
      <w:r>
        <w:rPr>
          <w:b/>
          <w:bCs/>
          <w:lang w:val="pt-BR"/>
        </w:rPr>
      </w:r>
    </w:p>
    <w:p>
      <w:pPr>
        <w:pStyle w:val="1065"/>
        <w:pBdr/>
        <w:spacing w:after="120" w:before="120" w:line="276" w:lineRule="auto"/>
        <w:ind w:left="0"/>
        <w:jc w:val="both"/>
        <w:rPr>
          <w:b/>
          <w:bCs/>
          <w:lang w:val="pt-BR"/>
        </w:rPr>
      </w:pPr>
      <w:r>
        <w:rPr>
          <w:b/>
          <w:bCs/>
          <w:lang w:val="pt-BR"/>
        </w:rPr>
      </w:r>
      <w:r>
        <w:rPr>
          <w:b/>
          <w:bCs/>
          <w:lang w:val="pt-BR"/>
        </w:rPr>
      </w:r>
      <w:r>
        <w:rPr>
          <w:b/>
          <w:bCs/>
          <w:lang w:val="pt-BR"/>
        </w:rPr>
      </w:r>
    </w:p>
    <w:p>
      <w:pPr>
        <w:pStyle w:val="1065"/>
        <w:pBdr/>
        <w:spacing w:after="120" w:before="120" w:line="276" w:lineRule="auto"/>
        <w:ind w:left="0"/>
        <w:jc w:val="both"/>
        <w:rPr>
          <w:b/>
          <w:bCs/>
          <w:lang w:val="pt-BR"/>
        </w:rPr>
      </w:pPr>
      <w:r>
        <w:rPr>
          <w:b/>
          <w:bCs/>
          <w:lang w:val="pt-BR"/>
        </w:rPr>
      </w:r>
      <w:r>
        <w:rPr>
          <w:b/>
          <w:bCs/>
          <w:lang w:val="pt-BR"/>
        </w:rPr>
      </w:r>
      <w:r>
        <w:rPr>
          <w:b/>
          <w:bCs/>
          <w:lang w:val="pt-BR"/>
        </w:rPr>
      </w:r>
    </w:p>
    <w:p>
      <w:pPr>
        <w:pStyle w:val="1065"/>
        <w:pBdr/>
        <w:spacing w:after="120" w:before="120" w:line="276" w:lineRule="auto"/>
        <w:ind w:left="0"/>
        <w:jc w:val="both"/>
        <w:rPr>
          <w:b/>
          <w:bCs/>
          <w:lang w:val="pt-BR"/>
        </w:rPr>
      </w:pPr>
      <w:r>
        <w:rPr>
          <w:b/>
          <w:bCs/>
          <w:lang w:val="pt-BR"/>
        </w:rPr>
      </w:r>
      <w:r>
        <w:rPr>
          <w:b/>
          <w:bCs/>
          <w:lang w:val="pt-BR"/>
        </w:rPr>
      </w:r>
      <w:r>
        <w:rPr>
          <w:b/>
          <w:bCs/>
          <w:lang w:val="pt-BR"/>
        </w:rPr>
      </w:r>
    </w:p>
    <w:p>
      <w:pPr>
        <w:pStyle w:val="1065"/>
        <w:pBdr/>
        <w:spacing w:after="120" w:before="120" w:line="276" w:lineRule="auto"/>
        <w:ind w:left="0"/>
        <w:jc w:val="both"/>
        <w:rPr>
          <w:b/>
          <w:bCs/>
          <w:lang w:val="pt-BR"/>
        </w:rPr>
      </w:pPr>
      <w:r>
        <w:rPr>
          <w:b/>
          <w:lang w:val="pt-BR"/>
        </w:rPr>
      </w:r>
      <w:r>
        <w:rPr>
          <w:b/>
          <w:bCs/>
          <w:lang w:val="pt-BR"/>
        </w:rPr>
      </w:r>
      <w:r>
        <w:rPr>
          <w:b/>
          <w:bCs/>
          <w:lang w:val="pt-BR"/>
        </w:rPr>
      </w:r>
    </w:p>
    <w:p>
      <w:pPr>
        <w:pStyle w:val="106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6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50"/>
        <w:gridCol w:w="3260"/>
        <w:gridCol w:w="1872"/>
        <w:gridCol w:w="3373"/>
        <w:gridCol w:w="2524"/>
        <w:gridCol w:w="2693"/>
      </w:tblGrid>
      <w:tr>
        <w:trPr>
          <w:trHeight w:val="20"/>
        </w:trPr>
        <w:tc>
          <w:tcPr>
            <w:shd w:val="clear" w:color="000000" w:fill="ffffff"/>
            <w:tcBorders/>
            <w:tcW w:w="850"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260"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7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3373"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524" w:type="dxa"/>
            <w:vAlign w:val="center"/>
            <w:textDirection w:val="lrTb"/>
            <w:noWrap w:val="false"/>
          </w:tcPr>
          <w:p>
            <w:pPr>
              <w:pBdr/>
              <w:spacing/>
              <w:ind/>
              <w:rPr>
                <w:b/>
                <w:bCs/>
              </w:rPr>
            </w:pPr>
            <w:r>
              <w:rPr>
                <w:b/>
                <w:bCs/>
              </w:rPr>
              <w:t xml:space="preserve">Hệ số / CLCL (%) </w:t>
            </w:r>
            <w:r>
              <w:rPr>
                <w:b/>
                <w:bCs/>
              </w:rPr>
            </w:r>
            <w:r>
              <w:rPr>
                <w:b/>
                <w:bCs/>
              </w:rPr>
            </w:r>
          </w:p>
        </w:tc>
        <w:tc>
          <w:tcPr>
            <w:shd w:val="clear" w:color="000000" w:fill="ffffff"/>
            <w:tcBorders/>
            <w:tcW w:w="2693"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850"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11028" w:type="dxa"/>
            <w:vAlign w:val="center"/>
            <w:textDirection w:val="lrTb"/>
            <w:noWrap w:val="false"/>
          </w:tcPr>
          <w:p>
            <w:pPr>
              <w:pBdr/>
              <w:spacing/>
              <w:ind/>
              <w:rPr/>
            </w:pPr>
            <w:r/>
            <w:r>
              <w:rPr>
                <w:b/>
              </w:rPr>
              <w:t xml:space="preserve"> </w:t>
            </w:r>
            <w:r>
              <w:rPr>
                <w:color w:val="000000"/>
              </w:rPr>
              <w:t xml:space="preserve">Quyền sử dụng đất thuê trả tiền một lần có thời hạn đến ngày 31/12/2055 và công trình xây dựng trên đất theo giấy chứng nhận tại thửa đất số 116, tờ bản đồ số 214 có địa chỉ tại: Khu công nghiệp Sóng Thần 3, Phường Bình</w:t>
            </w:r>
            <w:r>
              <w:rPr>
                <w:color w:val="000000"/>
              </w:rPr>
              <w:t xml:space="preserve"> Dương, thành phố Hồ Chí Minh theo Giấy chứng nhận Quyền sử dụng đất, quyền sở hữu tài sản gắn liền với đất số AA 03312583, số vào sổ cấp GCN: VP 403 do Văn phòng Đăng ký đất đai tỉnh Bình Dương cấp ngày 21/08/2025 cho Công ty TNHH Giải pháp Thi công SAKI.</w:t>
            </w:r>
            <w:r>
              <w:rPr>
                <w:bCs/>
                <w:i/>
                <w:iCs/>
              </w:rPr>
              <w:t xml:space="preserve">.</w:t>
            </w:r>
            <w:r/>
            <w:r>
              <w:rPr>
                <w:bCs/>
                <w:i/>
                <w:iCs/>
              </w:rPr>
            </w:r>
            <w:r>
              <w:rPr>
                <w:bCs/>
                <w:i/>
                <w:iCs/>
              </w:rPr>
            </w:r>
            <w:r/>
          </w:p>
        </w:tc>
        <w:tc>
          <w:tcPr>
            <w:shd w:val="clear" w:color="000000" w:fill="ffffff"/>
            <w:tcBorders/>
            <w:tcW w:w="2693"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850"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3260" w:type="dxa"/>
            <w:vAlign w:val="center"/>
            <w:textDirection w:val="lrTb"/>
            <w:noWrap w:val="false"/>
          </w:tcPr>
          <w:p>
            <w:pPr>
              <w:pBdr/>
              <w:spacing w:after="40" w:before="40" w:line="288" w:lineRule="auto"/>
              <w:ind/>
              <w:rPr/>
            </w:pPr>
            <w:r>
              <w:rPr>
                <w:b/>
                <w:bCs/>
              </w:rPr>
              <w:t xml:space="preserve">Đất khu công nghiệp</w:t>
            </w:r>
            <w:r/>
          </w:p>
        </w:tc>
        <w:tc>
          <w:tcPr>
            <w:tcBorders/>
            <w:tcW w:w="1872" w:type="dxa"/>
            <w:vAlign w:val="center"/>
            <w:textDirection w:val="lrTb"/>
            <w:noWrap/>
          </w:tcPr>
          <w:p>
            <w:pPr>
              <w:pBdr/>
              <w:spacing w:after="40" w:before="40" w:line="288" w:lineRule="auto"/>
              <w:ind/>
              <w:jc w:val="center"/>
              <w:rPr>
                <w:color w:val="000000"/>
              </w:rPr>
            </w:pPr>
            <w:r>
              <w:rPr>
                <w:color w:val="000000" w:themeColor="text1"/>
              </w:rPr>
              <w:t xml:space="preserve">30.959,7</w:t>
            </w:r>
            <w:r>
              <w:rPr>
                <w:color w:val="000000"/>
              </w:rPr>
            </w:r>
            <w:r>
              <w:rPr>
                <w:color w:val="000000"/>
              </w:rPr>
            </w:r>
          </w:p>
        </w:tc>
        <w:tc>
          <w:tcPr>
            <w:shd w:val="clear" w:color="000000" w:fill="ffffff"/>
            <w:tcBorders/>
            <w:tcW w:w="3373" w:type="dxa"/>
            <w:vAlign w:val="center"/>
            <w:textDirection w:val="lrTb"/>
            <w:noWrap w:val="false"/>
          </w:tcPr>
          <w:p>
            <w:pPr>
              <w:pBdr/>
              <w:spacing w:after="40" w:before="40" w:line="288" w:lineRule="auto"/>
              <w:ind/>
              <w:jc w:val="center"/>
              <w:rPr/>
            </w:pPr>
            <w:r>
              <w:rPr>
                <w:color w:val="000000" w:themeColor="text1"/>
              </w:rPr>
              <w:t xml:space="preserve">6.500.000</w:t>
            </w:r>
            <w:r/>
          </w:p>
        </w:tc>
        <w:tc>
          <w:tcPr>
            <w:shd w:val="clear" w:color="000000" w:fill="ffffff"/>
            <w:tcBorders/>
            <w:tcW w:w="2524" w:type="dxa"/>
            <w:vAlign w:val="center"/>
            <w:textDirection w:val="lrTb"/>
            <w:noWrap w:val="false"/>
          </w:tcPr>
          <w:p>
            <w:pPr>
              <w:pBdr/>
              <w:spacing/>
              <w:ind/>
              <w:rPr>
                <w:color w:val="000000" w:themeColor="text1"/>
              </w:rPr>
            </w:pPr>
            <w:r>
              <w:rPr>
                <w:color w:val="000000" w:themeColor="text1"/>
              </w:rPr>
              <w:t xml:space="preserve">100%</w:t>
            </w:r>
            <w:r>
              <w:rPr>
                <w:color w:val="000000" w:themeColor="text1"/>
              </w:rPr>
            </w:r>
            <w:r>
              <w:rPr>
                <w:color w:val="000000" w:themeColor="text1"/>
              </w:rPr>
            </w:r>
          </w:p>
        </w:tc>
        <w:tc>
          <w:tcPr>
            <w:shd w:val="clear" w:color="000000" w:fill="ffffff"/>
            <w:tcBorders/>
            <w:tcW w:w="2693" w:type="dxa"/>
            <w:vAlign w:val="center"/>
            <w:textDirection w:val="lrTb"/>
            <w:noWrap w:val="false"/>
          </w:tcPr>
          <w:p>
            <w:pPr>
              <w:pBdr/>
              <w:spacing w:after="40" w:before="40" w:line="288" w:lineRule="auto"/>
              <w:ind/>
              <w:jc w:val="center"/>
              <w:rPr/>
            </w:pPr>
            <w:r>
              <w:rPr>
                <w:color w:val="000000" w:themeColor="text1"/>
              </w:rPr>
              <w:t xml:space="preserve">201.238.050.000</w:t>
            </w:r>
            <w:r/>
          </w:p>
        </w:tc>
      </w:tr>
      <w:tr>
        <w:trPr>
          <w:trHeight w:val="20"/>
        </w:trPr>
        <w:tc>
          <w:tcPr>
            <w:shd w:val="clear" w:color="000000" w:fill="ffffff"/>
            <w:tcBorders/>
            <w:tcW w:w="850" w:type="dxa"/>
            <w:vAlign w:val="center"/>
            <w:vMerge w:val="restart"/>
            <w:textDirection w:val="lrTb"/>
            <w:noWrap w:val="false"/>
          </w:tcPr>
          <w:p>
            <w:pPr>
              <w:pBdr/>
              <w:spacing w:after="40" w:before="40" w:line="288" w:lineRule="auto"/>
              <w:ind/>
              <w:jc w:val="center"/>
              <w:rPr>
                <w:b/>
                <w:bCs/>
              </w:rPr>
            </w:pPr>
            <w:r>
              <w:rPr>
                <w:b/>
                <w:bCs/>
              </w:rPr>
              <w:t xml:space="preserve">2 </w:t>
            </w:r>
            <w:r>
              <w:rPr>
                <w:b/>
                <w:bCs/>
              </w:rPr>
            </w:r>
            <w:r>
              <w:rPr>
                <w:b/>
                <w:bCs/>
              </w:rPr>
            </w:r>
          </w:p>
        </w:tc>
        <w:tc>
          <w:tcPr>
            <w:shd w:val="clear" w:color="000000" w:fill="ffffff"/>
            <w:tcBorders/>
            <w:tcW w:w="3260" w:type="dxa"/>
            <w:vAlign w:val="center"/>
            <w:vMerge w:val="restart"/>
            <w:textDirection w:val="lrTb"/>
            <w:noWrap w:val="false"/>
          </w:tcPr>
          <w:p>
            <w:pPr>
              <w:pBdr/>
              <w:spacing w:after="40" w:before="40" w:line="288" w:lineRule="auto"/>
              <w:ind/>
              <w:rPr>
                <w:b/>
                <w:bCs/>
              </w:rPr>
            </w:pPr>
            <w:r>
              <w:rPr>
                <w:b/>
                <w:bCs/>
              </w:rPr>
              <w:t xml:space="preserve">Công trình xây dựng trên đất </w:t>
            </w:r>
            <w:r>
              <w:rPr>
                <w:b/>
                <w:bCs/>
              </w:rPr>
            </w:r>
            <w:r>
              <w:rPr>
                <w:b/>
                <w:bCs/>
              </w:rPr>
            </w:r>
          </w:p>
        </w:tc>
        <w:tc>
          <w:tcPr>
            <w:gridSpan w:val="4"/>
            <w:tcBorders/>
            <w:tcW w:w="10461" w:type="dxa"/>
            <w:vAlign w:val="center"/>
            <w:vMerge w:val="restart"/>
            <w:textDirection w:val="lrTb"/>
            <w:noWrap/>
          </w:tcPr>
          <w:p>
            <w:pPr>
              <w:pBdr/>
              <w:spacing w:after="40" w:before="40" w:line="288" w:lineRule="auto"/>
              <w:ind/>
              <w:jc w:val="center"/>
              <w:rPr>
                <w:color w:val="000000" w:themeColor="text1"/>
              </w:rPr>
            </w:pPr>
            <w:r>
              <w:rPr>
                <w:color w:val="000000" w:themeColor="text1"/>
              </w:rPr>
            </w:r>
            <w:r>
              <w:rPr>
                <w:color w:val="000000" w:themeColor="text1"/>
              </w:rPr>
            </w:r>
            <w:r>
              <w:rPr>
                <w:color w:val="000000" w:themeColor="text1"/>
              </w:rPr>
            </w:r>
          </w:p>
        </w:tc>
      </w:tr>
      <w:tr>
        <w:trPr>
          <w:trHeight w:val="20"/>
        </w:trPr>
        <w:tc>
          <w:tcPr>
            <w:shd w:val="clear" w:color="000000" w:fill="ffffff"/>
            <w:tcBorders/>
            <w:tcW w:w="850" w:type="dxa"/>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3260" w:type="dxa"/>
            <w:vAlign w:val="center"/>
            <w:textDirection w:val="lrTb"/>
            <w:noWrap w:val="false"/>
          </w:tcPr>
          <w:p>
            <w:pPr>
              <w:pBdr/>
              <w:spacing w:after="40" w:before="40" w:line="288" w:lineRule="auto"/>
              <w:ind/>
              <w:rPr/>
            </w:pPr>
            <w:r>
              <w:rPr>
                <w:b/>
                <w:bCs/>
              </w:rPr>
              <w:t xml:space="preserve">Nhà Xưởng 2</w:t>
            </w:r>
            <w:r/>
          </w:p>
        </w:tc>
        <w:tc>
          <w:tcPr>
            <w:tcBorders/>
            <w:tcW w:w="1872" w:type="dxa"/>
            <w:vAlign w:val="center"/>
            <w:textDirection w:val="lrTb"/>
            <w:noWrap/>
          </w:tcPr>
          <w:p>
            <w:pPr>
              <w:pBdr/>
              <w:spacing w:after="40" w:before="40" w:line="288" w:lineRule="auto"/>
              <w:ind/>
              <w:jc w:val="center"/>
              <w:rPr>
                <w:color w:val="000000"/>
              </w:rPr>
            </w:pPr>
            <w:r>
              <w:rPr>
                <w:color w:val="000000" w:themeColor="text1"/>
              </w:rPr>
              <w:t xml:space="preserve">4650</w:t>
            </w:r>
            <w:r>
              <w:rPr>
                <w:color w:val="000000"/>
              </w:rPr>
            </w:r>
            <w:r>
              <w:rPr>
                <w:color w:val="000000"/>
              </w:rPr>
            </w:r>
          </w:p>
        </w:tc>
        <w:tc>
          <w:tcPr>
            <w:shd w:val="clear" w:color="000000" w:fill="ffffff"/>
            <w:tcBorders/>
            <w:tcW w:w="33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3.240.000</w:t>
            </w:r>
            <w:r/>
          </w:p>
        </w:tc>
        <w:tc>
          <w:tcPr>
            <w:shd w:val="clear" w:color="000000" w:fill="ffffff"/>
            <w:tcBorders/>
            <w:tcW w:w="2524" w:type="dxa"/>
            <w:vAlign w:val="center"/>
            <w:textDirection w:val="lrTb"/>
            <w:noWrap w:val="false"/>
          </w:tcPr>
          <w:p>
            <w:pPr>
              <w:pBdr/>
              <w:spacing/>
              <w:ind/>
              <w:rPr>
                <w:color w:val="000000" w:themeColor="text1"/>
              </w:rPr>
            </w:pPr>
            <w:r>
              <w:rPr>
                <w:color w:val="000000" w:themeColor="text1"/>
              </w:rPr>
              <w:t xml:space="preserve">65%</w:t>
            </w:r>
            <w:r>
              <w:rPr>
                <w:color w:val="000000" w:themeColor="text1"/>
              </w:rPr>
            </w:r>
            <w:r>
              <w:rPr>
                <w:color w:val="000000" w:themeColor="text1"/>
              </w:rPr>
            </w:r>
          </w:p>
        </w:tc>
        <w:tc>
          <w:tcPr>
            <w:shd w:val="clear" w:color="000000" w:fill="ffffff"/>
            <w:tcBorders/>
            <w:tcW w:w="2693"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2"/>
              </w:rPr>
              <w:t xml:space="preserve">    9.792.900.000 </w:t>
            </w:r>
            <w:r/>
          </w:p>
        </w:tc>
      </w:tr>
      <w:tr>
        <w:trPr>
          <w:trHeight w:val="20"/>
        </w:trPr>
        <w:tc>
          <w:tcPr>
            <w:shd w:val="clear" w:color="000000" w:fill="ffffff"/>
            <w:tcBorders/>
            <w:tcW w:w="850" w:type="dxa"/>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3260" w:type="dxa"/>
            <w:vAlign w:val="center"/>
            <w:textDirection w:val="lrTb"/>
            <w:noWrap w:val="false"/>
          </w:tcPr>
          <w:p>
            <w:pPr>
              <w:pBdr/>
              <w:spacing w:after="40" w:before="40" w:line="288" w:lineRule="auto"/>
              <w:ind/>
              <w:rPr/>
            </w:pPr>
            <w:r>
              <w:rPr>
                <w:b/>
                <w:bCs/>
              </w:rPr>
              <w:t xml:space="preserve">Nhà xưởng 3</w:t>
            </w:r>
            <w:r/>
          </w:p>
        </w:tc>
        <w:tc>
          <w:tcPr>
            <w:tcBorders/>
            <w:tcW w:w="1872" w:type="dxa"/>
            <w:vAlign w:val="center"/>
            <w:textDirection w:val="lrTb"/>
            <w:noWrap/>
          </w:tcPr>
          <w:p>
            <w:pPr>
              <w:pBdr/>
              <w:spacing w:after="40" w:before="40" w:line="288" w:lineRule="auto"/>
              <w:ind/>
              <w:jc w:val="center"/>
              <w:rPr>
                <w:color w:val="000000"/>
              </w:rPr>
            </w:pPr>
            <w:r>
              <w:rPr>
                <w:color w:val="000000" w:themeColor="text1"/>
              </w:rPr>
              <w:t xml:space="preserve">1680</w:t>
            </w:r>
            <w:r>
              <w:rPr>
                <w:color w:val="000000"/>
              </w:rPr>
            </w:r>
            <w:r>
              <w:rPr>
                <w:color w:val="000000"/>
              </w:rPr>
            </w:r>
          </w:p>
        </w:tc>
        <w:tc>
          <w:tcPr>
            <w:shd w:val="clear" w:color="000000" w:fill="ffffff"/>
            <w:tcBorders/>
            <w:tcW w:w="33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3.240.000</w:t>
            </w:r>
            <w:r/>
          </w:p>
        </w:tc>
        <w:tc>
          <w:tcPr>
            <w:shd w:val="clear" w:color="000000" w:fill="ffffff"/>
            <w:tcBorders/>
            <w:tcW w:w="2524" w:type="dxa"/>
            <w:vAlign w:val="center"/>
            <w:textDirection w:val="lrTb"/>
            <w:noWrap w:val="false"/>
          </w:tcPr>
          <w:p>
            <w:pPr>
              <w:pBdr/>
              <w:spacing/>
              <w:ind/>
              <w:rPr>
                <w:color w:val="000000" w:themeColor="text1"/>
              </w:rPr>
            </w:pPr>
            <w:r>
              <w:rPr>
                <w:color w:val="000000" w:themeColor="text1"/>
              </w:rPr>
              <w:t xml:space="preserve">65%</w:t>
            </w:r>
            <w:r>
              <w:rPr>
                <w:color w:val="000000" w:themeColor="text1"/>
              </w:rPr>
            </w:r>
            <w:r>
              <w:rPr>
                <w:color w:val="000000" w:themeColor="text1"/>
              </w:rPr>
            </w:r>
          </w:p>
        </w:tc>
        <w:tc>
          <w:tcPr>
            <w:shd w:val="clear" w:color="000000" w:fill="ffffff"/>
            <w:tcBorders/>
            <w:tcW w:w="2693"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2"/>
              </w:rPr>
              <w:t xml:space="preserve">    3.538.080.000 </w:t>
            </w:r>
            <w:r/>
          </w:p>
        </w:tc>
      </w:tr>
      <w:tr>
        <w:trPr>
          <w:trHeight w:val="20"/>
        </w:trPr>
        <w:tc>
          <w:tcPr>
            <w:shd w:val="clear" w:color="000000" w:fill="ffffff"/>
            <w:tcBorders/>
            <w:tcW w:w="850" w:type="dxa"/>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3260" w:type="dxa"/>
            <w:vAlign w:val="center"/>
            <w:textDirection w:val="lrTb"/>
            <w:noWrap w:val="false"/>
          </w:tcPr>
          <w:p>
            <w:pPr>
              <w:pBdr/>
              <w:spacing w:after="40" w:before="40" w:line="288" w:lineRule="auto"/>
              <w:ind/>
              <w:rPr/>
            </w:pPr>
            <w:r>
              <w:rPr>
                <w:b/>
                <w:bCs/>
              </w:rPr>
              <w:t xml:space="preserve">Nhà văn phòng</w:t>
            </w:r>
            <w:r/>
          </w:p>
        </w:tc>
        <w:tc>
          <w:tcPr>
            <w:tcBorders/>
            <w:tcW w:w="1872" w:type="dxa"/>
            <w:vAlign w:val="center"/>
            <w:textDirection w:val="lrTb"/>
            <w:noWrap/>
          </w:tcPr>
          <w:p>
            <w:pPr>
              <w:pBdr/>
              <w:spacing w:after="40" w:before="40" w:line="288" w:lineRule="auto"/>
              <w:ind/>
              <w:jc w:val="center"/>
              <w:rPr>
                <w:color w:val="000000"/>
              </w:rPr>
            </w:pPr>
            <w:r>
              <w:rPr>
                <w:color w:val="000000" w:themeColor="text1"/>
              </w:rPr>
              <w:t xml:space="preserve">738,3</w:t>
            </w:r>
            <w:r>
              <w:rPr>
                <w:color w:val="000000"/>
              </w:rPr>
            </w:r>
            <w:r>
              <w:rPr>
                <w:color w:val="000000"/>
              </w:rPr>
            </w:r>
          </w:p>
        </w:tc>
        <w:tc>
          <w:tcPr>
            <w:shd w:val="clear" w:color="000000" w:fill="ffffff"/>
            <w:tcBorders/>
            <w:tcW w:w="33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6.985.000</w:t>
            </w:r>
            <w:r/>
          </w:p>
        </w:tc>
        <w:tc>
          <w:tcPr>
            <w:shd w:val="clear" w:color="000000" w:fill="ffffff"/>
            <w:tcBorders/>
            <w:tcW w:w="2524" w:type="dxa"/>
            <w:vAlign w:val="center"/>
            <w:textDirection w:val="lrTb"/>
            <w:noWrap w:val="false"/>
          </w:tcPr>
          <w:p>
            <w:pPr>
              <w:pBdr/>
              <w:spacing/>
              <w:ind/>
              <w:rPr>
                <w:color w:val="000000" w:themeColor="text1"/>
              </w:rPr>
            </w:pPr>
            <w:r>
              <w:rPr>
                <w:color w:val="000000" w:themeColor="text1"/>
              </w:rPr>
              <w:t xml:space="preserve">71%</w:t>
            </w:r>
            <w:r>
              <w:rPr>
                <w:color w:val="000000" w:themeColor="text1"/>
              </w:rPr>
            </w:r>
            <w:r>
              <w:rPr>
                <w:color w:val="000000" w:themeColor="text1"/>
              </w:rPr>
            </w:r>
          </w:p>
        </w:tc>
        <w:tc>
          <w:tcPr>
            <w:shd w:val="clear" w:color="000000" w:fill="ffffff"/>
            <w:tcBorders/>
            <w:tcW w:w="2693"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2"/>
              </w:rPr>
              <w:t xml:space="preserve">    3.661.488.105 </w:t>
            </w:r>
            <w:r/>
          </w:p>
        </w:tc>
      </w:tr>
      <w:tr>
        <w:trPr>
          <w:trHeight w:val="20"/>
        </w:trPr>
        <w:tc>
          <w:tcPr>
            <w:gridSpan w:val="4"/>
            <w:tcBorders/>
            <w:tcW w:w="935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524" w:type="dxa"/>
            <w:vAlign w:val="center"/>
            <w:textDirection w:val="lrTb"/>
            <w:noWrap/>
          </w:tcPr>
          <w:p>
            <w:pPr>
              <w:pBdr/>
              <w:spacing/>
              <w:ind/>
              <w:rPr/>
            </w:pPr>
            <w:r/>
            <w:r/>
          </w:p>
        </w:tc>
        <w:tc>
          <w:tcPr>
            <w:tcBorders/>
            <w:tcW w:w="2693" w:type="dxa"/>
            <w:vAlign w:val="center"/>
            <w:textDirection w:val="lrTb"/>
            <w:noWrap/>
          </w:tcPr>
          <w:p>
            <w:pPr>
              <w:pBdr/>
              <w:spacing w:after="40" w:before="40" w:line="288" w:lineRule="auto"/>
              <w:ind/>
              <w:jc w:val="center"/>
              <w:rPr>
                <w:b/>
                <w:bCs/>
                <w:color w:val="000000"/>
              </w:rPr>
            </w:pPr>
            <w:r>
              <w:rPr>
                <w:b/>
                <w:bCs/>
              </w:rPr>
              <w:t xml:space="preserve">218.230.518.105</w:t>
            </w:r>
            <w:r>
              <w:rPr>
                <w:b/>
                <w:bCs/>
                <w:color w:val="000000"/>
              </w:rPr>
            </w:r>
            <w:r>
              <w:rPr>
                <w:b/>
                <w:bCs/>
                <w:color w:val="000000"/>
              </w:rPr>
            </w:r>
          </w:p>
        </w:tc>
      </w:tr>
      <w:tr>
        <w:trPr>
          <w:trHeight w:val="20"/>
        </w:trPr>
        <w:tc>
          <w:tcPr>
            <w:gridSpan w:val="4"/>
            <w:tcBorders/>
            <w:tcW w:w="9354"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524" w:type="dxa"/>
            <w:vAlign w:val="center"/>
            <w:textDirection w:val="lrTb"/>
            <w:noWrap/>
          </w:tcPr>
          <w:p>
            <w:pPr>
              <w:pBdr/>
              <w:spacing/>
              <w:ind/>
              <w:rPr>
                <w:b/>
                <w:bCs/>
                <w:color w:val="000000"/>
              </w:rPr>
            </w:pPr>
            <w:r>
              <w:rPr>
                <w:b/>
                <w:bCs/>
                <w:color w:val="000000"/>
              </w:rPr>
            </w:r>
            <w:r>
              <w:rPr>
                <w:b/>
                <w:bCs/>
                <w:color w:val="000000"/>
              </w:rPr>
            </w:r>
            <w:r>
              <w:rPr>
                <w:b/>
                <w:bCs/>
                <w:color w:val="000000"/>
              </w:rPr>
            </w:r>
          </w:p>
        </w:tc>
        <w:tc>
          <w:tcPr>
            <w:tcBorders/>
            <w:tcW w:w="2693" w:type="dxa"/>
            <w:vAlign w:val="center"/>
            <w:textDirection w:val="lrTb"/>
            <w:noWrap/>
          </w:tcPr>
          <w:p>
            <w:pPr>
              <w:pBdr/>
              <w:spacing w:after="40" w:before="40" w:line="288" w:lineRule="auto"/>
              <w:ind/>
              <w:jc w:val="center"/>
              <w:rPr>
                <w:b/>
                <w:bCs/>
                <w:color w:val="000000"/>
              </w:rPr>
            </w:pPr>
            <w:r>
              <w:rPr>
                <w:b/>
                <w:bCs/>
                <w:color w:val="000000"/>
              </w:rPr>
              <w:t xml:space="preserve">218.230.500.000</w:t>
            </w:r>
            <w:r>
              <w:rPr>
                <w:b/>
                <w:bCs/>
                <w:color w:val="000000"/>
              </w:rPr>
            </w:r>
            <w:r>
              <w:rPr>
                <w:b/>
                <w:bCs/>
                <w:color w:val="000000"/>
              </w:rPr>
            </w:r>
          </w:p>
        </w:tc>
      </w:tr>
      <w:tr>
        <w:trPr>
          <w:trHeight w:val="20"/>
        </w:trPr>
        <w:tc>
          <w:tcPr>
            <w:gridSpan w:val="6"/>
            <w:tcBorders/>
            <w:tcW w:w="14571"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trăm mười tám tỷ hai trăm ba mươi  triệu năm trăm nghìn</w:t>
            </w:r>
            <w:r>
              <w:rPr>
                <w:b/>
                <w:bCs/>
                <w:i/>
                <w:iCs/>
                <w:color w:val="000000"/>
              </w:rPr>
              <w:t xml:space="preserve">./.)</w:t>
            </w:r>
            <w:r>
              <w:rPr>
                <w:b/>
                <w:bCs/>
                <w:i/>
                <w:iCs/>
                <w:color w:val="000000"/>
              </w:rPr>
            </w:r>
            <w:r>
              <w:rPr>
                <w:b/>
                <w:bCs/>
                <w:i/>
                <w:iCs/>
                <w:color w:val="000000"/>
              </w:rPr>
            </w:r>
          </w:p>
        </w:tc>
      </w:tr>
    </w:tbl>
    <w:p>
      <w:pPr>
        <w:pStyle w:val="1065"/>
        <w:pBdr/>
        <w:tabs>
          <w:tab w:val="left" w:leader="none" w:pos="993"/>
        </w:tabs>
        <w:spacing w:after="120" w:before="120" w:line="276" w:lineRule="auto"/>
        <w:ind w:left="0"/>
        <w:jc w:val="both"/>
        <w:rPr/>
      </w:pPr>
      <w:r/>
      <w:r/>
    </w:p>
    <w:p>
      <w:pPr>
        <w:pStyle w:val="106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6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6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6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65"/>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6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6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6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6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6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6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6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6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6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6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6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6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6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6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6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6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6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6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65"/>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6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6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65"/>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275/2026/1312/VFI-CT.T003.A</w:t>
      </w:r>
      <w:r>
        <w:rPr>
          <w:color w:val="ff0000"/>
          <w:lang w:val="vi-VN"/>
        </w:rPr>
        <w:t xml:space="preserve"> </w:t>
      </w:r>
      <w:r>
        <w:rPr>
          <w:color w:val="000000" w:themeColor="text1"/>
        </w:rPr>
        <w:t xml:space="preserve">ngày 20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Nhâm Văn Hưng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275/2026/1312/VFI-BC.T003.A</w:t>
      </w:r>
      <w:r>
        <w:rPr>
          <w:i/>
        </w:rPr>
        <w:t xml:space="preserve"> ngày</w:t>
      </w:r>
      <w:r>
        <w:rPr>
          <w:i/>
          <w:lang w:val="pt-BR"/>
        </w:rPr>
        <w:t xml:space="preserve"> </w:t>
      </w:r>
      <w:r>
        <w:rPr>
          <w:i/>
          <w:lang w:val="pt-BR"/>
        </w:rPr>
        <w:t xml:space="preserve">20 tháng 8 năm 2026</w:t>
      </w:r>
      <w:r>
        <w:rPr>
          <w:i/>
          <w:lang w:val="pt-BR"/>
        </w:rPr>
        <w:t xml:space="preserve"> </w:t>
      </w:r>
      <w:r>
        <w:rPr>
          <w:i/>
          <w:lang w:val="pt-BR"/>
        </w:rPr>
        <w:t xml:space="preserve">của </w:t>
      </w:r>
      <w:r>
        <w:rPr>
          <w:i/>
          <w:lang w:val="pt-BR"/>
        </w:rPr>
      </w:r>
      <w:r>
        <w:rPr>
          <w:i/>
          <w:lang w:val="pt-BR"/>
        </w:rPr>
      </w:r>
    </w:p>
    <w:p>
      <w:pPr>
        <w:pBdr/>
        <w:spacing w:after="120"/>
        <w:ind/>
        <w:jc w:val="center"/>
        <w:rPr>
          <w:bCs/>
          <w:i/>
          <w:lang w:val="pt-BR"/>
        </w:rPr>
      </w:pPr>
      <w:r>
        <w:rPr>
          <w:i/>
          <w:lang w:val="pt-BR"/>
        </w:rPr>
        <w:t xml:space="preserve">Công ty Cổ phần Thẩm định và Đầu tư Tài chính Hoa Sen)</w:t>
      </w:r>
      <w:r>
        <w:rPr>
          <w:bCs/>
          <w:i/>
          <w:lang w:val="pt-BR"/>
        </w:rPr>
      </w:r>
      <w:r>
        <w:rPr>
          <w:bCs/>
          <w:i/>
          <w:lang w:val="pt-BR"/>
        </w:rPr>
      </w:r>
    </w:p>
    <w:p>
      <w:pPr>
        <w:pBdr/>
        <w:spacing w:after="120"/>
        <w:ind/>
        <w:jc w:val="center"/>
        <w:rPr>
          <w:b/>
          <w:bCs/>
        </w:rPr>
      </w:pPr>
      <w:r>
        <w:rPr>
          <w:b/>
          <w:bCs/>
        </w:rPr>
        <w:t xml:space="preserve">Hiện trạng xưởng 2</w:t>
      </w:r>
      <w:r>
        <w:rPr>
          <w:b/>
          <w:bCs/>
        </w:rPr>
      </w:r>
      <w:r>
        <w:rPr>
          <w:b/>
          <w:bCs/>
        </w:rPr>
      </w:r>
    </w:p>
    <w:tbl>
      <w:tblPr>
        <w:tblStyle w:val="1069"/>
        <w:tblW w:w="0" w:type="auto"/>
        <w:tblBorders/>
        <w:tblLook w:val="04A0" w:firstRow="1" w:lastRow="0" w:firstColumn="1" w:lastColumn="0" w:noHBand="0" w:noVBand="1"/>
      </w:tblPr>
      <w:tblGrid>
        <w:gridCol w:w="7285"/>
        <w:gridCol w:w="7285"/>
      </w:tblGrid>
      <w:tr>
        <w:trPr>
          <w:trHeight w:val="1561"/>
        </w:trPr>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1606977" cy="120523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932173" name=""/>
                              <pic:cNvPicPr>
                                <a:picLocks noChangeAspect="1"/>
                              </pic:cNvPicPr>
                              <pic:nvPr/>
                            </pic:nvPicPr>
                            <pic:blipFill rotWithShape="1">
                              <a:blip r:embed="rId19"/>
                              <a:stretch/>
                            </pic:blipFill>
                            <pic:spPr bwMode="auto">
                              <a:xfrm flipH="0" flipV="0">
                                <a:off x="0" y="0"/>
                                <a:ext cx="1606976" cy="12052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26.53pt;height:94.90pt;mso-wrap-distance-left:0.00pt;mso-wrap-distance-top:0.00pt;mso-wrap-distance-right:0.00pt;mso-wrap-distance-bottom:0.00pt;z-index:1;" stroked="false">
                      <v:imagedata r:id="rId19" o:title=""/>
                      <o:lock v:ext="edit" rotation="t"/>
                    </v:shape>
                  </w:pict>
                </mc:Fallback>
              </mc:AlternateContent>
            </w:r>
            <w:r/>
          </w:p>
        </w:tc>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1383194" cy="103739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607765" name=""/>
                              <pic:cNvPicPr>
                                <a:picLocks noChangeAspect="1"/>
                              </pic:cNvPicPr>
                              <pic:nvPr/>
                            </pic:nvPicPr>
                            <pic:blipFill rotWithShape="1">
                              <a:blip r:embed="rId20"/>
                              <a:stretch/>
                            </pic:blipFill>
                            <pic:spPr bwMode="auto">
                              <a:xfrm flipH="0" flipV="0">
                                <a:off x="0" y="0"/>
                                <a:ext cx="1383193" cy="10373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8.91pt;height:81.68pt;mso-wrap-distance-left:0.00pt;mso-wrap-distance-top:0.00pt;mso-wrap-distance-right:0.00pt;mso-wrap-distance-bottom:0.00pt;z-index:1;" stroked="false">
                      <v:imagedata r:id="rId20" o:title=""/>
                      <o:lock v:ext="edit" rotation="t"/>
                    </v:shape>
                  </w:pict>
                </mc:Fallback>
              </mc:AlternateContent>
            </w:r>
            <w:r/>
          </w:p>
        </w:tc>
      </w:tr>
      <w:tr>
        <w:trPr>
          <w:trHeight w:val="1013"/>
        </w:trPr>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1553604" cy="116520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67230" name=""/>
                              <pic:cNvPicPr>
                                <a:picLocks noChangeAspect="1"/>
                              </pic:cNvPicPr>
                              <pic:nvPr/>
                            </pic:nvPicPr>
                            <pic:blipFill rotWithShape="1">
                              <a:blip r:embed="rId21"/>
                              <a:stretch/>
                            </pic:blipFill>
                            <pic:spPr bwMode="auto">
                              <a:xfrm flipH="0" flipV="0">
                                <a:off x="0" y="0"/>
                                <a:ext cx="1553603" cy="11652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22.33pt;height:91.75pt;mso-wrap-distance-left:0.00pt;mso-wrap-distance-top:0.00pt;mso-wrap-distance-right:0.00pt;mso-wrap-distance-bottom:0.00pt;z-index:1;" stroked="false">
                      <v:imagedata r:id="rId21" o:title=""/>
                      <o:lock v:ext="edit" rotation="t"/>
                    </v:shape>
                  </w:pict>
                </mc:Fallback>
              </mc:AlternateContent>
            </w:r>
            <w:r/>
          </w:p>
        </w:tc>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1842114" cy="102062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24103" name=""/>
                              <pic:cNvPicPr>
                                <a:picLocks noChangeAspect="1"/>
                              </pic:cNvPicPr>
                              <pic:nvPr/>
                            </pic:nvPicPr>
                            <pic:blipFill rotWithShape="1">
                              <a:blip r:embed="rId22"/>
                              <a:stretch/>
                            </pic:blipFill>
                            <pic:spPr bwMode="auto">
                              <a:xfrm flipH="0" flipV="0">
                                <a:off x="0" y="0"/>
                                <a:ext cx="1842113" cy="10206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45.05pt;height:80.36pt;mso-wrap-distance-left:0.00pt;mso-wrap-distance-top:0.00pt;mso-wrap-distance-right:0.00pt;mso-wrap-distance-bottom:0.00pt;z-index:1;" stroked="false">
                      <v:imagedata r:id="rId22" o:title=""/>
                      <o:lock v:ext="edit" rotation="t"/>
                    </v:shape>
                  </w:pict>
                </mc:Fallback>
              </mc:AlternateContent>
            </w:r>
            <w:r/>
          </w:p>
        </w:tc>
      </w:tr>
      <w:tr>
        <w:trPr/>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1571775" cy="117883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20585" name=""/>
                              <pic:cNvPicPr>
                                <a:picLocks noChangeAspect="1"/>
                              </pic:cNvPicPr>
                              <pic:nvPr/>
                            </pic:nvPicPr>
                            <pic:blipFill rotWithShape="1">
                              <a:blip r:embed="rId23"/>
                              <a:stretch/>
                            </pic:blipFill>
                            <pic:spPr bwMode="auto">
                              <a:xfrm flipH="0" flipV="0">
                                <a:off x="0" y="0"/>
                                <a:ext cx="1571775" cy="11788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23.76pt;height:92.82pt;mso-wrap-distance-left:0.00pt;mso-wrap-distance-top:0.00pt;mso-wrap-distance-right:0.00pt;mso-wrap-distance-bottom:0.00pt;z-index:1;" stroked="false">
                      <v:imagedata r:id="rId23" o:title=""/>
                      <o:lock v:ext="edit" rotation="t"/>
                    </v:shape>
                  </w:pict>
                </mc:Fallback>
              </mc:AlternateContent>
            </w:r>
            <w:r/>
          </w:p>
        </w:tc>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1298340" cy="97375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33215" name=""/>
                              <pic:cNvPicPr>
                                <a:picLocks noChangeAspect="1"/>
                              </pic:cNvPicPr>
                              <pic:nvPr/>
                            </pic:nvPicPr>
                            <pic:blipFill rotWithShape="1">
                              <a:blip r:embed="rId24"/>
                              <a:stretch/>
                            </pic:blipFill>
                            <pic:spPr bwMode="auto">
                              <a:xfrm flipH="0" flipV="0">
                                <a:off x="0" y="0"/>
                                <a:ext cx="1298340" cy="9737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02.23pt;height:76.67pt;mso-wrap-distance-left:0.00pt;mso-wrap-distance-top:0.00pt;mso-wrap-distance-right:0.00pt;mso-wrap-distance-bottom:0.00pt;z-index:1;" stroked="false">
                      <v:imagedata r:id="rId24" o:title=""/>
                      <o:lock v:ext="edit" rotation="t"/>
                    </v:shape>
                  </w:pict>
                </mc:Fallback>
              </mc:AlternateContent>
            </w:r>
            <w:r/>
          </w:p>
        </w:tc>
      </w:tr>
      <w:tr>
        <w:trPr/>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2154704" cy="161602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33788" name=""/>
                              <pic:cNvPicPr>
                                <a:picLocks noChangeAspect="1"/>
                              </pic:cNvPicPr>
                              <pic:nvPr/>
                            </pic:nvPicPr>
                            <pic:blipFill rotWithShape="1">
                              <a:blip r:embed="rId25"/>
                              <a:stretch/>
                            </pic:blipFill>
                            <pic:spPr bwMode="auto">
                              <a:xfrm flipH="0" flipV="0">
                                <a:off x="0" y="0"/>
                                <a:ext cx="2154704" cy="16160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69.66pt;height:127.25pt;mso-wrap-distance-left:0.00pt;mso-wrap-distance-top:0.00pt;mso-wrap-distance-right:0.00pt;mso-wrap-distance-bottom:0.00pt;z-index:1;" stroked="false">
                      <v:imagedata r:id="rId25" o:title=""/>
                      <o:lock v:ext="edit" rotation="t"/>
                    </v:shape>
                  </w:pict>
                </mc:Fallback>
              </mc:AlternateContent>
            </w:r>
            <w:r/>
          </w:p>
        </w:tc>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2007604" cy="161602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386591" name=""/>
                              <pic:cNvPicPr>
                                <a:picLocks noChangeAspect="1"/>
                              </pic:cNvPicPr>
                              <pic:nvPr/>
                            </pic:nvPicPr>
                            <pic:blipFill rotWithShape="1">
                              <a:blip r:embed="rId26"/>
                              <a:stretch/>
                            </pic:blipFill>
                            <pic:spPr bwMode="auto">
                              <a:xfrm flipH="0" flipV="0">
                                <a:off x="0" y="0"/>
                                <a:ext cx="2007604" cy="16160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58.08pt;height:127.25pt;mso-wrap-distance-left:0.00pt;mso-wrap-distance-top:0.00pt;mso-wrap-distance-right:0.00pt;mso-wrap-distance-bottom:0.00pt;z-index:1;" stroked="false">
                      <v:imagedata r:id="rId26" o:title=""/>
                      <o:lock v:ext="edit" rotation="t"/>
                    </v:shape>
                  </w:pict>
                </mc:Fallback>
              </mc:AlternateContent>
            </w:r>
            <w:r/>
          </w:p>
        </w:tc>
      </w:tr>
    </w:tbl>
    <w:p>
      <w:pPr>
        <w:pBdr/>
        <w:spacing w:after="120"/>
        <w:ind/>
        <w:jc w:val="center"/>
        <w:rPr>
          <w:bCs/>
          <w:i/>
          <w:lang w:val="pt-BR"/>
        </w:rPr>
      </w:pPr>
      <w:r>
        <w:rPr>
          <w:highlight w:val="none"/>
        </w:rPr>
      </w:r>
      <w:r>
        <w:rPr>
          <w:bCs/>
          <w:i/>
          <w:lang w:val="pt-BR"/>
        </w:rPr>
      </w:r>
      <w:r>
        <w:rPr>
          <w:bCs/>
          <w:i/>
          <w:lang w:val="pt-BR"/>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left"/>
        <w:rPr>
          <w:highlight w:val="none"/>
        </w:rPr>
      </w:pPr>
      <w:r>
        <w:rPr>
          <w:highlight w:val="none"/>
        </w:rPr>
      </w:r>
      <w:r>
        <w:rPr>
          <w:highlight w:val="none"/>
        </w:rPr>
      </w:r>
      <w:r>
        <w:rPr>
          <w:highlight w:val="none"/>
        </w:rPr>
      </w:r>
    </w:p>
    <w:p>
      <w:pPr>
        <w:pBdr/>
        <w:spacing w:after="120"/>
        <w:ind/>
        <w:jc w:val="center"/>
        <w:rPr>
          <w:b/>
          <w:bCs/>
          <w:highlight w:val="none"/>
        </w:rPr>
      </w:pPr>
      <w:r>
        <w:rPr>
          <w:b/>
          <w:bCs/>
        </w:rPr>
        <w:t xml:space="preserve">Hiện trạng xưởng 3</w:t>
      </w:r>
      <w:r>
        <w:rPr>
          <w:b/>
          <w:bCs/>
          <w:highlight w:val="none"/>
        </w:rPr>
      </w:r>
      <w:r>
        <w:rPr>
          <w:b/>
          <w:bCs/>
          <w:highlight w:val="none"/>
        </w:rPr>
      </w:r>
    </w:p>
    <w:p>
      <w:pPr>
        <w:pBdr/>
        <w:spacing w:after="120"/>
        <w:ind/>
        <w:jc w:val="center"/>
        <w:rPr/>
      </w:pPr>
      <w:r>
        <w:rPr>
          <w:highlight w:val="none"/>
        </w:rPr>
      </w:r>
      <w:r>
        <w:rPr>
          <w:highlight w:val="none"/>
        </w:rPr>
      </w:r>
      <w:r/>
    </w:p>
    <w:tbl>
      <w:tblPr>
        <w:tblStyle w:val="1069"/>
        <w:tblW w:w="0" w:type="auto"/>
        <w:tblBorders/>
        <w:tblLook w:val="04A0" w:firstRow="1" w:lastRow="0" w:firstColumn="1" w:lastColumn="0" w:noHBand="0" w:noVBand="1"/>
      </w:tblPr>
      <w:tblGrid>
        <w:gridCol w:w="7285"/>
        <w:gridCol w:w="7285"/>
      </w:tblGrid>
      <w:tr>
        <w:trPr/>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1176277" cy="88220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90752" name=""/>
                              <pic:cNvPicPr>
                                <a:picLocks noChangeAspect="1"/>
                              </pic:cNvPicPr>
                              <pic:nvPr/>
                            </pic:nvPicPr>
                            <pic:blipFill rotWithShape="1">
                              <a:blip r:embed="rId27"/>
                              <a:stretch/>
                            </pic:blipFill>
                            <pic:spPr bwMode="auto">
                              <a:xfrm flipH="0" flipV="0">
                                <a:off x="0" y="0"/>
                                <a:ext cx="1176276" cy="8822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92.62pt;height:69.47pt;mso-wrap-distance-left:0.00pt;mso-wrap-distance-top:0.00pt;mso-wrap-distance-right:0.00pt;mso-wrap-distance-bottom:0.00pt;z-index:1;" stroked="false">
                      <v:imagedata r:id="rId27" o:title=""/>
                      <o:lock v:ext="edit" rotation="t"/>
                    </v:shape>
                  </w:pict>
                </mc:Fallback>
              </mc:AlternateContent>
            </w:r>
            <w:r>
              <w:rPr>
                <w:highlight w:val="none"/>
              </w:rPr>
            </w:r>
            <w:r>
              <w:rPr>
                <w:highlight w:val="none"/>
              </w:rPr>
            </w:r>
          </w:p>
        </w:tc>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1525002" cy="90600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15977" name=""/>
                              <pic:cNvPicPr>
                                <a:picLocks noChangeAspect="1"/>
                              </pic:cNvPicPr>
                              <pic:nvPr/>
                            </pic:nvPicPr>
                            <pic:blipFill rotWithShape="1">
                              <a:blip r:embed="rId28"/>
                              <a:stretch/>
                            </pic:blipFill>
                            <pic:spPr bwMode="auto">
                              <a:xfrm flipH="0" flipV="0">
                                <a:off x="0" y="0"/>
                                <a:ext cx="1525001" cy="9060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20.08pt;height:71.34pt;mso-wrap-distance-left:0.00pt;mso-wrap-distance-top:0.00pt;mso-wrap-distance-right:0.00pt;mso-wrap-distance-bottom:0.00pt;z-index:1;" stroked="false">
                      <v:imagedata r:id="rId28" o:title=""/>
                      <o:lock v:ext="edit" rotation="t"/>
                    </v:shape>
                  </w:pict>
                </mc:Fallback>
              </mc:AlternateContent>
            </w:r>
            <w:r>
              <w:rPr>
                <w:highlight w:val="none"/>
              </w:rPr>
            </w:r>
            <w:r>
              <w:rPr>
                <w:highlight w:val="none"/>
              </w:rPr>
            </w:r>
          </w:p>
        </w:tc>
      </w:tr>
      <w:tr>
        <w:trPr/>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1239647" cy="92973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218370" name=""/>
                              <pic:cNvPicPr>
                                <a:picLocks noChangeAspect="1"/>
                              </pic:cNvPicPr>
                              <pic:nvPr/>
                            </pic:nvPicPr>
                            <pic:blipFill rotWithShape="1">
                              <a:blip r:embed="rId29"/>
                              <a:stretch/>
                            </pic:blipFill>
                            <pic:spPr bwMode="auto">
                              <a:xfrm flipH="0" flipV="0">
                                <a:off x="0" y="0"/>
                                <a:ext cx="1239646" cy="9297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97.61pt;height:73.21pt;mso-wrap-distance-left:0.00pt;mso-wrap-distance-top:0.00pt;mso-wrap-distance-right:0.00pt;mso-wrap-distance-bottom:0.00pt;z-index:1;" stroked="false">
                      <v:imagedata r:id="rId29" o:title=""/>
                      <o:lock v:ext="edit" rotation="t"/>
                    </v:shape>
                  </w:pict>
                </mc:Fallback>
              </mc:AlternateContent>
            </w:r>
            <w:r/>
          </w:p>
          <w:p>
            <w:pPr>
              <w:pBdr/>
              <w:spacing w:after="120"/>
              <w:ind/>
              <w:jc w:val="center"/>
              <w:rPr>
                <w:highlight w:val="none"/>
              </w:rPr>
            </w:pPr>
            <w:r>
              <w:rPr>
                <w:highlight w:val="none"/>
              </w:rPr>
            </w:r>
            <w:r>
              <w:rPr>
                <w:highlight w:val="none"/>
              </w:rPr>
            </w:r>
            <w:r>
              <w:rPr>
                <w:highlight w:val="none"/>
              </w:rPr>
            </w:r>
          </w:p>
        </w:tc>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1308930" cy="871128"/>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34794" name=""/>
                              <pic:cNvPicPr>
                                <a:picLocks noChangeAspect="1"/>
                              </pic:cNvPicPr>
                              <pic:nvPr/>
                            </pic:nvPicPr>
                            <pic:blipFill rotWithShape="1">
                              <a:blip r:embed="rId30"/>
                              <a:stretch/>
                            </pic:blipFill>
                            <pic:spPr bwMode="auto">
                              <a:xfrm flipH="0" flipV="0">
                                <a:off x="0" y="0"/>
                                <a:ext cx="1308930" cy="8711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03.07pt;height:68.59pt;mso-wrap-distance-left:0.00pt;mso-wrap-distance-top:0.00pt;mso-wrap-distance-right:0.00pt;mso-wrap-distance-bottom:0.00pt;z-index:1;" stroked="false">
                      <v:imagedata r:id="rId30" o:title=""/>
                      <o:lock v:ext="edit" rotation="t"/>
                    </v:shape>
                  </w:pict>
                </mc:Fallback>
              </mc:AlternateContent>
            </w:r>
            <w:r>
              <w:rPr>
                <w:highlight w:val="none"/>
              </w:rPr>
            </w:r>
            <w:r>
              <w:rPr>
                <w:highlight w:val="none"/>
              </w:rPr>
            </w:r>
          </w:p>
        </w:tc>
      </w:tr>
      <w:tr>
        <w:trPr/>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1910703" cy="124025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34557" name=""/>
                              <pic:cNvPicPr>
                                <a:picLocks noChangeAspect="1"/>
                              </pic:cNvPicPr>
                              <pic:nvPr/>
                            </pic:nvPicPr>
                            <pic:blipFill rotWithShape="1">
                              <a:blip r:embed="rId31"/>
                              <a:stretch/>
                            </pic:blipFill>
                            <pic:spPr bwMode="auto">
                              <a:xfrm flipH="0" flipV="0">
                                <a:off x="0" y="0"/>
                                <a:ext cx="1910702" cy="12402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50.45pt;height:97.66pt;mso-wrap-distance-left:0.00pt;mso-wrap-distance-top:0.00pt;mso-wrap-distance-right:0.00pt;mso-wrap-distance-bottom:0.00pt;z-index:1;" stroked="false">
                      <v:imagedata r:id="rId31" o:title=""/>
                      <o:lock v:ext="edit" rotation="t"/>
                    </v:shape>
                  </w:pict>
                </mc:Fallback>
              </mc:AlternateContent>
            </w:r>
            <w:r/>
          </w:p>
          <w:p>
            <w:pPr>
              <w:pBdr/>
              <w:spacing w:after="120"/>
              <w:ind/>
              <w:jc w:val="center"/>
              <w:rPr>
                <w:highlight w:val="none"/>
              </w:rPr>
            </w:pPr>
            <w:r>
              <w:rPr>
                <w:highlight w:val="none"/>
              </w:rPr>
            </w:r>
            <w:r>
              <w:rPr>
                <w:highlight w:val="none"/>
              </w:rPr>
            </w:r>
            <w:r>
              <w:rPr>
                <w:highlight w:val="none"/>
              </w:rPr>
            </w:r>
          </w:p>
        </w:tc>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2220257" cy="1074964"/>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87597" name=""/>
                              <pic:cNvPicPr>
                                <a:picLocks noChangeAspect="1"/>
                              </pic:cNvPicPr>
                              <pic:nvPr/>
                            </pic:nvPicPr>
                            <pic:blipFill rotWithShape="1">
                              <a:blip r:embed="rId32"/>
                              <a:stretch/>
                            </pic:blipFill>
                            <pic:spPr bwMode="auto">
                              <a:xfrm flipH="0" flipV="0">
                                <a:off x="0" y="0"/>
                                <a:ext cx="2220257" cy="10749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74.82pt;height:84.64pt;mso-wrap-distance-left:0.00pt;mso-wrap-distance-top:0.00pt;mso-wrap-distance-right:0.00pt;mso-wrap-distance-bottom:0.00pt;z-index:1;" stroked="false">
                      <v:imagedata r:id="rId32" o:title=""/>
                      <o:lock v:ext="edit" rotation="t"/>
                    </v:shape>
                  </w:pict>
                </mc:Fallback>
              </mc:AlternateContent>
            </w:r>
            <w:r>
              <w:rPr>
                <w:highlight w:val="none"/>
              </w:rPr>
            </w:r>
            <w:r>
              <w:rPr>
                <w:highlight w:val="none"/>
              </w:rPr>
            </w:r>
          </w:p>
        </w:tc>
      </w:tr>
      <w:tr>
        <w:trPr/>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2722446" cy="2041834"/>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63317" name=""/>
                              <pic:cNvPicPr>
                                <a:picLocks noChangeAspect="1"/>
                              </pic:cNvPicPr>
                              <pic:nvPr/>
                            </pic:nvPicPr>
                            <pic:blipFill rotWithShape="1">
                              <a:blip r:embed="rId33"/>
                              <a:stretch/>
                            </pic:blipFill>
                            <pic:spPr bwMode="auto">
                              <a:xfrm flipH="0" flipV="0">
                                <a:off x="0" y="0"/>
                                <a:ext cx="2722446" cy="20418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4.37pt;height:160.77pt;mso-wrap-distance-left:0.00pt;mso-wrap-distance-top:0.00pt;mso-wrap-distance-right:0.00pt;mso-wrap-distance-bottom:0.00pt;z-index:1;" stroked="false">
                      <v:imagedata r:id="rId33" o:title=""/>
                      <o:lock v:ext="edit" rotation="t"/>
                    </v:shape>
                  </w:pict>
                </mc:Fallback>
              </mc:AlternateContent>
            </w:r>
            <w:r>
              <w:rPr>
                <w:highlight w:val="none"/>
              </w:rPr>
            </w:r>
            <w:r>
              <w:rPr>
                <w:highlight w:val="none"/>
              </w:rPr>
            </w:r>
          </w:p>
        </w:tc>
        <w:tc>
          <w:tcPr>
            <w:tcBorders/>
            <w:tcW w:w="7285" w:type="dxa"/>
            <w:textDirection w:val="lrTb"/>
            <w:noWrap w:val="false"/>
          </w:tcPr>
          <w:p>
            <w:pPr>
              <w:pBdr/>
              <w:spacing w:after="120"/>
              <w:ind/>
              <w:jc w:val="center"/>
              <w:rPr/>
            </w:pPr>
            <w:r>
              <mc:AlternateContent>
                <mc:Choice Requires="wpg">
                  <w:drawing>
                    <wp:inline xmlns:wp="http://schemas.openxmlformats.org/drawingml/2006/wordprocessingDrawing" distT="0" distB="0" distL="0" distR="0">
                      <wp:extent cx="2295264" cy="1721448"/>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98489" name=""/>
                              <pic:cNvPicPr>
                                <a:picLocks noChangeAspect="1"/>
                              </pic:cNvPicPr>
                              <pic:nvPr/>
                            </pic:nvPicPr>
                            <pic:blipFill rotWithShape="1">
                              <a:blip r:embed="rId34"/>
                              <a:stretch/>
                            </pic:blipFill>
                            <pic:spPr bwMode="auto">
                              <a:xfrm flipH="0" flipV="0">
                                <a:off x="0" y="0"/>
                                <a:ext cx="2295263" cy="17214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0.73pt;height:135.55pt;mso-wrap-distance-left:0.00pt;mso-wrap-distance-top:0.00pt;mso-wrap-distance-right:0.00pt;mso-wrap-distance-bottom:0.00pt;z-index:1;" stroked="false">
                      <v:imagedata r:id="rId34" o:title=""/>
                      <o:lock v:ext="edit" rotation="t"/>
                    </v:shape>
                  </w:pict>
                </mc:Fallback>
              </mc:AlternateContent>
            </w:r>
            <w:r/>
          </w:p>
          <w:p>
            <w:pPr>
              <w:pBdr/>
              <w:spacing w:after="120"/>
              <w:ind/>
              <w:jc w:val="center"/>
              <w:rPr>
                <w:highlight w:val="none"/>
              </w:rPr>
            </w:pPr>
            <w:r>
              <w:rPr>
                <w:highlight w:val="none"/>
              </w:rPr>
            </w:r>
            <w:r>
              <w:rPr>
                <w:highlight w:val="none"/>
              </w:rPr>
            </w:r>
            <w:r>
              <w:rPr>
                <w:highlight w:val="none"/>
              </w:rPr>
            </w:r>
          </w:p>
        </w:tc>
      </w:tr>
    </w:tbl>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center"/>
        <w:rPr>
          <w:highlight w:val="none"/>
        </w:rPr>
      </w:pPr>
      <w:r>
        <w:rPr>
          <w:highlight w:val="none"/>
        </w:rPr>
      </w:r>
      <w:r>
        <w:rPr>
          <w:highlight w:val="none"/>
        </w:rPr>
      </w:r>
      <w:r>
        <w:rPr>
          <w:highlight w:val="none"/>
        </w:rPr>
      </w:r>
    </w:p>
    <w:p>
      <w:pPr>
        <w:pBdr/>
        <w:spacing w:after="120"/>
        <w:ind/>
        <w:jc w:val="left"/>
        <w:rPr>
          <w:b/>
          <w:bCs/>
          <w:highlight w:val="none"/>
        </w:rPr>
      </w:pPr>
      <w:r>
        <w:rPr>
          <w:b/>
          <w:bCs/>
          <w:highlight w:val="none"/>
        </w:rPr>
      </w:r>
      <w:r>
        <w:rPr>
          <w:b/>
          <w:bCs/>
          <w:highlight w:val="none"/>
        </w:rPr>
      </w:r>
      <w:r>
        <w:rPr>
          <w:b/>
          <w:bCs/>
          <w:highlight w:val="none"/>
        </w:rPr>
      </w:r>
    </w:p>
    <w:p>
      <w:pPr>
        <w:pBdr/>
        <w:spacing w:after="120"/>
        <w:ind/>
        <w:jc w:val="left"/>
        <w:rPr>
          <w:b/>
          <w:bCs/>
          <w:highlight w:val="none"/>
        </w:rPr>
      </w:pPr>
      <w:r>
        <w:rPr>
          <w:b/>
          <w:bCs/>
          <w:highlight w:val="none"/>
        </w:rPr>
      </w:r>
      <w:r>
        <w:rPr>
          <w:b/>
          <w:bCs/>
          <w:highlight w:val="none"/>
        </w:rPr>
      </w:r>
      <w:r>
        <w:rPr>
          <w:b/>
          <w:bCs/>
          <w:highlight w:val="none"/>
        </w:rPr>
      </w:r>
    </w:p>
    <w:p>
      <w:pPr>
        <w:pBdr/>
        <w:spacing w:after="120"/>
        <w:ind/>
        <w:jc w:val="center"/>
        <w:rPr>
          <w:b/>
          <w:bCs/>
          <w:highlight w:val="none"/>
        </w:rPr>
      </w:pPr>
      <w:r>
        <w:rPr>
          <w:b/>
          <w:bCs/>
          <w:highlight w:val="none"/>
        </w:rPr>
        <w:t xml:space="preserve">Hiện trạng nhà văn phòng </w:t>
      </w:r>
      <w:r>
        <w:rPr>
          <w:b/>
          <w:bCs/>
          <w:highlight w:val="none"/>
        </w:rPr>
      </w:r>
      <w:r>
        <w:rPr>
          <w:b/>
          <w:bCs/>
          <w:highlight w:val="none"/>
        </w:rPr>
      </w:r>
    </w:p>
    <w:p>
      <w:pPr>
        <w:pBdr/>
        <w:spacing w:after="120"/>
        <w:ind/>
        <w:jc w:val="center"/>
        <w:rPr>
          <w:highlight w:val="none"/>
        </w:rPr>
      </w:pPr>
      <w:r>
        <w:rPr>
          <w:highlight w:val="none"/>
        </w:rPr>
      </w:r>
      <w:r>
        <w:rPr>
          <w:highlight w:val="none"/>
        </w:rPr>
      </w:r>
      <w:r>
        <w:rPr>
          <w:highlight w:val="none"/>
        </w:rPr>
      </w:r>
    </w:p>
    <w:tbl>
      <w:tblPr>
        <w:tblStyle w:val="1069"/>
        <w:tblW w:w="0" w:type="auto"/>
        <w:tblBorders/>
        <w:tblLook w:val="04A0" w:firstRow="1" w:lastRow="0" w:firstColumn="1" w:lastColumn="0" w:noHBand="0" w:noVBand="1"/>
      </w:tblPr>
      <w:tblGrid>
        <w:gridCol w:w="7285"/>
        <w:gridCol w:w="7285"/>
      </w:tblGrid>
      <w:tr>
        <w:trPr/>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2184849" cy="1146754"/>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538239" name=""/>
                              <pic:cNvPicPr>
                                <a:picLocks noChangeAspect="1"/>
                              </pic:cNvPicPr>
                              <pic:nvPr/>
                            </pic:nvPicPr>
                            <pic:blipFill rotWithShape="1">
                              <a:blip r:embed="rId35"/>
                              <a:stretch/>
                            </pic:blipFill>
                            <pic:spPr bwMode="auto">
                              <a:xfrm flipH="0" flipV="0">
                                <a:off x="0" y="0"/>
                                <a:ext cx="2184848" cy="11467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72.04pt;height:90.30pt;mso-wrap-distance-left:0.00pt;mso-wrap-distance-top:0.00pt;mso-wrap-distance-right:0.00pt;mso-wrap-distance-bottom:0.00pt;z-index:1;" stroked="false">
                      <v:imagedata r:id="rId35" o:title=""/>
                      <o:lock v:ext="edit" rotation="t"/>
                    </v:shape>
                  </w:pict>
                </mc:Fallback>
              </mc:AlternateContent>
            </w:r>
            <w:r>
              <w:rPr>
                <w:highlight w:val="none"/>
              </w:rPr>
            </w:r>
            <w:r>
              <w:rPr>
                <w:highlight w:val="none"/>
              </w:rPr>
            </w:r>
          </w:p>
        </w:tc>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2079065" cy="1220146"/>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45246" name=""/>
                              <pic:cNvPicPr>
                                <a:picLocks noChangeAspect="1"/>
                              </pic:cNvPicPr>
                              <pic:nvPr/>
                            </pic:nvPicPr>
                            <pic:blipFill rotWithShape="1">
                              <a:blip r:embed="rId36"/>
                              <a:stretch/>
                            </pic:blipFill>
                            <pic:spPr bwMode="auto">
                              <a:xfrm flipH="0" flipV="0">
                                <a:off x="0" y="0"/>
                                <a:ext cx="2079064" cy="12201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63.71pt;height:96.07pt;mso-wrap-distance-left:0.00pt;mso-wrap-distance-top:0.00pt;mso-wrap-distance-right:0.00pt;mso-wrap-distance-bottom:0.00pt;z-index:1;" stroked="false">
                      <v:imagedata r:id="rId36" o:title=""/>
                      <o:lock v:ext="edit" rotation="t"/>
                    </v:shape>
                  </w:pict>
                </mc:Fallback>
              </mc:AlternateContent>
            </w:r>
            <w:r>
              <w:rPr>
                <w:highlight w:val="none"/>
              </w:rPr>
            </w:r>
            <w:r>
              <w:rPr>
                <w:highlight w:val="none"/>
              </w:rPr>
            </w:r>
          </w:p>
        </w:tc>
      </w:tr>
      <w:tr>
        <w:trPr/>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2688871" cy="1482271"/>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60924" name=""/>
                              <pic:cNvPicPr>
                                <a:picLocks noChangeAspect="1"/>
                              </pic:cNvPicPr>
                              <pic:nvPr/>
                            </pic:nvPicPr>
                            <pic:blipFill rotWithShape="1">
                              <a:blip r:embed="rId37"/>
                              <a:stretch/>
                            </pic:blipFill>
                            <pic:spPr bwMode="auto">
                              <a:xfrm flipH="0" flipV="0">
                                <a:off x="0" y="0"/>
                                <a:ext cx="2688870" cy="14822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11.72pt;height:116.71pt;mso-wrap-distance-left:0.00pt;mso-wrap-distance-top:0.00pt;mso-wrap-distance-right:0.00pt;mso-wrap-distance-bottom:0.00pt;z-index:1;" stroked="false">
                      <v:imagedata r:id="rId37" o:title=""/>
                      <o:lock v:ext="edit" rotation="t"/>
                    </v:shape>
                  </w:pict>
                </mc:Fallback>
              </mc:AlternateContent>
            </w:r>
            <w:r>
              <w:rPr>
                <w:highlight w:val="none"/>
              </w:rPr>
            </w:r>
            <w:r>
              <w:rPr>
                <w:highlight w:val="none"/>
              </w:rPr>
            </w:r>
          </w:p>
        </w:tc>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2333172" cy="1374321"/>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131941" name=""/>
                              <pic:cNvPicPr>
                                <a:picLocks noChangeAspect="1"/>
                              </pic:cNvPicPr>
                              <pic:nvPr/>
                            </pic:nvPicPr>
                            <pic:blipFill rotWithShape="1">
                              <a:blip r:embed="rId38"/>
                              <a:stretch/>
                            </pic:blipFill>
                            <pic:spPr bwMode="auto">
                              <a:xfrm flipH="0" flipV="0">
                                <a:off x="0" y="0"/>
                                <a:ext cx="2333171" cy="13743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3.71pt;height:108.21pt;mso-wrap-distance-left:0.00pt;mso-wrap-distance-top:0.00pt;mso-wrap-distance-right:0.00pt;mso-wrap-distance-bottom:0.00pt;z-index:1;" stroked="false">
                      <v:imagedata r:id="rId38" o:title=""/>
                      <o:lock v:ext="edit" rotation="t"/>
                    </v:shape>
                  </w:pict>
                </mc:Fallback>
              </mc:AlternateContent>
            </w:r>
            <w:r>
              <w:rPr>
                <w:highlight w:val="none"/>
              </w:rPr>
            </w:r>
            <w:r>
              <w:rPr>
                <w:highlight w:val="none"/>
              </w:rPr>
            </w:r>
          </w:p>
        </w:tc>
      </w:tr>
      <w:tr>
        <w:trPr/>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2381069" cy="1785802"/>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44350" name=""/>
                              <pic:cNvPicPr>
                                <a:picLocks noChangeAspect="1"/>
                              </pic:cNvPicPr>
                              <pic:nvPr/>
                            </pic:nvPicPr>
                            <pic:blipFill rotWithShape="1">
                              <a:blip r:embed="rId39"/>
                              <a:stretch/>
                            </pic:blipFill>
                            <pic:spPr bwMode="auto">
                              <a:xfrm flipH="0" flipV="0">
                                <a:off x="0" y="0"/>
                                <a:ext cx="2381069" cy="17858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7.49pt;height:140.61pt;mso-wrap-distance-left:0.00pt;mso-wrap-distance-top:0.00pt;mso-wrap-distance-right:0.00pt;mso-wrap-distance-bottom:0.00pt;z-index:1;" stroked="false">
                      <v:imagedata r:id="rId39" o:title=""/>
                      <o:lock v:ext="edit" rotation="t"/>
                    </v:shape>
                  </w:pict>
                </mc:Fallback>
              </mc:AlternateContent>
            </w:r>
            <w:r>
              <w:rPr>
                <w:highlight w:val="none"/>
              </w:rPr>
            </w:r>
            <w:r>
              <w:rPr>
                <w:highlight w:val="none"/>
              </w:rPr>
            </w:r>
          </w:p>
        </w:tc>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2344964" cy="1758723"/>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15875" name=""/>
                              <pic:cNvPicPr>
                                <a:picLocks noChangeAspect="1"/>
                              </pic:cNvPicPr>
                              <pic:nvPr/>
                            </pic:nvPicPr>
                            <pic:blipFill rotWithShape="1">
                              <a:blip r:embed="rId40"/>
                              <a:stretch/>
                            </pic:blipFill>
                            <pic:spPr bwMode="auto">
                              <a:xfrm flipH="0" flipV="0">
                                <a:off x="0" y="0"/>
                                <a:ext cx="2344963" cy="17587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84.64pt;height:138.48pt;mso-wrap-distance-left:0.00pt;mso-wrap-distance-top:0.00pt;mso-wrap-distance-right:0.00pt;mso-wrap-distance-bottom:0.00pt;z-index:1;" stroked="false">
                      <v:imagedata r:id="rId40" o:title=""/>
                      <o:lock v:ext="edit" rotation="t"/>
                    </v:shape>
                  </w:pict>
                </mc:Fallback>
              </mc:AlternateContent>
            </w:r>
            <w:r>
              <w:rPr>
                <w:highlight w:val="none"/>
              </w:rPr>
            </w:r>
            <w:r>
              <w:rPr>
                <w:highlight w:val="none"/>
              </w:rPr>
            </w:r>
          </w:p>
        </w:tc>
      </w:tr>
      <w:tr>
        <w:trPr/>
        <w:tc>
          <w:tcPr>
            <w:tcBorders/>
            <w:tcW w:w="7285" w:type="dxa"/>
            <w:vMerge w:val="restart"/>
            <w:textDirection w:val="lrTb"/>
            <w:noWrap w:val="false"/>
          </w:tcPr>
          <w:p>
            <w:pPr>
              <w:pBdr/>
              <w:spacing w:after="120"/>
              <w:ind/>
              <w:jc w:val="center"/>
              <w:rPr>
                <w:highlight w:val="none"/>
              </w:rPr>
            </w:pPr>
            <w:r>
              <w:rPr>
                <w:highlight w:val="none"/>
              </w:rPr>
            </w:r>
            <w:r>
              <w:rPr>
                <w:highlight w:val="none"/>
              </w:rPr>
            </w:r>
            <w:r>
              <w:rPr>
                <w:highlight w:val="none"/>
              </w:rPr>
            </w:r>
          </w:p>
        </w:tc>
        <w:tc>
          <w:tcPr>
            <w:tcBorders/>
            <w:tcW w:w="7285" w:type="dxa"/>
            <w:vMerge w:val="restart"/>
            <w:textDirection w:val="lrTb"/>
            <w:noWrap w:val="false"/>
          </w:tcPr>
          <w:p>
            <w:pPr>
              <w:pBdr/>
              <w:spacing w:after="120"/>
              <w:ind/>
              <w:jc w:val="center"/>
              <w:rPr>
                <w:highlight w:val="none"/>
              </w:rPr>
            </w:pPr>
            <w:r>
              <w:rPr>
                <w:highlight w:val="none"/>
              </w:rPr>
              <w:t xml:space="preserve">Cán bộ khảo sát </w:t>
            </w:r>
            <w:r>
              <w:rPr>
                <w:highlight w:val="none"/>
              </w:rPr>
            </w:r>
            <w:r>
              <w:rPr>
                <w:highlight w:val="none"/>
              </w:rPr>
            </w:r>
          </w:p>
        </w:tc>
      </w:tr>
      <w:tr>
        <w:trPr/>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3136777" cy="2352583"/>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506719" name=""/>
                              <pic:cNvPicPr>
                                <a:picLocks noChangeAspect="1"/>
                              </pic:cNvPicPr>
                              <pic:nvPr/>
                            </pic:nvPicPr>
                            <pic:blipFill rotWithShape="1">
                              <a:blip r:embed="rId41"/>
                              <a:stretch/>
                            </pic:blipFill>
                            <pic:spPr bwMode="auto">
                              <a:xfrm flipH="0" flipV="0">
                                <a:off x="0" y="0"/>
                                <a:ext cx="3136776" cy="23525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46.99pt;height:185.24pt;mso-wrap-distance-left:0.00pt;mso-wrap-distance-top:0.00pt;mso-wrap-distance-right:0.00pt;mso-wrap-distance-bottom:0.00pt;z-index:1;" stroked="false">
                      <v:imagedata r:id="rId41" o:title=""/>
                      <o:lock v:ext="edit" rotation="t"/>
                    </v:shape>
                  </w:pict>
                </mc:Fallback>
              </mc:AlternateContent>
            </w:r>
            <w:r>
              <w:rPr>
                <w:highlight w:val="none"/>
              </w:rPr>
            </w:r>
            <w:r>
              <w:rPr>
                <w:highlight w:val="none"/>
              </w:rPr>
            </w:r>
          </w:p>
        </w:tc>
        <w:tc>
          <w:tcPr>
            <w:tcBorders/>
            <w:tcW w:w="7285" w:type="dxa"/>
            <w:textDirection w:val="lrTb"/>
            <w:noWrap w:val="false"/>
          </w:tcPr>
          <w:p>
            <w:pPr>
              <w:pBdr/>
              <w:spacing w:after="120"/>
              <w:ind/>
              <w:jc w:val="center"/>
              <w:rPr>
                <w:highlight w:val="none"/>
              </w:rPr>
            </w:pPr>
            <w:r>
              <w:rPr>
                <w:highlight w:val="none"/>
              </w:rPr>
            </w:r>
            <w:r>
              <mc:AlternateContent>
                <mc:Choice Requires="wpg">
                  <w:drawing>
                    <wp:inline xmlns:wp="http://schemas.openxmlformats.org/drawingml/2006/wordprocessingDrawing" distT="0" distB="0" distL="0" distR="0">
                      <wp:extent cx="3579439" cy="2291139"/>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34754" name=""/>
                              <pic:cNvPicPr>
                                <a:picLocks noChangeAspect="1"/>
                              </pic:cNvPicPr>
                              <pic:nvPr/>
                            </pic:nvPicPr>
                            <pic:blipFill rotWithShape="1">
                              <a:blip r:embed="rId42"/>
                              <a:stretch/>
                            </pic:blipFill>
                            <pic:spPr bwMode="auto">
                              <a:xfrm flipH="0" flipV="0">
                                <a:off x="0" y="0"/>
                                <a:ext cx="3579438" cy="22911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81.85pt;height:180.40pt;mso-wrap-distance-left:0.00pt;mso-wrap-distance-top:0.00pt;mso-wrap-distance-right:0.00pt;mso-wrap-distance-bottom:0.00pt;z-index:1;" stroked="false">
                      <v:imagedata r:id="rId42" o:title=""/>
                      <o:lock v:ext="edit" rotation="t"/>
                    </v:shape>
                  </w:pict>
                </mc:Fallback>
              </mc:AlternateContent>
            </w:r>
            <w:r>
              <w:rPr>
                <w:highlight w:val="none"/>
              </w:rPr>
            </w:r>
            <w:r>
              <w:rPr>
                <w:highlight w:val="none"/>
              </w:rPr>
            </w:r>
          </w:p>
        </w:tc>
      </w:tr>
    </w:tbl>
    <w:p>
      <w:pPr>
        <w:pBdr/>
        <w:spacing w:after="120"/>
        <w:ind/>
        <w:jc w:val="center"/>
        <w:rPr>
          <w:highlight w:val="none"/>
        </w:rPr>
      </w:pPr>
      <w:r>
        <w:rPr>
          <w:highlight w:val="none"/>
        </w:rPr>
      </w:r>
      <w:r>
        <w:rPr>
          <w:highlight w:val="none"/>
        </w:rPr>
      </w:r>
      <w:r>
        <w:rPr>
          <w:highlight w:val="none"/>
        </w:rPr>
      </w:r>
    </w:p>
    <w:p>
      <w:pPr>
        <w:pBdr/>
        <w:spacing w:after="120"/>
        <w:ind/>
        <w:jc w:val="left"/>
        <w:rPr/>
      </w:pPr>
      <w:r>
        <mc:AlternateContent>
          <mc:Choice Requires="wpg">
            <w:drawing>
              <wp:inline xmlns:wp="http://schemas.openxmlformats.org/drawingml/2006/wordprocessingDrawing" distT="0" distB="0" distL="0" distR="0">
                <wp:extent cx="6275374" cy="604837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863350" name=""/>
                        <pic:cNvPicPr>
                          <a:picLocks noChangeAspect="1"/>
                        </pic:cNvPicPr>
                        <pic:nvPr/>
                      </pic:nvPicPr>
                      <pic:blipFill rotWithShape="1">
                        <a:blip r:embed="rId43"/>
                        <a:stretch/>
                      </pic:blipFill>
                      <pic:spPr bwMode="auto">
                        <a:xfrm flipH="0" flipV="0">
                          <a:off x="0" y="0"/>
                          <a:ext cx="6275374" cy="60483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94.12pt;height:476.25pt;mso-wrap-distance-left:0.00pt;mso-wrap-distance-top:0.00pt;mso-wrap-distance-right:0.00pt;mso-wrap-distance-bottom:0.00pt;z-index:1;" stroked="false">
                <v:imagedata r:id="rId43" o:title=""/>
                <o:lock v:ext="edit" rotation="t"/>
              </v:shape>
            </w:pict>
          </mc:Fallback>
        </mc:AlternateContent>
      </w:r>
      <w:r>
        <w:br w:type="page" w:clear="all"/>
      </w:r>
      <w:r>
        <mc:AlternateContent>
          <mc:Choice Requires="wpg">
            <w:drawing>
              <wp:inline xmlns:wp="http://schemas.openxmlformats.org/drawingml/2006/wordprocessingDrawing" distT="0" distB="0" distL="0" distR="0">
                <wp:extent cx="6020140" cy="6048375"/>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08015" name=""/>
                        <pic:cNvPicPr>
                          <a:picLocks noChangeAspect="1"/>
                        </pic:cNvPicPr>
                        <pic:nvPr/>
                      </pic:nvPicPr>
                      <pic:blipFill rotWithShape="1">
                        <a:blip r:embed="rId44"/>
                        <a:stretch/>
                      </pic:blipFill>
                      <pic:spPr bwMode="auto">
                        <a:xfrm flipH="0" flipV="0">
                          <a:off x="0" y="0"/>
                          <a:ext cx="6020139" cy="60483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74.03pt;height:476.25pt;mso-wrap-distance-left:0.00pt;mso-wrap-distance-top:0.00pt;mso-wrap-distance-right:0.00pt;mso-wrap-distance-bottom:0.00pt;z-index:1;" stroked="false">
                <v:imagedata r:id="rId44" o:title=""/>
                <o:lock v:ext="edit" rotation="t"/>
              </v:shape>
            </w:pict>
          </mc:Fallback>
        </mc:AlternateContent>
      </w:r>
      <w:r>
        <w:rPr>
          <w:highlight w:val="none"/>
        </w:rPr>
      </w:r>
      <w:r/>
    </w:p>
    <w:p>
      <w:pPr>
        <w:pBdr/>
        <w:spacing w:after="120"/>
        <w:ind/>
        <w:jc w:val="left"/>
        <w:rPr>
          <w:highlight w:val="none"/>
        </w:rPr>
      </w:pPr>
      <w:r>
        <w:rPr>
          <w:highlight w:val="none"/>
        </w:rPr>
      </w:r>
      <w:r>
        <w:rPr>
          <w:highlight w:val="none"/>
        </w:rPr>
      </w:r>
      <w:r>
        <w:rPr>
          <w:highlight w:val="none"/>
        </w:rPr>
      </w:r>
    </w:p>
    <w:p>
      <w:pPr>
        <w:pBdr/>
        <w:spacing w:after="120"/>
        <w:ind/>
        <w:jc w:val="left"/>
        <w:rPr>
          <w:highlight w:val="none"/>
        </w:rPr>
      </w:pPr>
      <w:r>
        <w:rPr>
          <w:highlight w:val="none"/>
        </w:rPr>
      </w:r>
      <w:r>
        <w:rPr>
          <w:highlight w:val="none"/>
        </w:rPr>
      </w:r>
      <w:r>
        <w:rPr>
          <w:highlight w:val="none"/>
        </w:rPr>
      </w:r>
    </w:p>
    <w:p>
      <w:pPr>
        <w:pBdr/>
        <w:spacing w:after="120"/>
        <w:ind/>
        <w:jc w:val="left"/>
        <w:rPr>
          <w:highlight w:val="none"/>
        </w:rPr>
      </w:pPr>
      <w:r>
        <w:rPr>
          <w:highlight w:val="none"/>
        </w:rPr>
      </w:r>
      <w:r>
        <mc:AlternateContent>
          <mc:Choice Requires="wpg">
            <w:drawing>
              <wp:inline xmlns:wp="http://schemas.openxmlformats.org/drawingml/2006/wordprocessingDrawing" distT="0" distB="0" distL="0" distR="0">
                <wp:extent cx="6229690" cy="7505160"/>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633530" name=""/>
                        <pic:cNvPicPr>
                          <a:picLocks noChangeAspect="1"/>
                        </pic:cNvPicPr>
                        <pic:nvPr/>
                      </pic:nvPicPr>
                      <pic:blipFill rotWithShape="1">
                        <a:blip r:embed="rId45"/>
                        <a:stretch/>
                      </pic:blipFill>
                      <pic:spPr bwMode="auto">
                        <a:xfrm flipH="0" flipV="0">
                          <a:off x="0" y="0"/>
                          <a:ext cx="6229689" cy="7505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90.53pt;height:590.96pt;mso-wrap-distance-left:0.00pt;mso-wrap-distance-top:0.00pt;mso-wrap-distance-right:0.00pt;mso-wrap-distance-bottom:0.00pt;z-index:1;" stroked="false">
                <v:imagedata r:id="rId45" o:title=""/>
                <o:lock v:ext="edit" rotation="t"/>
              </v:shape>
            </w:pict>
          </mc:Fallback>
        </mc:AlternateContent>
      </w:r>
      <w:r>
        <w:rPr>
          <w:highlight w:val="none"/>
        </w:rPr>
      </w:r>
      <w:r>
        <w:rPr>
          <w:highlight w:val="none"/>
        </w:rPr>
      </w:r>
    </w:p>
    <w:p>
      <w:pPr>
        <w:pBdr/>
        <w:spacing w:after="120"/>
        <w:ind/>
        <w:jc w:val="left"/>
        <w:rPr>
          <w:highlight w:val="none"/>
        </w:rPr>
      </w:pPr>
      <w:r>
        <w:rPr>
          <w:highlight w:val="none"/>
        </w:rPr>
      </w:r>
      <w:r>
        <w:rPr>
          <w:highlight w:val="none"/>
        </w:rPr>
      </w:r>
      <w:r>
        <w:rPr>
          <w:highlight w:val="none"/>
        </w:rPr>
      </w:r>
    </w:p>
    <w:p>
      <w:pPr>
        <w:pBdr/>
        <w:spacing w:after="120"/>
        <w:ind/>
        <w:jc w:val="left"/>
        <w:rPr>
          <w:highlight w:val="none"/>
        </w:rPr>
      </w:pPr>
      <w:r>
        <w:rPr>
          <w:highlight w:val="none"/>
        </w:rPr>
      </w:r>
      <w:r>
        <w:rPr>
          <w:highlight w:val="none"/>
        </w:rPr>
      </w:r>
      <w:r>
        <w:rPr>
          <w:highlight w:val="none"/>
        </w:rPr>
      </w:r>
    </w:p>
    <w:p>
      <w:pPr>
        <w:pBdr/>
        <w:spacing w:after="120"/>
        <w:ind/>
        <w:jc w:val="left"/>
        <w:rPr>
          <w:highlight w:val="none"/>
        </w:rPr>
      </w:pPr>
      <w:r>
        <w:rPr>
          <w:highlight w:val="none"/>
        </w:rPr>
      </w:r>
      <w:r>
        <w:rPr>
          <w:highlight w:val="none"/>
        </w:rPr>
      </w:r>
      <w:r>
        <w:rPr>
          <w:highlight w:val="none"/>
        </w:rPr>
      </w:r>
    </w:p>
    <w:p>
      <w:pPr>
        <w:pBdr/>
        <w:spacing w:after="120"/>
        <w:ind/>
        <w:jc w:val="left"/>
        <w:rPr>
          <w:highlight w:val="none"/>
        </w:rPr>
      </w:pPr>
      <w:r>
        <w:rPr>
          <w:highlight w:val="none"/>
        </w:rPr>
      </w:r>
      <w:r>
        <w:rPr>
          <w:highlight w:val="none"/>
        </w:rPr>
      </w:r>
      <w:r>
        <w:rPr>
          <w:highlight w:val="none"/>
        </w:rPr>
      </w:r>
    </w:p>
    <w:p>
      <w:pPr>
        <w:pBdr/>
        <w:spacing w:after="120"/>
        <w:ind/>
        <w:jc w:val="left"/>
        <w:rPr>
          <w:highlight w:val="none"/>
        </w:rPr>
      </w:pPr>
      <w:r>
        <w:rPr>
          <w:highlight w:val="none"/>
        </w:rPr>
      </w:r>
      <w:r>
        <w:rPr>
          <w:highlight w:val="none"/>
        </w:rPr>
      </w:r>
      <w:r>
        <w:rPr>
          <w:highlight w:val="none"/>
        </w:rPr>
      </w:r>
    </w:p>
    <w:p>
      <w:pPr>
        <w:pBdr/>
        <w:spacing w:after="120"/>
        <w:ind/>
        <w:jc w:val="left"/>
        <w:rPr>
          <w:highlight w:val="none"/>
        </w:rPr>
      </w:pPr>
      <w:r>
        <w:rPr>
          <w:highlight w:val="none"/>
        </w:rPr>
      </w:r>
      <w:r>
        <w:rPr>
          <w:highlight w:val="none"/>
        </w:rPr>
      </w:r>
      <w:r>
        <w:rPr>
          <w:highlight w:val="none"/>
        </w:rPr>
      </w:r>
    </w:p>
    <w:p>
      <w:pPr>
        <w:pBdr/>
        <w:spacing w:after="120"/>
        <w:ind/>
        <w:jc w:val="left"/>
        <w:rPr>
          <w:highlight w:val="none"/>
        </w:rPr>
      </w:pPr>
      <w:r>
        <w:rPr>
          <w:highlight w:val="none"/>
        </w:rPr>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275/2026/1312/VFI-BC.T003.A</w:t>
      </w:r>
      <w:r>
        <w:rPr>
          <w:i/>
        </w:rPr>
        <w:t xml:space="preserve"> ngày</w:t>
      </w:r>
      <w:r>
        <w:rPr>
          <w:i/>
          <w:lang w:val="pt-BR"/>
        </w:rPr>
        <w:t xml:space="preserve"> </w:t>
      </w:r>
      <w:r>
        <w:rPr>
          <w:i/>
          <w:lang w:val="pt-BR"/>
        </w:rPr>
        <w:t xml:space="preserve">20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https://namphaticd.com.vn/san-pham/ban-dat-40000m2-tai-khu-cong-nghiep-song-than-3-binh-duong/</w:t>
            </w:r>
            <w:r>
              <w:rPr>
                <w:color w:val="000000" w:themeColor="text1"/>
                <w:sz w:val="22"/>
                <w:szCs w:val="22"/>
              </w:rPr>
              <w:br/>
              <w:t xml:space="preserve">0981455750</w:t>
            </w:r>
            <w:r>
              <w:rPr>
                <w:sz w:val="22"/>
                <w:szCs w:val="22"/>
              </w:rPr>
              <w:t xml:space="preserve"> </w:t>
            </w:r>
            <w:r>
              <w:rPr>
                <w:sz w:val="22"/>
                <w:szCs w:val="22"/>
              </w:rPr>
              <w:br/>
              <w:t xml:space="preserve">(Nam Phát ICD</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275.246.400.000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233.959.440.000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khu công nghiệp (40000m²)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khu công nghiệp – Có thời hạn (đến 30/11/2055, 29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Điện Biên Phủ, Phường Bình Dương, Thành phố Hồ Chí Minh, độ rộng đường trước mặt tài sản 17.6m, mặt tiền 190.38m, 11.0370558400703, 106.69479856281545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190.38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3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737860" cy="317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a:off x="0" y="0"/>
                                <a:ext cx="473786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373.06pt;height:250.00pt;mso-wrap-distance-left:0.00pt;mso-wrap-distance-top:0.00pt;mso-wrap-distance-right:0.00pt;mso-wrap-distance-bottom:0.00pt;z-index:1;" stroked="false">
                      <v:imagedata r:id="rId4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741333" cy="31750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a:off x="0" y="0"/>
                                <a:ext cx="4741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373.33pt;height:250.00pt;mso-wrap-distance-left:0.00pt;mso-wrap-distance-top:0.00pt;mso-wrap-distance-right:0.00pt;mso-wrap-distance-bottom:0.00pt;z-index:1;" stroked="false">
                      <v:imagedata r:id="rId4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93090" cy="3175000"/>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8"/>
                              <a:stretch/>
                            </pic:blipFill>
                            <pic:spPr bwMode="auto">
                              <a:xfrm flipH="0" flipV="0">
                                <a:off x="0" y="0"/>
                                <a:ext cx="549308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32.53pt;height:250.00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Nhâm Văn Hưng</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0974661686</w:t>
            </w:r>
            <w:r>
              <w:rPr>
                <w:sz w:val="22"/>
                <w:szCs w:val="22"/>
              </w:rPr>
              <w:t xml:space="preserve"> </w:t>
            </w:r>
            <w:r>
              <w:rPr>
                <w:sz w:val="22"/>
                <w:szCs w:val="22"/>
              </w:rPr>
              <w:br/>
              <w:t xml:space="preserve">(Nguyễn thanh Bình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225.000.000.000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cụm công nghiệp (18000m²)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cụm công nghiệp – Có thời hạn (đến 31/12/2063, 37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N11, Phường Bình Dương, Thành phố Hồ Chí Minh, đường N11, độ rộng đường trước mặt tài sản 24m, mặt tiền 90.5m, 11.008213863845189, 106.68874301886596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74953" cy="3175000"/>
                      <wp:effectExtent l="0" t="0" r="0" b="0"/>
                      <wp:docPr id="3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9"/>
                              <a:stretch/>
                            </pic:blipFill>
                            <pic:spPr bwMode="auto">
                              <a:xfrm>
                                <a:off x="0" y="0"/>
                                <a:ext cx="147495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116.14pt;height:250.00pt;mso-wrap-distance-left:0.00pt;mso-wrap-distance-top:0.00pt;mso-wrap-distance-right:0.00pt;mso-wrap-distance-bottom:0.00pt;z-index:1;" stroked="false">
                      <v:imagedata r:id="rId4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83212" cy="3175000"/>
                      <wp:effectExtent l="0" t="0" r="0" b="0"/>
                      <wp:docPr id="37" name=""/>
                      <wp:cNvGraphicFramePr/>
                      <a:graphic xmlns:a="http://schemas.openxmlformats.org/drawingml/2006/main">
                        <a:graphicData uri="http://schemas.openxmlformats.org/drawingml/2006/picture">
                          <pic:pic xmlns:pic="http://schemas.openxmlformats.org/drawingml/2006/picture">
                            <pic:nvPicPr>
                              <pic:cNvPr id="1735460668" name="" descr=""/>
                              <pic:cNvPicPr/>
                              <pic:nvPr/>
                            </pic:nvPicPr>
                            <pic:blipFill rotWithShape="1">
                              <a:blip r:embed="rId50"/>
                              <a:stretch/>
                            </pic:blipFill>
                            <pic:spPr bwMode="auto">
                              <a:xfrm>
                                <a:off x="0" y="0"/>
                                <a:ext cx="148321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116.79pt;height:250.00pt;mso-wrap-distance-left:0.00pt;mso-wrap-distance-top:0.00pt;mso-wrap-distance-right:0.00pt;mso-wrap-distance-bottom:0.00pt;z-index:1;" stroked="false">
                      <v:imagedata r:id="rId5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6468" cy="3175000"/>
                      <wp:effectExtent l="0" t="0" r="0" b="0"/>
                      <wp:docPr id="3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1"/>
                              <a:stretch/>
                            </pic:blipFill>
                            <pic:spPr bwMode="auto">
                              <a:xfrm>
                                <a:off x="0" y="0"/>
                                <a:ext cx="354646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279.25pt;height:250.00pt;mso-wrap-distance-left:0.00pt;mso-wrap-distance-top:0.00pt;mso-wrap-distance-right:0.00pt;mso-wrap-distance-bottom:0.00pt;z-index:1;" stroked="false">
                      <v:imagedata r:id="rId5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Nhâm Văn Hưng</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https://batdongsan.com.vn/ban-kho-nha-xuong-phuong-phu-tan/ban-trong-kcn-st-3-dien-tich-vp-cong-trinh-3800m2-gia-66-ty-thuong-luong-pr44100060</w:t>
            </w:r>
            <w:r>
              <w:rPr>
                <w:color w:val="000000" w:themeColor="text1"/>
                <w:sz w:val="22"/>
                <w:szCs w:val="22"/>
              </w:rPr>
              <w:br/>
            </w:r>
            <w:r>
              <w:rPr>
                <w:sz w:val="22"/>
                <w:szCs w:val="22"/>
              </w:rPr>
              <w:t xml:space="preserve">SĐT: </w:t>
            </w:r>
            <w:r>
              <w:rPr>
                <w:color w:val="000000" w:themeColor="text1"/>
                <w:sz w:val="22"/>
                <w:szCs w:val="22"/>
              </w:rPr>
              <w:t xml:space="preserve">0348222778</w:t>
            </w:r>
            <w:r>
              <w:rPr>
                <w:sz w:val="22"/>
                <w:szCs w:val="22"/>
              </w:rPr>
              <w:t xml:space="preserve"> </w:t>
            </w:r>
            <w:r>
              <w:rPr>
                <w:sz w:val="22"/>
                <w:szCs w:val="22"/>
              </w:rPr>
              <w:br/>
              <w:t xml:space="preserve">(Phan Tiến 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51.000.000.000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khu công nghiệp (6000m²)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khu công nghiệp – Có thời hạn (đến 30/12/2055, 29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Bình Dương, Thành phố Hồ Chí Minh, đường Nằm trong KCN Sóng thần 3, độ rộng đường trước mặt tài sản 17.6m, mặt tiền 27m, 11.036321048842641, 106.69481011310177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84464" cy="3175000"/>
                      <wp:effectExtent l="0" t="0" r="0" b="0"/>
                      <wp:docPr id="3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2"/>
                              <a:stretch/>
                            </pic:blipFill>
                            <pic:spPr bwMode="auto">
                              <a:xfrm>
                                <a:off x="0" y="0"/>
                                <a:ext cx="258446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203.50pt;height:250.00pt;mso-wrap-distance-left:0.00pt;mso-wrap-distance-top:0.00pt;mso-wrap-distance-right:0.00pt;mso-wrap-distance-bottom:0.00pt;z-index:1;" stroked="false">
                      <v:imagedata r:id="rId5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10948" cy="3175000"/>
                      <wp:effectExtent l="0" t="0" r="0" b="0"/>
                      <wp:docPr id="4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3"/>
                              <a:stretch/>
                            </pic:blipFill>
                            <pic:spPr bwMode="auto">
                              <a:xfrm>
                                <a:off x="0" y="0"/>
                                <a:ext cx="251094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197.71pt;height:250.00pt;mso-wrap-distance-left:0.00pt;mso-wrap-distance-top:0.00pt;mso-wrap-distance-right:0.00pt;mso-wrap-distance-bottom:0.00pt;z-index:1;" stroked="false">
                      <v:imagedata r:id="rId5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45534" cy="3175000"/>
                      <wp:effectExtent l="0" t="0" r="0" b="0"/>
                      <wp:docPr id="4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4"/>
                              <a:stretch/>
                            </pic:blipFill>
                            <pic:spPr bwMode="auto">
                              <a:xfrm>
                                <a:off x="0" y="0"/>
                                <a:ext cx="25455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200.44pt;height:250.00pt;mso-wrap-distance-left:0.00pt;mso-wrap-distance-top:0.00pt;mso-wrap-distance-right:0.00pt;mso-wrap-distance-bottom:0.00pt;z-index:1;" stroked="false">
                      <v:imagedata r:id="rId5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26415" cy="3175000"/>
                      <wp:effectExtent l="0" t="0" r="0" b="0"/>
                      <wp:docPr id="4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5"/>
                              <a:stretch/>
                            </pic:blipFill>
                            <pic:spPr bwMode="auto">
                              <a:xfrm flipH="0" flipV="0">
                                <a:off x="0" y="0"/>
                                <a:ext cx="54264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427.28pt;height:250.00pt;mso-wrap-distance-left:0.00pt;mso-wrap-distance-top:0.00pt;mso-wrap-distance-right:0.00pt;mso-wrap-distance-bottom:0.00pt;z-index:1;" stroked="false">
                      <v:imagedata r:id="rId5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Nhâm Văn Hưng</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iCs/>
          <w:highlight w:val="none"/>
        </w:rPr>
      </w:pPr>
      <w:r>
        <w:rPr>
          <w:iCs/>
          <w:lang w:val="pt-BR"/>
        </w:rPr>
      </w:r>
      <w:r>
        <mc:AlternateContent>
          <mc:Choice Requires="wpg">
            <w:drawing>
              <wp:inline xmlns:wp="http://schemas.openxmlformats.org/drawingml/2006/wordprocessingDrawing" distT="0" distB="0" distL="0" distR="0">
                <wp:extent cx="6048375" cy="6245679"/>
                <wp:effectExtent l="0" t="0" r="0" b="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625320" name=""/>
                        <pic:cNvPicPr>
                          <a:picLocks noChangeAspect="1"/>
                        </pic:cNvPicPr>
                        <pic:nvPr/>
                      </pic:nvPicPr>
                      <pic:blipFill rotWithShape="1">
                        <a:blip r:embed="rId56"/>
                        <a:stretch/>
                      </pic:blipFill>
                      <pic:spPr bwMode="auto">
                        <a:xfrm flipH="0" flipV="0">
                          <a:off x="0" y="0"/>
                          <a:ext cx="6048374" cy="62456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476.25pt;height:491.79pt;mso-wrap-distance-left:0.00pt;mso-wrap-distance-top:0.00pt;mso-wrap-distance-right:0.00pt;mso-wrap-distance-bottom:0.00pt;z-index:1;" stroked="false">
                <v:imagedata r:id="rId56" o:title=""/>
                <o:lock v:ext="edit" rotation="t"/>
              </v:shape>
            </w:pict>
          </mc:Fallback>
        </mc:AlternateContent>
      </w:r>
      <w:r>
        <w:rPr>
          <w:iCs/>
          <w:highlight w:val="none"/>
        </w:rPr>
      </w:r>
      <w:r>
        <w:rPr>
          <w:iCs/>
          <w:highlight w:val="none"/>
        </w:rPr>
      </w:r>
    </w:p>
    <w:p>
      <w:pPr>
        <w:pBdr/>
        <w:spacing w:after="200" w:line="276" w:lineRule="auto"/>
        <w:ind/>
        <w:rPr>
          <w:highlight w:val="none"/>
        </w:rPr>
      </w:pPr>
      <w:r>
        <w:rPr>
          <w:highlight w:val="none"/>
          <w:lang w:val="pt-BR" w:bidi="pt-BR"/>
        </w:rPr>
      </w:r>
      <w:r>
        <mc:AlternateContent>
          <mc:Choice Requires="wpg">
            <w:drawing>
              <wp:inline xmlns:wp="http://schemas.openxmlformats.org/drawingml/2006/wordprocessingDrawing" distT="0" distB="0" distL="0" distR="0">
                <wp:extent cx="5581650" cy="7562310"/>
                <wp:effectExtent l="0" t="0" r="0" b="0"/>
                <wp:docPr id="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537741" name=""/>
                        <pic:cNvPicPr>
                          <a:picLocks noChangeAspect="1"/>
                        </pic:cNvPicPr>
                        <pic:nvPr/>
                      </pic:nvPicPr>
                      <pic:blipFill rotWithShape="1">
                        <a:blip r:embed="rId57"/>
                        <a:stretch/>
                      </pic:blipFill>
                      <pic:spPr bwMode="auto">
                        <a:xfrm flipH="0" flipV="0">
                          <a:off x="0" y="0"/>
                          <a:ext cx="5581649" cy="75623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439.50pt;height:595.46pt;mso-wrap-distance-left:0.00pt;mso-wrap-distance-top:0.00pt;mso-wrap-distance-right:0.00pt;mso-wrap-distance-bottom:0.00pt;z-index:1;" stroked="false">
                <v:imagedata r:id="rId57" o:title=""/>
                <o:lock v:ext="edit" rotation="t"/>
              </v:shape>
            </w:pict>
          </mc:Fallback>
        </mc:AlternateContent>
      </w:r>
      <w:r>
        <w:rPr>
          <w:highlight w:val="none"/>
        </w:rPr>
      </w:r>
      <w:r>
        <w:rPr>
          <w:highlight w:val="none"/>
        </w:rPr>
      </w:r>
    </w:p>
    <w:p>
      <w:pPr>
        <w:pBdr/>
        <w:spacing w:after="200" w:line="276" w:lineRule="auto"/>
        <w:ind/>
        <w:rPr>
          <w:lang w:val="pt-BR"/>
        </w:rPr>
      </w:pPr>
      <w:r>
        <w:rPr>
          <w:highlight w:val="none"/>
          <w:lang w:val="pt-BR" w:bidi="pt-BR"/>
        </w:rPr>
      </w:r>
      <w:r>
        <mc:AlternateContent>
          <mc:Choice Requires="wpg">
            <w:drawing>
              <wp:inline xmlns:wp="http://schemas.openxmlformats.org/drawingml/2006/wordprocessingDrawing" distT="0" distB="0" distL="0" distR="0">
                <wp:extent cx="6048375" cy="7900397"/>
                <wp:effectExtent l="0" t="0" r="0" b="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447218" name=""/>
                        <pic:cNvPicPr>
                          <a:picLocks noChangeAspect="1"/>
                        </pic:cNvPicPr>
                        <pic:nvPr/>
                      </pic:nvPicPr>
                      <pic:blipFill rotWithShape="1">
                        <a:blip r:embed="rId58"/>
                        <a:stretch/>
                      </pic:blipFill>
                      <pic:spPr bwMode="auto">
                        <a:xfrm>
                          <a:off x="0" y="0"/>
                          <a:ext cx="6048374" cy="79003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width:476.25pt;height:622.08pt;mso-wrap-distance-left:0.00pt;mso-wrap-distance-top:0.00pt;mso-wrap-distance-right:0.00pt;mso-wrap-distance-bottom:0.00pt;z-index:1;" stroked="false">
                <v:imagedata r:id="rId58"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6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5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color w:val="auto"/>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CC6B17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591E37A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3E92421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1772FBF1"/>
    <w:lvl w:ilvl="0">
      <w:isLgl w:val="false"/>
      <w:lvlJc w:val="left"/>
      <w:lvlText w:val="–"/>
      <w:numFmt w:val="bullet"/>
      <w:pPr>
        <w:pBdr/>
        <w:spacing/>
        <w:ind w:hanging="360" w:left="1417"/>
      </w:pPr>
      <w:rPr>
        <w:rFonts w:hint="default" w:ascii="Arial" w:hAnsi="Arial" w:eastAsia="Arial" w:cs="Arial"/>
      </w:rPr>
      <w:start w:val="1"/>
      <w:suff w:val="tab"/>
    </w:lvl>
    <w:lvl w:ilvl="1">
      <w:isLgl w:val="false"/>
      <w:lvlJc w:val="left"/>
      <w:lvlText w:val="o"/>
      <w:numFmt w:val="bullet"/>
      <w:pPr>
        <w:pBdr/>
        <w:spacing/>
        <w:ind w:hanging="360" w:left="2137"/>
      </w:pPr>
      <w:rPr>
        <w:rFonts w:hint="default" w:ascii="Courier New" w:hAnsi="Courier New" w:eastAsia="Courier New" w:cs="Courier New"/>
      </w:rPr>
      <w:start w:val="1"/>
      <w:suff w:val="tab"/>
    </w:lvl>
    <w:lvl w:ilvl="2">
      <w:isLgl w:val="false"/>
      <w:lvlJc w:val="left"/>
      <w:lvlText w:val="§"/>
      <w:numFmt w:val="bullet"/>
      <w:pPr>
        <w:pBdr/>
        <w:spacing/>
        <w:ind w:hanging="360" w:left="2857"/>
      </w:pPr>
      <w:rPr>
        <w:rFonts w:hint="default" w:ascii="Wingdings" w:hAnsi="Wingdings" w:eastAsia="Wingdings" w:cs="Wingdings"/>
      </w:rPr>
      <w:start w:val="1"/>
      <w:suff w:val="tab"/>
    </w:lvl>
    <w:lvl w:ilvl="3">
      <w:isLgl w:val="false"/>
      <w:lvlJc w:val="left"/>
      <w:lvlText w:val="·"/>
      <w:numFmt w:val="bullet"/>
      <w:pPr>
        <w:pBdr/>
        <w:spacing/>
        <w:ind w:hanging="360" w:left="3577"/>
      </w:pPr>
      <w:rPr>
        <w:rFonts w:hint="default" w:ascii="Symbol" w:hAnsi="Symbol" w:eastAsia="Symbol" w:cs="Symbol"/>
      </w:rPr>
      <w:start w:val="1"/>
      <w:suff w:val="tab"/>
    </w:lvl>
    <w:lvl w:ilvl="4">
      <w:isLgl w:val="false"/>
      <w:lvlJc w:val="left"/>
      <w:lvlText w:val="o"/>
      <w:numFmt w:val="bullet"/>
      <w:pPr>
        <w:pBdr/>
        <w:spacing/>
        <w:ind w:hanging="360" w:left="4297"/>
      </w:pPr>
      <w:rPr>
        <w:rFonts w:hint="default" w:ascii="Courier New" w:hAnsi="Courier New" w:eastAsia="Courier New" w:cs="Courier New"/>
      </w:rPr>
      <w:start w:val="1"/>
      <w:suff w:val="tab"/>
    </w:lvl>
    <w:lvl w:ilvl="5">
      <w:isLgl w:val="false"/>
      <w:lvlJc w:val="left"/>
      <w:lvlText w:val="§"/>
      <w:numFmt w:val="bullet"/>
      <w:pPr>
        <w:pBdr/>
        <w:spacing/>
        <w:ind w:hanging="360" w:left="5017"/>
      </w:pPr>
      <w:rPr>
        <w:rFonts w:hint="default" w:ascii="Wingdings" w:hAnsi="Wingdings" w:eastAsia="Wingdings" w:cs="Wingdings"/>
      </w:rPr>
      <w:start w:val="1"/>
      <w:suff w:val="tab"/>
    </w:lvl>
    <w:lvl w:ilvl="6">
      <w:isLgl w:val="false"/>
      <w:lvlJc w:val="left"/>
      <w:lvlText w:val="·"/>
      <w:numFmt w:val="bullet"/>
      <w:pPr>
        <w:pBdr/>
        <w:spacing/>
        <w:ind w:hanging="360" w:left="5737"/>
      </w:pPr>
      <w:rPr>
        <w:rFonts w:hint="default" w:ascii="Symbol" w:hAnsi="Symbol" w:eastAsia="Symbol" w:cs="Symbol"/>
      </w:rPr>
      <w:start w:val="1"/>
      <w:suff w:val="tab"/>
    </w:lvl>
    <w:lvl w:ilvl="7">
      <w:isLgl w:val="false"/>
      <w:lvlJc w:val="left"/>
      <w:lvlText w:val="o"/>
      <w:numFmt w:val="bullet"/>
      <w:pPr>
        <w:pBdr/>
        <w:spacing/>
        <w:ind w:hanging="360" w:left="6457"/>
      </w:pPr>
      <w:rPr>
        <w:rFonts w:hint="default" w:ascii="Courier New" w:hAnsi="Courier New" w:eastAsia="Courier New" w:cs="Courier New"/>
      </w:rPr>
      <w:start w:val="1"/>
      <w:suff w:val="tab"/>
    </w:lvl>
    <w:lvl w:ilvl="8">
      <w:isLgl w:val="false"/>
      <w:lvlJc w:val="left"/>
      <w:lvlText w:val="§"/>
      <w:numFmt w:val="bullet"/>
      <w:pPr>
        <w:pBdr/>
        <w:spacing/>
        <w:ind w:hanging="360" w:left="7177"/>
      </w:pPr>
      <w:rPr>
        <w:rFonts w:hint="default" w:ascii="Wingdings" w:hAnsi="Wingdings" w:eastAsia="Wingdings" w:cs="Wingdings"/>
      </w:rPr>
      <w:start w:val="1"/>
      <w:suff w:val="tab"/>
    </w:lvl>
  </w:abstractNum>
  <w:abstractNum w:abstractNumId="41">
    <w:nsid w:val="4C9FA3EB"/>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2DBC4C9A"/>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5695F35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66898A7F"/>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5">
    <w:nsid w:val="2DB553C2"/>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6">
    <w:nsid w:val="06DBC668"/>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7">
    <w:nsid w:val="7A6EFC2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9">
    <w:nsid w:val="47DC35C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50">
    <w:nsid w:val="375E5A7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51">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2">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3">
    <w:nsid w:val="1D5A0A75"/>
    <w:lvl w:ilvl="0">
      <w:isLgl w:val="false"/>
      <w:lvlJc w:val="left"/>
      <w:lvlText w:val="%1."/>
      <w:numFmt w:val="decimal"/>
      <w:pPr>
        <w:pBdr/>
        <w:spacing/>
        <w:ind w:hanging="360" w:left="720"/>
      </w:pPr>
      <w:rPr/>
      <w:start w:val="1"/>
      <w:suff w:val="tab"/>
    </w:lvl>
    <w:lvl w:ilvl="1">
      <w:isLgl w:val="false"/>
      <w:lvlJc w:val="left"/>
      <w:lvlText w:val="%1.%2."/>
      <w:numFmt w:val="decimal"/>
      <w:pPr>
        <w:pBdr/>
        <w:spacing/>
        <w:ind w:hanging="360" w:left="644"/>
      </w:pPr>
      <w:rPr>
        <w:i/>
      </w:rPr>
      <w:start w:val="1"/>
      <w:suff w:val="tab"/>
    </w:lvl>
    <w:lvl w:ilvl="2">
      <w:isLgl w:val="false"/>
      <w:lvlJc w:val="left"/>
      <w:lvlText w:val="%1.%2.%3."/>
      <w:numFmt w:val="decimal"/>
      <w:pPr>
        <w:pBdr/>
        <w:spacing/>
        <w:ind w:hanging="720" w:left="1080"/>
      </w:pPr>
      <w:rPr/>
      <w:start w:val="1"/>
      <w:suff w:val="tab"/>
    </w:lvl>
    <w:lvl w:ilvl="3">
      <w:isLgl w:val="false"/>
      <w:lvlJc w:val="left"/>
      <w:lvlText w:val="%1.%2.%3.%4."/>
      <w:numFmt w:val="decimal"/>
      <w:pPr>
        <w:pBdr/>
        <w:spacing/>
        <w:ind w:hanging="720" w:left="1080"/>
      </w:pPr>
      <w:rPr/>
      <w:start w:val="1"/>
      <w:suff w:val="tab"/>
    </w:lvl>
    <w:lvl w:ilvl="4">
      <w:isLgl w:val="false"/>
      <w:lvlJc w:val="left"/>
      <w:lvlText w:val="%1.%2.%3.%4.%5."/>
      <w:numFmt w:val="decimal"/>
      <w:pPr>
        <w:pBdr/>
        <w:spacing/>
        <w:ind w:hanging="1080" w:left="1440"/>
      </w:pPr>
      <w:rPr/>
      <w:start w:val="1"/>
      <w:suff w:val="tab"/>
    </w:lvl>
    <w:lvl w:ilvl="5">
      <w:isLgl w:val="false"/>
      <w:lvlJc w:val="left"/>
      <w:lvlText w:val="%1.%2.%3.%4.%5.%6."/>
      <w:numFmt w:val="decimal"/>
      <w:pPr>
        <w:pBdr/>
        <w:spacing/>
        <w:ind w:hanging="1080" w:left="1440"/>
      </w:pPr>
      <w:rPr/>
      <w:start w:val="1"/>
      <w:suff w:val="tab"/>
    </w:lvl>
    <w:lvl w:ilvl="6">
      <w:isLgl w:val="false"/>
      <w:lvlJc w:val="left"/>
      <w:lvlText w:val="%1.%2.%3.%4.%5.%6.%7."/>
      <w:numFmt w:val="decimal"/>
      <w:pPr>
        <w:pBdr/>
        <w:spacing/>
        <w:ind w:hanging="1440" w:left="1800"/>
      </w:pPr>
      <w:rPr/>
      <w:start w:val="1"/>
      <w:suff w:val="tab"/>
    </w:lvl>
    <w:lvl w:ilvl="7">
      <w:isLgl w:val="false"/>
      <w:lvlJc w:val="left"/>
      <w:lvlText w:val="%1.%2.%3.%4.%5.%6.%7.%8."/>
      <w:numFmt w:val="decimal"/>
      <w:pPr>
        <w:pBdr/>
        <w:spacing/>
        <w:ind w:hanging="1440" w:left="1800"/>
      </w:pPr>
      <w:rPr/>
      <w:start w:val="1"/>
      <w:suff w:val="tab"/>
    </w:lvl>
    <w:lvl w:ilvl="8">
      <w:isLgl w:val="false"/>
      <w:lvlJc w:val="left"/>
      <w:lvlText w:val="%1.%2.%3.%4.%5.%6.%7.%8.%9."/>
      <w:numFmt w:val="decimal"/>
      <w:pPr>
        <w:pBdr/>
        <w:spacing/>
        <w:ind w:hanging="1800" w:left="2160"/>
      </w:pPr>
      <w:rPr/>
      <w:start w:val="1"/>
      <w:suff w:val="tab"/>
    </w:lvl>
  </w:abstractNum>
  <w:abstractNum w:abstractNumId="54">
    <w:nsid w:val="2716C785"/>
    <w:lvl w:ilvl="0">
      <w:isLgl w:val="false"/>
      <w:lvlJc w:val="left"/>
      <w:lvlText w:val="-"/>
      <w:numFmt w:val="bullet"/>
      <w:pPr>
        <w:pBdr/>
        <w:spacing/>
        <w:ind w:hanging="360" w:left="1080"/>
      </w:pPr>
      <w:rPr>
        <w:rFonts w:hint="default" w:ascii="Symbol" w:hAnsi="Symbol" w:eastAsia="Symbol" w:cs="Symbol"/>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55">
    <w:nsid w:val="4CBC06B2"/>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num w:numId="54"/>
  <w:num w:numId="55">
    <w:abstractNumId w:val="51"/>
  </w:num>
  <w:num w:numId="56">
    <w:abstractNumId w:val="52"/>
  </w:num>
  <w:num w:numId="57">
    <w:abstractNumId w:val="53"/>
  </w:num>
  <w:num w:numId="58">
    <w:abstractNumId w:val="54"/>
  </w:num>
  <w:num w:numId="59">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77">
    <w:name w:val="Table Grid Light"/>
    <w:basedOn w:val="104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Plain Table 1"/>
    <w:basedOn w:val="104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Plain Table 2"/>
    <w:basedOn w:val="104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Plain Table 3"/>
    <w:basedOn w:val="104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Plain Table 4"/>
    <w:basedOn w:val="104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Plain Table 5"/>
    <w:basedOn w:val="104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1 Light"/>
    <w:basedOn w:val="104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1 Light - Accent 1"/>
    <w:basedOn w:val="104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1 Light - Accent 2"/>
    <w:basedOn w:val="104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1 Light - Accent 3"/>
    <w:basedOn w:val="104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1 Light - Accent 4"/>
    <w:basedOn w:val="104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1 Light - Accent 5"/>
    <w:basedOn w:val="104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1 Light - Accent 6"/>
    <w:basedOn w:val="104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2"/>
    <w:basedOn w:val="104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2 - Accent 1"/>
    <w:basedOn w:val="104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2 - Accent 2"/>
    <w:basedOn w:val="104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2 - Accent 3"/>
    <w:basedOn w:val="104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2 - Accent 4"/>
    <w:basedOn w:val="104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2 - Accent 5"/>
    <w:basedOn w:val="104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2 - Accent 6"/>
    <w:basedOn w:val="104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3"/>
    <w:basedOn w:val="104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3 - Accent 1"/>
    <w:basedOn w:val="104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3 - Accent 2"/>
    <w:basedOn w:val="104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3 - Accent 3"/>
    <w:basedOn w:val="104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3 - Accent 4"/>
    <w:basedOn w:val="104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3 - Accent 5"/>
    <w:basedOn w:val="104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3 - Accent 6"/>
    <w:basedOn w:val="104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4"/>
    <w:basedOn w:val="104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4 - Accent 1"/>
    <w:basedOn w:val="104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4 - Accent 2"/>
    <w:basedOn w:val="104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4 - Accent 3"/>
    <w:basedOn w:val="104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4 - Accent 4"/>
    <w:basedOn w:val="104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4 - Accent 5"/>
    <w:basedOn w:val="104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4 - Accent 6"/>
    <w:basedOn w:val="104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5 Dark"/>
    <w:basedOn w:val="10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5 Dark- Accent 1"/>
    <w:basedOn w:val="10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5 Dark - Accent 2"/>
    <w:basedOn w:val="10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5 Dark - Accent 3"/>
    <w:basedOn w:val="10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5 Dark- Accent 4"/>
    <w:basedOn w:val="10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5 Dark - Accent 5"/>
    <w:basedOn w:val="10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5 Dark - Accent 6"/>
    <w:basedOn w:val="10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6 Colorful"/>
    <w:basedOn w:val="104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9">
    <w:name w:val="Grid Table 6 Colorful - Accent 1"/>
    <w:basedOn w:val="104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0">
    <w:name w:val="Grid Table 6 Colorful - Accent 2"/>
    <w:basedOn w:val="104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21">
    <w:name w:val="Grid Table 6 Colorful - Accent 3"/>
    <w:basedOn w:val="104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22">
    <w:name w:val="Grid Table 6 Colorful - Accent 4"/>
    <w:basedOn w:val="104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23">
    <w:name w:val="Grid Table 6 Colorful - Accent 5"/>
    <w:basedOn w:val="104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24">
    <w:name w:val="Grid Table 6 Colorful - Accent 6"/>
    <w:basedOn w:val="104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25">
    <w:name w:val="Grid Table 7 Colorful"/>
    <w:basedOn w:val="104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Grid Table 7 Colorful - Accent 1"/>
    <w:basedOn w:val="104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Grid Table 7 Colorful - Accent 2"/>
    <w:basedOn w:val="104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Grid Table 7 Colorful - Accent 3"/>
    <w:basedOn w:val="104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Grid Table 7 Colorful - Accent 4"/>
    <w:basedOn w:val="104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Grid Table 7 Colorful - Accent 5"/>
    <w:basedOn w:val="104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Grid Table 7 Colorful - Accent 6"/>
    <w:basedOn w:val="104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1 Light"/>
    <w:basedOn w:val="10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1 Light - Accent 1"/>
    <w:basedOn w:val="10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1 Light - Accent 2"/>
    <w:basedOn w:val="10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1 Light - Accent 3"/>
    <w:basedOn w:val="10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1 Light - Accent 4"/>
    <w:basedOn w:val="10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1 Light - Accent 5"/>
    <w:basedOn w:val="10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1 Light - Accent 6"/>
    <w:basedOn w:val="10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2"/>
    <w:basedOn w:val="104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2 - Accent 1"/>
    <w:basedOn w:val="104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2 - Accent 2"/>
    <w:basedOn w:val="104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2 - Accent 3"/>
    <w:basedOn w:val="104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2 - Accent 4"/>
    <w:basedOn w:val="104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2 - Accent 5"/>
    <w:basedOn w:val="104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2 - Accent 6"/>
    <w:basedOn w:val="104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3"/>
    <w:basedOn w:val="104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3 - Accent 1"/>
    <w:basedOn w:val="104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3 - Accent 2"/>
    <w:basedOn w:val="104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3 - Accent 3"/>
    <w:basedOn w:val="104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3 - Accent 4"/>
    <w:basedOn w:val="104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3 - Accent 5"/>
    <w:basedOn w:val="104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3 - Accent 6"/>
    <w:basedOn w:val="104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4"/>
    <w:basedOn w:val="104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4 - Accent 1"/>
    <w:basedOn w:val="104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4 - Accent 2"/>
    <w:basedOn w:val="104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4 - Accent 3"/>
    <w:basedOn w:val="104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4 - Accent 4"/>
    <w:basedOn w:val="104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4 - Accent 5"/>
    <w:basedOn w:val="104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4 - Accent 6"/>
    <w:basedOn w:val="104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5 Dark"/>
    <w:basedOn w:val="104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1">
    <w:name w:val="List Table 5 Dark - Accent 1"/>
    <w:basedOn w:val="104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2">
    <w:name w:val="List Table 5 Dark - Accent 2"/>
    <w:basedOn w:val="104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3">
    <w:name w:val="List Table 5 Dark - Accent 3"/>
    <w:basedOn w:val="104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4">
    <w:name w:val="List Table 5 Dark - Accent 4"/>
    <w:basedOn w:val="104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5">
    <w:name w:val="List Table 5 Dark - Accent 5"/>
    <w:basedOn w:val="104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6">
    <w:name w:val="List Table 5 Dark - Accent 6"/>
    <w:basedOn w:val="104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7">
    <w:name w:val="List Table 6 Colorful"/>
    <w:basedOn w:val="104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st Table 6 Colorful - Accent 1"/>
    <w:basedOn w:val="104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st Table 6 Colorful - Accent 2"/>
    <w:basedOn w:val="104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st Table 6 Colorful - Accent 3"/>
    <w:basedOn w:val="104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st Table 6 Colorful - Accent 4"/>
    <w:basedOn w:val="104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6 Colorful - Accent 5"/>
    <w:basedOn w:val="104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st Table 6 Colorful - Accent 6"/>
    <w:basedOn w:val="104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st Table 7 Colorful"/>
    <w:basedOn w:val="104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75">
    <w:name w:val="List Table 7 Colorful - Accent 1"/>
    <w:basedOn w:val="104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76">
    <w:name w:val="List Table 7 Colorful - Accent 2"/>
    <w:basedOn w:val="104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77">
    <w:name w:val="List Table 7 Colorful - Accent 3"/>
    <w:basedOn w:val="104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78">
    <w:name w:val="List Table 7 Colorful - Accent 4"/>
    <w:basedOn w:val="104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79">
    <w:name w:val="List Table 7 Colorful - Accent 5"/>
    <w:basedOn w:val="104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80">
    <w:name w:val="List Table 7 Colorful - Accent 6"/>
    <w:basedOn w:val="104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81">
    <w:name w:val="Lined - Accent"/>
    <w:basedOn w:val="10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Lined - Accent 1"/>
    <w:basedOn w:val="10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Lined - Accent 2"/>
    <w:basedOn w:val="10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Lined - Accent 3"/>
    <w:basedOn w:val="10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Lined - Accent 4"/>
    <w:basedOn w:val="10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Lined - Accent 5"/>
    <w:basedOn w:val="10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Lined - Accent 6"/>
    <w:basedOn w:val="10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Bordered &amp; Lined - Accent"/>
    <w:basedOn w:val="104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Bordered &amp; Lined - Accent 1"/>
    <w:basedOn w:val="104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Bordered &amp; Lined - Accent 2"/>
    <w:basedOn w:val="104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Bordered &amp; Lined - Accent 3"/>
    <w:basedOn w:val="104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Bordered &amp; Lined - Accent 4"/>
    <w:basedOn w:val="104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Bordered &amp; Lined - Accent 5"/>
    <w:basedOn w:val="104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Bordered &amp; Lined - Accent 6"/>
    <w:basedOn w:val="104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Bordered"/>
    <w:basedOn w:val="104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Bordered - Accent 1"/>
    <w:basedOn w:val="104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Bordered - Accent 2"/>
    <w:basedOn w:val="104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Bordered - Accent 3"/>
    <w:basedOn w:val="104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Bordered - Accent 4"/>
    <w:basedOn w:val="104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Bordered - Accent 5"/>
    <w:basedOn w:val="104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Bordered - Accent 6"/>
    <w:basedOn w:val="104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02">
    <w:name w:val="Heading 5"/>
    <w:basedOn w:val="1043"/>
    <w:next w:val="1043"/>
    <w:link w:val="100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003">
    <w:name w:val="Heading 6"/>
    <w:basedOn w:val="1043"/>
    <w:next w:val="1043"/>
    <w:link w:val="100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004">
    <w:name w:val="Heading 7"/>
    <w:basedOn w:val="1043"/>
    <w:next w:val="1043"/>
    <w:link w:val="100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005">
    <w:name w:val="Heading 8"/>
    <w:basedOn w:val="1043"/>
    <w:next w:val="1043"/>
    <w:link w:val="101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006">
    <w:name w:val="Heading 9"/>
    <w:basedOn w:val="1043"/>
    <w:next w:val="1043"/>
    <w:link w:val="101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007">
    <w:name w:val="Heading 5 Char"/>
    <w:basedOn w:val="1048"/>
    <w:link w:val="1002"/>
    <w:uiPriority w:val="9"/>
    <w:pPr>
      <w:pBdr/>
      <w:spacing/>
      <w:ind/>
    </w:pPr>
    <w:rPr>
      <w:rFonts w:ascii="Arial" w:hAnsi="Arial" w:eastAsia="Arial" w:cs="Arial"/>
      <w:color w:val="0f4761" w:themeColor="accent1" w:themeShade="BF"/>
    </w:rPr>
  </w:style>
  <w:style w:type="character" w:styleId="1008">
    <w:name w:val="Heading 6 Char"/>
    <w:basedOn w:val="1048"/>
    <w:link w:val="1003"/>
    <w:uiPriority w:val="9"/>
    <w:pPr>
      <w:pBdr/>
      <w:spacing/>
      <w:ind/>
    </w:pPr>
    <w:rPr>
      <w:rFonts w:ascii="Arial" w:hAnsi="Arial" w:eastAsia="Arial" w:cs="Arial"/>
      <w:i/>
      <w:iCs/>
      <w:color w:val="595959" w:themeColor="text1" w:themeTint="A6"/>
    </w:rPr>
  </w:style>
  <w:style w:type="character" w:styleId="1009">
    <w:name w:val="Heading 7 Char"/>
    <w:basedOn w:val="1048"/>
    <w:link w:val="1004"/>
    <w:uiPriority w:val="9"/>
    <w:pPr>
      <w:pBdr/>
      <w:spacing/>
      <w:ind/>
    </w:pPr>
    <w:rPr>
      <w:rFonts w:ascii="Arial" w:hAnsi="Arial" w:eastAsia="Arial" w:cs="Arial"/>
      <w:color w:val="595959" w:themeColor="text1" w:themeTint="A6"/>
    </w:rPr>
  </w:style>
  <w:style w:type="character" w:styleId="1010">
    <w:name w:val="Heading 8 Char"/>
    <w:basedOn w:val="1048"/>
    <w:link w:val="1005"/>
    <w:uiPriority w:val="9"/>
    <w:pPr>
      <w:pBdr/>
      <w:spacing/>
      <w:ind/>
    </w:pPr>
    <w:rPr>
      <w:rFonts w:ascii="Arial" w:hAnsi="Arial" w:eastAsia="Arial" w:cs="Arial"/>
      <w:i/>
      <w:iCs/>
      <w:color w:val="272727" w:themeColor="text1" w:themeTint="D8"/>
    </w:rPr>
  </w:style>
  <w:style w:type="character" w:styleId="1011">
    <w:name w:val="Heading 9 Char"/>
    <w:basedOn w:val="1048"/>
    <w:link w:val="1006"/>
    <w:uiPriority w:val="9"/>
    <w:pPr>
      <w:pBdr/>
      <w:spacing/>
      <w:ind/>
    </w:pPr>
    <w:rPr>
      <w:rFonts w:ascii="Arial" w:hAnsi="Arial" w:eastAsia="Arial" w:cs="Arial"/>
      <w:i/>
      <w:iCs/>
      <w:color w:val="272727" w:themeColor="text1" w:themeTint="D8"/>
    </w:rPr>
  </w:style>
  <w:style w:type="paragraph" w:styleId="1012">
    <w:name w:val="Subtitle"/>
    <w:basedOn w:val="1043"/>
    <w:next w:val="1043"/>
    <w:link w:val="1013"/>
    <w:uiPriority w:val="11"/>
    <w:qFormat/>
    <w:pPr>
      <w:numPr>
        <w:ilvl w:val="1"/>
      </w:numPr>
      <w:pBdr/>
      <w:spacing/>
      <w:ind/>
    </w:pPr>
    <w:rPr>
      <w:color w:val="595959" w:themeColor="text1" w:themeTint="A6"/>
      <w:spacing w:val="15"/>
      <w:sz w:val="28"/>
      <w:szCs w:val="28"/>
    </w:rPr>
  </w:style>
  <w:style w:type="character" w:styleId="1013">
    <w:name w:val="Subtitle Char"/>
    <w:basedOn w:val="1048"/>
    <w:link w:val="1012"/>
    <w:uiPriority w:val="11"/>
    <w:pPr>
      <w:pBdr/>
      <w:spacing/>
      <w:ind/>
    </w:pPr>
    <w:rPr>
      <w:color w:val="595959" w:themeColor="text1" w:themeTint="A6"/>
      <w:spacing w:val="15"/>
      <w:sz w:val="28"/>
      <w:szCs w:val="28"/>
    </w:rPr>
  </w:style>
  <w:style w:type="paragraph" w:styleId="1014">
    <w:name w:val="Quote"/>
    <w:basedOn w:val="1043"/>
    <w:next w:val="1043"/>
    <w:link w:val="1015"/>
    <w:uiPriority w:val="29"/>
    <w:qFormat/>
    <w:pPr>
      <w:pBdr/>
      <w:spacing w:before="160"/>
      <w:ind/>
      <w:jc w:val="center"/>
    </w:pPr>
    <w:rPr>
      <w:i/>
      <w:iCs/>
      <w:color w:val="404040" w:themeColor="text1" w:themeTint="BF"/>
    </w:rPr>
  </w:style>
  <w:style w:type="character" w:styleId="1015">
    <w:name w:val="Quote Char"/>
    <w:basedOn w:val="1048"/>
    <w:link w:val="1014"/>
    <w:uiPriority w:val="29"/>
    <w:pPr>
      <w:pBdr/>
      <w:spacing/>
      <w:ind/>
    </w:pPr>
    <w:rPr>
      <w:i/>
      <w:iCs/>
      <w:color w:val="404040" w:themeColor="text1" w:themeTint="BF"/>
    </w:rPr>
  </w:style>
  <w:style w:type="character" w:styleId="1016">
    <w:name w:val="Intense Emphasis"/>
    <w:basedOn w:val="1048"/>
    <w:uiPriority w:val="21"/>
    <w:qFormat/>
    <w:pPr>
      <w:pBdr/>
      <w:spacing/>
      <w:ind/>
    </w:pPr>
    <w:rPr>
      <w:i/>
      <w:iCs/>
      <w:color w:val="0f4761" w:themeColor="accent1" w:themeShade="BF"/>
    </w:rPr>
  </w:style>
  <w:style w:type="paragraph" w:styleId="1017">
    <w:name w:val="Intense Quote"/>
    <w:basedOn w:val="1043"/>
    <w:next w:val="1043"/>
    <w:link w:val="101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18">
    <w:name w:val="Intense Quote Char"/>
    <w:basedOn w:val="1048"/>
    <w:link w:val="1017"/>
    <w:uiPriority w:val="30"/>
    <w:pPr>
      <w:pBdr/>
      <w:spacing/>
      <w:ind/>
    </w:pPr>
    <w:rPr>
      <w:i/>
      <w:iCs/>
      <w:color w:val="0f4761" w:themeColor="accent1" w:themeShade="BF"/>
    </w:rPr>
  </w:style>
  <w:style w:type="character" w:styleId="1019">
    <w:name w:val="Intense Reference"/>
    <w:basedOn w:val="1048"/>
    <w:uiPriority w:val="32"/>
    <w:qFormat/>
    <w:pPr>
      <w:pBdr/>
      <w:spacing/>
      <w:ind/>
    </w:pPr>
    <w:rPr>
      <w:b/>
      <w:bCs/>
      <w:smallCaps/>
      <w:color w:val="0f4761" w:themeColor="accent1" w:themeShade="BF"/>
      <w:spacing w:val="5"/>
    </w:rPr>
  </w:style>
  <w:style w:type="paragraph" w:styleId="1020">
    <w:name w:val="No Spacing"/>
    <w:basedOn w:val="1043"/>
    <w:uiPriority w:val="1"/>
    <w:qFormat/>
    <w:pPr>
      <w:pBdr/>
      <w:spacing w:after="0" w:line="240" w:lineRule="auto"/>
      <w:ind/>
    </w:pPr>
  </w:style>
  <w:style w:type="character" w:styleId="1021">
    <w:name w:val="Subtle Emphasis"/>
    <w:basedOn w:val="1048"/>
    <w:uiPriority w:val="19"/>
    <w:qFormat/>
    <w:pPr>
      <w:pBdr/>
      <w:spacing/>
      <w:ind/>
    </w:pPr>
    <w:rPr>
      <w:i/>
      <w:iCs/>
      <w:color w:val="404040" w:themeColor="text1" w:themeTint="BF"/>
    </w:rPr>
  </w:style>
  <w:style w:type="character" w:styleId="1022">
    <w:name w:val="Subtle Reference"/>
    <w:basedOn w:val="1048"/>
    <w:uiPriority w:val="31"/>
    <w:qFormat/>
    <w:pPr>
      <w:pBdr/>
      <w:spacing/>
      <w:ind/>
    </w:pPr>
    <w:rPr>
      <w:smallCaps/>
      <w:color w:val="5a5a5a" w:themeColor="text1" w:themeTint="A5"/>
    </w:rPr>
  </w:style>
  <w:style w:type="character" w:styleId="1023">
    <w:name w:val="Book Title"/>
    <w:basedOn w:val="1048"/>
    <w:uiPriority w:val="33"/>
    <w:qFormat/>
    <w:pPr>
      <w:pBdr/>
      <w:spacing/>
      <w:ind/>
    </w:pPr>
    <w:rPr>
      <w:b/>
      <w:bCs/>
      <w:i/>
      <w:iCs/>
      <w:spacing w:val="5"/>
    </w:rPr>
  </w:style>
  <w:style w:type="paragraph" w:styleId="1024">
    <w:name w:val="Caption"/>
    <w:basedOn w:val="1043"/>
    <w:next w:val="1043"/>
    <w:uiPriority w:val="35"/>
    <w:unhideWhenUsed/>
    <w:qFormat/>
    <w:pPr>
      <w:pBdr/>
      <w:spacing w:after="200" w:line="240" w:lineRule="auto"/>
      <w:ind/>
    </w:pPr>
    <w:rPr>
      <w:i/>
      <w:iCs/>
      <w:color w:val="0e2841" w:themeColor="text2"/>
      <w:sz w:val="18"/>
      <w:szCs w:val="18"/>
    </w:rPr>
  </w:style>
  <w:style w:type="paragraph" w:styleId="1025">
    <w:name w:val="footnote text"/>
    <w:basedOn w:val="1043"/>
    <w:link w:val="1026"/>
    <w:uiPriority w:val="99"/>
    <w:semiHidden/>
    <w:unhideWhenUsed/>
    <w:pPr>
      <w:pBdr/>
      <w:spacing w:after="0" w:line="240" w:lineRule="auto"/>
      <w:ind/>
    </w:pPr>
    <w:rPr>
      <w:sz w:val="20"/>
      <w:szCs w:val="20"/>
    </w:rPr>
  </w:style>
  <w:style w:type="character" w:styleId="1026">
    <w:name w:val="Footnote Text Char"/>
    <w:basedOn w:val="1048"/>
    <w:link w:val="1025"/>
    <w:uiPriority w:val="99"/>
    <w:semiHidden/>
    <w:pPr>
      <w:pBdr/>
      <w:spacing/>
      <w:ind/>
    </w:pPr>
    <w:rPr>
      <w:sz w:val="20"/>
      <w:szCs w:val="20"/>
    </w:rPr>
  </w:style>
  <w:style w:type="character" w:styleId="1027">
    <w:name w:val="footnote reference"/>
    <w:basedOn w:val="1048"/>
    <w:uiPriority w:val="99"/>
    <w:semiHidden/>
    <w:unhideWhenUsed/>
    <w:pPr>
      <w:pBdr/>
      <w:spacing/>
      <w:ind/>
    </w:pPr>
    <w:rPr>
      <w:vertAlign w:val="superscript"/>
    </w:rPr>
  </w:style>
  <w:style w:type="paragraph" w:styleId="1028">
    <w:name w:val="endnote text"/>
    <w:basedOn w:val="1043"/>
    <w:link w:val="1029"/>
    <w:uiPriority w:val="99"/>
    <w:semiHidden/>
    <w:unhideWhenUsed/>
    <w:pPr>
      <w:pBdr/>
      <w:spacing w:after="0" w:line="240" w:lineRule="auto"/>
      <w:ind/>
    </w:pPr>
    <w:rPr>
      <w:sz w:val="20"/>
      <w:szCs w:val="20"/>
    </w:rPr>
  </w:style>
  <w:style w:type="character" w:styleId="1029">
    <w:name w:val="Endnote Text Char"/>
    <w:basedOn w:val="1048"/>
    <w:link w:val="1028"/>
    <w:uiPriority w:val="99"/>
    <w:semiHidden/>
    <w:pPr>
      <w:pBdr/>
      <w:spacing/>
      <w:ind/>
    </w:pPr>
    <w:rPr>
      <w:sz w:val="20"/>
      <w:szCs w:val="20"/>
    </w:rPr>
  </w:style>
  <w:style w:type="character" w:styleId="1030">
    <w:name w:val="endnote reference"/>
    <w:basedOn w:val="1048"/>
    <w:uiPriority w:val="99"/>
    <w:semiHidden/>
    <w:unhideWhenUsed/>
    <w:pPr>
      <w:pBdr/>
      <w:spacing/>
      <w:ind/>
    </w:pPr>
    <w:rPr>
      <w:vertAlign w:val="superscript"/>
    </w:rPr>
  </w:style>
  <w:style w:type="paragraph" w:styleId="1031">
    <w:name w:val="toc 1"/>
    <w:basedOn w:val="1043"/>
    <w:next w:val="1043"/>
    <w:uiPriority w:val="39"/>
    <w:unhideWhenUsed/>
    <w:pPr>
      <w:pBdr/>
      <w:spacing w:after="100"/>
      <w:ind/>
    </w:pPr>
  </w:style>
  <w:style w:type="paragraph" w:styleId="1032">
    <w:name w:val="toc 2"/>
    <w:basedOn w:val="1043"/>
    <w:next w:val="1043"/>
    <w:uiPriority w:val="39"/>
    <w:unhideWhenUsed/>
    <w:pPr>
      <w:pBdr/>
      <w:spacing w:after="100"/>
      <w:ind w:left="220"/>
    </w:pPr>
  </w:style>
  <w:style w:type="paragraph" w:styleId="1033">
    <w:name w:val="toc 3"/>
    <w:basedOn w:val="1043"/>
    <w:next w:val="1043"/>
    <w:uiPriority w:val="39"/>
    <w:unhideWhenUsed/>
    <w:pPr>
      <w:pBdr/>
      <w:spacing w:after="100"/>
      <w:ind w:left="440"/>
    </w:pPr>
  </w:style>
  <w:style w:type="paragraph" w:styleId="1034">
    <w:name w:val="toc 4"/>
    <w:basedOn w:val="1043"/>
    <w:next w:val="1043"/>
    <w:uiPriority w:val="39"/>
    <w:unhideWhenUsed/>
    <w:pPr>
      <w:pBdr/>
      <w:spacing w:after="100"/>
      <w:ind w:left="660"/>
    </w:pPr>
  </w:style>
  <w:style w:type="paragraph" w:styleId="1035">
    <w:name w:val="toc 5"/>
    <w:basedOn w:val="1043"/>
    <w:next w:val="1043"/>
    <w:uiPriority w:val="39"/>
    <w:unhideWhenUsed/>
    <w:pPr>
      <w:pBdr/>
      <w:spacing w:after="100"/>
      <w:ind w:left="880"/>
    </w:pPr>
  </w:style>
  <w:style w:type="paragraph" w:styleId="1036">
    <w:name w:val="toc 6"/>
    <w:basedOn w:val="1043"/>
    <w:next w:val="1043"/>
    <w:uiPriority w:val="39"/>
    <w:unhideWhenUsed/>
    <w:pPr>
      <w:pBdr/>
      <w:spacing w:after="100"/>
      <w:ind w:left="1100"/>
    </w:pPr>
  </w:style>
  <w:style w:type="paragraph" w:styleId="1037">
    <w:name w:val="toc 7"/>
    <w:basedOn w:val="1043"/>
    <w:next w:val="1043"/>
    <w:uiPriority w:val="39"/>
    <w:unhideWhenUsed/>
    <w:pPr>
      <w:pBdr/>
      <w:spacing w:after="100"/>
      <w:ind w:left="1320"/>
    </w:pPr>
  </w:style>
  <w:style w:type="paragraph" w:styleId="1038">
    <w:name w:val="toc 8"/>
    <w:basedOn w:val="1043"/>
    <w:next w:val="1043"/>
    <w:uiPriority w:val="39"/>
    <w:unhideWhenUsed/>
    <w:pPr>
      <w:pBdr/>
      <w:spacing w:after="100"/>
      <w:ind w:left="1540"/>
    </w:pPr>
  </w:style>
  <w:style w:type="paragraph" w:styleId="1039">
    <w:name w:val="toc 9"/>
    <w:basedOn w:val="1043"/>
    <w:next w:val="1043"/>
    <w:uiPriority w:val="39"/>
    <w:unhideWhenUsed/>
    <w:pPr>
      <w:pBdr/>
      <w:spacing w:after="100"/>
      <w:ind w:left="1760"/>
    </w:pPr>
  </w:style>
  <w:style w:type="character" w:styleId="1040">
    <w:name w:val="Placeholder Text"/>
    <w:basedOn w:val="1048"/>
    <w:uiPriority w:val="99"/>
    <w:semiHidden/>
    <w:pPr>
      <w:pBdr/>
      <w:spacing/>
      <w:ind/>
    </w:pPr>
    <w:rPr>
      <w:color w:val="666666"/>
    </w:rPr>
  </w:style>
  <w:style w:type="paragraph" w:styleId="1041">
    <w:name w:val="TOC Heading"/>
    <w:uiPriority w:val="39"/>
    <w:unhideWhenUsed/>
    <w:pPr>
      <w:pBdr/>
      <w:spacing/>
      <w:ind/>
    </w:pPr>
  </w:style>
  <w:style w:type="paragraph" w:styleId="1042">
    <w:name w:val="table of figures"/>
    <w:basedOn w:val="1043"/>
    <w:next w:val="1043"/>
    <w:uiPriority w:val="99"/>
    <w:unhideWhenUsed/>
    <w:pPr>
      <w:pBdr/>
      <w:spacing w:after="0" w:afterAutospacing="0"/>
      <w:ind/>
    </w:pPr>
  </w:style>
  <w:style w:type="paragraph" w:styleId="1043" w:default="1">
    <w:name w:val="Normal"/>
    <w:qFormat/>
    <w:pPr>
      <w:pBdr/>
      <w:spacing w:after="0" w:line="240" w:lineRule="auto"/>
      <w:ind/>
    </w:pPr>
    <w:rPr>
      <w:rFonts w:ascii="Times New Roman" w:hAnsi="Times New Roman" w:eastAsia="Times New Roman" w:cs="Times New Roman"/>
      <w:sz w:val="24"/>
      <w:szCs w:val="24"/>
    </w:rPr>
  </w:style>
  <w:style w:type="paragraph" w:styleId="1044">
    <w:name w:val="Heading 1"/>
    <w:basedOn w:val="1043"/>
    <w:next w:val="1043"/>
    <w:link w:val="1051"/>
    <w:qFormat/>
    <w:pPr>
      <w:keepNext w:val="true"/>
      <w:pBdr/>
      <w:spacing w:after="120" w:before="120"/>
      <w:ind/>
      <w:jc w:val="center"/>
      <w:outlineLvl w:val="0"/>
    </w:pPr>
    <w:rPr>
      <w:b/>
      <w:bCs/>
      <w:sz w:val="27"/>
      <w:szCs w:val="27"/>
    </w:rPr>
  </w:style>
  <w:style w:type="paragraph" w:styleId="1045">
    <w:name w:val="Heading 2"/>
    <w:basedOn w:val="1043"/>
    <w:next w:val="1043"/>
    <w:link w:val="105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46">
    <w:name w:val="Heading 3"/>
    <w:basedOn w:val="1043"/>
    <w:next w:val="1043"/>
    <w:link w:val="1053"/>
    <w:qFormat/>
    <w:pPr>
      <w:keepNext w:val="true"/>
      <w:pBdr/>
      <w:spacing w:before="60"/>
      <w:ind/>
      <w:outlineLvl w:val="2"/>
    </w:pPr>
    <w:rPr>
      <w:sz w:val="28"/>
      <w:szCs w:val="28"/>
    </w:rPr>
  </w:style>
  <w:style w:type="paragraph" w:styleId="1047">
    <w:name w:val="Heading 4"/>
    <w:basedOn w:val="1043"/>
    <w:next w:val="1043"/>
    <w:link w:val="1054"/>
    <w:qFormat/>
    <w:pPr>
      <w:keepNext w:val="true"/>
      <w:pBdr/>
      <w:spacing/>
      <w:ind/>
      <w:jc w:val="center"/>
      <w:outlineLvl w:val="3"/>
    </w:pPr>
    <w:rPr>
      <w:b/>
      <w:bCs/>
    </w:rPr>
  </w:style>
  <w:style w:type="character" w:styleId="1048" w:default="1">
    <w:name w:val="Default Paragraph Font"/>
    <w:uiPriority w:val="1"/>
    <w:semiHidden/>
    <w:unhideWhenUsed/>
    <w:pPr>
      <w:pBdr/>
      <w:spacing/>
      <w:ind/>
    </w:pPr>
  </w:style>
  <w:style w:type="table" w:styleId="104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50" w:default="1">
    <w:name w:val="No List"/>
    <w:uiPriority w:val="99"/>
    <w:semiHidden/>
    <w:unhideWhenUsed/>
    <w:pPr>
      <w:pBdr/>
      <w:spacing/>
      <w:ind/>
    </w:pPr>
  </w:style>
  <w:style w:type="character" w:styleId="1051" w:customStyle="1">
    <w:name w:val="Heading 1 Char"/>
    <w:basedOn w:val="1048"/>
    <w:link w:val="1044"/>
    <w:pPr>
      <w:pBdr/>
      <w:spacing/>
      <w:ind/>
    </w:pPr>
    <w:rPr>
      <w:rFonts w:ascii="Times New Roman" w:hAnsi="Times New Roman" w:eastAsia="Times New Roman" w:cs="Times New Roman"/>
      <w:b/>
      <w:bCs/>
      <w:sz w:val="27"/>
      <w:szCs w:val="27"/>
    </w:rPr>
  </w:style>
  <w:style w:type="character" w:styleId="1052" w:customStyle="1">
    <w:name w:val="Heading 2 Char"/>
    <w:basedOn w:val="1048"/>
    <w:link w:val="1045"/>
    <w:uiPriority w:val="9"/>
    <w:pPr>
      <w:pBdr/>
      <w:spacing/>
      <w:ind/>
    </w:pPr>
    <w:rPr>
      <w:rFonts w:asciiTheme="majorHAnsi" w:hAnsiTheme="majorHAnsi" w:eastAsiaTheme="majorEastAsia" w:cstheme="majorBidi"/>
      <w:color w:val="365f91" w:themeColor="accent1" w:themeShade="BF"/>
      <w:sz w:val="26"/>
      <w:szCs w:val="26"/>
    </w:rPr>
  </w:style>
  <w:style w:type="character" w:styleId="1053" w:customStyle="1">
    <w:name w:val="Heading 3 Char"/>
    <w:basedOn w:val="1048"/>
    <w:link w:val="1046"/>
    <w:pPr>
      <w:pBdr/>
      <w:spacing/>
      <w:ind/>
    </w:pPr>
    <w:rPr>
      <w:rFonts w:ascii="Times New Roman" w:hAnsi="Times New Roman" w:eastAsia="Times New Roman" w:cs="Times New Roman"/>
      <w:sz w:val="28"/>
      <w:szCs w:val="28"/>
    </w:rPr>
  </w:style>
  <w:style w:type="character" w:styleId="1054" w:customStyle="1">
    <w:name w:val="Heading 4 Char"/>
    <w:basedOn w:val="1048"/>
    <w:link w:val="1047"/>
    <w:pPr>
      <w:pBdr/>
      <w:spacing/>
      <w:ind/>
    </w:pPr>
    <w:rPr>
      <w:rFonts w:ascii="Times New Roman" w:hAnsi="Times New Roman" w:eastAsia="Times New Roman" w:cs="Times New Roman"/>
      <w:b/>
      <w:bCs/>
      <w:sz w:val="24"/>
      <w:szCs w:val="24"/>
    </w:rPr>
  </w:style>
  <w:style w:type="character" w:styleId="1055">
    <w:name w:val="Hyperlink"/>
    <w:uiPriority w:val="99"/>
    <w:pPr>
      <w:pBdr/>
      <w:spacing/>
      <w:ind/>
    </w:pPr>
    <w:rPr>
      <w:color w:val="000000"/>
      <w:u w:val="single"/>
    </w:rPr>
  </w:style>
  <w:style w:type="character" w:styleId="1056">
    <w:name w:val="Strong"/>
    <w:uiPriority w:val="22"/>
    <w:qFormat/>
    <w:pPr>
      <w:pBdr/>
      <w:spacing/>
      <w:ind/>
    </w:pPr>
    <w:rPr>
      <w:b/>
      <w:bCs/>
    </w:rPr>
  </w:style>
  <w:style w:type="paragraph" w:styleId="1057">
    <w:name w:val="Balloon Text"/>
    <w:basedOn w:val="1043"/>
    <w:link w:val="1058"/>
    <w:uiPriority w:val="99"/>
    <w:semiHidden/>
    <w:unhideWhenUsed/>
    <w:pPr>
      <w:pBdr/>
      <w:spacing/>
      <w:ind/>
    </w:pPr>
    <w:rPr>
      <w:rFonts w:ascii="Tahoma" w:hAnsi="Tahoma" w:cs="Tahoma"/>
      <w:sz w:val="16"/>
      <w:szCs w:val="16"/>
    </w:rPr>
  </w:style>
  <w:style w:type="character" w:styleId="1058" w:customStyle="1">
    <w:name w:val="Balloon Text Char"/>
    <w:basedOn w:val="1048"/>
    <w:link w:val="1057"/>
    <w:uiPriority w:val="99"/>
    <w:semiHidden/>
    <w:pPr>
      <w:pBdr/>
      <w:spacing/>
      <w:ind/>
    </w:pPr>
    <w:rPr>
      <w:rFonts w:ascii="Tahoma" w:hAnsi="Tahoma" w:eastAsia="Times New Roman" w:cs="Tahoma"/>
      <w:sz w:val="16"/>
      <w:szCs w:val="16"/>
    </w:rPr>
  </w:style>
  <w:style w:type="paragraph" w:styleId="1059">
    <w:name w:val="Header"/>
    <w:basedOn w:val="1043"/>
    <w:link w:val="1060"/>
    <w:unhideWhenUsed/>
    <w:pPr>
      <w:pBdr/>
      <w:tabs>
        <w:tab w:val="center" w:leader="none" w:pos="4680"/>
        <w:tab w:val="right" w:leader="none" w:pos="9360"/>
      </w:tabs>
      <w:spacing/>
      <w:ind/>
    </w:pPr>
  </w:style>
  <w:style w:type="character" w:styleId="1060" w:customStyle="1">
    <w:name w:val="Header Char"/>
    <w:basedOn w:val="1048"/>
    <w:link w:val="1059"/>
    <w:pPr>
      <w:pBdr/>
      <w:spacing/>
      <w:ind/>
    </w:pPr>
    <w:rPr>
      <w:rFonts w:ascii="Times New Roman" w:hAnsi="Times New Roman" w:eastAsia="Times New Roman" w:cs="Times New Roman"/>
      <w:sz w:val="24"/>
      <w:szCs w:val="24"/>
    </w:rPr>
  </w:style>
  <w:style w:type="paragraph" w:styleId="1061">
    <w:name w:val="Footer"/>
    <w:basedOn w:val="1043"/>
    <w:link w:val="1062"/>
    <w:uiPriority w:val="99"/>
    <w:unhideWhenUsed/>
    <w:pPr>
      <w:pBdr/>
      <w:tabs>
        <w:tab w:val="center" w:leader="none" w:pos="4680"/>
        <w:tab w:val="right" w:leader="none" w:pos="9360"/>
      </w:tabs>
      <w:spacing/>
      <w:ind/>
    </w:pPr>
  </w:style>
  <w:style w:type="character" w:styleId="1062" w:customStyle="1">
    <w:name w:val="Footer Char"/>
    <w:basedOn w:val="1048"/>
    <w:link w:val="1061"/>
    <w:uiPriority w:val="99"/>
    <w:pPr>
      <w:pBdr/>
      <w:spacing/>
      <w:ind/>
    </w:pPr>
    <w:rPr>
      <w:rFonts w:ascii="Times New Roman" w:hAnsi="Times New Roman" w:eastAsia="Times New Roman" w:cs="Times New Roman"/>
      <w:sz w:val="24"/>
      <w:szCs w:val="24"/>
    </w:rPr>
  </w:style>
  <w:style w:type="character" w:styleId="1063" w:customStyle="1">
    <w:name w:val="normal-h1"/>
    <w:pPr>
      <w:pBdr/>
      <w:spacing/>
      <w:ind/>
    </w:pPr>
    <w:rPr>
      <w:rFonts w:hint="default" w:ascii=".VnTime" w:hAnsi=".VnTime"/>
      <w:color w:val="0000ff"/>
      <w:sz w:val="24"/>
      <w:szCs w:val="24"/>
    </w:rPr>
  </w:style>
  <w:style w:type="paragraph" w:styleId="1064" w:customStyle="1">
    <w:name w:val="normal-p"/>
    <w:basedOn w:val="1043"/>
    <w:pPr>
      <w:pBdr/>
      <w:spacing/>
      <w:ind/>
      <w:jc w:val="both"/>
    </w:pPr>
    <w:rPr>
      <w:sz w:val="20"/>
      <w:szCs w:val="20"/>
    </w:rPr>
  </w:style>
  <w:style w:type="paragraph" w:styleId="1065">
    <w:name w:val="List Paragraph"/>
    <w:basedOn w:val="1043"/>
    <w:link w:val="1152"/>
    <w:uiPriority w:val="34"/>
    <w:qFormat/>
    <w:pPr>
      <w:pBdr/>
      <w:spacing/>
      <w:ind w:left="720"/>
    </w:pPr>
  </w:style>
  <w:style w:type="paragraph" w:styleId="1066">
    <w:name w:val="Normal (Web)"/>
    <w:basedOn w:val="1043"/>
    <w:uiPriority w:val="99"/>
    <w:pPr>
      <w:pBdr/>
      <w:spacing w:after="100" w:afterAutospacing="1" w:before="100" w:beforeAutospacing="1"/>
      <w:ind/>
    </w:pPr>
  </w:style>
  <w:style w:type="paragraph" w:styleId="1067">
    <w:name w:val="Body Text"/>
    <w:basedOn w:val="1043"/>
    <w:link w:val="1068"/>
    <w:pPr>
      <w:pBdr/>
      <w:spacing w:after="120"/>
      <w:ind/>
      <w:jc w:val="both"/>
    </w:pPr>
  </w:style>
  <w:style w:type="character" w:styleId="1068" w:customStyle="1">
    <w:name w:val="Body Text Char"/>
    <w:basedOn w:val="1048"/>
    <w:link w:val="1067"/>
    <w:pPr>
      <w:pBdr/>
      <w:spacing/>
      <w:ind/>
    </w:pPr>
    <w:rPr>
      <w:rFonts w:ascii="Times New Roman" w:hAnsi="Times New Roman" w:eastAsia="Times New Roman" w:cs="Times New Roman"/>
      <w:sz w:val="24"/>
      <w:szCs w:val="24"/>
    </w:rPr>
  </w:style>
  <w:style w:type="table" w:styleId="1069">
    <w:name w:val="Table Grid"/>
    <w:basedOn w:val="104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7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71">
    <w:name w:val="annotation reference"/>
    <w:basedOn w:val="1048"/>
    <w:uiPriority w:val="99"/>
    <w:semiHidden/>
    <w:unhideWhenUsed/>
    <w:pPr>
      <w:pBdr/>
      <w:spacing/>
      <w:ind/>
    </w:pPr>
    <w:rPr>
      <w:sz w:val="16"/>
      <w:szCs w:val="16"/>
    </w:rPr>
  </w:style>
  <w:style w:type="paragraph" w:styleId="1072">
    <w:name w:val="annotation text"/>
    <w:basedOn w:val="1043"/>
    <w:link w:val="1073"/>
    <w:uiPriority w:val="99"/>
    <w:unhideWhenUsed/>
    <w:pPr>
      <w:pBdr/>
      <w:spacing/>
      <w:ind/>
    </w:pPr>
    <w:rPr>
      <w:sz w:val="20"/>
      <w:szCs w:val="20"/>
    </w:rPr>
  </w:style>
  <w:style w:type="character" w:styleId="1073" w:customStyle="1">
    <w:name w:val="Comment Text Char"/>
    <w:basedOn w:val="1048"/>
    <w:link w:val="1072"/>
    <w:uiPriority w:val="99"/>
    <w:pPr>
      <w:pBdr/>
      <w:spacing/>
      <w:ind/>
    </w:pPr>
    <w:rPr>
      <w:rFonts w:ascii="Times New Roman" w:hAnsi="Times New Roman" w:eastAsia="Times New Roman" w:cs="Times New Roman"/>
      <w:sz w:val="20"/>
      <w:szCs w:val="20"/>
    </w:rPr>
  </w:style>
  <w:style w:type="paragraph" w:styleId="1074">
    <w:name w:val="annotation subject"/>
    <w:basedOn w:val="1072"/>
    <w:next w:val="1072"/>
    <w:link w:val="1075"/>
    <w:uiPriority w:val="99"/>
    <w:semiHidden/>
    <w:unhideWhenUsed/>
    <w:pPr>
      <w:pBdr/>
      <w:spacing/>
      <w:ind/>
    </w:pPr>
    <w:rPr>
      <w:b/>
      <w:bCs/>
    </w:rPr>
  </w:style>
  <w:style w:type="character" w:styleId="1075" w:customStyle="1">
    <w:name w:val="Comment Subject Char"/>
    <w:basedOn w:val="1073"/>
    <w:link w:val="1074"/>
    <w:uiPriority w:val="99"/>
    <w:semiHidden/>
    <w:pPr>
      <w:pBdr/>
      <w:spacing/>
      <w:ind/>
    </w:pPr>
    <w:rPr>
      <w:rFonts w:ascii="Times New Roman" w:hAnsi="Times New Roman" w:eastAsia="Times New Roman" w:cs="Times New Roman"/>
      <w:b/>
      <w:bCs/>
      <w:sz w:val="20"/>
      <w:szCs w:val="20"/>
    </w:rPr>
  </w:style>
  <w:style w:type="paragraph" w:styleId="1076" w:customStyle="1">
    <w:name w:val="font5"/>
    <w:basedOn w:val="1043"/>
    <w:pPr>
      <w:pBdr/>
      <w:spacing w:after="100" w:afterAutospacing="1" w:before="100" w:beforeAutospacing="1"/>
      <w:ind/>
    </w:pPr>
    <w:rPr>
      <w:rFonts w:ascii="Tahoma" w:hAnsi="Tahoma" w:cs="Tahoma"/>
      <w:color w:val="000000"/>
      <w:sz w:val="18"/>
      <w:szCs w:val="18"/>
    </w:rPr>
  </w:style>
  <w:style w:type="paragraph" w:styleId="1077" w:customStyle="1">
    <w:name w:val="font6"/>
    <w:basedOn w:val="1043"/>
    <w:pPr>
      <w:pBdr/>
      <w:spacing w:after="100" w:afterAutospacing="1" w:before="100" w:beforeAutospacing="1"/>
      <w:ind/>
    </w:pPr>
    <w:rPr>
      <w:rFonts w:ascii="Tahoma" w:hAnsi="Tahoma" w:cs="Tahoma"/>
      <w:b/>
      <w:bCs/>
      <w:color w:val="000000"/>
      <w:sz w:val="18"/>
      <w:szCs w:val="18"/>
    </w:rPr>
  </w:style>
  <w:style w:type="paragraph" w:styleId="1078" w:customStyle="1">
    <w:name w:val="xl233"/>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34"/>
    <w:basedOn w:val="1043"/>
    <w:pPr>
      <w:pBdr/>
      <w:spacing w:after="100" w:afterAutospacing="1" w:before="100" w:beforeAutospacing="1"/>
      <w:ind/>
      <w:jc w:val="center"/>
    </w:pPr>
  </w:style>
  <w:style w:type="paragraph" w:styleId="1080" w:customStyle="1">
    <w:name w:val="xl235"/>
    <w:basedOn w:val="1043"/>
    <w:pPr>
      <w:pBdr/>
      <w:spacing w:after="100" w:afterAutospacing="1" w:before="100" w:beforeAutospacing="1"/>
      <w:ind/>
      <w:jc w:val="center"/>
    </w:pPr>
    <w:rPr>
      <w:b/>
      <w:bCs/>
    </w:rPr>
  </w:style>
  <w:style w:type="paragraph" w:styleId="1081" w:customStyle="1">
    <w:name w:val="xl236"/>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37"/>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38"/>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4" w:customStyle="1">
    <w:name w:val="xl239"/>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5" w:customStyle="1">
    <w:name w:val="xl240"/>
    <w:basedOn w:val="1043"/>
    <w:pPr>
      <w:pBdr/>
      <w:spacing w:after="100" w:afterAutospacing="1" w:before="100" w:beforeAutospacing="1"/>
      <w:ind/>
    </w:pPr>
  </w:style>
  <w:style w:type="paragraph" w:styleId="1086" w:customStyle="1">
    <w:name w:val="xl241"/>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42"/>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43"/>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44"/>
    <w:basedOn w:val="1043"/>
    <w:pPr>
      <w:pBdr/>
      <w:spacing w:after="100" w:afterAutospacing="1" w:before="100" w:beforeAutospacing="1"/>
      <w:ind/>
    </w:pPr>
    <w:rPr>
      <w:b/>
      <w:bCs/>
    </w:rPr>
  </w:style>
  <w:style w:type="paragraph" w:styleId="1090" w:customStyle="1">
    <w:name w:val="xl245"/>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46"/>
    <w:basedOn w:val="104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92" w:customStyle="1">
    <w:name w:val="xl247"/>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48"/>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4" w:customStyle="1">
    <w:name w:val="xl249"/>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50"/>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51"/>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52"/>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8" w:customStyle="1">
    <w:name w:val="xl253"/>
    <w:basedOn w:val="104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54"/>
    <w:basedOn w:val="104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55"/>
    <w:basedOn w:val="104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1" w:customStyle="1">
    <w:name w:val="xl256"/>
    <w:basedOn w:val="104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02" w:customStyle="1">
    <w:name w:val="xl257"/>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3" w:customStyle="1">
    <w:name w:val="xl258"/>
    <w:basedOn w:val="104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4" w:customStyle="1">
    <w:name w:val="xl259"/>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60"/>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6" w:customStyle="1">
    <w:name w:val="xl261"/>
    <w:basedOn w:val="104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7" w:customStyle="1">
    <w:name w:val="xl262"/>
    <w:basedOn w:val="104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8" w:customStyle="1">
    <w:name w:val="xl263"/>
    <w:basedOn w:val="1043"/>
    <w:pPr>
      <w:pBdr/>
      <w:shd w:val="clear" w:color="000000" w:fill="ffffff"/>
      <w:spacing w:after="100" w:afterAutospacing="1" w:before="100" w:beforeAutospacing="1"/>
      <w:ind/>
    </w:pPr>
  </w:style>
  <w:style w:type="paragraph" w:styleId="1109" w:customStyle="1">
    <w:name w:val="xl264"/>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10" w:customStyle="1">
    <w:name w:val="xl265"/>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1" w:customStyle="1">
    <w:name w:val="xl266"/>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12" w:customStyle="1">
    <w:name w:val="xl267"/>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13" w:customStyle="1">
    <w:name w:val="xl268"/>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14" w:customStyle="1">
    <w:name w:val="xl269"/>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15" w:customStyle="1">
    <w:name w:val="xl270"/>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16" w:customStyle="1">
    <w:name w:val="xl271"/>
    <w:basedOn w:val="104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17" w:customStyle="1">
    <w:name w:val="xl272"/>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18" w:customStyle="1">
    <w:name w:val="xl273"/>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9" w:customStyle="1">
    <w:name w:val="xl274"/>
    <w:basedOn w:val="104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20" w:customStyle="1">
    <w:name w:val="xl275"/>
    <w:basedOn w:val="1043"/>
    <w:pPr>
      <w:pBdr/>
      <w:spacing w:after="100" w:afterAutospacing="1" w:before="100" w:beforeAutospacing="1"/>
      <w:ind/>
    </w:pPr>
  </w:style>
  <w:style w:type="paragraph" w:styleId="1121" w:customStyle="1">
    <w:name w:val="xl276"/>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22" w:customStyle="1">
    <w:name w:val="xl277"/>
    <w:basedOn w:val="104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23" w:customStyle="1">
    <w:name w:val="xl278"/>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4" w:customStyle="1">
    <w:name w:val="xl279"/>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5" w:customStyle="1">
    <w:name w:val="xl280"/>
    <w:basedOn w:val="104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6" w:customStyle="1">
    <w:name w:val="xl281"/>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27" w:customStyle="1">
    <w:name w:val="xl282"/>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28" w:customStyle="1">
    <w:name w:val="xl283"/>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29" w:customStyle="1">
    <w:name w:val="xl284"/>
    <w:basedOn w:val="1043"/>
    <w:pPr>
      <w:pBdr>
        <w:left w:val="single" w:color="000000" w:sz="4" w:space="0"/>
        <w:bottom w:val="single" w:color="000000" w:sz="4" w:space="0"/>
        <w:right w:val="single" w:color="000000" w:sz="4" w:space="0"/>
      </w:pBdr>
      <w:spacing w:after="100" w:afterAutospacing="1" w:before="100" w:beforeAutospacing="1"/>
      <w:ind/>
    </w:pPr>
  </w:style>
  <w:style w:type="paragraph" w:styleId="1130" w:customStyle="1">
    <w:name w:val="xl285"/>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31" w:customStyle="1">
    <w:name w:val="xl286"/>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32" w:customStyle="1">
    <w:name w:val="xl287"/>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3" w:customStyle="1">
    <w:name w:val="xl288"/>
    <w:basedOn w:val="1043"/>
    <w:pPr>
      <w:pBdr>
        <w:top w:val="single" w:color="000000" w:sz="4" w:space="0"/>
        <w:left w:val="single" w:color="000000" w:sz="4" w:space="0"/>
        <w:right w:val="single" w:color="000000" w:sz="4" w:space="0"/>
      </w:pBdr>
      <w:spacing w:after="100" w:afterAutospacing="1" w:before="100" w:beforeAutospacing="1"/>
      <w:ind/>
    </w:pPr>
  </w:style>
  <w:style w:type="paragraph" w:styleId="1134" w:customStyle="1">
    <w:name w:val="xl289"/>
    <w:basedOn w:val="1043"/>
    <w:pPr>
      <w:pBdr>
        <w:left w:val="single" w:color="000000" w:sz="4" w:space="0"/>
        <w:right w:val="single" w:color="000000" w:sz="4" w:space="0"/>
      </w:pBdr>
      <w:spacing w:after="100" w:afterAutospacing="1" w:before="100" w:beforeAutospacing="1"/>
      <w:ind/>
    </w:pPr>
    <w:rPr>
      <w:b/>
      <w:bCs/>
    </w:rPr>
  </w:style>
  <w:style w:type="paragraph" w:styleId="1135" w:customStyle="1">
    <w:name w:val="xl290"/>
    <w:basedOn w:val="104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6" w:customStyle="1">
    <w:name w:val="xl291"/>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37" w:customStyle="1">
    <w:name w:val="xl292"/>
    <w:basedOn w:val="1043"/>
    <w:pPr>
      <w:pBdr>
        <w:top w:val="single" w:color="000000" w:sz="4" w:space="0"/>
        <w:left w:val="single" w:color="000000" w:sz="4" w:space="0"/>
        <w:right w:val="single" w:color="000000" w:sz="4" w:space="0"/>
      </w:pBdr>
      <w:spacing w:after="100" w:afterAutospacing="1" w:before="100" w:beforeAutospacing="1"/>
      <w:ind/>
    </w:pPr>
  </w:style>
  <w:style w:type="paragraph" w:styleId="1138" w:customStyle="1">
    <w:name w:val="xl293"/>
    <w:basedOn w:val="1043"/>
    <w:pPr>
      <w:pBdr>
        <w:left w:val="single" w:color="000000" w:sz="4" w:space="0"/>
        <w:bottom w:val="single" w:color="000000" w:sz="4" w:space="0"/>
        <w:right w:val="single" w:color="000000" w:sz="4" w:space="0"/>
      </w:pBdr>
      <w:spacing w:after="100" w:afterAutospacing="1" w:before="100" w:beforeAutospacing="1"/>
      <w:ind/>
    </w:pPr>
  </w:style>
  <w:style w:type="paragraph" w:styleId="1139" w:customStyle="1">
    <w:name w:val="xl294"/>
    <w:basedOn w:val="104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0">
    <w:name w:val="Title"/>
    <w:basedOn w:val="1043"/>
    <w:link w:val="1141"/>
    <w:qFormat/>
    <w:pPr>
      <w:pBdr/>
      <w:spacing/>
      <w:ind/>
      <w:jc w:val="center"/>
    </w:pPr>
    <w:rPr>
      <w:b/>
      <w:bCs/>
      <w:sz w:val="32"/>
      <w:szCs w:val="26"/>
    </w:rPr>
  </w:style>
  <w:style w:type="character" w:styleId="1141" w:customStyle="1">
    <w:name w:val="Title Char"/>
    <w:basedOn w:val="1048"/>
    <w:link w:val="1140"/>
    <w:pPr>
      <w:pBdr/>
      <w:spacing/>
      <w:ind/>
    </w:pPr>
    <w:rPr>
      <w:rFonts w:ascii="Times New Roman" w:hAnsi="Times New Roman" w:eastAsia="Times New Roman" w:cs="Times New Roman"/>
      <w:b/>
      <w:bCs/>
      <w:sz w:val="32"/>
      <w:szCs w:val="26"/>
    </w:rPr>
  </w:style>
  <w:style w:type="character" w:styleId="1142" w:customStyle="1">
    <w:name w:val="Unresolved Mention1"/>
    <w:basedOn w:val="1048"/>
    <w:uiPriority w:val="99"/>
    <w:semiHidden/>
    <w:unhideWhenUsed/>
    <w:pPr>
      <w:pBdr/>
      <w:spacing/>
      <w:ind/>
    </w:pPr>
    <w:rPr>
      <w:color w:val="605e5c"/>
      <w:shd w:val="clear" w:color="auto" w:fill="e1dfdd"/>
    </w:rPr>
  </w:style>
  <w:style w:type="character" w:styleId="1143" w:customStyle="1">
    <w:name w:val="Body text (3)_"/>
    <w:link w:val="1144"/>
    <w:pPr>
      <w:pBdr/>
      <w:spacing/>
      <w:ind/>
    </w:pPr>
    <w:rPr>
      <w:rFonts w:ascii="Times New Roman" w:hAnsi="Times New Roman" w:cs="Times New Roman"/>
      <w:i/>
      <w:iCs/>
      <w:spacing w:val="4"/>
      <w:shd w:val="clear" w:color="auto" w:fill="ffffff"/>
    </w:rPr>
  </w:style>
  <w:style w:type="paragraph" w:styleId="1144" w:customStyle="1">
    <w:name w:val="Body text (3)1"/>
    <w:basedOn w:val="1043"/>
    <w:link w:val="114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45" w:customStyle="1">
    <w:name w:val="t-j"/>
    <w:basedOn w:val="1043"/>
    <w:pPr>
      <w:pBdr/>
      <w:spacing w:after="100" w:afterAutospacing="1" w:before="100" w:beforeAutospacing="1"/>
      <w:ind/>
    </w:pPr>
  </w:style>
  <w:style w:type="character" w:styleId="1146" w:customStyle="1">
    <w:name w:val="Unresolved Mention2"/>
    <w:basedOn w:val="1048"/>
    <w:uiPriority w:val="99"/>
    <w:semiHidden/>
    <w:unhideWhenUsed/>
    <w:pPr>
      <w:pBdr/>
      <w:spacing/>
      <w:ind/>
    </w:pPr>
    <w:rPr>
      <w:color w:val="605e5c"/>
      <w:shd w:val="clear" w:color="auto" w:fill="e1dfdd"/>
    </w:rPr>
  </w:style>
  <w:style w:type="character" w:styleId="1147">
    <w:name w:val="FollowedHyperlink"/>
    <w:basedOn w:val="1048"/>
    <w:uiPriority w:val="99"/>
    <w:semiHidden/>
    <w:unhideWhenUsed/>
    <w:pPr>
      <w:pBdr/>
      <w:spacing/>
      <w:ind/>
    </w:pPr>
    <w:rPr>
      <w:color w:val="800080" w:themeColor="followedHyperlink"/>
      <w:u w:val="single"/>
    </w:rPr>
  </w:style>
  <w:style w:type="character" w:styleId="1148" w:customStyle="1">
    <w:name w:val="text"/>
    <w:basedOn w:val="1048"/>
    <w:pPr>
      <w:pBdr/>
      <w:spacing/>
      <w:ind/>
    </w:pPr>
  </w:style>
  <w:style w:type="character" w:styleId="1149" w:customStyle="1">
    <w:name w:val="card-send-time__sendtime"/>
    <w:basedOn w:val="1048"/>
    <w:pPr>
      <w:pBdr/>
      <w:spacing/>
      <w:ind/>
    </w:pPr>
  </w:style>
  <w:style w:type="character" w:styleId="1150" w:customStyle="1">
    <w:name w:val="Đề cập Chưa giải quyết1"/>
    <w:basedOn w:val="1048"/>
    <w:uiPriority w:val="99"/>
    <w:semiHidden/>
    <w:unhideWhenUsed/>
    <w:pPr>
      <w:pBdr/>
      <w:spacing/>
      <w:ind/>
    </w:pPr>
    <w:rPr>
      <w:color w:val="605e5c"/>
      <w:shd w:val="clear" w:color="auto" w:fill="e1dfdd"/>
    </w:rPr>
  </w:style>
  <w:style w:type="paragraph" w:styleId="1151" w:customStyle="1">
    <w:name w:val="nqtitle"/>
    <w:basedOn w:val="1043"/>
    <w:pPr>
      <w:pBdr/>
      <w:spacing w:after="100" w:afterAutospacing="1" w:before="100" w:beforeAutospacing="1"/>
      <w:ind/>
    </w:pPr>
    <w:rPr>
      <w:lang w:val="vi-VN" w:eastAsia="vi-VN"/>
    </w:rPr>
  </w:style>
  <w:style w:type="character" w:styleId="1152" w:customStyle="1">
    <w:name w:val="List Paragraph Char"/>
    <w:link w:val="1065"/>
    <w:uiPriority w:val="34"/>
    <w:qFormat/>
    <w:pPr>
      <w:pBdr/>
      <w:spacing/>
      <w:ind/>
    </w:pPr>
    <w:rPr>
      <w:rFonts w:ascii="Times New Roman" w:hAnsi="Times New Roman" w:eastAsia="Times New Roman" w:cs="Times New Roman"/>
      <w:sz w:val="24"/>
      <w:szCs w:val="24"/>
    </w:rPr>
  </w:style>
  <w:style w:type="character" w:styleId="1153" w:customStyle="1">
    <w:name w:val="Đề cập Chưa giải quyết2"/>
    <w:basedOn w:val="1048"/>
    <w:uiPriority w:val="99"/>
    <w:semiHidden/>
    <w:unhideWhenUsed/>
    <w:pPr>
      <w:pBdr/>
      <w:spacing/>
      <w:ind/>
    </w:pPr>
    <w:rPr>
      <w:color w:val="605e5c"/>
      <w:shd w:val="clear" w:color="auto" w:fill="e1dfdd"/>
    </w:rPr>
  </w:style>
  <w:style w:type="character" w:styleId="1154" w:customStyle="1">
    <w:name w:val="Unresolved Mention3"/>
    <w:basedOn w:val="1048"/>
    <w:uiPriority w:val="99"/>
    <w:semiHidden/>
    <w:unhideWhenUsed/>
    <w:pPr>
      <w:pBdr/>
      <w:spacing/>
      <w:ind/>
    </w:pPr>
    <w:rPr>
      <w:color w:val="605e5c"/>
      <w:shd w:val="clear" w:color="auto" w:fill="e1dfdd"/>
    </w:rPr>
  </w:style>
  <w:style w:type="character" w:styleId="1155" w:customStyle="1">
    <w:name w:val="copy"/>
    <w:basedOn w:val="1048"/>
    <w:pPr>
      <w:pBdr/>
      <w:spacing/>
      <w:ind/>
    </w:pPr>
  </w:style>
  <w:style w:type="paragraph" w:styleId="1156" w:customStyle="1">
    <w:name w:val="align-justify"/>
    <w:basedOn w:val="1043"/>
    <w:pPr>
      <w:pBdr/>
      <w:spacing w:after="100" w:afterAutospacing="1" w:before="100" w:beforeAutospacing="1"/>
      <w:ind/>
    </w:pPr>
  </w:style>
  <w:style w:type="character" w:styleId="1157" w:customStyle="1">
    <w:name w:val="btn"/>
    <w:basedOn w:val="1048"/>
    <w:pPr>
      <w:pBdr/>
      <w:spacing/>
      <w:ind/>
    </w:pPr>
  </w:style>
  <w:style w:type="character" w:styleId="1158" w:customStyle="1">
    <w:name w:val="hide_mobile"/>
    <w:basedOn w:val="1048"/>
    <w:pPr>
      <w:pBdr/>
      <w:spacing/>
      <w:ind/>
    </w:pPr>
  </w:style>
  <w:style w:type="character" w:styleId="1159">
    <w:name w:val="Emphasis"/>
    <w:basedOn w:val="1048"/>
    <w:uiPriority w:val="20"/>
    <w:qFormat/>
    <w:pPr>
      <w:pBdr/>
      <w:spacing/>
      <w:ind/>
    </w:pPr>
    <w:rPr>
      <w:i/>
      <w:iCs/>
    </w:rPr>
  </w:style>
  <w:style w:type="character" w:styleId="1160" w:customStyle="1">
    <w:name w:val="t1"/>
    <w:basedOn w:val="1048"/>
    <w:pPr>
      <w:pBdr/>
      <w:spacing/>
      <w:ind/>
    </w:pPr>
  </w:style>
  <w:style w:type="character" w:styleId="1161" w:customStyle="1">
    <w:name w:val="Unresolved Mention4"/>
    <w:basedOn w:val="1048"/>
    <w:uiPriority w:val="99"/>
    <w:semiHidden/>
    <w:unhideWhenUsed/>
    <w:pPr>
      <w:pBdr/>
      <w:spacing/>
      <w:ind/>
    </w:pPr>
    <w:rPr>
      <w:color w:val="605e5c"/>
      <w:shd w:val="clear" w:color="auto" w:fill="e1dfdd"/>
    </w:rPr>
  </w:style>
  <w:style w:type="character" w:styleId="1162">
    <w:name w:val="Unresolved Mention"/>
    <w:basedOn w:val="104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ienphong.vn/toan-canh-duong-vanh-dai-3-tphcm-qua-binh-duong-truoc-muc" TargetMode="External"/><Relationship Id="rId18" Type="http://schemas.openxmlformats.org/officeDocument/2006/relationships/image" Target="media/image3.png"/><Relationship Id="rId19" Type="http://schemas.openxmlformats.org/officeDocument/2006/relationships/image" Target="media/image4.jpg"/><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 Id="rId38" Type="http://schemas.openxmlformats.org/officeDocument/2006/relationships/image" Target="media/image23.jpg"/><Relationship Id="rId39" Type="http://schemas.openxmlformats.org/officeDocument/2006/relationships/image" Target="media/image24.jpg"/><Relationship Id="rId40" Type="http://schemas.openxmlformats.org/officeDocument/2006/relationships/image" Target="media/image25.jpg"/><Relationship Id="rId41" Type="http://schemas.openxmlformats.org/officeDocument/2006/relationships/image" Target="media/image26.jpg"/><Relationship Id="rId42" Type="http://schemas.openxmlformats.org/officeDocument/2006/relationships/image" Target="media/image27.jpg"/><Relationship Id="rId43" Type="http://schemas.openxmlformats.org/officeDocument/2006/relationships/image" Target="media/image28.png"/><Relationship Id="rId44" Type="http://schemas.openxmlformats.org/officeDocument/2006/relationships/image" Target="media/image29.png"/><Relationship Id="rId45" Type="http://schemas.openxmlformats.org/officeDocument/2006/relationships/image" Target="media/image30.png"/><Relationship Id="rId46" Type="http://schemas.openxmlformats.org/officeDocument/2006/relationships/image" Target="media/image31.png"/><Relationship Id="rId47" Type="http://schemas.openxmlformats.org/officeDocument/2006/relationships/image" Target="media/image32.png"/><Relationship Id="rId48" Type="http://schemas.openxmlformats.org/officeDocument/2006/relationships/image" Target="media/image33.png"/><Relationship Id="rId49" Type="http://schemas.openxmlformats.org/officeDocument/2006/relationships/image" Target="media/image34.png"/><Relationship Id="rId50" Type="http://schemas.openxmlformats.org/officeDocument/2006/relationships/image" Target="media/image35.png"/><Relationship Id="rId51" Type="http://schemas.openxmlformats.org/officeDocument/2006/relationships/image" Target="media/image36.png"/><Relationship Id="rId52" Type="http://schemas.openxmlformats.org/officeDocument/2006/relationships/image" Target="media/image37.png"/><Relationship Id="rId53" Type="http://schemas.openxmlformats.org/officeDocument/2006/relationships/image" Target="media/image38.png"/><Relationship Id="rId54" Type="http://schemas.openxmlformats.org/officeDocument/2006/relationships/image" Target="media/image39.png"/><Relationship Id="rId55" Type="http://schemas.openxmlformats.org/officeDocument/2006/relationships/image" Target="media/image40.png"/><Relationship Id="rId56" Type="http://schemas.openxmlformats.org/officeDocument/2006/relationships/image" Target="media/image41.png"/><Relationship Id="rId57" Type="http://schemas.openxmlformats.org/officeDocument/2006/relationships/image" Target="media/image42.png"/><Relationship Id="rId58" Type="http://schemas.openxmlformats.org/officeDocument/2006/relationships/image" Target="media/image4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Nhâm văn hưng</cp:lastModifiedBy>
  <cp:revision>519</cp:revision>
  <dcterms:created xsi:type="dcterms:W3CDTF">2025-09-15T02:01:00Z</dcterms:created>
  <dcterms:modified xsi:type="dcterms:W3CDTF">2026-08-22T01:55:42Z</dcterms:modified>
</cp:coreProperties>
</file>