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bCs/>
          <w:sz w:val="28"/>
          <w:szCs w:val="28"/>
        </w:rPr>
      </w:r>
      <w:r>
        <w:rPr>
          <w:b/>
          <w:bCs/>
          <w:sz w:val="28"/>
          <w:szCs w:val="28"/>
        </w:rPr>
      </w:r>
      <w:r>
        <w:rPr>
          <w:b/>
          <w:bCs/>
          <w:sz w:val="28"/>
          <w:szCs w:val="28"/>
        </w:rPr>
      </w:r>
    </w:p>
    <w:p>
      <w:pPr>
        <w:pBdr/>
        <w:spacing/>
        <w:ind w:right="-1"/>
        <w:jc w:val="left"/>
        <w:rPr>
          <w:b/>
          <w:bCs/>
          <w:sz w:val="28"/>
          <w:szCs w:val="28"/>
        </w:rPr>
      </w:pPr>
      <w:r>
        <w:rPr>
          <w:b/>
          <w:sz w:val="28"/>
        </w:rPr>
      </w:r>
      <w:r>
        <w:rPr>
          <w:b/>
          <w:bCs/>
          <w:sz w:val="28"/>
          <w:szCs w:val="28"/>
        </w:rPr>
      </w:r>
      <w:r>
        <w:rPr>
          <w:b/>
          <w:bCs/>
          <w:sz w:val="28"/>
          <w:szCs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8126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81265"/>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Ngọc Tú</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832, tờ bản đồ số: 123, địa chỉ: Phố Yên Biên, phườn</w:t>
                            </w:r>
                            <w:r>
                              <w:rPr>
                                <w:color w:val="000000"/>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4.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Ông </w:t>
                      </w:r>
                      <w:r>
                        <w:rPr>
                          <w:rFonts w:ascii="Times New Roman Bold" w:hAnsi="Times New Roman Bold"/>
                          <w:b/>
                          <w:color w:val="000000" w:themeColor="text1"/>
                          <w:lang w:val="pt-BR"/>
                        </w:rPr>
                        <w:t xml:space="preserve">Nguyễn Ngọc Tú</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832, tờ bản đồ số: 123, địa chỉ: Phố Yên Biên, phườn</w:t>
                      </w:r>
                      <w:r>
                        <w:rPr>
                          <w:color w:val="000000"/>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  + BBKS + Pháp lý tài sản</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21 - 24</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 </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25-31</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27" w:type="dxa"/>
        <w:tblBorders/>
        <w:tblLayout w:type="fixed"/>
        <w:tblLook w:val="04A0" w:firstRow="1" w:lastRow="0" w:firstColumn="1" w:lastColumn="0" w:noHBand="0" w:noVBand="1"/>
      </w:tblPr>
      <w:tblGrid>
        <w:gridCol w:w="29"/>
        <w:gridCol w:w="3928"/>
        <w:gridCol w:w="816"/>
        <w:gridCol w:w="5035"/>
        <w:gridCol w:w="19"/>
      </w:tblGrid>
      <w:tr>
        <w:trPr>
          <w:trHeight w:val="1152"/>
        </w:trPr>
        <w:tc>
          <w:tcPr>
            <w:gridSpan w:val="2"/>
            <w:tcBorders/>
            <w:tcW w:w="395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58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744"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275/2026/1310/VFI-CT.44.A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5"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Ông </w:t>
      </w:r>
      <w:r>
        <w:rPr>
          <w:rFonts w:ascii="Times New Roman Bold" w:hAnsi="Times New Roman Bold"/>
          <w:b/>
          <w:color w:val="000000" w:themeColor="text1"/>
          <w:lang w:val="pt-BR"/>
        </w:rPr>
        <w:t xml:space="preserve">Nguyễn Ngọc Tú</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275/2026/1310/VFI-HĐTĐ.44.A</w:t>
      </w:r>
      <w:r>
        <w:rPr>
          <w:spacing w:val="-4"/>
          <w:lang w:val="vi-VN"/>
        </w:rPr>
        <w:t xml:space="preserve"> ký ngày </w:t>
      </w:r>
      <w:r>
        <w:rPr>
          <w:color w:val="000000" w:themeColor="text1"/>
          <w:spacing w:val="-4"/>
        </w:rPr>
        <w:t xml:space="preserve">15 tháng 8 năm 2026</w:t>
      </w:r>
      <w:r>
        <w:rPr>
          <w:spacing w:val="-4"/>
          <w:lang w:val="vi-VN"/>
        </w:rPr>
        <w:t xml:space="preserve"> </w:t>
      </w:r>
      <w:r>
        <w:rPr>
          <w:spacing w:val="-4"/>
          <w:lang w:val="vi-VN"/>
        </w:rPr>
        <w:t xml:space="preserve">giữa Ông </w:t>
      </w:r>
      <w:r>
        <w:rPr>
          <w:color w:val="000000" w:themeColor="text1"/>
          <w:spacing w:val="-4"/>
        </w:rPr>
        <w:t xml:space="preserve">Nguyễn Ngọc Tú</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275/2026/1310/VFI-BC.44.A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430"/>
        <w:gridCol w:w="461"/>
        <w:gridCol w:w="6634"/>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ind/>
              <w:rPr/>
            </w:pPr>
            <w:r>
              <w:rPr>
                <w:b/>
                <w:bCs/>
              </w:rPr>
              <w:t xml:space="preserve">Ông Nguyễn Ngọc Tú</w:t>
            </w: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038094037328</w:t>
            </w:r>
            <w:r>
              <w:rPr>
                <w:color w:val="ff0000"/>
                <w:lang w:val="pt-BR"/>
              </w:rPr>
            </w:r>
            <w:r>
              <w:rPr>
                <w:color w:val="ff0000"/>
                <w:lang w:val="pt-BR"/>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Phố Yên Biên, xã Đông Quang, tỉnh Thanh Hóa</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832, tờ bản đồ số: 123, địa chỉ: Phố Yên Biên, phườn</w:t>
      </w:r>
      <w:r>
        <w:rPr>
          <w:color w:val="000000" w:themeColor="text1"/>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tạị Ngân hàng SHB</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3226"/>
        <w:gridCol w:w="1802"/>
        <w:gridCol w:w="1883"/>
        <w:gridCol w:w="198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22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11"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832, tờ bản đồ số: 123, địa chỉ: Phố Yên Biên, phườn</w:t>
            </w:r>
            <w:r>
              <w:rPr>
                <w:b/>
                <w:bCs/>
                <w:color w:val="000000"/>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b/>
                <w:bCs/>
              </w:rPr>
              <w:t xml:space="preserve">.</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3226"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ODT + Đất CLN</w:t>
            </w:r>
            <w:r>
              <w:rPr>
                <w:b w:val="0"/>
                <w:bCs w:val="0"/>
              </w:rPr>
              <w:t xml:space="preserve">). </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135,0</w:t>
            </w:r>
            <w:r>
              <w:rPr>
                <w:color w:val="000000"/>
              </w:rPr>
            </w:r>
            <w:r>
              <w:rPr>
                <w:color w:val="000000"/>
              </w:rPr>
            </w:r>
          </w:p>
        </w:tc>
        <w:tc>
          <w:tcPr>
            <w:shd w:val="clear" w:color="000000" w:fill="ffffff"/>
            <w:tcBorders/>
            <w:tcW w:w="1883" w:type="dxa"/>
            <w:vAlign w:val="center"/>
            <w:textDirection w:val="lrTb"/>
            <w:noWrap w:val="false"/>
          </w:tcPr>
          <w:p>
            <w:pPr>
              <w:pBdr/>
              <w:spacing w:after="40" w:before="40" w:line="288" w:lineRule="auto"/>
              <w:ind/>
              <w:jc w:val="center"/>
              <w:rPr/>
            </w:pPr>
            <w:r>
              <w:rPr>
                <w:color w:val="000000" w:themeColor="text1"/>
              </w:rPr>
              <w:t xml:space="preserve">15.000.000</w:t>
            </w:r>
            <w:r/>
          </w:p>
        </w:tc>
        <w:tc>
          <w:tcPr>
            <w:shd w:val="clear" w:color="000000" w:fill="ffffff"/>
            <w:tcBorders/>
            <w:tcW w:w="1984" w:type="dxa"/>
            <w:vAlign w:val="center"/>
            <w:textDirection w:val="lrTb"/>
            <w:noWrap w:val="false"/>
          </w:tcPr>
          <w:p>
            <w:pPr>
              <w:pBdr/>
              <w:spacing w:after="40" w:before="40" w:line="288" w:lineRule="auto"/>
              <w:ind/>
              <w:jc w:val="center"/>
              <w:rPr/>
            </w:pPr>
            <w:r>
              <w:rPr>
                <w:color w:val="000000" w:themeColor="text1"/>
              </w:rPr>
              <w:t xml:space="preserve">2.025.000.000</w:t>
            </w: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4" w:type="dxa"/>
            <w:vAlign w:val="center"/>
            <w:textDirection w:val="lrTb"/>
            <w:noWrap/>
          </w:tcPr>
          <w:p>
            <w:pPr>
              <w:pBdr/>
              <w:spacing w:after="40" w:before="40" w:line="288" w:lineRule="auto"/>
              <w:ind/>
              <w:jc w:val="center"/>
              <w:rPr>
                <w:b/>
                <w:bCs/>
                <w:color w:val="000000"/>
              </w:rPr>
            </w:pPr>
            <w:r>
              <w:rPr>
                <w:b/>
                <w:bCs/>
              </w:rPr>
              <w:t xml:space="preserve">2.025.000.000</w:t>
            </w:r>
            <w:r>
              <w:rPr>
                <w:b/>
                <w:bCs/>
                <w:color w:val="000000"/>
              </w:rPr>
            </w:r>
            <w:r>
              <w:rPr>
                <w:b/>
                <w:bCs/>
                <w:color w:val="000000"/>
              </w:rPr>
            </w:r>
          </w:p>
        </w:tc>
      </w:tr>
      <w:tr>
        <w:trPr>
          <w:trHeight w:val="20"/>
        </w:trPr>
        <w:tc>
          <w:tcPr>
            <w:gridSpan w:val="5"/>
            <w:tcBorders/>
            <w:tcW w:w="9570"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không trăm hai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61" w:type="dxa"/>
        <w:tblBorders/>
        <w:tblLayout w:type="fixed"/>
        <w:tblLook w:val="04A0" w:firstRow="1" w:lastRow="0" w:firstColumn="1" w:lastColumn="0" w:noHBand="0" w:noVBand="1"/>
      </w:tblPr>
      <w:tblGrid>
        <w:gridCol w:w="1134"/>
        <w:gridCol w:w="1134"/>
        <w:gridCol w:w="1134"/>
        <w:gridCol w:w="1134"/>
        <w:gridCol w:w="1134"/>
      </w:tblGrid>
      <w:tr>
        <w:trPr>
          <w:trHeight w:val="1843"/>
        </w:trPr>
        <w:tc>
          <w:tcPr>
            <w:gridSpan w:val="2"/>
            <w:tcBorders/>
            <w:tcW w:w="577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492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color w:val="081b3a"/>
                <w:spacing w:val="3"/>
                <w:sz w:val="24"/>
                <w:szCs w:val="24"/>
                <w:highlight w:val="white"/>
              </w:rPr>
              <w:t xml:space="preserve">275/2026/1310/VFI-BC.44.A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4922"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275/2026/1310/VFI-CT.44.A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Nguyễn Ngọc Tú</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038094037328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Phố Yên Biên, xã Đông Quang, tỉnh Thanh Hóa</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832, tờ bản đồ số: 123, địa chỉ: Phố Yên Biên, phườn</w:t>
            </w:r>
            <w:r>
              <w:rPr>
                <w:bCs/>
                <w:color w:val="000000" w:themeColor="text1"/>
                <w:lang w:val="pt-BR"/>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Ngân hàng SHB.</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Phố yên Biên, Phường Đông Quang, Tỉnh Thanh Hoá</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19.7748738, 105.7649266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14/8/2026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dịch vụ thẩm định giá 275/2026/1310/VFI-HĐTĐ.44.A ngày 15/8/2026 giữa Ông Nguyễn Ngọc Tú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none"/>
          <w:lang w:val="pt-BR"/>
        </w:rPr>
      </w:pPr>
      <w:r>
        <w:rPr>
          <w:b/>
          <w:bCs/>
          <w:lang w:val="pt-BR"/>
        </w:rPr>
        <w:t xml:space="preserve">III</w:t>
      </w:r>
      <w:r>
        <w:rPr>
          <w:b/>
          <w:bCs/>
          <w:lang w:val="pt-BR"/>
        </w:rPr>
        <w:t xml:space="preserve">. TỔNG QUAN VỀ THỊ TRƯỜNG CỦA TÀI SẢN THẨM ĐỊNH GIÁ</w:t>
      </w:r>
      <w:r>
        <w:rPr>
          <w:b/>
          <w:bCs/>
          <w:highlight w:val="none"/>
          <w:lang w:val="pt-BR"/>
        </w:rPr>
      </w:r>
      <w:r>
        <w:rPr>
          <w:b/>
          <w:bCs/>
          <w:highlight w:val="none"/>
          <w:lang w:val="pt-BR"/>
        </w:rPr>
      </w:r>
    </w:p>
    <w:p>
      <w:pPr>
        <w:pBdr/>
        <w:shd w:val="nil" w:color="auto"/>
        <w:spacing w:line="300" w:lineRule="auto"/>
        <w:ind w:right="0" w:firstLine="283" w:left="0"/>
        <w:jc w:val="both"/>
        <w:rPr>
          <w:color w:val="000000" w:themeColor="text1"/>
          <w:highlight w:val="white"/>
          <w14:ligatures w14:val="none"/>
        </w:rPr>
      </w:pPr>
      <w:r>
        <w:rPr>
          <w:rFonts w:ascii="Times New Roman" w:hAnsi="Times New Roman" w:eastAsia="Times New Roman" w:cs="Times New Roman"/>
          <w:color w:val="000000" w:themeColor="text1"/>
          <w:sz w:val="24"/>
          <w:szCs w:val="24"/>
          <w:highlight w:val="yellow"/>
        </w:rPr>
      </w:r>
      <w:r>
        <w:rPr>
          <w:rFonts w:ascii="Times New Roman" w:hAnsi="Times New Roman" w:eastAsia="Times New Roman" w:cs="Times New Roman"/>
          <w:b/>
          <w:color w:val="000000" w:themeColor="text1"/>
          <w:sz w:val="24"/>
          <w:highlight w:val="white"/>
        </w:rPr>
        <w:t xml:space="preserve">Bước sang năm 2026, thị trường bất động sản (BĐS) đang bước vào giai đoạn thanh lọc mạnh mẽ dưới tác động của chính sách điều tiết tín dụng và xu hướng đầu tư thận trọng hơn. Tại Thanh Hóa, sự cộng hưởng giữa đà phát triển kinh tế, hạ tầng đồng bộ và sức b</w:t>
      </w:r>
      <w:r>
        <w:rPr>
          <w:rFonts w:ascii="Times New Roman" w:hAnsi="Times New Roman" w:eastAsia="Times New Roman" w:cs="Times New Roman"/>
          <w:b/>
          <w:color w:val="000000" w:themeColor="text1"/>
          <w:sz w:val="24"/>
          <w:highlight w:val="white"/>
        </w:rPr>
        <w:t xml:space="preserve">ật từ du lịch biển đan</w:t>
      </w:r>
      <w:r>
        <w:rPr>
          <w:color w:val="000000" w:themeColor="text1"/>
          <w:highlight w:val="white"/>
        </w:rPr>
        <w:t xml:space="preserve">g tạo lực đẩy cho thị trường bất động sản địa phương, đồng thời thu hút dòng vốn trung và dài hạn</w:t>
      </w:r>
      <w:r>
        <w:rPr>
          <w:color w:val="000000" w:themeColor="text1"/>
          <w:highlight w:val="white"/>
        </w:rPr>
        <w:t xml:space="preserve">.</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b/>
          <w:bCs/>
          <w:color w:val="000000" w:themeColor="text1"/>
          <w:highlight w:val="white"/>
          <w14:ligatures w14:val="none"/>
        </w:rPr>
      </w:pPr>
      <w:r>
        <w:rPr>
          <w:b/>
          <w:bCs/>
          <w:color w:val="000000" w:themeColor="text1"/>
          <w:highlight w:val="white"/>
        </w:rPr>
        <w:t xml:space="preserve">Phân luồng tín dụng” - Chìa khóa điều tiết thị trường BĐS bền vững</w:t>
      </w:r>
      <w:r>
        <w:rPr>
          <w:b/>
          <w:bCs/>
          <w:color w:val="000000" w:themeColor="text1"/>
          <w:highlight w:val="white"/>
        </w:rPr>
      </w:r>
      <w:r>
        <w:rPr>
          <w:b/>
          <w:bCs/>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Năm 2026, thị trường tài chính thay đổi rõ nét trong cách dòng vốn vận hành. Điểm nhấn đáng chú ý chính là những chính sách “phân luồng tín dụng BĐS” - một công cụ điều tiết trọng yếu nhằm đảm bảo dòng vốn đổ vào các dự án có giá trị sử dụng thật. Thay vì </w:t>
      </w:r>
      <w:r>
        <w:rPr>
          <w:color w:val="000000" w:themeColor="text1"/>
          <w:highlight w:val="white"/>
        </w:rPr>
        <w:t xml:space="preserve">phân bổ dàn trải, các tổ chức tín dụng hiện nay ưu tiên rót vốn cho những dự án đáp ứng tốt các tiêu chí về pháp lý, hạ tầng và khả năng khai thác thương mại.</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Sự thận trọng của các định chế tài chính xuất phát từ thực tế lãi suất huy động trong quý I/2026 đang có những biến động, dao động quanh mức 5,9% - 9%. Điều này buộc các nhà đầu tư phải tính toán kỹ lưỡng hơn về chi phí.</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Khi tín dụng được phân luồng rõ rệt, những dự án đáp ứng tiêu chuẩn an toàn về pháp lý nằm tại khu vực có tốc độ phát triển kinh tế cao, hạ tầng đồng bộ và nhu cầu ở thực lớn sẽ có nhiều lợi thế thu hút dòng tiền trung và dài hạn.</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b/>
          <w:bCs/>
          <w:color w:val="000000" w:themeColor="text1"/>
          <w:highlight w:val="white"/>
          <w14:ligatures w14:val="none"/>
        </w:rPr>
      </w:pPr>
      <w:r>
        <w:rPr>
          <w:b/>
          <w:bCs/>
          <w:color w:val="000000" w:themeColor="text1"/>
          <w:highlight w:val="white"/>
        </w:rPr>
        <w:t xml:space="preserve">Thanh Hóa 2026 - Nội lực kinh tế và xung lực từ du lịch biển</w:t>
      </w:r>
      <w:r>
        <w:rPr>
          <w:b/>
          <w:bCs/>
          <w:color w:val="000000" w:themeColor="text1"/>
          <w:highlight w:val="white"/>
        </w:rPr>
      </w:r>
      <w:r>
        <w:rPr>
          <w:b/>
          <w:bCs/>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Sức hút của BĐS Thanh Hóa trong năm 2026 đến từ nền tảng kinh tế cực kỳ vững chắc. Quý I/2026, tỉnh ghi nhận mức tăng trưởng GRDP đạt 9,14%. Đặc biệt, việc thu hút 42 dự án đầu tư mới ngay trong những tháng đầu năm đã minh chứng Thanh Hóa đang là điểm đến </w:t>
      </w:r>
      <w:r>
        <w:rPr>
          <w:color w:val="000000" w:themeColor="text1"/>
          <w:highlight w:val="white"/>
        </w:rPr>
        <w:t xml:space="preserve">hàng đầu của dòng vốn FDI và đầu tư nội địa</w:t>
      </w:r>
      <w:r>
        <w:rPr>
          <w:color w:val="000000" w:themeColor="text1"/>
          <w:highlight w:val="white"/>
        </w:rPr>
        <w:t xml:space="preserve">.</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Bên cạnh động lực công nghiệp, du lịch cũng đang trở thành lực đẩy quan trọng cho thị trường. Sự kiện Khai mạc Lễ hội du lịch biển Sầm Sơn 2026 thu hút hàng vạn lượt du khách, cho thấy vị thế của địa phương trong việc phát triển “ngành công nghiệp không kh</w:t>
      </w:r>
      <w:r>
        <w:rPr>
          <w:color w:val="000000" w:themeColor="text1"/>
          <w:highlight w:val="white"/>
        </w:rPr>
        <w:t xml:space="preserve">ói”.</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Song song, các trục hạ tầng chiến lược như: hệ thống giao thông hướng biển, đại lộ Nam Sông Mã, đại lộ Võ Nguyên Giáp tiếp tục mở rộng không gian phát triển đô thị, thương mại và dịch vụ.</w:t>
      </w:r>
      <w:r>
        <w:rPr>
          <w:color w:val="000000" w:themeColor="text1"/>
          <w:highlight w:val="white"/>
        </w:rPr>
      </w:r>
      <w:r>
        <w:rPr>
          <w:color w:val="000000" w:themeColor="text1"/>
          <w:highlight w:val="white"/>
          <w14:ligatures w14:val="none"/>
        </w:rPr>
      </w:r>
    </w:p>
    <w:p>
      <w:pPr>
        <w:pBdr/>
        <w:shd w:val="nil" w:color="auto"/>
        <w:spacing w:line="300" w:lineRule="auto"/>
        <w:ind w:right="0" w:firstLine="283" w:left="0"/>
        <w:jc w:val="both"/>
        <w:rPr>
          <w:color w:val="000000" w:themeColor="text1"/>
          <w:highlight w:val="white"/>
          <w14:ligatures w14:val="none"/>
        </w:rPr>
      </w:pPr>
      <w:r>
        <w:rPr>
          <w:color w:val="000000" w:themeColor="text1"/>
          <w:highlight w:val="white"/>
        </w:rPr>
        <w:t xml:space="preserve">Khi các chỉ số vĩ mô đều cho thấy một “sức khỏe” tài chính tốt, việc dòng tiền dịch chuyển về các cực tăng trưởng mới như Thanh Hóa được xem là điều tất yếu. Tại đây, BĐS không chỉ là tài sản tích lũy, mà là một thành tố trong hệ sinh thái kinh tế đang vận</w:t>
      </w:r>
      <w:r>
        <w:rPr>
          <w:color w:val="000000" w:themeColor="text1"/>
          <w:highlight w:val="white"/>
        </w:rPr>
        <w:t xml:space="preserve"> hành sầm uất, nơi mỗi mét vuông đất đều mang giá trị khai thác thực tế</w:t>
      </w:r>
      <w:r>
        <w:rPr>
          <w:color w:val="000000" w:themeColor="text1"/>
          <w:highlight w:val="none"/>
        </w:rPr>
        <w:t xml:space="preserve">.</w:t>
      </w:r>
      <w:r>
        <w:rPr>
          <w:color w:val="000000" w:themeColor="text1"/>
          <w:highlight w:val="white"/>
        </w:rPr>
      </w:r>
      <w:r>
        <w:rPr>
          <w:color w:val="000000" w:themeColor="text1"/>
          <w:highlight w:val="white"/>
          <w14:ligatures w14:val="none"/>
        </w:rPr>
      </w:r>
    </w:p>
    <w:p>
      <w:pPr>
        <w:pBdr/>
        <w:shd w:val="nil" w:color="auto"/>
        <w:spacing/>
        <w:ind/>
        <w:jc w:val="center"/>
        <w:rPr>
          <w:rFonts w:ascii="Times New Roman" w:hAnsi="Times New Roman" w:cs="Times New Roman"/>
          <w:b w:val="0"/>
          <w:bCs/>
          <w:i/>
          <w:sz w:val="24"/>
          <w:szCs w:val="24"/>
          <w:highlight w:val="white"/>
        </w:rPr>
      </w:pPr>
      <w:r>
        <w:rPr>
          <w:i/>
          <w:iCs/>
          <w:highlight w:val="white"/>
          <w:lang w:val="pt-BR" w:bidi="pt-BR"/>
        </w:rPr>
        <w:t xml:space="preserve">(</w:t>
      </w:r>
      <w:r>
        <w:rPr>
          <w:i/>
          <w:iCs/>
          <w:highlight w:val="white"/>
          <w:lang w:val="pt-BR" w:bidi="pt-BR"/>
        </w:rPr>
        <w:t xml:space="preserve">Nguồn tham khảo: </w:t>
      </w:r>
      <w:r>
        <w:rPr>
          <w:i/>
          <w:iCs/>
          <w:highlight w:val="white"/>
          <w:lang w:val="pt-BR" w:bidi="pt-BR"/>
        </w:rPr>
        <w:t xml:space="preserve">https://kinhtenongthon.vn/B</w:t>
      </w:r>
      <w:r>
        <w:rPr>
          <w:rFonts w:ascii="Times New Roman" w:hAnsi="Times New Roman" w:eastAsia="Times New Roman" w:cs="Times New Roman"/>
          <w:b w:val="0"/>
          <w:bCs w:val="0"/>
          <w:i/>
          <w:iCs/>
          <w:sz w:val="24"/>
          <w:szCs w:val="24"/>
          <w:highlight w:val="white"/>
          <w:lang w:val="pt-BR" w:bidi="pt-BR"/>
        </w:rPr>
        <w:t xml:space="preserve">at-dong-san-Thanh-Hoa-2026---Toa-do-tru-an-an-toan-cho-dong-von-trung-va-dai-han-post86558.html</w:t>
      </w:r>
      <w:r>
        <w:rPr>
          <w:rFonts w:ascii="Times New Roman" w:hAnsi="Times New Roman" w:eastAsia="Times New Roman" w:cs="Times New Roman"/>
          <w:b w:val="0"/>
          <w:bCs w:val="0"/>
          <w:i/>
          <w:iCs/>
          <w:sz w:val="24"/>
          <w:szCs w:val="24"/>
          <w:highlight w:val="white"/>
          <w:lang w:val="pt-BR" w:bidi="pt-BR"/>
        </w:rPr>
        <w:t xml:space="preserve">)</w:t>
      </w:r>
      <w:r>
        <w:rPr>
          <w:rFonts w:ascii="Times New Roman" w:hAnsi="Times New Roman" w:eastAsia="Times New Roman" w:cs="Times New Roman"/>
          <w:b w:val="0"/>
          <w:bCs/>
          <w:i/>
          <w:iCs/>
          <w:sz w:val="24"/>
          <w:szCs w:val="24"/>
          <w:highlight w:val="white"/>
        </w:rPr>
      </w:r>
      <w:r>
        <w:rPr>
          <w:rFonts w:ascii="Times New Roman" w:hAnsi="Times New Roman" w:cs="Times New Roman"/>
          <w:b w:val="0"/>
          <w:bCs/>
          <w:i/>
          <w:iCs/>
          <w:sz w:val="24"/>
          <w:szCs w:val="24"/>
          <w:highlight w:val="white"/>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9"/>
        <w:gridCol w:w="2174"/>
        <w:gridCol w:w="2060"/>
        <w:gridCol w:w="2211"/>
        <w:gridCol w:w="2626"/>
      </w:tblGrid>
      <w:tr>
        <w:trPr>
          <w:trHeight w:val="133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jc w:val="both"/>
              <w:rPr/>
            </w:pPr>
            <w:r>
              <w:rPr>
                <w:rFonts w:ascii="Times New Roman" w:hAnsi="Times New Roman" w:eastAsia="Times New Roman" w:cs="Times New Roman"/>
                <w:b/>
                <w:color w:val="000000"/>
                <w:sz w:val="24"/>
              </w:rPr>
              <w:t xml:space="preserve">Quyền sử dụng đất tại Thửa đất số: 832, tờ bản đồ số: 123, địa chỉ: Phố Yên Biên, phường Đông Quang, tỉnh Thanh Hóa theo Giấy chứng nhận quyền sử dụng đất, quyền sở hữu tài sản gắn liền với đất số: AA 05885982, Số vào sổ cấp GCN: CN 376 do Chi nhánh Vă</w:t>
            </w:r>
            <w:r>
              <w:rPr>
                <w:rFonts w:ascii="Times New Roman" w:hAnsi="Times New Roman" w:eastAsia="Times New Roman" w:cs="Times New Roman"/>
                <w:b/>
                <w:color w:val="000000"/>
                <w:sz w:val="24"/>
              </w:rPr>
              <w:t xml:space="preserve">n phòng đăng ký đất đai Đông Sơn cấp ngày 12/01/2026; Chủ sử dụng đất là Ông Nguyễn Ngọc Tú.</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832</w:t>
            </w:r>
            <w:r/>
          </w:p>
        </w:tc>
        <w:tc>
          <w:tcPr>
            <w:shd w:val="clear" w:color="ffffff" w:fill="ffffff"/>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123</w:t>
            </w:r>
            <w:r/>
          </w:p>
        </w:tc>
      </w:tr>
      <w:tr>
        <w:trPr>
          <w:trHeight w:val="226"/>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97"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Phố Yên Biên, phường Đông Quang, tỉnh Thanh Hóa.</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135,0</w:t>
            </w:r>
            <w:r/>
          </w:p>
        </w:tc>
        <w:tc>
          <w:tcPr>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Sử dụng riêng</w:t>
            </w:r>
            <w:r/>
          </w:p>
        </w:tc>
      </w:tr>
      <w:tr>
        <w:trPr>
          <w:trHeight w:val="85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Loại đất:</w:t>
            </w:r>
            <w:r/>
          </w:p>
        </w:tc>
        <w:tc>
          <w:tcPr>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Đất ODT: 100,0m²;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after="0" w:before="0" w:line="240" w:lineRule="auto"/>
              <w:ind w:right="143" w:firstLine="0" w:left="142"/>
              <w:jc w:val="center"/>
              <w:rPr/>
            </w:pPr>
            <w:r>
              <w:rPr>
                <w:rFonts w:ascii="Times New Roman" w:hAnsi="Times New Roman" w:eastAsia="Times New Roman" w:cs="Times New Roman"/>
                <w:color w:val="000000"/>
                <w:sz w:val="22"/>
              </w:rPr>
              <w:t xml:space="preserve">Đất CLN: 35,0m²</w:t>
            </w:r>
            <w:r/>
          </w:p>
        </w:tc>
        <w:tc>
          <w:tcPr>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Đất ODT: Lâu dài;</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Đất CLN: đến ngày 31/12/2059</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i/>
                <w:iCs/>
                <w:color w:val="000000"/>
                <w:sz w:val="24"/>
              </w:rPr>
              <w:t xml:space="preserve">./.</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vMerge w:val="restart"/>
            <w:textDirection w:val="lrTb"/>
            <w:noWrap w:val="false"/>
          </w:tcPr>
          <w:p>
            <w:pPr>
              <w:pBdr/>
              <w:spacing w:after="0" w:before="0" w:line="240" w:lineRule="auto"/>
              <w:ind w:right="143" w:firstLine="0" w:left="142"/>
              <w:jc w:val="both"/>
              <w:rPr>
                <w:rFonts w:ascii="Times New Roman" w:hAnsi="Times New Roman" w:eastAsia="Times New Roman" w:cs="Times New Roman"/>
                <w:b/>
                <w:color w:val="000000" w:themeColor="text1"/>
                <w:sz w:val="24"/>
              </w:rPr>
            </w:pPr>
            <w:r>
              <w:rPr>
                <w:rFonts w:ascii="Times New Roman" w:hAnsi="Times New Roman" w:eastAsia="Times New Roman" w:cs="Times New Roman"/>
                <w:b/>
                <w:color w:val="000000"/>
                <w:sz w:val="24"/>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rFonts w:ascii="Times New Roman" w:hAnsi="Times New Roman" w:eastAsia="Times New Roman" w:cs="Times New Roman"/>
                <w:b/>
                <w:color w:val="000000" w:themeColor="text1"/>
                <w:sz w:val="24"/>
              </w:rPr>
            </w:r>
            <w:r>
              <w:rPr>
                <w:rFonts w:ascii="Times New Roman" w:hAnsi="Times New Roman" w:eastAsia="Times New Roman" w:cs="Times New Roman"/>
                <w:b/>
                <w:color w:val="000000" w:themeColor="text1"/>
                <w:sz w:val="24"/>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vMerge w:val="restart"/>
            <w:textDirection w:val="lrTb"/>
            <w:noWrap w:val="false"/>
          </w:tcPr>
          <w:p>
            <w:pPr>
              <w:pBdr/>
              <w:spacing w:after="0" w:before="0" w:line="240" w:lineRule="auto"/>
              <w:ind w:right="143" w:firstLine="0" w:left="142"/>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mc:AlternateContent>
                <mc:Choice Requires="wpg">
                  <w:drawing>
                    <wp:inline xmlns:wp="http://schemas.openxmlformats.org/drawingml/2006/wordprocessingDrawing" distT="0" distB="0" distL="0" distR="0">
                      <wp:extent cx="5609878" cy="294161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13101" name=""/>
                              <pic:cNvPicPr>
                                <a:picLocks noChangeAspect="1"/>
                              </pic:cNvPicPr>
                              <pic:nvPr/>
                            </pic:nvPicPr>
                            <pic:blipFill rotWithShape="1">
                              <a:blip r:embed="rId17"/>
                              <a:stretch/>
                            </pic:blipFill>
                            <pic:spPr bwMode="auto">
                              <a:xfrm flipH="0" flipV="0">
                                <a:off x="0" y="0"/>
                                <a:ext cx="5609878" cy="2941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1.72pt;height:231.62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r>
      <w:tr>
        <w:trPr>
          <w:trHeight w:val="32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Vị trí; Giao thông:</w:t>
            </w:r>
            <w:r/>
          </w:p>
        </w:tc>
      </w:tr>
      <w:tr>
        <w:trPr>
          <w:trHeight w:val="508"/>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97"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Phố Yên Biên, phường Đông Quang, tỉnh Thanh Hóa</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Đường nội khu</w:t>
            </w:r>
            <w:r/>
          </w:p>
        </w:tc>
        <w:tc>
          <w:tcPr>
            <w:tcBorders>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02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3,7m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3,7m</w:t>
            </w:r>
            <w:r/>
          </w:p>
        </w:tc>
      </w:tr>
      <w:tr>
        <w:trPr>
          <w:trHeight w:val="484"/>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97" w:type="dxa"/>
            <w:vAlign w:val="center"/>
            <w:textDirection w:val="lrTb"/>
            <w:noWrap w:val="false"/>
          </w:tcPr>
          <w:p>
            <w:pPr>
              <w:pBdr/>
              <w:spacing w:after="0" w:before="0" w:line="240" w:lineRule="auto"/>
              <w:ind w:right="143" w:firstLine="0" w:left="142"/>
              <w:jc w:val="left"/>
              <w:rPr/>
            </w:pPr>
            <w:r>
              <w:rPr>
                <w:rFonts w:ascii="Times New Roman" w:hAnsi="Times New Roman" w:eastAsia="Times New Roman" w:cs="Times New Roman"/>
                <w:color w:val="000000"/>
                <w:sz w:val="24"/>
              </w:rPr>
              <w:t xml:space="preserve">Cách đường QL45 khoảng 650m.</w:t>
            </w:r>
            <w:r/>
          </w:p>
        </w:tc>
      </w:tr>
      <w:tr>
        <w:trPr>
          <w:trHeight w:val="951"/>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897"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 Hướng Đông Nam: tiếp giáp đường giao thông 3,7m;</w:t>
              <w:br/>
              <w:t xml:space="preserve">+ Hướng Đông Bắc: tiếp giáp đường giao thông 3,1m~3,4m;</w:t>
              <w:br/>
              <w:t xml:space="preserve">+ 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Vị trí trên bản đồ vệ tinh: </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jc w:val="center"/>
              <w:rPr/>
            </w:pPr>
            <w:r>
              <w:rPr>
                <w:color w:val="000000"/>
              </w:rPr>
              <mc:AlternateContent>
                <mc:Choice Requires="wpg">
                  <w:drawing>
                    <wp:inline xmlns:wp="http://schemas.openxmlformats.org/drawingml/2006/wordprocessingDrawing" distT="0" distB="0" distL="0" distR="0">
                      <wp:extent cx="5484740" cy="2417947"/>
                      <wp:effectExtent l="0" t="0" r="0" b="0"/>
                      <wp:docPr id="6" name=""/>
                      <wp:cNvGraphicFramePr/>
                      <a:graphic xmlns:a="http://schemas.openxmlformats.org/drawingml/2006/main">
                        <a:graphicData uri="http://schemas.openxmlformats.org/drawingml/2006/picture">
                          <pic:pic xmlns:pic="http://schemas.openxmlformats.org/drawingml/2006/picture">
                            <pic:nvPicPr>
                              <pic:cNvPr id="1150577244" name="" descr=""/>
                              <pic:cNvPicPr/>
                              <pic:nvPr/>
                            </pic:nvPicPr>
                            <pic:blipFill rotWithShape="1">
                              <a:blip r:embed="rId18"/>
                              <a:stretch/>
                            </pic:blipFill>
                            <pic:spPr bwMode="auto">
                              <a:xfrm flipH="0" flipV="0">
                                <a:off x="0" y="0"/>
                                <a:ext cx="5484739" cy="24179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87pt;height:190.39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Diện tích; Kích thước; Hình dáng</w:t>
            </w:r>
            <w:r/>
          </w:p>
        </w:tc>
      </w:tr>
      <w:tr>
        <w:trPr>
          <w:trHeight w:val="673"/>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135,0</w:t>
            </w:r>
            <w:r/>
          </w:p>
        </w:tc>
        <w:tc>
          <w:tcPr>
            <w:shd w:val="clear" w:color="ffffff" w:fill="ffffff"/>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0</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9,45</w:t>
            </w:r>
            <w:r/>
          </w:p>
        </w:tc>
        <w:tc>
          <w:tcPr>
            <w:shd w:val="clear" w:color="ffffff" w:fill="ffffff"/>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17,37</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Thóp hậu</w:t>
            </w:r>
            <w:r/>
          </w:p>
        </w:tc>
        <w:tc>
          <w:tcPr>
            <w:shd w:val="clear" w:color="ffffff" w:fill="ffffff"/>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Đông Nam</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Thưa thớt</w:t>
            </w:r>
            <w:r/>
          </w:p>
        </w:tc>
        <w:tc>
          <w:tcPr>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Ổn định</w:t>
            </w:r>
            <w:r/>
          </w:p>
        </w:tc>
      </w:tr>
      <w:tr>
        <w:trPr>
          <w:trHeight w:val="603"/>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74"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060"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211"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626" w:type="dxa"/>
            <w:vAlign w:val="center"/>
            <w:textDirection w:val="lrTb"/>
            <w:noWrap w:val="false"/>
          </w:tcPr>
          <w:p>
            <w:pPr>
              <w:pBdr/>
              <w:spacing w:after="0" w:before="0" w:line="240" w:lineRule="auto"/>
              <w:ind w:right="143" w:firstLine="0" w:left="142"/>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rPr/>
            </w:pPr>
            <w:r>
              <w:rPr>
                <w:rFonts w:ascii="Times New Roman" w:hAnsi="Times New Roman" w:eastAsia="Times New Roman" w:cs="Times New Roman"/>
                <w:b/>
                <w:color w:val="000000"/>
                <w:sz w:val="24"/>
              </w:rPr>
              <w:t xml:space="preserve"> Tài sản gắn liền với đất: </w:t>
            </w:r>
            <w:r/>
          </w:p>
        </w:tc>
      </w:tr>
      <w:tr>
        <w:trPr>
          <w:trHeight w:val="1212"/>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072" w:type="dxa"/>
            <w:vAlign w:val="center"/>
            <w:textDirection w:val="lrTb"/>
            <w:noWrap w:val="false"/>
          </w:tcPr>
          <w:p>
            <w:pPr>
              <w:pBdr/>
              <w:spacing w:after="0" w:before="0" w:line="240" w:lineRule="auto"/>
              <w:ind w:right="143" w:firstLine="0" w:left="142"/>
              <w:jc w:val="both"/>
              <w:rPr/>
            </w:pPr>
            <w:r>
              <w:rPr>
                <w:rFonts w:ascii="Times New Roman" w:hAnsi="Times New Roman" w:eastAsia="Times New Roman" w:cs="Times New Roman"/>
                <w:color w:val="000000"/>
                <w:sz w:val="24"/>
              </w:rPr>
              <w:t xml:space="preserve">Tại thời điểm khảo </w:t>
            </w:r>
            <w:r>
              <w:rPr>
                <w:rFonts w:ascii="Times New Roman" w:hAnsi="Times New Roman" w:eastAsia="Times New Roman" w:cs="Times New Roman"/>
                <w:color w:val="000000"/>
                <w:sz w:val="24"/>
              </w:rPr>
              <w:t xml:space="preserve">sát, dưới sự hướng dẫn của chủ tài sản, trên đất có CTXD nhà cấp 4, diện tích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diện tích sàn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trên 02 thửa đất khác nhau không cùng chủ tài sả</w:t>
            </w:r>
            <w:r>
              <w:rPr>
                <w:rFonts w:ascii="Times New Roman" w:hAnsi="Times New Roman" w:eastAsia="Times New Roman" w:cs="Times New Roman"/>
                <w:color w:val="000000"/>
                <w:sz w:val="24"/>
                <w:highlight w:val="white"/>
              </w:rPr>
              <w:t xml:space="preserve">n (</w:t>
            </w:r>
            <w:r>
              <w:rPr>
                <w:rFonts w:ascii="Times New Roman" w:hAnsi="Times New Roman" w:eastAsia="Times New Roman" w:cs="Times New Roman"/>
                <w:i/>
                <w:iCs/>
                <w:color w:val="000000"/>
                <w:sz w:val="24"/>
                <w:highlight w:val="white"/>
              </w:rPr>
              <w:t xml:space="preserve">chủ thửa đất liền kề là anh trai của chủ tài sản</w:t>
            </w:r>
            <w:r>
              <w:rPr>
                <w:rFonts w:ascii="Times New Roman" w:hAnsi="Times New Roman" w:eastAsia="Times New Roman" w:cs="Times New Roman"/>
                <w:color w:val="000000"/>
                <w:sz w:val="24"/>
                <w:highlight w:val="white"/>
              </w:rPr>
              <w:t xml:space="preserve">). Côn</w:t>
            </w:r>
            <w:r>
              <w:rPr>
                <w:rFonts w:ascii="Times New Roman" w:hAnsi="Times New Roman" w:eastAsia="Times New Roman" w:cs="Times New Roman"/>
                <w:color w:val="000000"/>
                <w:sz w:val="24"/>
              </w:rPr>
              <w:t xml:space="preserve">g trình chưa được công nhận trên GCN QSDĐ số: AA 05885982.</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spacing w:after="0" w:before="0" w:line="276" w:lineRule="auto"/>
        <w:ind/>
        <w:jc w:val="both"/>
        <w:rPr/>
      </w:pPr>
      <w:r>
        <w:rPr>
          <w:spacing w:val="-2"/>
          <w:lang w:val="pt-BR"/>
        </w:rPr>
      </w:r>
      <w:r>
        <w:rPr>
          <w:rFonts w:ascii="Times New Roman" w:hAnsi="Times New Roman" w:eastAsia="Times New Roman" w:cs="Times New Roman"/>
          <w:color w:val="000000"/>
          <w:sz w:val="24"/>
        </w:rPr>
        <w:t xml:space="preserve">Tại thời điểm khảo </w:t>
      </w:r>
      <w:r>
        <w:rPr>
          <w:rFonts w:ascii="Times New Roman" w:hAnsi="Times New Roman" w:eastAsia="Times New Roman" w:cs="Times New Roman"/>
          <w:color w:val="000000"/>
          <w:sz w:val="24"/>
        </w:rPr>
        <w:t xml:space="preserve">sát, dưới sự hướng dẫn của chủ tài sản, trên đất có CTXD nhà cấp 4, diện tích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diện tích sàn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trên 02 thửa đất khác nhau không cùng chủ tài </w:t>
      </w:r>
      <w:r>
        <w:rPr>
          <w:rFonts w:ascii="Times New Roman" w:hAnsi="Times New Roman" w:eastAsia="Times New Roman" w:cs="Times New Roman"/>
          <w:color w:val="000000"/>
          <w:sz w:val="24"/>
          <w:highlight w:val="white"/>
        </w:rPr>
        <w:t xml:space="preserve">sản (</w:t>
      </w:r>
      <w:r>
        <w:rPr>
          <w:rFonts w:ascii="Times New Roman" w:hAnsi="Times New Roman" w:eastAsia="Times New Roman" w:cs="Times New Roman"/>
          <w:i/>
          <w:iCs/>
          <w:color w:val="000000"/>
          <w:sz w:val="24"/>
          <w:highlight w:val="white"/>
        </w:rPr>
        <w:t xml:space="preserve">chủ thửa đất liền kề là anh trai của chủ tài sản)</w:t>
      </w:r>
      <w:r>
        <w:rPr>
          <w:rFonts w:ascii="Times New Roman" w:hAnsi="Times New Roman" w:eastAsia="Times New Roman" w:cs="Times New Roman"/>
          <w:color w:val="000000"/>
          <w:sz w:val="24"/>
          <w:highlight w:val="white"/>
        </w:rPr>
        <w:t xml:space="preserve">. Côn</w:t>
      </w:r>
      <w:r>
        <w:rPr>
          <w:rFonts w:ascii="Times New Roman" w:hAnsi="Times New Roman" w:eastAsia="Times New Roman" w:cs="Times New Roman"/>
          <w:color w:val="000000"/>
          <w:sz w:val="24"/>
        </w:rPr>
        <w:t xml:space="preserve">g trình chưa được công nhận trên GCN QSDĐ số: AA 05885982. Đông thời, Tổ thẩm định cũng không nhận được bất kỳ giấy tờ pháp lý nào liên quan đến CTXD trên.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w:t>
      </w:r>
      <w:r>
        <w:rPr>
          <w:rFonts w:ascii="Times New Roman" w:hAnsi="Times New Roman" w:eastAsia="Times New Roman" w:cs="Times New Roman"/>
          <w:color w:val="000000"/>
          <w:sz w:val="24"/>
        </w:rPr>
        <w:t xml:space="preserve">ách rời của tài sản thẩm định. Kính đề nghị đơn vị sử dụng kết quả lưu ý.</w:t>
      </w:r>
      <w:r>
        <w:rPr>
          <w:spacing w:val="-2"/>
          <w:lang w:val="pt-BR"/>
        </w:rPr>
      </w:r>
      <w:r/>
    </w:p>
    <w:p>
      <w:pPr>
        <w:numPr>
          <w:ilvl w:val="0"/>
          <w:numId w:val="39"/>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highlight w:val="none"/>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highlight w:val="none"/>
          <w:lang w:val="pt-BR"/>
        </w:rPr>
      </w:r>
      <w:r>
        <w:rPr>
          <w:highlight w:val="none"/>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4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0968.869640</w:t>
            </w:r>
            <w:r>
              <w:rPr>
                <w:sz w:val="22"/>
                <w:szCs w:val="22"/>
              </w:rPr>
              <w:t xml:space="preserve"> </w:t>
            </w:r>
            <w:r>
              <w:rPr>
                <w:sz w:val="22"/>
                <w:szCs w:val="22"/>
              </w:rPr>
              <w:br/>
              <w:t xml:space="preserve">(</w:t>
            </w:r>
            <w:r>
              <w:rPr>
                <w:sz w:val="22"/>
                <w:szCs w:val="22"/>
              </w:rPr>
              <w:t xml:space="preserve">Ngọc Ánh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0978.073678</w:t>
            </w:r>
            <w:r>
              <w:rPr>
                <w:sz w:val="22"/>
                <w:szCs w:val="22"/>
              </w:rPr>
              <w:br/>
            </w:r>
            <w:r>
              <w:rPr>
                <w:sz w:val="22"/>
                <w:szCs w:val="22"/>
              </w:rPr>
              <w:t xml:space="preserve">(</w:t>
            </w:r>
            <w:r>
              <w:rPr>
                <w:sz w:val="22"/>
                <w:szCs w:val="22"/>
              </w:rPr>
              <w:t xml:space="preserve">Đoàn Long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0968.869640</w:t>
            </w:r>
            <w:r>
              <w:rPr>
                <w:sz w:val="22"/>
                <w:szCs w:val="22"/>
              </w:rPr>
              <w:br/>
            </w:r>
            <w:r>
              <w:rPr>
                <w:sz w:val="22"/>
                <w:szCs w:val="22"/>
              </w:rPr>
              <w:t xml:space="preserve">(</w:t>
            </w:r>
            <w:r>
              <w:rPr>
                <w:sz w:val="22"/>
                <w:szCs w:val="22"/>
              </w:rPr>
              <w:t xml:space="preserve">Ngọc Ánh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ight="143" w:firstLine="0" w:left="142"/>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Đất ODT: 100,0m²;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after="0" w:before="0" w:line="240" w:lineRule="auto"/>
              <w:ind w:right="143" w:firstLine="0" w:left="142"/>
              <w:jc w:val="center"/>
              <w:rPr/>
            </w:pPr>
            <w:r>
              <w:rPr>
                <w:rFonts w:ascii="Times New Roman" w:hAnsi="Times New Roman" w:eastAsia="Times New Roman" w:cs="Times New Roman"/>
                <w:color w:val="000000"/>
                <w:sz w:val="22"/>
              </w:rPr>
              <w:t xml:space="preserve">Đất CLN: 35,0m²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ODT: Lâu dài; Đất CLN: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ODT: 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ODT: 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ODT: 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Đông Quang, Tỉnh Thanh Hóa</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Các thông tin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sz w:val="22"/>
                <w:szCs w:val="22"/>
              </w:rPr>
            </w:pPr>
            <w:r>
              <w:rPr>
                <w:color w:val="000000" w:themeColor="text1"/>
                <w:sz w:val="22"/>
                <w:szCs w:val="22"/>
              </w:rPr>
              <w:t xml:space="preserve">Khu dân cư thưa thớt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CTXD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2.590.000.000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2.331.000.000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2.475.000.000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3.780.000.000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2.331.000.000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24.774.143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36.341.684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38.850.000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Mật độ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1.560.771.014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2.898.249.293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2.331.000.000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24.774.143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36.341.684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38.850.000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24.774.143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36.341.684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right="143" w:firstLine="0" w:left="142"/>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Đất ODT: 100,0m²;</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pPr>
              <w:pBdr/>
              <w:spacing w:after="0" w:before="0" w:line="240" w:lineRule="auto"/>
              <w:ind w:right="143" w:firstLine="0" w:left="142"/>
              <w:jc w:val="center"/>
              <w:rPr/>
            </w:pPr>
            <w:r>
              <w:rPr>
                <w:rFonts w:ascii="Times New Roman" w:hAnsi="Times New Roman" w:eastAsia="Times New Roman" w:cs="Times New Roman"/>
                <w:color w:val="000000"/>
                <w:sz w:val="22"/>
              </w:rPr>
              <w:t xml:space="preserve">Đất CLN: 35,0m²</w:t>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-2.477.414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-3.634.168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22.296.729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32.707.516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34.965.000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Đông Quang, Tỉnh Thanh Hóa</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Đông Quang, Tỉnh Thanh Hóa</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Đông Quang, Tỉnh Thanh Hóa</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Đông Quang, Tỉnh Thanh Hóa</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-1.090.251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-1.165.500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22.296.729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31.617.265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33.799.500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-1.238.707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-2.907.335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-3.108.000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21.058.022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28.709.930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30.691.500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743.224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-4.361.002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21.801.246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24.348.928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26.806.500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-3.220.639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-3.634.168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-5.050.500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18.580.607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20.714.760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21.756.000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1.238.707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1.090.251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1.165.500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19.819.314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21.805.011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22.921.500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1.238.707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1.817.084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21.058.021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23.622.095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24.864.000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-1.734.190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-3.634.168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19.323.831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19.987.927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20.979.000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Mật độ dân cư</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dân cư thưa thớt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dân cư đông đúc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-3.716.121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-5.451.253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-5.827.500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15.607.710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14.536.674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15.151.500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15.607.710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14.536.674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15.151.500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15.098.628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15.607.709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27.619.680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29.914.500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3% - 15%</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3% - 15%</w:t>
            </w:r>
            <w:r>
              <w:rPr>
                <w:color w:val="ff0000"/>
                <w:sz w:val="22"/>
                <w:szCs w:val="22"/>
              </w:rPr>
            </w:r>
            <w:r>
              <w:rPr>
                <w:color w:val="ff0000"/>
                <w:sz w:val="22"/>
                <w:szCs w:val="22"/>
              </w:rPr>
            </w:r>
          </w:p>
        </w:tc>
        <w:tc>
          <w:tcPr>
            <w:shd w:val="clear" w:color="000000" w:fill="ffffff"/>
            <w:tcBorders/>
            <w:tcW w:w="1522" w:type="dxa"/>
            <w:vAlign w:val="center"/>
            <w:textDirection w:val="lrTb"/>
            <w:noWrap/>
          </w:tcPr>
          <w:p>
            <w:pPr>
              <w:pBdr/>
              <w:spacing/>
              <w:ind/>
              <w:jc w:val="center"/>
              <w:rPr>
                <w:color w:val="ff0000"/>
                <w:sz w:val="22"/>
                <w:szCs w:val="22"/>
              </w:rPr>
            </w:pPr>
            <w:r>
              <w:rPr>
                <w:color w:val="ff0000"/>
                <w:sz w:val="22"/>
                <w:szCs w:val="22"/>
              </w:rPr>
              <w:t xml:space="preserve">3% - 15%</w:t>
            </w:r>
            <w:r>
              <w:rPr>
                <w:color w:val="ff0000"/>
                <w:sz w:val="22"/>
                <w:szCs w:val="22"/>
              </w:rPr>
            </w:r>
            <w:r>
              <w:rPr>
                <w:color w:val="ff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9.166.433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21.805.010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23.698.500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-3,72</w:t>
      </w:r>
      <w:r>
        <w:t xml:space="preserve">% đến</w:t>
      </w:r>
      <w:r>
        <w:t xml:space="preserve"> </w:t>
      </w:r>
      <w:r>
        <w:t xml:space="preserve">3,37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15.607.710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5.203.611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14.536.674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4.845.073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15.151.500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5.049.995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15.098.679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02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3226"/>
        <w:gridCol w:w="1802"/>
        <w:gridCol w:w="1883"/>
        <w:gridCol w:w="198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22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11"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832, tờ bản đồ số: 123, địa chỉ: Phố Yên Biên, phườn</w:t>
            </w:r>
            <w:r>
              <w:rPr>
                <w:b/>
                <w:bCs/>
                <w:color w:val="000000"/>
              </w:rPr>
              <w:t xml:space="preserve">g Đông Quang, tỉnh Thanh Hóa theo Giấy chứng nhận quyền sử dụng đất, quyền sở hữu tài sản gắn liền với đất số: AA 05885982, Số vào sổ cấp GCN: CN 376 do Chi nhánh Văn phòng đăng ký đất đai Đông Sơn cấp ngày 12/01/2026; Chủ sử dụng đất là Ông Nguyễn Ngọc Tú</w:t>
            </w:r>
            <w:r>
              <w:rPr>
                <w:b/>
                <w:bCs/>
              </w:rPr>
              <w:t xml:space="preserve">.</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3226"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ODT + Đất CLN</w:t>
            </w:r>
            <w:r>
              <w:rPr>
                <w:b w:val="0"/>
                <w:bCs w:val="0"/>
              </w:rPr>
              <w:t xml:space="preserve">). </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135,0</w:t>
            </w:r>
            <w:r>
              <w:rPr>
                <w:color w:val="000000"/>
              </w:rPr>
            </w:r>
            <w:r>
              <w:rPr>
                <w:color w:val="000000"/>
              </w:rPr>
            </w:r>
          </w:p>
        </w:tc>
        <w:tc>
          <w:tcPr>
            <w:shd w:val="clear" w:color="000000" w:fill="ffffff"/>
            <w:tcBorders/>
            <w:tcW w:w="1883" w:type="dxa"/>
            <w:vAlign w:val="center"/>
            <w:textDirection w:val="lrTb"/>
            <w:noWrap w:val="false"/>
          </w:tcPr>
          <w:p>
            <w:pPr>
              <w:pBdr/>
              <w:spacing w:after="40" w:before="40" w:line="288" w:lineRule="auto"/>
              <w:ind/>
              <w:jc w:val="center"/>
              <w:rPr/>
            </w:pPr>
            <w:r>
              <w:rPr>
                <w:color w:val="000000" w:themeColor="text1"/>
              </w:rPr>
              <w:t xml:space="preserve">15.000.000</w:t>
            </w:r>
            <w:r/>
          </w:p>
        </w:tc>
        <w:tc>
          <w:tcPr>
            <w:shd w:val="clear" w:color="000000" w:fill="ffffff"/>
            <w:tcBorders/>
            <w:tcW w:w="1984" w:type="dxa"/>
            <w:vAlign w:val="center"/>
            <w:textDirection w:val="lrTb"/>
            <w:noWrap w:val="false"/>
          </w:tcPr>
          <w:p>
            <w:pPr>
              <w:pBdr/>
              <w:spacing w:after="40" w:before="40" w:line="288" w:lineRule="auto"/>
              <w:ind/>
              <w:jc w:val="center"/>
              <w:rPr/>
            </w:pPr>
            <w:r>
              <w:rPr>
                <w:color w:val="000000" w:themeColor="text1"/>
              </w:rPr>
              <w:t xml:space="preserve">2.025.000.000</w:t>
            </w: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4" w:type="dxa"/>
            <w:vAlign w:val="center"/>
            <w:textDirection w:val="lrTb"/>
            <w:noWrap/>
          </w:tcPr>
          <w:p>
            <w:pPr>
              <w:pBdr/>
              <w:spacing w:after="40" w:before="40" w:line="288" w:lineRule="auto"/>
              <w:ind/>
              <w:jc w:val="center"/>
              <w:rPr>
                <w:b/>
                <w:bCs/>
                <w:color w:val="000000"/>
              </w:rPr>
            </w:pPr>
            <w:r>
              <w:rPr>
                <w:b/>
                <w:bCs/>
              </w:rPr>
              <w:t xml:space="preserve">2.025.000.000</w:t>
            </w:r>
            <w:r>
              <w:rPr>
                <w:b/>
                <w:bCs/>
                <w:color w:val="000000"/>
              </w:rPr>
            </w:r>
            <w:r>
              <w:rPr>
                <w:b/>
                <w:bCs/>
                <w:color w:val="000000"/>
              </w:rPr>
            </w:r>
          </w:p>
        </w:tc>
      </w:tr>
      <w:tr>
        <w:trPr>
          <w:trHeight w:val="20"/>
        </w:trPr>
        <w:tc>
          <w:tcPr>
            <w:gridSpan w:val="5"/>
            <w:tcBorders/>
            <w:tcW w:w="9570"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không trăm hai mươi lăm triệu 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317"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317"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317"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317"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317"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317"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317"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317"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317"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317"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317"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317"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317"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317"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317"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317"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317"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317"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317"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42"/>
        </w:numPr>
        <w:pBdr/>
        <w:spacing w:after="0" w:before="0" w:line="317" w:lineRule="auto"/>
        <w:ind/>
        <w:jc w:val="both"/>
        <w:rPr/>
      </w:pPr>
      <w:r>
        <w:rPr>
          <w:spacing w:val="-2"/>
          <w:lang w:val="pt-BR"/>
        </w:rPr>
      </w:r>
      <w:r>
        <w:rPr>
          <w:rFonts w:ascii="Times New Roman" w:hAnsi="Times New Roman" w:eastAsia="Times New Roman" w:cs="Times New Roman"/>
          <w:color w:val="000000"/>
          <w:sz w:val="24"/>
        </w:rPr>
        <w:t xml:space="preserve">Tại thời điểm khảo </w:t>
      </w:r>
      <w:r>
        <w:rPr>
          <w:rFonts w:ascii="Times New Roman" w:hAnsi="Times New Roman" w:eastAsia="Times New Roman" w:cs="Times New Roman"/>
          <w:color w:val="000000"/>
          <w:sz w:val="24"/>
        </w:rPr>
        <w:t xml:space="preserve">sát, dưới sự hướng dẫn của chủ tài sản, trên đất có CTXD nhà cấp 4, diện tích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diện tích sàn xây dựng khoảng 80m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trên 02 thửa đất khác nhau không cùng chủ tài sả</w:t>
      </w:r>
      <w:r>
        <w:rPr>
          <w:rFonts w:ascii="Times New Roman" w:hAnsi="Times New Roman" w:eastAsia="Times New Roman" w:cs="Times New Roman"/>
          <w:color w:val="000000"/>
          <w:sz w:val="24"/>
          <w:highlight w:val="white"/>
        </w:rPr>
        <w:t xml:space="preserve">n (</w:t>
      </w:r>
      <w:r>
        <w:rPr>
          <w:rFonts w:ascii="Times New Roman" w:hAnsi="Times New Roman" w:eastAsia="Times New Roman" w:cs="Times New Roman"/>
          <w:i/>
          <w:iCs/>
          <w:color w:val="000000"/>
          <w:sz w:val="24"/>
          <w:highlight w:val="white"/>
        </w:rPr>
        <w:t xml:space="preserve">chủ thửa đất liền kề là anh trai của chủ tài sản)</w:t>
      </w:r>
      <w:r>
        <w:rPr>
          <w:rFonts w:ascii="Times New Roman" w:hAnsi="Times New Roman" w:eastAsia="Times New Roman" w:cs="Times New Roman"/>
          <w:color w:val="000000"/>
          <w:sz w:val="24"/>
          <w:highlight w:val="white"/>
        </w:rPr>
        <w:t xml:space="preserve">. Côn</w:t>
      </w:r>
      <w:r>
        <w:rPr>
          <w:rFonts w:ascii="Times New Roman" w:hAnsi="Times New Roman" w:eastAsia="Times New Roman" w:cs="Times New Roman"/>
          <w:color w:val="000000"/>
          <w:sz w:val="24"/>
        </w:rPr>
        <w:t xml:space="preserve">g trình chưa được công nhận trên GCN QSDĐ số: AA 05885982. Đông thời, Tổ thẩm định cũng không nhận được bất kỳ giấy tờ pháp lý nào liên quan đến CTXD trên.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w:t>
      </w:r>
      <w:r>
        <w:rPr>
          <w:rFonts w:ascii="Times New Roman" w:hAnsi="Times New Roman" w:eastAsia="Times New Roman" w:cs="Times New Roman"/>
          <w:color w:val="000000"/>
          <w:sz w:val="24"/>
        </w:rPr>
        <w:t xml:space="preserve">ách rời của tài sản thẩm định. Kính đề nghị đơn vị sử dụng kết quả lưu ý.</w:t>
      </w:r>
      <w:r>
        <w:rPr>
          <w:highlight w:val="none"/>
          <w:shd w:val="clear" w:color="auto" w:fill="ffffff"/>
          <w:lang w:val="pt-BR"/>
        </w:rPr>
      </w:r>
      <w:r/>
    </w:p>
    <w:p>
      <w:pPr>
        <w:pStyle w:val="1035"/>
        <w:numPr>
          <w:ilvl w:val="0"/>
          <w:numId w:val="5"/>
        </w:numPr>
        <w:pBdr/>
        <w:spacing w:after="120" w:before="120" w:line="317"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317"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317"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317"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17"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317"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317"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275/2026/1310/VFI-CT.44.A</w:t>
      </w:r>
      <w:r>
        <w:rPr>
          <w:color w:val="ff0000"/>
          <w:lang w:val="vi-VN"/>
        </w:rPr>
        <w:t xml:space="preserve"> </w:t>
      </w:r>
      <w:r>
        <w:rPr>
          <w:color w:val="000000" w:themeColor="text1"/>
        </w:rPr>
        <w:t xml:space="preserve">ngày 20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275/2026/1310/VFI-BC.44.A</w:t>
      </w:r>
      <w:r>
        <w:rPr>
          <w:i/>
          <w:lang w:val="pt-BR"/>
        </w:rPr>
        <w:t xml:space="preserve"> </w:t>
      </w:r>
      <w:r>
        <w:rPr>
          <w:i/>
          <w:lang w:val="pt-BR"/>
        </w:rPr>
        <w:t xml:space="preserve">ngày 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92807" cy="28503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24753" name=""/>
                              <pic:cNvPicPr>
                                <a:picLocks noChangeAspect="1"/>
                              </pic:cNvPicPr>
                              <pic:nvPr/>
                            </pic:nvPicPr>
                            <pic:blipFill rotWithShape="1">
                              <a:blip r:embed="rId19"/>
                              <a:stretch/>
                            </pic:blipFill>
                            <pic:spPr bwMode="auto">
                              <a:xfrm flipH="0" flipV="0">
                                <a:off x="0" y="0"/>
                                <a:ext cx="1492806" cy="2850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7.54pt;height:224.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9172" cy="220437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39001" name=""/>
                              <pic:cNvPicPr>
                                <a:picLocks noChangeAspect="1"/>
                              </pic:cNvPicPr>
                              <pic:nvPr/>
                            </pic:nvPicPr>
                            <pic:blipFill rotWithShape="1">
                              <a:blip r:embed="rId20"/>
                              <a:stretch/>
                            </pic:blipFill>
                            <pic:spPr bwMode="auto">
                              <a:xfrm flipH="0" flipV="0">
                                <a:off x="0" y="0"/>
                                <a:ext cx="2939171" cy="2204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43pt;height:173.5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80216" cy="22345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79069" name=""/>
                              <pic:cNvPicPr>
                                <a:picLocks noChangeAspect="1"/>
                              </pic:cNvPicPr>
                              <pic:nvPr/>
                            </pic:nvPicPr>
                            <pic:blipFill rotWithShape="1">
                              <a:blip r:embed="rId21"/>
                              <a:stretch/>
                            </pic:blipFill>
                            <pic:spPr bwMode="auto">
                              <a:xfrm flipH="0" flipV="0">
                                <a:off x="0" y="0"/>
                                <a:ext cx="2980216" cy="2234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66pt;height:175.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1703" cy="219648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3808" name=""/>
                              <pic:cNvPicPr>
                                <a:picLocks noChangeAspect="1"/>
                              </pic:cNvPicPr>
                              <pic:nvPr/>
                            </pic:nvPicPr>
                            <pic:blipFill rotWithShape="1">
                              <a:blip r:embed="rId22"/>
                              <a:stretch/>
                            </pic:blipFill>
                            <pic:spPr bwMode="auto">
                              <a:xfrm flipH="0" flipV="0">
                                <a:off x="0" y="0"/>
                                <a:ext cx="2931703" cy="2196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84pt;height:172.9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15890" cy="226191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2601" name=""/>
                              <pic:cNvPicPr>
                                <a:picLocks noChangeAspect="1"/>
                              </pic:cNvPicPr>
                              <pic:nvPr/>
                            </pic:nvPicPr>
                            <pic:blipFill rotWithShape="1">
                              <a:blip r:embed="rId23"/>
                              <a:stretch/>
                            </pic:blipFill>
                            <pic:spPr bwMode="auto">
                              <a:xfrm flipH="0" flipV="0">
                                <a:off x="0" y="0"/>
                                <a:ext cx="3015889" cy="22619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7.47pt;height:178.1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4955" cy="224621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69246" name=""/>
                              <pic:cNvPicPr>
                                <a:picLocks noChangeAspect="1"/>
                              </pic:cNvPicPr>
                              <pic:nvPr/>
                            </pic:nvPicPr>
                            <pic:blipFill rotWithShape="1">
                              <a:blip r:embed="rId24"/>
                              <a:stretch/>
                            </pic:blipFill>
                            <pic:spPr bwMode="auto">
                              <a:xfrm flipH="0" flipV="0">
                                <a:off x="0" y="0"/>
                                <a:ext cx="2994954" cy="22462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5.82pt;height:176.8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mc:AlternateContent>
          <mc:Choice Requires="wpg">
            <w:drawing>
              <wp:inline xmlns:wp="http://schemas.openxmlformats.org/drawingml/2006/wordprocessingDrawing" distT="0" distB="0" distL="0" distR="0">
                <wp:extent cx="6048375" cy="8509816"/>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61718" name=""/>
                        <pic:cNvPicPr>
                          <a:picLocks noChangeAspect="1"/>
                        </pic:cNvPicPr>
                        <pic:nvPr/>
                      </pic:nvPicPr>
                      <pic:blipFill rotWithShape="1">
                        <a:blip r:embed="rId25"/>
                        <a:stretch/>
                      </pic:blipFill>
                      <pic:spPr bwMode="auto">
                        <a:xfrm>
                          <a:off x="0" y="0"/>
                          <a:ext cx="6048374" cy="8509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70.06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62606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91135" name=""/>
                        <pic:cNvPicPr>
                          <a:picLocks noChangeAspect="1"/>
                        </pic:cNvPicPr>
                        <pic:nvPr/>
                      </pic:nvPicPr>
                      <pic:blipFill rotWithShape="1">
                        <a:blip r:embed="rId26"/>
                        <a:stretch/>
                      </pic:blipFill>
                      <pic:spPr bwMode="auto">
                        <a:xfrm>
                          <a:off x="0" y="0"/>
                          <a:ext cx="6048374" cy="86260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79.22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93693" cy="822906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60625" name=""/>
                        <pic:cNvPicPr>
                          <a:picLocks noChangeAspect="1"/>
                        </pic:cNvPicPr>
                        <pic:nvPr/>
                      </pic:nvPicPr>
                      <pic:blipFill rotWithShape="1">
                        <a:blip r:embed="rId27"/>
                        <a:srcRect l="1265" t="0" r="0" b="0"/>
                        <a:stretch/>
                      </pic:blipFill>
                      <pic:spPr bwMode="auto">
                        <a:xfrm flipH="0" flipV="0">
                          <a:off x="0" y="0"/>
                          <a:ext cx="6093693" cy="82290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9.82pt;height:647.96pt;mso-wrap-distance-left:0.00pt;mso-wrap-distance-top:0.00pt;mso-wrap-distance-right:0.00pt;mso-wrap-distance-bottom:0.00pt;z-index:1;" stroked="false">
                <v:imagedata r:id="rId27" o:title="" croptop="0f" cropleft="829f" cropbottom="0f" cropright="0f"/>
                <o:lock v:ext="edit" rotation="t"/>
              </v:shape>
            </w:pict>
          </mc:Fallback>
        </mc:AlternateContent>
      </w:r>
      <w:r>
        <w:rPr>
          <w:highlight w:val="none"/>
        </w:rPr>
      </w:r>
      <w:r>
        <w:rPr>
          <w:highlight w:val="none"/>
        </w:rP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275/2026/1310/VFI-BC.44.A</w:t>
      </w:r>
      <w:r>
        <w:rPr>
          <w:i/>
          <w:lang w:val="pt-BR"/>
        </w:rPr>
        <w:t xml:space="preserve"> ngày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0968.869640</w:t>
            </w:r>
            <w:r>
              <w:rPr>
                <w:sz w:val="22"/>
                <w:szCs w:val="22"/>
              </w:rPr>
              <w:t xml:space="preserve"> </w:t>
            </w:r>
            <w:r>
              <w:rPr>
                <w:sz w:val="22"/>
                <w:szCs w:val="22"/>
              </w:rPr>
              <w:br/>
              <w:t xml:space="preserve">(Ngọc 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Đông Quang, Tỉnh Thanh Hóa, khoảng cách ra đường chính Cách trưởng Chính trị Thanh Hóa 600m, cách đường quốc lộ 1A khoảng 500m, độ rộng đường trước mặt tài sản 3m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1849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5184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7.05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5.5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5.5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5.5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5.51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51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0978.073678</w:t>
            </w:r>
            <w:r>
              <w:rPr>
                <w:sz w:val="22"/>
                <w:szCs w:val="22"/>
              </w:rPr>
              <w:t xml:space="preserve"> </w:t>
            </w:r>
            <w:r>
              <w:rPr>
                <w:sz w:val="22"/>
                <w:szCs w:val="22"/>
              </w:rPr>
              <w:br/>
              <w:t xml:space="preserve">(Đoàn 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(79.75m²)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Đông Quang, Tỉnh Thanh Hóa, khoảng cách ra đường chính cách trường Chính trị Thanh Hóa 200m, cách Quốc lộ 1A khoảng 320mm, độ rộng đường trước mặt tài sản 8,5m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6650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76650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96.5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38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3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15.51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51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15.51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Trực tiếp</w:t>
            </w:r>
            <w:r>
              <w:rPr>
                <w:color w:val="000000" w:themeColor="text1"/>
                <w:sz w:val="22"/>
                <w:szCs w:val="22"/>
              </w:rPr>
              <w:br/>
            </w:r>
            <w:r>
              <w:rPr>
                <w:sz w:val="22"/>
                <w:szCs w:val="22"/>
              </w:rPr>
              <w:t xml:space="preserve">SĐT: </w:t>
            </w:r>
            <w:r>
              <w:rPr>
                <w:color w:val="000000" w:themeColor="text1"/>
                <w:sz w:val="22"/>
                <w:szCs w:val="22"/>
              </w:rPr>
              <w:t xml:space="preserve">0968.869640</w:t>
            </w:r>
            <w:r>
              <w:rPr>
                <w:sz w:val="22"/>
                <w:szCs w:val="22"/>
              </w:rPr>
              <w:t xml:space="preserve"> </w:t>
            </w:r>
            <w:r>
              <w:rPr>
                <w:sz w:val="22"/>
                <w:szCs w:val="22"/>
              </w:rPr>
              <w:br/>
              <w:t xml:space="preserve">(Ngọc 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2.331.000.000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Đông Quang, Tỉnh Thanh Hóa, khoảng cách ra đường chính cách đường quốc lộ 1 A khoảng 200m, cách bệnh viện nhi Thanh Hoa 800mm, độ rộng đường trước mặt tài sản 7m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640217179" name="" descr=""/>
                              <pic:cNvPicPr/>
                              <pic:nvPr/>
                            </pic:nvPicPr>
                            <pic:blipFill rotWithShape="1">
                              <a:blip r:embed="rId41"/>
                              <a:stretch/>
                            </pic:blipFill>
                            <pic:spPr bwMode="auto">
                              <a:xfrm rot="0" flipH="0" flipV="0">
                                <a:off x="0" y="0"/>
                                <a:ext cx="146701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15.51pt;height:250.00pt;mso-wrap-distance-left:0.00pt;mso-wrap-distance-top:0.00pt;mso-wrap-distance-right:0.00pt;mso-wrap-distance-bottom:0.00pt;rotation:0;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98968" cy="2651125"/>
                      <wp:effectExtent l="0" t="0" r="0" b="0"/>
                      <wp:docPr id="30" name=""/>
                      <wp:cNvGraphicFramePr/>
                      <a:graphic xmlns:a="http://schemas.openxmlformats.org/drawingml/2006/main">
                        <a:graphicData uri="http://schemas.openxmlformats.org/drawingml/2006/picture">
                          <pic:pic xmlns:pic="http://schemas.openxmlformats.org/drawingml/2006/picture">
                            <pic:nvPicPr>
                              <pic:cNvPr id="1191241073" name="" descr=""/>
                              <pic:cNvPicPr/>
                              <pic:nvPr/>
                            </pic:nvPicPr>
                            <pic:blipFill rotWithShape="1">
                              <a:blip r:embed="rId42"/>
                              <a:stretch/>
                            </pic:blipFill>
                            <pic:spPr bwMode="auto">
                              <a:xfrm rot="0" flipH="0" flipV="0">
                                <a:off x="0" y="0"/>
                                <a:ext cx="1698968" cy="26511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33.78pt;height:208.75pt;mso-wrap-distance-left:0.00pt;mso-wrap-distance-top:0.00pt;mso-wrap-distance-right:0.00pt;mso-wrap-distance-bottom:0.00pt;rotation:0;z-index:1;" stroked="false">
                      <v:imagedata r:id="rId42"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727475" cy="2651125"/>
                      <wp:effectExtent l="0" t="0" r="0" b="0"/>
                      <wp:docPr id="31" name=""/>
                      <wp:cNvGraphicFramePr/>
                      <a:graphic xmlns:a="http://schemas.openxmlformats.org/drawingml/2006/main">
                        <a:graphicData uri="http://schemas.openxmlformats.org/drawingml/2006/picture">
                          <pic:pic xmlns:pic="http://schemas.openxmlformats.org/drawingml/2006/picture">
                            <pic:nvPicPr>
                              <pic:cNvPr id="476680654" name="" descr=""/>
                              <pic:cNvPicPr/>
                              <pic:nvPr/>
                            </pic:nvPicPr>
                            <pic:blipFill rotWithShape="1">
                              <a:blip r:embed="rId43"/>
                              <a:stretch/>
                            </pic:blipFill>
                            <pic:spPr bwMode="auto">
                              <a:xfrm rot="0" flipH="0" flipV="0">
                                <a:off x="0" y="0"/>
                                <a:ext cx="1727475" cy="26511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36.02pt;height:208.75pt;mso-wrap-distance-left:0.00pt;mso-wrap-distance-top:0.00pt;mso-wrap-distance-right:0.00pt;mso-wrap-distance-bottom:0.00pt;rotation:0;z-index:1;" stroked="false">
                      <v:imagedata r:id="rId43"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838185" cy="2651125"/>
                      <wp:effectExtent l="0" t="0" r="0" b="0"/>
                      <wp:docPr id="32" name=""/>
                      <wp:cNvGraphicFramePr/>
                      <a:graphic xmlns:a="http://schemas.openxmlformats.org/drawingml/2006/main">
                        <a:graphicData uri="http://schemas.openxmlformats.org/drawingml/2006/picture">
                          <pic:pic xmlns:pic="http://schemas.openxmlformats.org/drawingml/2006/picture">
                            <pic:nvPicPr>
                              <pic:cNvPr id="445154832" name="" descr=""/>
                              <pic:cNvPicPr/>
                              <pic:nvPr/>
                            </pic:nvPicPr>
                            <pic:blipFill rotWithShape="1">
                              <a:blip r:embed="rId44"/>
                              <a:stretch/>
                            </pic:blipFill>
                            <pic:spPr bwMode="auto">
                              <a:xfrm rot="0" flipH="0" flipV="0">
                                <a:off x="0" y="0"/>
                                <a:ext cx="1838184" cy="26511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44.74pt;height:208.75pt;mso-wrap-distance-left:0.00pt;mso-wrap-distance-top:0.00pt;mso-wrap-distance-right:0.00pt;mso-wrap-distance-bottom:0.00pt;rotation:0;z-index:1;" stroked="false">
                      <v:imagedata r:id="rId44"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7FECEB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4222310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56CCA57"/>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284</cp:revision>
  <dcterms:created xsi:type="dcterms:W3CDTF">2025-09-15T09:58:00Z</dcterms:created>
  <dcterms:modified xsi:type="dcterms:W3CDTF">2026-08-22T03:48:17Z</dcterms:modified>
</cp:coreProperties>
</file>