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72"/>
        <w:pBdr/>
        <w:spacing/>
        <w:ind/>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253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253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275/2026/1316/VFI-CT.44.A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Nguyễn Văn Quý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105, tờ bản đồ số: 22, địa chỉ: </w:t>
                            </w:r>
                            <w:r>
                              <w:rPr>
                                <w:color w:val="000000"/>
                              </w:rPr>
                              <w:t xml:space="preserve">Tổ 11, phường Yên Sở, quận Hoàng Mai  (</w:t>
                            </w:r>
                            <w:r>
                              <w:rPr>
                                <w:i/>
                                <w:iCs/>
                                <w:color w:val="000000"/>
                              </w:rPr>
                              <w:t xml:space="preserve">nay là phường Hoàng Mai</w:t>
                            </w:r>
                            <w:r>
                              <w:rPr>
                                <w:color w:val="000000"/>
                              </w:rPr>
                              <w:t xml:space="preserve">),  Thành phố Hà Nội theo Giấy chứng nhận quyền sử dụng đất số: AO 926085, Số vào sổ cấp GCN: 02267/ 3298/ QĐ-UB do UBND quận Hoàng Mai cấp ngày 02/12/2009; Chủ sử dụng đất là Ông Nguyễn Văn Quý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0.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275/2026/1316/VFI-CT.44.A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Nguyễn Văn Quý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105, tờ bản đồ số: 22, địa chỉ: </w:t>
                      </w:r>
                      <w:r>
                        <w:rPr>
                          <w:color w:val="000000"/>
                        </w:rPr>
                        <w:t xml:space="preserve">Tổ 11, phường Yên Sở, quận Hoàng Mai  (</w:t>
                      </w:r>
                      <w:r>
                        <w:rPr>
                          <w:i/>
                          <w:iCs/>
                          <w:color w:val="000000"/>
                        </w:rPr>
                        <w:t xml:space="preserve">nay là phường Hoàng Mai</w:t>
                      </w:r>
                      <w:r>
                        <w:rPr>
                          <w:color w:val="000000"/>
                        </w:rPr>
                        <w:t xml:space="preserve">),  Thành phố Hà Nội theo Giấy chứng nhận quyền sử dụng đất số: AO 926085, Số vào sổ cấp GCN: 02267/ 3298/ QĐ-UB do UBND quận Hoàng Mai cấp ngày 02/12/2009; Chủ sử dụng đất là Ông Nguyễn Văn Quý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 +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21-26</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27-33</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144" w:type="dxa"/>
        <w:tblBorders/>
        <w:tblLayout w:type="fixed"/>
        <w:tblLook w:val="04A0" w:firstRow="1" w:lastRow="0" w:firstColumn="1" w:lastColumn="0" w:noHBand="0" w:noVBand="1"/>
      </w:tblPr>
      <w:tblGrid>
        <w:gridCol w:w="29"/>
        <w:gridCol w:w="3969"/>
        <w:gridCol w:w="6147"/>
      </w:tblGrid>
      <w:tr>
        <w:trPr>
          <w:trHeight w:val="1152"/>
        </w:trPr>
        <w:tc>
          <w:tcPr>
            <w:gridSpan w:val="2"/>
            <w:tcBorders/>
            <w:tcW w:w="399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14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969"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275/2026/1316/VFI-CT.44.A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147"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21 tháng 8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Nguyễn Văn Quý</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275/2026/1316/VFI-HĐTĐ.44.A</w:t>
      </w:r>
      <w:r>
        <w:rPr>
          <w:spacing w:val="-4"/>
          <w:lang w:val="vi-VN"/>
        </w:rPr>
        <w:t xml:space="preserve"> ký ngày </w:t>
      </w:r>
      <w:r>
        <w:rPr>
          <w:color w:val="000000" w:themeColor="text1"/>
          <w:spacing w:val="-4"/>
        </w:rPr>
        <w:t xml:space="preserve">15 tháng 8 năm 2026</w:t>
      </w:r>
      <w:r>
        <w:rPr>
          <w:spacing w:val="-4"/>
          <w:lang w:val="vi-VN"/>
        </w:rPr>
        <w:t xml:space="preserve"> </w:t>
      </w:r>
      <w:r>
        <w:rPr>
          <w:spacing w:val="-4"/>
          <w:lang w:val="vi-VN"/>
        </w:rPr>
        <w:t xml:space="preserve">giữa </w:t>
      </w:r>
      <w:r>
        <w:rPr>
          <w:spacing w:val="-4"/>
          <w:lang w:val="vi-VN"/>
        </w:rPr>
        <w:t xml:space="preserve">Ông </w:t>
      </w:r>
      <w:r>
        <w:rPr>
          <w:color w:val="000000" w:themeColor="text1"/>
          <w:spacing w:val="-4"/>
        </w:rPr>
        <w:t xml:space="preserve">Nguyễn Văn Quý</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275/2026/1316/VFI-BC.44.A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21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4803" w:type="pct"/>
        <w:tblBorders/>
        <w:tblLayout w:type="fixed"/>
        <w:tblLook w:val="04A0" w:firstRow="1" w:lastRow="0" w:firstColumn="1" w:lastColumn="0" w:noHBand="0" w:noVBand="1"/>
      </w:tblPr>
      <w:tblGrid>
        <w:gridCol w:w="2234"/>
        <w:gridCol w:w="283"/>
        <w:gridCol w:w="6633"/>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633" w:type="dxa"/>
            <w:vAlign w:val="center"/>
            <w:textDirection w:val="lrTb"/>
            <w:noWrap w:val="false"/>
          </w:tcPr>
          <w:p>
            <w:pPr>
              <w:pBdr/>
              <w:spacing/>
              <w:ind/>
              <w:rPr>
                <w:highlight w:val="white"/>
              </w:rPr>
            </w:pPr>
            <w:r>
              <w:rPr>
                <w:b/>
                <w:bCs/>
                <w:highlight w:val="white"/>
              </w:rPr>
              <w:t xml:space="preserve">Ông </w:t>
            </w:r>
            <w:r>
              <w:rPr>
                <w:b/>
                <w:bCs/>
                <w:highlight w:val="white"/>
              </w:rPr>
              <w:t xml:space="preserve">Nguyễn</w:t>
            </w:r>
            <w:r>
              <w:rPr>
                <w:b/>
                <w:bCs/>
                <w:highlight w:val="white"/>
              </w:rPr>
              <w:t xml:space="preserve"> Văn Quý</w:t>
            </w:r>
            <w:r>
              <w:rPr>
                <w:highlight w:val="white"/>
              </w:rPr>
            </w:r>
            <w:r>
              <w:rPr>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633"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001053009491</w:t>
            </w:r>
            <w:r>
              <w:rPr>
                <w:color w:val="ff0000"/>
                <w:highlight w:val="white"/>
              </w:rPr>
            </w:r>
            <w:r>
              <w:rPr>
                <w:color w:val="ff0000"/>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633"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Phường Hoàng Mai, thành phố Hà Nội</w:t>
            </w:r>
            <w:r>
              <w:rPr>
                <w:color w:val="ff0000"/>
                <w:highlight w:val="white"/>
              </w:rPr>
            </w:r>
            <w:r>
              <w:rPr>
                <w:color w:val="ff0000"/>
                <w:highlight w:val="whit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105, tờ bản đồ số: 22, địa chỉ: </w:t>
      </w:r>
      <w:r>
        <w:rPr>
          <w:color w:val="000000" w:themeColor="text1"/>
        </w:rPr>
        <w:t xml:space="preserve">Tổ 11, phường Yên Sở, quận Hoàng Mai </w:t>
      </w:r>
      <w:r>
        <w:rPr>
          <w:i/>
          <w:iCs/>
          <w:color w:val="000000" w:themeColor="text1"/>
        </w:rPr>
        <w:t xml:space="preserve">(nay là phường Hoàng Mai),</w:t>
      </w:r>
      <w:r>
        <w:rPr>
          <w:color w:val="000000" w:themeColor="text1"/>
        </w:rPr>
        <w:t xml:space="preserve">  </w:t>
      </w:r>
      <w:r>
        <w:rPr>
          <w:color w:val="000000" w:themeColor="text1"/>
        </w:rPr>
        <w:t xml:space="preserve">t</w:t>
      </w:r>
      <w:r>
        <w:rPr>
          <w:color w:val="000000" w:themeColor="text1"/>
        </w:rPr>
        <w:t xml:space="preserve">hành phố Hà Nội theo Giấy chứng nhận quyền sử dụng đất số: AO 926085, Số vào sổ cấp GCN: 02267/ 3298/ QĐ-UB do UBND quận Hoàng Mai cấp ngày 02/12/2009; Chủ sử dụng đất là Ông Nguyễn Văn Quý</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4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4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4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4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4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1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77"/>
        <w:gridCol w:w="2234"/>
        <w:gridCol w:w="1802"/>
        <w:gridCol w:w="2581"/>
        <w:gridCol w:w="2164"/>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348" w:lineRule="auto"/>
              <w:ind/>
              <w:jc w:val="both"/>
              <w:rPr>
                <w:b/>
                <w:bCs/>
              </w:rPr>
            </w:pPr>
            <w:r>
              <w:rPr>
                <w:color w:val="000000"/>
              </w:rPr>
            </w:r>
            <w:r>
              <w:rPr>
                <w:b/>
                <w:bCs/>
                <w:color w:val="000000" w:themeColor="text1"/>
              </w:rPr>
              <w:t xml:space="preserve">Quyền sử dụng đất tại Thửa đất số: 105, tờ bản đồ số: 22, địa chỉ: </w:t>
            </w:r>
            <w:r>
              <w:rPr>
                <w:b/>
                <w:bCs/>
                <w:color w:val="000000" w:themeColor="text1"/>
              </w:rPr>
              <w:t xml:space="preserve">Tổ 11, phường Yên Sở, quận Hoàng Mai </w:t>
            </w:r>
            <w:r>
              <w:rPr>
                <w:b/>
                <w:bCs/>
                <w:i/>
                <w:iCs/>
                <w:color w:val="000000" w:themeColor="text1"/>
              </w:rPr>
              <w:t xml:space="preserve">(nay là phường Hoàng Mai),</w:t>
            </w:r>
            <w:r>
              <w:rPr>
                <w:b/>
                <w:bCs/>
                <w:color w:val="000000" w:themeColor="text1"/>
              </w:rPr>
              <w:t xml:space="preserve">  </w:t>
            </w:r>
            <w:r>
              <w:rPr>
                <w:b/>
                <w:bCs/>
                <w:color w:val="000000" w:themeColor="text1"/>
              </w:rPr>
              <w:t xml:space="preserve">t</w:t>
            </w:r>
            <w:r>
              <w:rPr>
                <w:b/>
                <w:bCs/>
                <w:color w:val="000000" w:themeColor="text1"/>
              </w:rPr>
              <w:t xml:space="preserve">hành phố Hà Nội theo Giấy chứng nhận quyền sử dụng đất số: AO 926085, Số vào sổ cấp GCN: 02267/ 3298/ QĐ-UB do UBND quận Hoàng Mai cấp ngày 02/12/2009; Chủ sử dụng đất là Ông Nguyễn Văn Quý</w:t>
            </w:r>
            <w:r>
              <w:rPr>
                <w:b/>
                <w:bCs/>
                <w:i/>
                <w:i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182,9</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140.000.000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25.606.000.000</w:t>
            </w:r>
            <w:r/>
          </w:p>
        </w:tc>
      </w:tr>
      <w:tr>
        <w:trPr>
          <w:trHeight w:val="20"/>
        </w:trPr>
        <w:tc>
          <w:tcPr>
            <w:gridSpan w:val="4"/>
            <w:tcBorders/>
            <w:tcW w:w="739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25.606.000.000</w:t>
            </w:r>
            <w:r>
              <w:rPr>
                <w:b/>
                <w:bCs/>
                <w:color w:val="000000"/>
              </w:rPr>
            </w:r>
            <w:r>
              <w:rPr>
                <w:b/>
                <w:bCs/>
                <w:color w:val="000000"/>
              </w:rPr>
            </w:r>
          </w:p>
        </w:tc>
      </w:tr>
      <w:tr>
        <w:trPr>
          <w:trHeight w:val="20"/>
        </w:trPr>
        <w:tc>
          <w:tcPr>
            <w:gridSpan w:val="5"/>
            <w:tcBorders/>
            <w:tcW w:w="9559"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w:t>
            </w:r>
            <w:r>
              <w:rPr>
                <w:b/>
                <w:bCs/>
                <w:i/>
                <w:iCs/>
                <w:color w:val="000000"/>
              </w:rPr>
              <w:t xml:space="preserve">n</w:t>
            </w:r>
            <w:r>
              <w:rPr>
                <w:b/>
                <w:bCs/>
                <w:i/>
                <w:iCs/>
                <w:color w:val="000000"/>
              </w:rPr>
              <w:t xml:space="preserve">ăm tỷ, sáu trăm lẻ sáu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88" w:type="dxa"/>
        <w:tblBorders/>
        <w:tblLayout w:type="fixed"/>
        <w:tblLook w:val="04A0" w:firstRow="1" w:lastRow="0" w:firstColumn="1" w:lastColumn="0" w:noHBand="0" w:noVBand="1"/>
      </w:tblPr>
      <w:tblGrid>
        <w:gridCol w:w="29"/>
        <w:gridCol w:w="4898"/>
        <w:gridCol w:w="4881"/>
        <w:gridCol w:w="79"/>
      </w:tblGrid>
      <w:tr>
        <w:trPr>
          <w:trHeight w:val="1843"/>
        </w:trPr>
        <w:tc>
          <w:tcPr>
            <w:gridSpan w:val="2"/>
            <w:tcBorders/>
            <w:tcW w:w="4927"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szCs w:val="26"/>
              </w:rPr>
            </w:r>
            <w:r>
              <w:rPr>
                <w:rFonts w:ascii="Times New Roman" w:hAnsi="Times New Roman" w:cs="Times New Roman"/>
                <w:i/>
                <w:szCs w:val="26"/>
              </w:rPr>
            </w:r>
          </w:p>
        </w:tc>
        <w:tc>
          <w:tcPr>
            <w:gridSpan w:val="2"/>
            <w:tcBorders/>
            <w:tcW w:w="4961"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cs="Times New Roman"/>
              </w:rPr>
            </w:r>
            <w:r>
              <w:rPr>
                <w:rFonts w:ascii="Times New Roman" w:hAnsi="Times New Roman" w:cs="Times New Roman"/>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cs="Times New Roman"/>
              </w:rPr>
            </w:r>
            <w:r>
              <w:rPr>
                <w:rFonts w:ascii="Times New Roman" w:hAnsi="Times New Roman" w:cs="Times New Roman"/>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6" w:tooltip="mailto:ilotus.contact@gmail.com" w:history="1">
              <w:r>
                <w:rPr>
                  <w:rStyle w:val="1025"/>
                  <w:rFonts w:ascii="Times New Roman" w:hAnsi="Times New Roman" w:eastAsia="Times New Roman" w:cs="Times New Roman" w:eastAsiaTheme="majorEastAsia"/>
                  <w:color w:val="auto"/>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cs="Times New Roman"/>
              </w:rPr>
            </w:r>
            <w:r>
              <w:rPr>
                <w:rFonts w:ascii="Times New Roman" w:hAnsi="Times New Roman" w:cs="Times New Roman"/>
              </w:rPr>
            </w:r>
          </w:p>
        </w:tc>
      </w:tr>
      <w:tr>
        <w:trPr>
          <w:gridAfter w:val="1"/>
          <w:gridBefore w:val="1"/>
          <w:trHeight w:val="84"/>
        </w:trPr>
        <w:tc>
          <w:tcPr>
            <w:shd w:val="clear" w:color="auto" w:fill="auto"/>
            <w:tcBorders/>
            <w:tcMar>
              <w:left w:w="108" w:type="dxa"/>
              <w:top w:w="0" w:type="dxa"/>
              <w:right w:w="108" w:type="dxa"/>
              <w:bottom w:w="0" w:type="dxa"/>
            </w:tcMar>
            <w:tcW w:w="4898" w:type="dxa"/>
            <w:textDirection w:val="lrTb"/>
            <w:noWrap w:val="false"/>
          </w:tcPr>
          <w:p>
            <w:pPr>
              <w:pStyle w:val="1034"/>
              <w:pBdr/>
              <w:spacing w:after="60"/>
              <w:ind/>
              <w:rPr>
                <w:rFonts w:ascii="Times New Roman" w:hAnsi="Times New Roman" w:cs="Times New Roman"/>
                <w:color w:val="000000" w:themeColor="text1"/>
                <w:sz w:val="24"/>
                <w:szCs w:val="24"/>
              </w:rPr>
            </w:pPr>
            <w:r>
              <w:rPr>
                <w:rStyle w:val="1033"/>
                <w:rFonts w:ascii="Times New Roman" w:hAnsi="Times New Roman" w:eastAsia="Times New Roman" w:cs="Times New Roman"/>
                <w:color w:val="000000" w:themeColor="text1"/>
                <w:lang w:val="pt-BR"/>
              </w:rPr>
              <w:t xml:space="preserve">Số: </w:t>
            </w:r>
            <w:r>
              <w:rPr>
                <w:rFonts w:ascii="Times New Roman" w:hAnsi="Times New Roman" w:eastAsia="Times New Roman" w:cs="Times New Roman"/>
                <w:color w:val="081b3a"/>
                <w:spacing w:val="3"/>
                <w:sz w:val="23"/>
                <w:highlight w:val="white"/>
              </w:rPr>
              <w:t xml:space="preserve">275/2026/1316/VFI-BC.44.A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4881" w:type="dxa"/>
            <w:textDirection w:val="lrTb"/>
            <w:noWrap w:val="false"/>
          </w:tcPr>
          <w:p>
            <w:pPr>
              <w:pStyle w:val="1034"/>
              <w:pBdr/>
              <w:spacing w:after="60"/>
              <w:ind w:right="-56"/>
              <w:jc w:val="right"/>
              <w:rPr>
                <w:rFonts w:ascii="Times New Roman" w:hAnsi="Times New Roman" w:cs="Times New Roman"/>
                <w:color w:val="000000" w:themeColor="text1"/>
                <w:sz w:val="24"/>
                <w:szCs w:val="24"/>
              </w:rPr>
            </w:pPr>
            <w:r>
              <w:rPr>
                <w:rStyle w:val="1033"/>
                <w:rFonts w:ascii="Times New Roman" w:hAnsi="Times New Roman" w:eastAsia="Times New Roman" w:cs="Times New Roman"/>
                <w:i/>
                <w:color w:val="auto"/>
              </w:rPr>
              <w:t xml:space="preserve">TP. Hà Nội</w:t>
            </w:r>
            <w:r>
              <w:rPr>
                <w:rStyle w:val="1033"/>
                <w:rFonts w:ascii="Times New Roman" w:hAnsi="Times New Roman" w:eastAsia="Times New Roman" w:cs="Times New Roman"/>
                <w:i/>
                <w:color w:val="auto"/>
                <w:lang w:val="vi-VN"/>
              </w:rPr>
              <w:t xml:space="preserve">, </w:t>
            </w:r>
            <w:r>
              <w:rPr>
                <w:rStyle w:val="1033"/>
                <w:rFonts w:ascii="Times New Roman" w:hAnsi="Times New Roman" w:eastAsia="Times New Roman" w:cs="Times New Roman"/>
                <w:i/>
                <w:color w:val="000000" w:themeColor="text1"/>
                <w:lang w:val="vi-VN"/>
              </w:rPr>
              <w:t xml:space="preserve">ngày 21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After w:val="1"/>
          <w:gridBefore w:val="1"/>
          <w:trHeight w:val="84"/>
        </w:trPr>
        <w:tc>
          <w:tcPr>
            <w:shd w:val="clear" w:color="auto" w:fill="auto"/>
            <w:tcBorders/>
            <w:tcMar>
              <w:left w:w="108" w:type="dxa"/>
              <w:top w:w="0" w:type="dxa"/>
              <w:right w:w="108" w:type="dxa"/>
              <w:bottom w:w="0" w:type="dxa"/>
            </w:tcMar>
            <w:tcW w:w="4898" w:type="dxa"/>
            <w:textDirection w:val="lrTb"/>
            <w:noWrap w:val="false"/>
          </w:tcPr>
          <w:p>
            <w:pPr>
              <w:pStyle w:val="1034"/>
              <w:pBdr/>
              <w:spacing w:after="60"/>
              <w:ind/>
              <w:rPr>
                <w:rStyle w:val="1033"/>
                <w:rFonts w:ascii="Times New Roman" w:hAnsi="Times New Roman" w:cs="Times New Roman"/>
                <w:color w:val="000000" w:themeColor="text1"/>
              </w:rPr>
            </w:pPr>
            <w:r>
              <w:rPr>
                <w:rStyle w:val="1033"/>
                <w:rFonts w:ascii="Times New Roman" w:hAnsi="Times New Roman" w:eastAsia="Times New Roman" w:cs="Times New Roman"/>
                <w:color w:val="000000" w:themeColor="text1"/>
                <w:lang w:val="pt-BR"/>
              </w:rPr>
            </w:r>
            <w:r>
              <w:rPr>
                <w:rStyle w:val="1033"/>
                <w:rFonts w:ascii="Times New Roman" w:hAnsi="Times New Roman" w:cs="Times New Roman"/>
                <w:color w:val="000000" w:themeColor="text1"/>
              </w:rPr>
            </w:r>
            <w:r>
              <w:rPr>
                <w:rStyle w:val="1033"/>
                <w:rFonts w:ascii="Times New Roman" w:hAnsi="Times New Roman" w:cs="Times New Roman"/>
                <w:color w:val="000000" w:themeColor="text1"/>
              </w:rPr>
            </w:r>
          </w:p>
        </w:tc>
        <w:tc>
          <w:tcPr>
            <w:shd w:val="clear" w:color="auto" w:fill="auto"/>
            <w:tcBorders/>
            <w:tcMar>
              <w:left w:w="108" w:type="dxa"/>
              <w:top w:w="0" w:type="dxa"/>
              <w:right w:w="108" w:type="dxa"/>
              <w:bottom w:w="0" w:type="dxa"/>
            </w:tcMar>
            <w:tcW w:w="4881" w:type="dxa"/>
            <w:textDirection w:val="lrTb"/>
            <w:noWrap w:val="false"/>
          </w:tcPr>
          <w:p>
            <w:pPr>
              <w:pStyle w:val="1034"/>
              <w:pBdr/>
              <w:spacing w:after="60"/>
              <w:ind w:right="-56"/>
              <w:rPr>
                <w:rStyle w:val="1033"/>
                <w:rFonts w:ascii="Times New Roman" w:hAnsi="Times New Roman" w:cs="Times New Roman"/>
                <w:i/>
                <w:color w:val="auto"/>
              </w:rPr>
            </w:pPr>
            <w:r>
              <w:rPr>
                <w:rFonts w:ascii="Times New Roman" w:hAnsi="Times New Roman" w:eastAsia="Times New Roman" w:cs="Times New Roman"/>
                <w:i/>
                <w:color w:val="auto"/>
              </w:rPr>
            </w:r>
            <w:r>
              <w:rPr>
                <w:rStyle w:val="1033"/>
                <w:rFonts w:ascii="Times New Roman" w:hAnsi="Times New Roman" w:cs="Times New Roman"/>
                <w:i/>
                <w:color w:val="auto"/>
              </w:rPr>
            </w:r>
            <w:r>
              <w:rPr>
                <w:rStyle w:val="1033"/>
                <w:rFonts w:ascii="Times New Roman" w:hAnsi="Times New Roman" w:cs="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275/2026/1316/VFI-CT.44.A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highlight w:val="white"/>
              </w:rPr>
            </w:pPr>
            <w:r>
              <w:rPr>
                <w:b/>
                <w:bCs/>
                <w:highlight w:val="white"/>
              </w:rPr>
              <w:t xml:space="preserve">Ông </w:t>
            </w:r>
            <w:r>
              <w:rPr>
                <w:b/>
                <w:bCs/>
                <w:highlight w:val="white"/>
              </w:rPr>
              <w:t xml:space="preserve">Nguyễn</w:t>
            </w:r>
            <w:r>
              <w:rPr>
                <w:b/>
                <w:bCs/>
                <w:highlight w:val="white"/>
              </w:rPr>
              <w:t xml:space="preserve"> Văn Quý</w:t>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001053009491</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Phường Hoàng Mai, thành phố Hà Nội</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themeColor="text1"/>
              </w:rPr>
              <w:t xml:space="preserve">Quyền sử dụng đất tại Thửa đất số: 105, tờ bản đồ số: 22, địa chỉ: </w:t>
            </w:r>
            <w:r>
              <w:rPr>
                <w:color w:val="000000" w:themeColor="text1"/>
              </w:rPr>
              <w:t xml:space="preserve">Tổ 11, phường Yên Sở, quận Hoàng Mai </w:t>
            </w:r>
            <w:r>
              <w:rPr>
                <w:i/>
                <w:iCs/>
                <w:color w:val="000000" w:themeColor="text1"/>
              </w:rPr>
              <w:t xml:space="preserve">(nay là phường Hoàng Mai),</w:t>
            </w:r>
            <w:r>
              <w:rPr>
                <w:color w:val="000000" w:themeColor="text1"/>
              </w:rPr>
              <w:t xml:space="preserve">  </w:t>
            </w:r>
            <w:r>
              <w:rPr>
                <w:color w:val="000000" w:themeColor="text1"/>
              </w:rPr>
              <w:t xml:space="preserve">t</w:t>
            </w:r>
            <w:r>
              <w:rPr>
                <w:color w:val="000000" w:themeColor="text1"/>
              </w:rPr>
              <w:t xml:space="preserve">hành phố Hà Nội theo Giấy chứng nhận quyền sử dụng đất số: AO 926085, Số vào sổ cấp GCN: 02267/ 3298/ QĐ-UB do UBND quận Hoàng Mai cấp ngày 02/12/2009; Chủ sử dụng đất là Ông Nguyễn Văn Quý</w:t>
            </w:r>
            <w:r>
              <w:rPr>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Hoàng Mai, </w:t>
            </w:r>
            <w:r>
              <w:rPr>
                <w:color w:val="000000" w:themeColor="text1"/>
                <w:lang w:val="pt-BR"/>
              </w:rPr>
              <w:t xml:space="preserve">t</w:t>
            </w:r>
            <w:r>
              <w:rPr>
                <w:color w:val="000000" w:themeColor="text1"/>
                <w:lang w:val="pt-BR"/>
              </w:rPr>
              <w:t xml:space="preserve">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20.966527777778, 105.87194444444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w:t>
            </w:r>
            <w:r>
              <w:rPr>
                <w:lang w:val="pt-BR"/>
              </w:rPr>
              <w:t xml:space="preserve">7</w:t>
            </w:r>
            <w:r>
              <w:rPr>
                <w:lang w:val="pt-BR"/>
              </w:rPr>
              <w:t xml:space="preserve">/</w:t>
            </w:r>
            <w:r>
              <w:rPr>
                <w:lang w:val="pt-BR"/>
              </w:rPr>
              <w:t xml:space="preserve">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số: AO 926085, Số vào sổ cấp GCN: 02267/ 3298/ QĐ-UB do UBND quận Hoàng Mai cấp ngày 02/12/2009; Chủ sử dụng đất là Ông Nguyễn Văn Quý</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275/2026/1316/VFI-HĐTĐ.44.A ngày 15/8/2026 giữa Ông Nguyên Văn Quý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Hoàng Mai nằm ở phía Đông Nam Hà Nội. Phía Nam và phía Tây giáp huyện Thanh Trì; phía Bắc giáp các quận Thanh Xuân và Hai Bà Trưng; phía Đông giáp Long Biên và Gia Lâm, với sông Hồng đóng vai trò ranh giới tự nhiên.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Nhờ vị trí nằm trên trục kết nối giữa khu vực trung tâm Hà Nội với các tỉnh phía Nam và Đông Bắc Bộ, Hoàng Mai có khả năng liên kết thuận tiện với nhiều khu vực như Hưng Yên, Hải Dương, Hải Phòng, Bắc Ninh, Nam Định, Thái Bình, Thanh Hóa và Nghệ An.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Các tuyến giao thông quan trọng đi qua hoặc kết nối trực tiếp với quận gồm đường Giải Phóng, Quốc lộ 1A, cao tốc Pháp Vân – Cầu Giẽ, Vành đai 2, Vành đai 3 và tuyến đường sắt Bắc – Nam. Đây là lợi thế lớn đối với phát triển đô thị, thương mại, dịch vụ và b</w:t>
      </w:r>
      <w:r>
        <w:rPr>
          <w:rFonts w:ascii="Times New Roman" w:hAnsi="Times New Roman" w:eastAsia="Times New Roman" w:cs="Times New Roman"/>
          <w:color w:val="000000"/>
          <w:sz w:val="24"/>
          <w:szCs w:val="24"/>
        </w:rPr>
        <w:t xml:space="preserve">ất động sản.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Theo định hướng quy hoạch chung xây dựng Thủ đô, Hoàng Mai nằm trong khu vực đô thị trung tâm mở rộng. Trong những năm qua, quận đã tập trung phát triển hệ thống giao thông, khu đô thị và các công trình hạ tầng xã hội.</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Một số tuyến đường và dự án giao thông quan trọng được chú trọng gồm mở rộng đường Tam Trinh, phát triển Vành đai 2,5, đường Lĩnh Nam, tuyến Nguyễn Xiển – Nghiêm Xuân Yêm – Hoàng Liệt và trục Minh Khai – Vĩnh Tuy – Yên Duyên.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Đáng chú ý, tuyến đường sắt đô thị số 3, đoạn Ga Hà Nội – Hoàng Mai, được định hướng xây dựng nhằm tăng khả năng kết nối khu vực Hoàng Mai với trung tâm thành phố. Khi các dự án giao thông lớn được triển khai đồng bộ, khả năng tiếp cận Hoàng Mai được kỳ vọ</w:t>
      </w:r>
      <w:r>
        <w:rPr>
          <w:rFonts w:ascii="Times New Roman" w:hAnsi="Times New Roman" w:eastAsia="Times New Roman" w:cs="Times New Roman"/>
          <w:color w:val="000000"/>
          <w:sz w:val="24"/>
          <w:szCs w:val="24"/>
        </w:rPr>
        <w:t xml:space="preserve">ng sẽ thuận tiện hơn, đồng thời giảm áp lực giao thông trên các tuyến đường hiện hữu.</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Bên cạnh giao thông, nhiều công trình đô thị và tiện ích quy mô lớn cũng đã được hình thành như Công viên Yên Sở, Nhà máy xử lý nước thải Yên Sở, Khu đô thị Gamuda City cùng nhiều khu đô thị và khu dân cư mới.</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Việc hạ tầng giao thông, tiện ích và các khu đô thị tiếp tục được đầu tư là một trong những yếu tố quan trọng hỗ trợ sự phát triển của thị trường bất động sản Hoàng Mai.</w:t>
      </w:r>
      <w:r>
        <w:rPr>
          <w:sz w:val="24"/>
          <w:szCs w:val="24"/>
        </w:rPr>
      </w:r>
      <w:r>
        <w:rPr>
          <w:sz w:val="24"/>
          <w:szCs w:val="24"/>
        </w:rPr>
      </w:r>
    </w:p>
    <w:p>
      <w:pPr>
        <w:pStyle w:val="1015"/>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b/>
          <w:color w:val="000000"/>
          <w:sz w:val="24"/>
          <w:szCs w:val="24"/>
        </w:rPr>
        <w:t xml:space="preserve">Diễn biến thị trường bất động sản Hoàng Mai</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Hoàng Mai là khu vực có nguồn cung bất động sản đa dạng, từ chung cư, nhà riêng, nhà mặt phố đến biệt thự và đất ở. Trong đó, căn hộ chung cư chiếm tỷ trọng đáng kể nhờ dân số đông và nhu cầu nhà ở lớn.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Thị trường tập trung nhiều tại các khu vực dân cư lâu đời như Giáp Bát, Tương Mai, Tân Mai, Định Công, Hoàng Văn Thụ và Lĩnh Nam.</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Nhà riêng có lợi thế về quyền sử dụng đất, khả năng chủ động cải tạo và sử dụng linh hoạt. Trong khi đó, nhà mặt phố thường được quan tâm bởi khả năng kết hợp giữa ở và kinh doanh.</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Mặt bằng giá có sự chênh lệch đáng kể giữa các khu vực. Những tuyến đường có vị trí kinh doanh tốt, mặt đường rộng, khả năng kết nối với các tuyến giao thông chính và có mật độ dân cư cao thường có giá cao hơn đáng kể so với các khu vực trong ngõ sâu.</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Theo dữ liệu khảo sát được nêu trong nguồn, tại thời điểm cuối tháng 3/2023, giá nhà riêng tại Hoàng Mai có sự khác biệt giữa các phường. Giáp Bát thuộc nhóm có mức giá cao, trong khi Lĩnh Nam có mặt bằng giá thấp hơn.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Sự chênh lệch này cho thấy khi đánh giá nhà đất Hoàng Mai, không nên chỉ dựa vào mức giá trung bình toàn quận mà cần xem xét cụ thể vị trí, chiều rộng đường/ngõ, diện tích, hình dạng thửa đất, mặt tiền, tình trạng pháp lý và khả năng kinh doanh của từng bấ</w:t>
      </w:r>
      <w:r>
        <w:rPr>
          <w:rFonts w:ascii="Times New Roman" w:hAnsi="Times New Roman" w:eastAsia="Times New Roman" w:cs="Times New Roman"/>
          <w:color w:val="000000"/>
          <w:sz w:val="24"/>
          <w:szCs w:val="24"/>
        </w:rPr>
        <w:t xml:space="preserve">t động sản.</w:t>
      </w:r>
      <w:r>
        <w:rPr>
          <w:sz w:val="24"/>
          <w:szCs w:val="24"/>
        </w:rPr>
      </w:r>
      <w:r>
        <w:rPr>
          <w:sz w:val="24"/>
          <w:szCs w:val="24"/>
        </w:rPr>
      </w:r>
    </w:p>
    <w:p>
      <w:pPr>
        <w:pStyle w:val="1015"/>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b/>
          <w:color w:val="000000"/>
          <w:sz w:val="24"/>
          <w:szCs w:val="24"/>
        </w:rPr>
        <w:t xml:space="preserve">Đánh giá triển vọng nhà đất Hoàng Mai</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Hoàng Mai có nhiều yếu tố hỗ trợ thị trường bất động sản trong dài hạn. Thứ nhất là vị trí kết nối quan trọng giữa trung tâm Hà Nội với khu vực phía Nam thành phố và các tỉnh lân cận. Thứ hai là dân số đông, nhu cầu nhà ở thực lớn. Thứ ba là hệ thống giao </w:t>
      </w:r>
      <w:r>
        <w:rPr>
          <w:rFonts w:ascii="Times New Roman" w:hAnsi="Times New Roman" w:eastAsia="Times New Roman" w:cs="Times New Roman"/>
          <w:color w:val="000000"/>
          <w:sz w:val="24"/>
          <w:szCs w:val="24"/>
        </w:rPr>
        <w:t xml:space="preserve">thông và hạ tầng đô thị tiếp tục được đầu tư.</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Ngoài ra, quỹ đất của khu vực vẫn còn tương đối lớn so với một số quận nội đô lâu đời, tạo điều kiện hình thành thêm các khu đô thị và dự án nhà ở quy mô lớn.</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Tuy nhiên, thị trường cũng tồn tại một số hạn chế như tình trạng ùn tắc tại một số tuyến đường, mật độ dân cư cao và sự chênh lệch lớn về chất lượng hạ tầng giữa các khu vực. Vì vậy, giá bất động sản không tăng đồng đều mà phụ thuộc rất lớn vào vị trí cụ t</w:t>
      </w:r>
      <w:r>
        <w:rPr>
          <w:rFonts w:ascii="Times New Roman" w:hAnsi="Times New Roman" w:eastAsia="Times New Roman" w:cs="Times New Roman"/>
          <w:color w:val="000000"/>
          <w:sz w:val="24"/>
          <w:szCs w:val="24"/>
        </w:rPr>
        <w:t xml:space="preserve">hể.</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rPr>
      </w:pPr>
      <w:r>
        <w:rPr>
          <w:rFonts w:ascii="Times New Roman" w:hAnsi="Times New Roman" w:eastAsia="Times New Roman" w:cs="Times New Roman"/>
          <w:color w:val="000000"/>
          <w:sz w:val="24"/>
          <w:szCs w:val="24"/>
        </w:rPr>
        <w:t xml:space="preserve">Nhìn chung, Hoàng Mai phù hợp với nhiều nhóm khách hàng khác nhau. Người mua ở thực có thể ưu tiên các khu vực có hệ thống tiện ích đầy đủ, giao thông thuận tiện và giá vừa khả năng tài chính. Nhà đầu tư có thể quan tâm đến những khu vực đang được đầu tư h</w:t>
      </w:r>
      <w:r>
        <w:rPr>
          <w:rFonts w:ascii="Times New Roman" w:hAnsi="Times New Roman" w:eastAsia="Times New Roman" w:cs="Times New Roman"/>
          <w:color w:val="000000"/>
          <w:sz w:val="24"/>
          <w:szCs w:val="24"/>
        </w:rPr>
        <w:t xml:space="preserve">ạ tầng, có khả năng cải thiện kết nối giao thông và còn dư địa phát triển đô thị.</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sz w:val="24"/>
          <w:szCs w:val="24"/>
          <w:highlight w:val="none"/>
        </w:rPr>
      </w:pPr>
      <w:r>
        <w:rPr>
          <w:rFonts w:ascii="Times New Roman" w:hAnsi="Times New Roman" w:eastAsia="Times New Roman" w:cs="Times New Roman"/>
          <w:color w:val="000000"/>
          <w:sz w:val="24"/>
          <w:szCs w:val="24"/>
        </w:rPr>
        <w:t xml:space="preserve">Với quá trình đô thị hóa, dân số đông và hạ tầng tiếp tục được hoàn thiện, Hoàng Mai vẫn được xem là một trong những khu vực đáng chú ý của thị trường bất động sản phía Nam Hà Nội.</w:t>
      </w:r>
      <w:r>
        <w:rPr>
          <w:sz w:val="24"/>
          <w:szCs w:val="24"/>
          <w:highlight w:val="none"/>
        </w:rPr>
      </w:r>
      <w:r>
        <w:rPr>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bCs/>
          <w:i/>
          <w:sz w:val="24"/>
          <w:szCs w:val="24"/>
          <w:highlight w:val="none"/>
        </w:rPr>
      </w:pPr>
      <w:r>
        <w:rPr>
          <w:i/>
          <w:iCs/>
          <w:sz w:val="24"/>
          <w:szCs w:val="24"/>
          <w:highlight w:val="none"/>
        </w:rPr>
        <w:t xml:space="preserve">(</w:t>
      </w:r>
      <w:r>
        <w:rPr>
          <w:i/>
          <w:iCs/>
          <w:sz w:val="24"/>
          <w:szCs w:val="24"/>
          <w:highlight w:val="none"/>
        </w:rPr>
        <w:t xml:space="preserve">Nguồn tham khảo: </w:t>
      </w:r>
      <w:r>
        <w:rPr>
          <w:i/>
          <w:iCs/>
          <w:sz w:val="24"/>
          <w:szCs w:val="24"/>
          <w:highlight w:val="none"/>
        </w:rPr>
        <w:t xml:space="preserve">https://wiki.batdongsan.com.vn/phan-tich-danh-gia/danh-gia-nha-dat-quan-hoang-mai-779884</w:t>
      </w:r>
      <w:r>
        <w:rPr>
          <w:i/>
          <w:iCs/>
          <w:sz w:val="24"/>
          <w:szCs w:val="24"/>
          <w:highlight w:val="none"/>
        </w:rPr>
        <w:t xml:space="preserve">)</w:t>
      </w:r>
      <w:r>
        <w:rPr>
          <w:bCs/>
          <w:i/>
          <w:sz w:val="24"/>
          <w:szCs w:val="24"/>
          <w:highlight w:val="none"/>
        </w:rPr>
      </w:r>
      <w:r>
        <w:rPr>
          <w:bCs/>
          <w:i/>
          <w:sz w:val="24"/>
          <w:szCs w:val="24"/>
          <w:highlight w:val="none"/>
        </w:rPr>
      </w:r>
    </w:p>
    <w:p>
      <w:pPr>
        <w:pStyle w:val="103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2190"/>
        <w:gridCol w:w="2075"/>
        <w:gridCol w:w="2227"/>
        <w:gridCol w:w="2636"/>
      </w:tblGrid>
      <w:tr>
        <w:trPr>
          <w:trHeight w:val="126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Tên tài sản</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jc w:val="both"/>
              <w:rPr>
                <w:b/>
                <w:bCs/>
                <w:sz w:val="24"/>
                <w:szCs w:val="24"/>
              </w:rPr>
            </w:pPr>
            <w:r>
              <w:rPr>
                <w:rFonts w:ascii="Times New Roman" w:hAnsi="Times New Roman" w:eastAsia="Times New Roman" w:cs="Times New Roman"/>
                <w:b/>
                <w:color w:val="000000"/>
                <w:sz w:val="24"/>
                <w:szCs w:val="24"/>
              </w:rPr>
            </w:r>
            <w:r>
              <w:rPr>
                <w:b/>
                <w:bCs/>
                <w:color w:val="000000" w:themeColor="text1"/>
                <w:sz w:val="24"/>
                <w:szCs w:val="24"/>
              </w:rPr>
              <w:t xml:space="preserve">Quyền sử dụng đất tại Thửa đất số: 105, tờ bản đồ số: 22, địa chỉ: </w:t>
            </w:r>
            <w:r>
              <w:rPr>
                <w:b/>
                <w:bCs/>
                <w:color w:val="000000" w:themeColor="text1"/>
                <w:sz w:val="24"/>
                <w:szCs w:val="24"/>
              </w:rPr>
              <w:t xml:space="preserve">Tổ 11, phường Yên Sở, quận Hoàng Mai </w:t>
            </w:r>
            <w:r>
              <w:rPr>
                <w:b/>
                <w:bCs/>
                <w:i/>
                <w:iCs/>
                <w:color w:val="000000" w:themeColor="text1"/>
                <w:sz w:val="24"/>
                <w:szCs w:val="24"/>
              </w:rPr>
              <w:t xml:space="preserve">(nay là phường Hoàng Mai),</w:t>
            </w:r>
            <w:r>
              <w:rPr>
                <w:b/>
                <w:bCs/>
                <w:color w:val="000000" w:themeColor="text1"/>
                <w:sz w:val="24"/>
                <w:szCs w:val="24"/>
              </w:rPr>
              <w:t xml:space="preserve"> </w:t>
            </w:r>
            <w:r>
              <w:rPr>
                <w:b/>
                <w:bCs/>
                <w:color w:val="000000" w:themeColor="text1"/>
                <w:sz w:val="24"/>
                <w:szCs w:val="24"/>
              </w:rPr>
              <w:t xml:space="preserve">t</w:t>
            </w:r>
            <w:r>
              <w:rPr>
                <w:b/>
                <w:bCs/>
                <w:color w:val="000000" w:themeColor="text1"/>
                <w:sz w:val="24"/>
                <w:szCs w:val="24"/>
              </w:rPr>
              <w:t xml:space="preserve">hành phố Hà Nội theo Giấy chứng nhận quyền sử dụng đất số: AO 926085, Số vào sổ cấp GCN: 02267/ 3298/ QĐ-UB do UBND quận Hoàng Mai cấp ngày 02/12/2009; Chủ sử dụng đất là Ông Nguyễn Văn Quý</w:t>
            </w:r>
            <w:r>
              <w:rPr>
                <w:b/>
                <w:bCs/>
                <w:i/>
                <w:iCs/>
                <w:sz w:val="24"/>
                <w:szCs w:val="24"/>
              </w:rPr>
              <w:t xml:space="preserve">.</w:t>
            </w:r>
            <w:r>
              <w:rPr>
                <w:b/>
                <w:bCs/>
                <w:sz w:val="24"/>
                <w:szCs w:val="24"/>
              </w:rPr>
            </w:r>
            <w:r>
              <w:rPr>
                <w:b/>
                <w:bCs/>
                <w:sz w:val="24"/>
                <w:szCs w:val="24"/>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1.</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Nội dung Thửa đất theo Hồ sơ pháp lý</w:t>
            </w:r>
            <w:r>
              <w:rPr>
                <w:sz w:val="24"/>
                <w:szCs w:val="24"/>
              </w:rPr>
            </w:r>
            <w:r>
              <w:rPr>
                <w:sz w:val="24"/>
                <w:szCs w:val="24"/>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1.1</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Thửa đất:</w:t>
            </w:r>
            <w:r>
              <w:rPr>
                <w:sz w:val="24"/>
                <w:szCs w:val="24"/>
              </w:rPr>
            </w:r>
            <w:r>
              <w:rPr>
                <w:sz w:val="24"/>
                <w:szCs w:val="24"/>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Thửa đất số:</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105</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Tờ bản đồ số:</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22</w:t>
            </w:r>
            <w:r>
              <w:rPr>
                <w:sz w:val="24"/>
                <w:szCs w:val="24"/>
              </w:rPr>
            </w:r>
            <w:r>
              <w:rPr>
                <w:sz w:val="24"/>
                <w:szCs w:val="24"/>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Địa chỉ:</w:t>
            </w:r>
            <w:r>
              <w:rPr>
                <w:sz w:val="24"/>
                <w:szCs w:val="24"/>
              </w:rPr>
            </w:r>
            <w:r>
              <w:rPr>
                <w:sz w:val="24"/>
                <w:szCs w:val="24"/>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38" w:type="dxa"/>
            <w:vAlign w:val="center"/>
            <w:textDirection w:val="lrTb"/>
            <w:noWrap w:val="false"/>
          </w:tcPr>
          <w:p>
            <w:pPr>
              <w:pBdr/>
              <w:spacing w:after="0" w:before="0" w:line="240" w:lineRule="auto"/>
              <w:ind w:right="57" w:firstLine="0" w:left="142"/>
              <w:jc w:val="both"/>
              <w:rPr>
                <w:sz w:val="24"/>
                <w:szCs w:val="24"/>
              </w:rPr>
            </w:pPr>
            <w:r>
              <w:rPr>
                <w:rFonts w:ascii="Times New Roman" w:hAnsi="Times New Roman" w:eastAsia="Times New Roman" w:cs="Times New Roman"/>
                <w:color w:val="000000"/>
                <w:sz w:val="24"/>
                <w:szCs w:val="24"/>
              </w:rPr>
              <w:t xml:space="preserve">Tổ 11, phường Yên Sở, quận Hoàng Mai  (</w:t>
            </w:r>
            <w:r>
              <w:rPr>
                <w:rFonts w:ascii="Times New Roman" w:hAnsi="Times New Roman" w:eastAsia="Times New Roman" w:cs="Times New Roman"/>
                <w:i/>
                <w:color w:val="000000"/>
                <w:sz w:val="24"/>
                <w:szCs w:val="24"/>
              </w:rPr>
              <w:t xml:space="preserve">nay là phường Hoàng Mai</w:t>
            </w:r>
            <w:r>
              <w:rPr>
                <w:rFonts w:ascii="Times New Roman" w:hAnsi="Times New Roman" w:eastAsia="Times New Roman" w:cs="Times New Roman"/>
                <w:color w:val="000000"/>
                <w:sz w:val="24"/>
                <w:szCs w:val="24"/>
              </w:rPr>
              <w:t xml:space="preserve">),  Thành phố Hà Nội</w:t>
            </w:r>
            <w:r>
              <w:rPr>
                <w:sz w:val="24"/>
                <w:szCs w:val="24"/>
              </w:rPr>
            </w:r>
            <w:r>
              <w:rPr>
                <w:sz w:val="24"/>
                <w:szCs w:val="24"/>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Diện tích (m²):</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182,9</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Hình thức sử dụng</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Sử dụng riêng</w:t>
            </w:r>
            <w:r>
              <w:rPr>
                <w:sz w:val="24"/>
                <w:szCs w:val="24"/>
              </w:rPr>
            </w:r>
            <w:r>
              <w:rPr>
                <w:sz w:val="24"/>
                <w:szCs w:val="24"/>
              </w:rPr>
            </w:r>
          </w:p>
        </w:tc>
      </w:tr>
      <w:tr>
        <w:trPr>
          <w:trHeight w:val="48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Mục đích sử dụng:</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Đất ở tại đô thị</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jc w:val="left"/>
              <w:rPr>
                <w:sz w:val="24"/>
                <w:szCs w:val="24"/>
              </w:rPr>
            </w:pPr>
            <w:r>
              <w:rPr>
                <w:rFonts w:ascii="Times New Roman" w:hAnsi="Times New Roman" w:eastAsia="Times New Roman" w:cs="Times New Roman"/>
                <w:color w:val="000000"/>
                <w:sz w:val="24"/>
                <w:szCs w:val="24"/>
              </w:rPr>
              <w:t xml:space="preserve">Thời hạn sử dụng:</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Lâu dài</w:t>
            </w:r>
            <w:r>
              <w:rPr>
                <w:sz w:val="24"/>
                <w:szCs w:val="24"/>
              </w:rPr>
            </w:r>
            <w:r>
              <w:rPr>
                <w:sz w:val="24"/>
                <w:szCs w:val="24"/>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Nguồn gốc sử dụng đất:</w:t>
            </w:r>
            <w:r>
              <w:rPr>
                <w:sz w:val="24"/>
                <w:szCs w:val="24"/>
              </w:rPr>
            </w:r>
            <w:r>
              <w:rPr>
                <w:sz w:val="24"/>
                <w:szCs w:val="24"/>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93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Nhà nước công nhận quyền sử dụng đất</w:t>
            </w:r>
            <w:r>
              <w:rPr>
                <w:sz w:val="24"/>
                <w:szCs w:val="24"/>
              </w:rPr>
            </w:r>
            <w:r>
              <w:rPr>
                <w:sz w:val="24"/>
                <w:szCs w:val="24"/>
              </w:rPr>
            </w:r>
          </w:p>
        </w:tc>
      </w:tr>
      <w:tr>
        <w:trPr>
          <w:trHeight w:val="48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1.2</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Ghi chú: </w:t>
            </w:r>
            <w:r>
              <w:rPr>
                <w:rFonts w:ascii="Times New Roman" w:hAnsi="Times New Roman" w:eastAsia="Times New Roman" w:cs="Times New Roman"/>
                <w:b/>
                <w:color w:val="000000"/>
                <w:sz w:val="24"/>
                <w:szCs w:val="24"/>
              </w:rPr>
              <w:t xml:space="preserve">Không</w:t>
            </w:r>
            <w:r>
              <w:rPr>
                <w:sz w:val="24"/>
                <w:szCs w:val="24"/>
              </w:rPr>
            </w:r>
            <w:r>
              <w:rPr>
                <w:sz w:val="24"/>
                <w:szCs w:val="24"/>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1.3.</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Thông tin quy hoạch:</w:t>
            </w:r>
            <w:r>
              <w:rPr>
                <w:sz w:val="24"/>
                <w:szCs w:val="24"/>
              </w:rPr>
            </w:r>
            <w:r>
              <w:rPr>
                <w:sz w:val="24"/>
                <w:szCs w:val="24"/>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vMerge w:val="restart"/>
            <w:textDirection w:val="lrTb"/>
            <w:noWrap w:val="false"/>
          </w:tcPr>
          <w:p>
            <w:pPr>
              <w:pBdr/>
              <w:spacing w:after="0" w:before="0" w:line="240" w:lineRule="auto"/>
              <w:ind/>
              <w:jc w:val="center"/>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r>
            <w:r>
              <w:rPr>
                <w:rFonts w:ascii="Times New Roman" w:hAnsi="Times New Roman" w:cs="Times New Roman"/>
                <w:b/>
                <w:color w:val="000000"/>
                <w:sz w:val="24"/>
                <w:szCs w:val="24"/>
              </w:rPr>
            </w:r>
            <w:r>
              <w:rPr>
                <w:rFonts w:ascii="Times New Roman" w:hAnsi="Times New Roman" w:cs="Times New Roman"/>
                <w:b/>
                <w:color w:val="000000"/>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57" w:firstLine="0" w:left="142"/>
              <w:jc w:val="both"/>
              <w:rPr>
                <w:rFonts w:ascii="Times New Roman" w:hAnsi="Times New Roman" w:cs="Times New Roman"/>
                <w:sz w:val="24"/>
                <w:szCs w:val="24"/>
              </w:rPr>
            </w:pPr>
            <w:r>
              <w:rPr>
                <w:rFonts w:ascii="Times New Roman" w:hAnsi="Times New Roman" w:eastAsia="Times New Roman" w:cs="Times New Roman"/>
                <w:color w:val="ee0000"/>
                <w:sz w:val="24"/>
                <w:szCs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szCs w:val="24"/>
              </w:rPr>
              <w:t xml:space="preserve">định vị trí tài sản thuộc quy hoạch đất ở. </w:t>
            </w:r>
            <w:r>
              <w:rPr>
                <w:rFonts w:ascii="Times New Roman" w:hAnsi="Times New Roman" w:cs="Times New Roman"/>
                <w:sz w:val="24"/>
                <w:szCs w:val="24"/>
              </w:rPr>
            </w:r>
            <w:r>
              <w:rPr>
                <w:rFonts w:ascii="Times New Roman" w:hAnsi="Times New Roman" w:cs="Times New Roman"/>
                <w:sz w:val="24"/>
                <w:szCs w:val="24"/>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r>
            <w:r>
              <w:rPr>
                <w:rFonts w:ascii="Times New Roman" w:hAnsi="Times New Roman" w:eastAsia="Times New Roman" w:cs="Times New Roman"/>
                <w:b/>
                <w:color w:val="000000"/>
                <w:sz w:val="24"/>
                <w:szCs w:val="24"/>
              </w:rPr>
            </w:r>
            <w:r>
              <w:rPr>
                <w:rFonts w:ascii="Times New Roman" w:hAnsi="Times New Roman" w:eastAsia="Times New Roman" w:cs="Times New Roman"/>
                <w:b/>
                <w:color w:val="000000"/>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57" w:firstLine="0" w:left="142"/>
              <w:jc w:val="center"/>
              <w:rPr>
                <w:rFonts w:ascii="Times New Roman" w:hAnsi="Times New Roman" w:eastAsia="Times New Roman" w:cs="Times New Roman"/>
                <w:color w:val="ee0000"/>
                <w:sz w:val="24"/>
                <w:szCs w:val="24"/>
              </w:rPr>
            </w:pPr>
            <w:r>
              <w:rPr>
                <w:rFonts w:ascii="Times New Roman" w:hAnsi="Times New Roman" w:eastAsia="Times New Roman" w:cs="Times New Roman"/>
                <w:color w:val="ee0000"/>
                <w:sz w:val="24"/>
                <w:szCs w:val="24"/>
              </w:rPr>
            </w:r>
            <w:r>
              <w:rPr>
                <w:sz w:val="24"/>
                <w:szCs w:val="24"/>
              </w:rPr>
              <mc:AlternateContent>
                <mc:Choice Requires="wpg">
                  <w:drawing>
                    <wp:inline xmlns:wp="http://schemas.openxmlformats.org/drawingml/2006/wordprocessingDrawing" distT="0" distB="0" distL="0" distR="0">
                      <wp:extent cx="5667764" cy="295714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72956" name=""/>
                              <pic:cNvPicPr>
                                <a:picLocks noChangeAspect="1"/>
                              </pic:cNvPicPr>
                              <pic:nvPr/>
                            </pic:nvPicPr>
                            <pic:blipFill rotWithShape="1">
                              <a:blip r:embed="rId17"/>
                              <a:stretch/>
                            </pic:blipFill>
                            <pic:spPr bwMode="auto">
                              <a:xfrm flipH="0" flipV="0">
                                <a:off x="0" y="0"/>
                                <a:ext cx="5667764" cy="29571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6.28pt;height:232.85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ee0000"/>
                <w:sz w:val="24"/>
                <w:szCs w:val="24"/>
              </w:rPr>
            </w:r>
            <w:r>
              <w:rPr>
                <w:rFonts w:ascii="Times New Roman" w:hAnsi="Times New Roman" w:eastAsia="Times New Roman" w:cs="Times New Roman"/>
                <w:color w:val="ee0000"/>
                <w:sz w:val="24"/>
                <w:szCs w:val="24"/>
              </w:rPr>
            </w:r>
          </w:p>
        </w:tc>
      </w:tr>
      <w:tr>
        <w:trPr>
          <w:trHeight w:val="27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2.</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Về đất:</w:t>
            </w:r>
            <w:r>
              <w:rPr>
                <w:sz w:val="24"/>
                <w:szCs w:val="24"/>
              </w:rPr>
            </w:r>
            <w:r>
              <w:rPr>
                <w:sz w:val="24"/>
                <w:szCs w:val="24"/>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2.1</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Vị trí; Giao thông:</w:t>
            </w:r>
            <w:r>
              <w:rPr>
                <w:sz w:val="24"/>
                <w:szCs w:val="24"/>
              </w:rPr>
            </w:r>
            <w:r>
              <w:rPr>
                <w:sz w:val="24"/>
                <w:szCs w:val="24"/>
              </w:rPr>
            </w:r>
          </w:p>
        </w:tc>
      </w:tr>
      <w:tr>
        <w:trPr>
          <w:trHeight w:val="436"/>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Địa chỉ thực tế: </w:t>
            </w:r>
            <w:r>
              <w:rPr>
                <w:sz w:val="24"/>
                <w:szCs w:val="24"/>
              </w:rPr>
            </w:r>
            <w:r>
              <w:rPr>
                <w:sz w:val="24"/>
                <w:szCs w:val="24"/>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3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Số 14 ngõ 192, phường Hoàng Mai, thành phố Hà Nội.</w:t>
            </w:r>
            <w:r>
              <w:rPr>
                <w:sz w:val="24"/>
                <w:szCs w:val="24"/>
              </w:rPr>
            </w:r>
            <w:r>
              <w:rPr>
                <w:sz w:val="24"/>
                <w:szCs w:val="24"/>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Đường tiếp giáp chính:</w:t>
            </w:r>
            <w:r>
              <w:rPr>
                <w:sz w:val="24"/>
                <w:szCs w:val="24"/>
              </w:rPr>
            </w:r>
            <w:r>
              <w:rPr>
                <w:sz w:val="24"/>
                <w:szCs w:val="24"/>
              </w:rPr>
            </w:r>
          </w:p>
        </w:tc>
        <w:tc>
          <w:tcPr>
            <w:tcBorders>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Đường nội khu</w:t>
            </w:r>
            <w:r>
              <w:rPr>
                <w:sz w:val="24"/>
                <w:szCs w:val="24"/>
              </w:rPr>
            </w:r>
            <w:r>
              <w:rPr>
                <w:sz w:val="24"/>
                <w:szCs w:val="24"/>
              </w:rPr>
            </w:r>
          </w:p>
        </w:tc>
        <w:tc>
          <w:tcPr>
            <w:tcBorders>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Số mặt tiền:</w:t>
            </w:r>
            <w:r>
              <w:rPr>
                <w:sz w:val="24"/>
                <w:szCs w:val="24"/>
              </w:rPr>
            </w:r>
            <w:r>
              <w:rPr>
                <w:sz w:val="24"/>
                <w:szCs w:val="24"/>
              </w:rPr>
            </w:r>
          </w:p>
        </w:tc>
        <w:tc>
          <w:tcPr>
            <w:tcBorders>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01 mặt tiền</w:t>
            </w:r>
            <w:r>
              <w:rPr>
                <w:sz w:val="24"/>
                <w:szCs w:val="24"/>
              </w:rPr>
            </w:r>
            <w:r>
              <w:rPr>
                <w:sz w:val="24"/>
                <w:szCs w:val="24"/>
              </w:rPr>
            </w:r>
          </w:p>
        </w:tc>
      </w:tr>
      <w:tr>
        <w:trPr>
          <w:trHeight w:val="1402"/>
        </w:trPr>
        <w:tc>
          <w:tcPr>
            <w:tcBorders>
              <w:left w:val="single" w:color="000000" w:sz="6" w:space="0"/>
              <w:bottom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jc w:val="both"/>
              <w:rPr>
                <w:sz w:val="24"/>
                <w:szCs w:val="24"/>
              </w:rPr>
            </w:pPr>
            <w:r>
              <w:rPr>
                <w:rFonts w:ascii="Times New Roman" w:hAnsi="Times New Roman" w:eastAsia="Times New Roman" w:cs="Times New Roman"/>
                <w:color w:val="000000"/>
                <w:sz w:val="24"/>
                <w:szCs w:val="24"/>
              </w:rPr>
              <w:t xml:space="preserve">Mặt cắt đường/ngõ nhỏ nhất từ đường chính dẫn đến tài sản thẩm định giá:</w:t>
            </w:r>
            <w:r>
              <w:rPr>
                <w:sz w:val="24"/>
                <w:szCs w:val="24"/>
              </w:rPr>
            </w:r>
            <w:r>
              <w:rPr>
                <w:sz w:val="24"/>
                <w:szCs w:val="24"/>
              </w:rPr>
            </w:r>
          </w:p>
        </w:tc>
        <w:tc>
          <w:tcPr>
            <w:tcBorders>
              <w:top w:val="single" w:color="000000" w:sz="6" w:space="0"/>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2,6</w:t>
            </w:r>
            <w:r>
              <w:rPr>
                <w:sz w:val="24"/>
                <w:szCs w:val="24"/>
              </w:rPr>
            </w:r>
            <w:r>
              <w:rPr>
                <w:sz w:val="24"/>
                <w:szCs w:val="24"/>
              </w:rPr>
            </w:r>
          </w:p>
        </w:tc>
        <w:tc>
          <w:tcPr>
            <w:tcBorders>
              <w:top w:val="single" w:color="000000" w:sz="6" w:space="0"/>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jc w:val="both"/>
              <w:rPr>
                <w:sz w:val="24"/>
                <w:szCs w:val="24"/>
              </w:rPr>
            </w:pPr>
            <w:r>
              <w:rPr>
                <w:rFonts w:ascii="Times New Roman" w:hAnsi="Times New Roman" w:eastAsia="Times New Roman" w:cs="Times New Roman"/>
                <w:color w:val="000000"/>
                <w:sz w:val="24"/>
                <w:szCs w:val="24"/>
              </w:rPr>
              <w:t xml:space="preserve">Mặt cắt đường/ngõ trước mặt tài sản thẩm định giá:</w:t>
            </w:r>
            <w:r>
              <w:rPr>
                <w:sz w:val="24"/>
                <w:szCs w:val="24"/>
              </w:rPr>
            </w:r>
            <w:r>
              <w:rPr>
                <w:sz w:val="24"/>
                <w:szCs w:val="24"/>
              </w:rPr>
            </w:r>
          </w:p>
        </w:tc>
        <w:tc>
          <w:tcPr>
            <w:tcBorders>
              <w:top w:val="single" w:color="000000" w:sz="6" w:space="0"/>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2,7</w:t>
            </w:r>
            <w:r>
              <w:rPr>
                <w:sz w:val="24"/>
                <w:szCs w:val="24"/>
              </w:rPr>
            </w:r>
            <w:r>
              <w:rPr>
                <w:sz w:val="24"/>
                <w:szCs w:val="24"/>
              </w:rPr>
            </w:r>
          </w:p>
        </w:tc>
      </w:tr>
      <w:tr>
        <w:trPr>
          <w:trHeight w:val="42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Khoảng cách đến trục đường chính:</w:t>
            </w:r>
            <w:r>
              <w:rPr>
                <w:sz w:val="24"/>
                <w:szCs w:val="24"/>
              </w:rPr>
            </w:r>
            <w:r>
              <w:rPr>
                <w:sz w:val="24"/>
                <w:szCs w:val="24"/>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3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Cách đường QL1A khoảng 200m.</w:t>
            </w:r>
            <w:r>
              <w:rPr>
                <w:sz w:val="24"/>
                <w:szCs w:val="24"/>
              </w:rPr>
            </w:r>
            <w:r>
              <w:rPr>
                <w:sz w:val="24"/>
                <w:szCs w:val="24"/>
              </w:rPr>
            </w:r>
          </w:p>
        </w:tc>
      </w:tr>
      <w:tr>
        <w:trPr>
          <w:trHeight w:val="567"/>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Các hướng tiếp giáp:</w:t>
            </w:r>
            <w:r>
              <w:rPr>
                <w:sz w:val="24"/>
                <w:szCs w:val="24"/>
              </w:rPr>
            </w:r>
            <w:r>
              <w:rPr>
                <w:sz w:val="24"/>
                <w:szCs w:val="24"/>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3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 Hướng Nam: tiếp giáp đường giao thông 2,7m;</w:t>
              <w:br/>
              <w:t xml:space="preserve">+ Các hướng còn lại: tiếp giáp thửa đất khác.</w:t>
            </w:r>
            <w:r>
              <w:rPr>
                <w:sz w:val="24"/>
                <w:szCs w:val="24"/>
              </w:rPr>
            </w:r>
            <w:r>
              <w:rPr>
                <w:sz w:val="24"/>
                <w:szCs w:val="24"/>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Vị trí trên bản đồ vệ tinh: </w:t>
            </w:r>
            <w:r>
              <w:rPr>
                <w:sz w:val="24"/>
                <w:szCs w:val="24"/>
              </w:rPr>
            </w:r>
            <w:r>
              <w:rPr>
                <w:sz w:val="24"/>
                <w:szCs w:val="24"/>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 </w:t>
            </w:r>
            <w:r>
              <w:rPr>
                <w:color w:val="000000"/>
                <w:sz w:val="24"/>
                <w:szCs w:val="24"/>
              </w:rPr>
              <mc:AlternateContent>
                <mc:Choice Requires="wpg">
                  <w:drawing>
                    <wp:inline xmlns:wp="http://schemas.openxmlformats.org/drawingml/2006/wordprocessingDrawing" distT="0" distB="0" distL="0" distR="0">
                      <wp:extent cx="5849378"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964794501" name="" descr=""/>
                              <pic:cNvPicPr/>
                              <pic:nvPr/>
                            </pic:nvPicPr>
                            <pic:blipFill rotWithShape="1">
                              <a:blip r:embed="rId18"/>
                              <a:stretch/>
                            </pic:blipFill>
                            <pic:spPr bwMode="auto">
                              <a:xfrm flipH="0" flipV="0">
                                <a:off x="0" y="0"/>
                                <a:ext cx="5849377"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60.58pt;height:200.00pt;mso-wrap-distance-left:0.00pt;mso-wrap-distance-top:0.00pt;mso-wrap-distance-right:0.00pt;mso-wrap-distance-bottom:0.00pt;z-index:1;" stroked="false">
                      <v:imagedata r:id="rId18" o:title=""/>
                      <o:lock v:ext="edit" rotation="t"/>
                    </v:shape>
                  </w:pict>
                </mc:Fallback>
              </mc:AlternateContent>
            </w:r>
            <w:r>
              <w:rPr>
                <w:sz w:val="24"/>
                <w:szCs w:val="24"/>
              </w:rPr>
            </w:r>
            <w:r>
              <w:rPr>
                <w:sz w:val="24"/>
                <w:szCs w:val="24"/>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2.2.</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Diện tích; Kích thước; Hình dáng</w:t>
            </w:r>
            <w:r>
              <w:rPr>
                <w:sz w:val="24"/>
                <w:szCs w:val="24"/>
              </w:rPr>
            </w:r>
            <w:r>
              <w:rPr>
                <w:sz w:val="24"/>
                <w:szCs w:val="24"/>
              </w:rPr>
            </w:r>
          </w:p>
        </w:tc>
      </w:tr>
      <w:tr>
        <w:trPr>
          <w:trHeight w:val="571"/>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Diện tích sử dụng riêng thực tế (m²):</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182,9</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Diện tích sử dụng chung thực tế (m²):</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ind/>
              <w:jc w:val="center"/>
              <w:rPr/>
            </w:pPr>
            <w:r>
              <w:t xml:space="preserve">-</w:t>
            </w:r>
            <w:r/>
          </w:p>
        </w:tc>
      </w:tr>
      <w:tr>
        <w:trPr>
          <w:trHeight w:val="391"/>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KT mặt tiền (m):</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10,76</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Chiều sâu (m): </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15,64</w:t>
            </w:r>
            <w:r>
              <w:rPr>
                <w:sz w:val="24"/>
                <w:szCs w:val="24"/>
              </w:rPr>
            </w:r>
            <w:r>
              <w:rPr>
                <w:sz w:val="24"/>
                <w:szCs w:val="24"/>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Hình dáng</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Đa giác khác</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Hướng chính</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Nam</w:t>
            </w:r>
            <w:r>
              <w:rPr>
                <w:sz w:val="24"/>
                <w:szCs w:val="24"/>
              </w:rPr>
            </w:r>
            <w:r>
              <w:rPr>
                <w:sz w:val="24"/>
                <w:szCs w:val="24"/>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2.3.</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Điều kiện kinh doanh; Hạ tầng nội bộ; Hạ tầng xung quanh</w:t>
            </w:r>
            <w:r>
              <w:rPr>
                <w:sz w:val="24"/>
                <w:szCs w:val="24"/>
              </w:rPr>
            </w:r>
            <w:r>
              <w:rPr>
                <w:sz w:val="24"/>
                <w:szCs w:val="24"/>
              </w:rPr>
            </w:r>
          </w:p>
        </w:tc>
      </w:tr>
      <w:tr>
        <w:trPr>
          <w:trHeight w:val="369"/>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Mật độ dân cư:</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Đông đúc</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Đời sống dân cư:</w:t>
            </w:r>
            <w:r>
              <w:rPr>
                <w:sz w:val="24"/>
                <w:szCs w:val="24"/>
              </w:rPr>
            </w:r>
            <w:r>
              <w:rPr>
                <w:sz w:val="24"/>
                <w:szCs w:val="24"/>
              </w:rPr>
            </w:r>
          </w:p>
        </w:tc>
        <w:tc>
          <w:tcPr>
            <w:shd w:val="clear" w:color="ffffff" w:fill="ffffff"/>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Ổn định</w:t>
            </w:r>
            <w:r>
              <w:rPr>
                <w:sz w:val="24"/>
                <w:szCs w:val="24"/>
              </w:rPr>
            </w:r>
            <w:r>
              <w:rPr>
                <w:sz w:val="24"/>
                <w:szCs w:val="24"/>
              </w:rPr>
            </w:r>
          </w:p>
        </w:tc>
      </w:tr>
      <w:tr>
        <w:trPr>
          <w:trHeight w:val="694"/>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Lợi thế kinh doanh:</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Phù hợp để ở</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Khả năng chuyển nhượng:</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Tốt</w:t>
            </w:r>
            <w:r>
              <w:rPr>
                <w:sz w:val="24"/>
                <w:szCs w:val="24"/>
              </w:rPr>
            </w:r>
            <w:r>
              <w:rPr>
                <w:sz w:val="24"/>
                <w:szCs w:val="24"/>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190"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Điều kiện cơ sở hạ tầng kỹ thuật:</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075"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Hạ tầng khu dân cư thông thường: hệ thống cấp điện, cấp thoát nước đầy đủ</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227"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color w:val="000000"/>
                <w:sz w:val="24"/>
                <w:szCs w:val="24"/>
              </w:rPr>
              <w:t xml:space="preserve">Điều kiện môi trường an ninh:</w:t>
            </w:r>
            <w:r>
              <w:rPr>
                <w:sz w:val="24"/>
                <w:szCs w:val="24"/>
              </w:rPr>
            </w:r>
            <w:r>
              <w:rPr>
                <w:sz w:val="24"/>
                <w:szCs w:val="24"/>
              </w:rPr>
            </w:r>
          </w:p>
        </w:tc>
        <w:tc>
          <w:tcPr>
            <w:tcBorders>
              <w:bottom w:val="single" w:color="000000" w:sz="6" w:space="0"/>
              <w:right w:val="single" w:color="000000" w:sz="6" w:space="0"/>
            </w:tcBorders>
            <w:tcMar>
              <w:left w:w="0" w:type="dxa"/>
              <w:top w:w="0" w:type="dxa"/>
              <w:right w:w="0" w:type="dxa"/>
              <w:bottom w:w="0" w:type="dxa"/>
            </w:tcMar>
            <w:tcW w:w="2636" w:type="dxa"/>
            <w:vAlign w:val="center"/>
            <w:textDirection w:val="lrTb"/>
            <w:noWrap w:val="false"/>
          </w:tcPr>
          <w:p>
            <w:pPr>
              <w:pBdr/>
              <w:spacing w:after="0" w:before="0" w:line="240" w:lineRule="auto"/>
              <w:ind w:right="57" w:firstLine="0" w:left="142"/>
              <w:jc w:val="center"/>
              <w:rPr>
                <w:sz w:val="24"/>
                <w:szCs w:val="24"/>
              </w:rPr>
            </w:pPr>
            <w:r>
              <w:rPr>
                <w:rFonts w:ascii="Times New Roman" w:hAnsi="Times New Roman" w:eastAsia="Times New Roman" w:cs="Times New Roman"/>
                <w:color w:val="000000"/>
                <w:sz w:val="24"/>
                <w:szCs w:val="24"/>
              </w:rPr>
              <w:t xml:space="preserve">Tốt</w:t>
            </w:r>
            <w:r>
              <w:rPr>
                <w:sz w:val="24"/>
                <w:szCs w:val="24"/>
              </w:rPr>
            </w:r>
            <w:r>
              <w:rPr>
                <w:sz w:val="24"/>
                <w:szCs w:val="24"/>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b/>
                <w:color w:val="000000"/>
                <w:sz w:val="24"/>
                <w:szCs w:val="24"/>
              </w:rPr>
              <w:t xml:space="preserve">3.</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rPr>
                <w:sz w:val="24"/>
                <w:szCs w:val="24"/>
              </w:rPr>
            </w:pPr>
            <w:r>
              <w:rPr>
                <w:rFonts w:ascii="Times New Roman" w:hAnsi="Times New Roman" w:eastAsia="Times New Roman" w:cs="Times New Roman"/>
                <w:b/>
                <w:color w:val="000000"/>
                <w:sz w:val="24"/>
                <w:szCs w:val="24"/>
              </w:rPr>
              <w:t xml:space="preserve"> Tài sản gắn liền với đất: </w:t>
            </w:r>
            <w:r>
              <w:rPr>
                <w:sz w:val="24"/>
                <w:szCs w:val="24"/>
              </w:rPr>
            </w:r>
            <w:r>
              <w:rPr>
                <w:sz w:val="24"/>
                <w:szCs w:val="24"/>
              </w:rPr>
            </w:r>
          </w:p>
        </w:tc>
      </w:tr>
      <w:tr>
        <w:trPr>
          <w:trHeight w:val="916"/>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8" w:type="dxa"/>
            <w:vAlign w:val="center"/>
            <w:textDirection w:val="lrTb"/>
            <w:noWrap w:val="false"/>
          </w:tcPr>
          <w:p>
            <w:pPr>
              <w:pBdr/>
              <w:spacing w:after="0" w:before="0" w:line="240" w:lineRule="auto"/>
              <w:ind w:right="57" w:firstLine="0" w:left="142"/>
              <w:jc w:val="both"/>
              <w:rPr>
                <w:sz w:val="24"/>
                <w:szCs w:val="24"/>
              </w:rPr>
            </w:pPr>
            <w:r>
              <w:rPr>
                <w:rFonts w:ascii="Times New Roman" w:hAnsi="Times New Roman" w:eastAsia="Times New Roman" w:cs="Times New Roman"/>
                <w:color w:val="000000"/>
                <w:sz w:val="24"/>
                <w:szCs w:val="24"/>
              </w:rPr>
              <w:t xml:space="preserve">Tại thời điểm khảo sát, dưới sự hướng dẫn của chủ tài sản, trên đất có CTXD Nhà 05 tầng, diện tích xây dựng khoảng 125m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color w:val="000000"/>
                <w:sz w:val="24"/>
                <w:szCs w:val="24"/>
              </w:rPr>
              <w:t xml:space="preserve">, diện tích sàn xây dựng khoảng 625m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color w:val="000000"/>
                <w:sz w:val="24"/>
                <w:szCs w:val="24"/>
              </w:rPr>
              <w:t xml:space="preserve">, xây dựng năm 2019, có thang máy. Công trình chưa được công nhận trên GCN QSDĐ số: AO 926085.</w:t>
            </w:r>
            <w:r>
              <w:rPr>
                <w:sz w:val="24"/>
                <w:szCs w:val="24"/>
              </w:rPr>
            </w:r>
            <w:r>
              <w:rPr>
                <w:sz w:val="24"/>
                <w:szCs w:val="24"/>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05 tầng, diện tích xây dựng khoảng 125m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diện tích sàn xây dựng khoảng 625m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xây dựng năm 2019, có thang máy. Công trình chưa được công nhận trên GCN QSDĐ số: AO 926085</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Đồng thời, Tổ thẩm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w:t>
      </w:r>
      <w:r>
        <w:rPr>
          <w:rFonts w:ascii="Times New Roman" w:hAnsi="Times New Roman" w:eastAsia="Times New Roman" w:cs="Times New Roman"/>
          <w:color w:val="000000"/>
          <w:sz w:val="24"/>
        </w:rPr>
        <w:t xml:space="preserve">ách rời của tài sản thẩm định. Kính đề nghị đơn vị sử dụng kết quả lưu ý.</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2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https://batdongsan.com.vn/ban-nha-rieng-duong-tam-trinh-phuong-yen-so-8/ep-hoang-mai-40m-6t-mt4m-11-5-ty-10m-ra-mat-pho-oto-o-gan-2-mat-ngo-pr45784019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https://alonhadat.com.vn/chinh-chu-ban-nha-dep-mat-ngo-5m-ra-oto-do-mat-tien-sieu-rong-thoang-tien-ich-bat-ngan-18469176.html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0862.299066</w:t>
            </w:r>
            <w:r>
              <w:rPr>
                <w:sz w:val="22"/>
                <w:szCs w:val="22"/>
              </w:rPr>
              <w:t xml:space="preserve"> </w:t>
            </w:r>
            <w:r>
              <w:rPr>
                <w:sz w:val="22"/>
                <w:szCs w:val="22"/>
              </w:rPr>
              <w:br/>
              <w:t xml:space="preserve">(A.</w:t>
            </w:r>
            <w:r>
              <w:rPr>
                <w:sz w:val="22"/>
                <w:szCs w:val="22"/>
              </w:rPr>
              <w:t xml:space="preserve">Hùng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0814.861368</w:t>
            </w:r>
            <w:r>
              <w:rPr>
                <w:sz w:val="22"/>
                <w:szCs w:val="22"/>
              </w:rPr>
              <w:br/>
            </w:r>
            <w:r>
              <w:rPr>
                <w:sz w:val="22"/>
                <w:szCs w:val="22"/>
              </w:rPr>
              <w:t xml:space="preserve">(A.</w:t>
            </w:r>
            <w:r>
              <w:rPr>
                <w:sz w:val="22"/>
                <w:szCs w:val="22"/>
              </w:rPr>
              <w:t xml:space="preserve">Chung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0987.866852</w:t>
            </w:r>
            <w:r>
              <w:rPr>
                <w:sz w:val="22"/>
                <w:szCs w:val="22"/>
              </w:rPr>
              <w:br/>
            </w:r>
            <w:r>
              <w:rPr>
                <w:sz w:val="22"/>
                <w:szCs w:val="22"/>
              </w:rPr>
              <w:t xml:space="preserve">(A.</w:t>
            </w:r>
            <w:r>
              <w:rPr>
                <w:sz w:val="22"/>
                <w:szCs w:val="22"/>
              </w:rPr>
              <w:t xml:space="preserve">Cường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Phường Hoàng Mai,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Hoàng Mai, Thành phố Hà Nội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Hoàng Mai, Thành phố Hà Nội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Hoàng Mai, Thành phố Hà Nội</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15,64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14,62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9,75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4,1</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2 mặt đường trước sau</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 giác khác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44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07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06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05 tầng</w:t>
            </w:r>
            <w:r>
              <w:rPr>
                <w:color w:val="000000" w:themeColor="text1"/>
                <w:sz w:val="22"/>
                <w:szCs w:val="22"/>
              </w:rPr>
            </w:r>
            <w:r>
              <w:rPr>
                <w:color w:val="000000" w:themeColor="text1"/>
                <w:sz w:val="22"/>
                <w:szCs w:val="22"/>
              </w:rPr>
            </w:r>
          </w:p>
        </w:tc>
      </w:tr>
      <w:tr>
        <w:trPr>
          <w:trHeight w:val="448"/>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highlight w:val="white"/>
              </w:rPr>
            </w:pPr>
            <w:r>
              <w:rPr>
                <w:i/>
                <w:iCs/>
                <w:color w:val="000000" w:themeColor="text1"/>
                <w:sz w:val="22"/>
                <w:szCs w:val="22"/>
                <w:highlight w:val="white"/>
              </w:rPr>
              <w:t xml:space="preserve">Số tầng</w:t>
            </w:r>
            <w:r>
              <w:rPr>
                <w:bCs/>
                <w:i/>
                <w:color w:val="000000" w:themeColor="text1"/>
                <w:sz w:val="22"/>
                <w:szCs w:val="22"/>
                <w:highlight w:val="white"/>
              </w:rPr>
            </w:r>
            <w:r>
              <w:rPr>
                <w:bCs/>
                <w:i/>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highlight w:val="white"/>
              </w:rPr>
            </w:pPr>
            <w:r>
              <w:rPr>
                <w:i/>
                <w:iCs/>
                <w:color w:val="000000" w:themeColor="text1"/>
                <w:sz w:val="22"/>
                <w:szCs w:val="22"/>
                <w:highlight w:val="white"/>
              </w:rPr>
              <w:t xml:space="preserve">Diện tích sàn sử dụng (m²)</w:t>
            </w:r>
            <w:r>
              <w:rPr>
                <w:bCs/>
                <w:i/>
                <w:color w:val="000000" w:themeColor="text1"/>
                <w:sz w:val="22"/>
                <w:szCs w:val="22"/>
                <w:highlight w:val="white"/>
              </w:rPr>
            </w:r>
            <w:r>
              <w:rPr>
                <w:bCs/>
                <w:i/>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630,0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260,0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160,0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27.900.000.000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22.320.000.000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b/>
                <w:bCs/>
                <w:i/>
                <w:color w:val="000000" w:themeColor="text1"/>
              </w:rPr>
            </w:pPr>
            <w:r>
              <w:rPr>
                <w:b/>
                <w:bCs/>
                <w:i/>
                <w:iCs/>
                <w:color w:val="000000" w:themeColor="text1"/>
              </w:rPr>
            </w:r>
            <w:r>
              <w:rPr>
                <w:b/>
                <w:bCs/>
                <w:i/>
                <w:iCs/>
                <w:color w:val="000000" w:themeColor="text1"/>
              </w:rPr>
              <w:t xml:space="preserve">3.952.145.673</w:t>
            </w:r>
            <w:r>
              <w:rPr>
                <w:b/>
                <w:bCs/>
                <w:i/>
                <w:color w:val="000000" w:themeColor="text1"/>
              </w:rPr>
            </w:r>
            <w:r>
              <w:rPr>
                <w:b/>
                <w:bCs/>
                <w:i/>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b/>
                <w:bCs/>
                <w:i/>
                <w:color w:val="000000" w:themeColor="text1"/>
              </w:rPr>
            </w:pPr>
            <w:r>
              <w:rPr>
                <w:b/>
                <w:bCs/>
                <w:i/>
                <w:iCs/>
                <w:color w:val="000000" w:themeColor="text1"/>
              </w:rPr>
            </w:r>
            <w:r>
              <w:rPr>
                <w:b/>
                <w:bCs/>
                <w:i/>
                <w:iCs/>
                <w:color w:val="000000" w:themeColor="text1"/>
              </w:rPr>
              <w:t xml:space="preserve">1.847.759.238</w:t>
            </w:r>
            <w:r>
              <w:rPr>
                <w:b/>
                <w:bCs/>
                <w:i/>
                <w:color w:val="000000" w:themeColor="text1"/>
              </w:rPr>
            </w:r>
            <w:r>
              <w:rPr>
                <w:b/>
                <w:bCs/>
                <w:i/>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b/>
                <w:bCs/>
                <w:i/>
                <w:color w:val="000000" w:themeColor="text1"/>
              </w:rPr>
            </w:pPr>
            <w:r>
              <w:rPr>
                <w:b/>
                <w:bCs/>
                <w:i/>
                <w:iCs/>
                <w:color w:val="000000" w:themeColor="text1"/>
              </w:rPr>
            </w:r>
            <w:r>
              <w:rPr>
                <w:b/>
                <w:bCs/>
                <w:i/>
                <w:iCs/>
                <w:color w:val="000000" w:themeColor="text1"/>
              </w:rPr>
              <w:t xml:space="preserve">1.010.850.944</w:t>
            </w:r>
            <w:r>
              <w:rPr>
                <w:b/>
                <w:bCs/>
                <w:i/>
                <w:color w:val="000000" w:themeColor="text1"/>
              </w:rPr>
            </w:r>
            <w:r>
              <w:rPr>
                <w:b/>
                <w:bCs/>
                <w:i/>
                <w:color w:val="000000" w:themeColor="text1"/>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highlight w:val="white"/>
                <w14:ligatures w14:val="none"/>
              </w:rPr>
            </w:pPr>
            <w:r>
              <w:rPr>
                <w:i/>
                <w:iCs/>
                <w:color w:val="000000" w:themeColor="text1"/>
                <w:sz w:val="22"/>
                <w:szCs w:val="22"/>
                <w:highlight w:val="white"/>
              </w:rPr>
            </w:r>
            <w:r>
              <w:rPr>
                <w:i/>
                <w:iCs/>
                <w:color w:val="000000" w:themeColor="text1"/>
                <w:sz w:val="22"/>
                <w:szCs w:val="22"/>
                <w:highlight w:val="white"/>
              </w:rPr>
              <w:t xml:space="preserve">Đơn giá xây dựng theo Quyết định số 425/QĐ-BXD ngày 30/3/2026 của Bộ Xây dựng (đồng/m²)</w:t>
            </w:r>
            <w:r>
              <w:rPr>
                <w:bCs/>
                <w:i/>
                <w:color w:val="000000" w:themeColor="text1"/>
                <w:sz w:val="22"/>
                <w:szCs w:val="22"/>
                <w:highlight w:val="white"/>
                <w14:ligatures w14:val="none"/>
              </w:rPr>
            </w:r>
            <w:r>
              <w:rPr>
                <w:bCs/>
                <w:i/>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6.603.148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7.896.407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7.897.273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14:ligatures w14:val="none"/>
              </w:rPr>
            </w:pPr>
            <w:r>
              <w:rPr>
                <w:i/>
                <w:iCs/>
                <w:color w:val="000000" w:themeColor="text1"/>
                <w:sz w:val="22"/>
                <w:szCs w:val="22"/>
              </w:rPr>
            </w:r>
            <w:r>
              <w:rPr>
                <w:i/>
                <w:iCs/>
                <w:color w:val="000000" w:themeColor="text1"/>
                <w:sz w:val="22"/>
                <w:szCs w:val="22"/>
              </w:rPr>
              <w:t xml:space="preserve">Tỷ lệ % CLCL</w:t>
            </w:r>
            <w:r>
              <w:rPr>
                <w:bCs/>
                <w:i/>
                <w:color w:val="000000" w:themeColor="text1"/>
                <w:sz w:val="22"/>
                <w:szCs w:val="22"/>
                <w14:ligatures w14:val="none"/>
              </w:rPr>
            </w:r>
            <w:r>
              <w:rPr>
                <w:bCs/>
                <w:i/>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rPr>
            </w:pPr>
            <w:r>
              <w:rPr>
                <w:b/>
                <w:bCs/>
                <w:color w:val="000000" w:themeColor="text1"/>
                <w:sz w:val="22"/>
                <w:szCs w:val="22"/>
              </w:rPr>
              <w:t xml:space="preserve">18.367.854.327</w:t>
            </w:r>
            <w:r>
              <w:rPr>
                <w:b/>
                <w:bCs/>
                <w:color w:val="000000" w:themeColor="text1"/>
                <w:sz w:val="20"/>
                <w:szCs w:val="20"/>
              </w:rPr>
            </w:r>
            <w:r>
              <w:rPr>
                <w:b/>
                <w:bCs/>
                <w:color w:val="000000" w:themeColor="text1"/>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rPr>
            </w:pPr>
            <w:r>
              <w:rPr>
                <w:b/>
                <w:bCs/>
                <w:color w:val="000000" w:themeColor="text1"/>
                <w:sz w:val="22"/>
                <w:szCs w:val="22"/>
              </w:rPr>
              <w:t xml:space="preserve">8.502.240.762</w:t>
            </w:r>
            <w:r>
              <w:rPr>
                <w:b/>
                <w:bCs/>
                <w:color w:val="000000" w:themeColor="text1"/>
                <w:sz w:val="20"/>
                <w:szCs w:val="20"/>
              </w:rPr>
            </w:r>
            <w:r>
              <w:rPr>
                <w:b/>
                <w:bCs/>
                <w:color w:val="000000" w:themeColor="text1"/>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rPr>
            </w:pPr>
            <w:r>
              <w:rPr>
                <w:b/>
                <w:bCs/>
                <w:color w:val="000000" w:themeColor="text1"/>
                <w:sz w:val="22"/>
                <w:szCs w:val="22"/>
              </w:rPr>
              <w:t xml:space="preserve">6.459.149.056</w:t>
            </w:r>
            <w:r>
              <w:rPr>
                <w:b/>
                <w:bCs/>
                <w:color w:val="000000" w:themeColor="text1"/>
                <w:sz w:val="20"/>
                <w:szCs w:val="20"/>
              </w:rPr>
            </w:r>
            <w:r>
              <w:rPr>
                <w:b/>
                <w:bCs/>
                <w:color w:val="000000" w:themeColor="text1"/>
                <w:sz w:val="20"/>
                <w:szCs w:val="20"/>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193.345.835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218.006.173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201.848.408</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left"/>
              <w:rPr>
                <w:color w:val="000000"/>
                <w:sz w:val="22"/>
                <w:szCs w:val="22"/>
              </w:rPr>
            </w:pPr>
            <w:r>
              <w:rPr>
                <w:color w:val="000000" w:themeColor="text1"/>
                <w:sz w:val="22"/>
                <w:szCs w:val="22"/>
              </w:rPr>
              <w:t xml:space="preserve">   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3"/>
        <w:gridCol w:w="1559"/>
        <w:gridCol w:w="1667"/>
        <w:gridCol w:w="1494"/>
        <w:gridCol w:w="1550"/>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0"/>
                <w:szCs w:val="20"/>
              </w:rPr>
            </w:pPr>
            <w:r>
              <w:rPr>
                <w:color w:val="000000" w:themeColor="text1"/>
                <w:sz w:val="22"/>
                <w:szCs w:val="22"/>
              </w:rPr>
              <w:t xml:space="preserve">18.367.854.327</w:t>
            </w:r>
            <w:r>
              <w:rPr>
                <w:color w:val="000000"/>
                <w:sz w:val="20"/>
                <w:szCs w:val="20"/>
              </w:rPr>
            </w:r>
            <w:r>
              <w:rPr>
                <w:color w:val="000000"/>
                <w:sz w:val="20"/>
                <w:szCs w:val="20"/>
              </w:rPr>
            </w:r>
          </w:p>
        </w:tc>
        <w:tc>
          <w:tcPr>
            <w:shd w:val="clear" w:color="000000" w:fill="ffffff"/>
            <w:tcBorders/>
            <w:tcW w:w="1494" w:type="dxa"/>
            <w:vAlign w:val="center"/>
            <w:textDirection w:val="lrTb"/>
            <w:noWrap w:val="false"/>
          </w:tcPr>
          <w:p>
            <w:pPr>
              <w:pBdr/>
              <w:spacing/>
              <w:ind/>
              <w:jc w:val="center"/>
              <w:rPr>
                <w:color w:val="000000"/>
                <w:sz w:val="20"/>
                <w:szCs w:val="20"/>
              </w:rPr>
            </w:pPr>
            <w:r>
              <w:rPr>
                <w:color w:val="000000" w:themeColor="text1"/>
                <w:sz w:val="22"/>
                <w:szCs w:val="22"/>
              </w:rPr>
              <w:t xml:space="preserve">8.502.240.762</w:t>
            </w:r>
            <w:r>
              <w:rPr>
                <w:color w:val="000000"/>
                <w:sz w:val="20"/>
                <w:szCs w:val="20"/>
              </w:rPr>
            </w:r>
            <w:r>
              <w:rPr>
                <w:color w:val="000000"/>
                <w:sz w:val="20"/>
                <w:szCs w:val="20"/>
              </w:rPr>
            </w:r>
          </w:p>
        </w:tc>
        <w:tc>
          <w:tcPr>
            <w:shd w:val="clear" w:color="000000" w:fill="ffffff"/>
            <w:tcBorders/>
            <w:tcW w:w="1550" w:type="dxa"/>
            <w:vAlign w:val="center"/>
            <w:textDirection w:val="lrTb"/>
            <w:noWrap w:val="false"/>
          </w:tcPr>
          <w:p>
            <w:pPr>
              <w:pBdr/>
              <w:spacing/>
              <w:ind/>
              <w:jc w:val="center"/>
              <w:rPr>
                <w:color w:val="000000"/>
                <w:sz w:val="20"/>
                <w:szCs w:val="20"/>
              </w:rPr>
            </w:pPr>
            <w:r>
              <w:rPr>
                <w:color w:val="000000" w:themeColor="text1"/>
                <w:sz w:val="22"/>
                <w:szCs w:val="22"/>
              </w:rPr>
              <w:t xml:space="preserve">6.459.149.056</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193.345.835</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218.006.173</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201.848.408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94"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494"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50"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222.714.256</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218.006.173</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201.848.408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pPr>
            <w:r>
              <w:rPr>
                <w:color w:val="000000" w:themeColor="text1"/>
                <w:sz w:val="22"/>
                <w:szCs w:val="22"/>
              </w:rPr>
              <w:t xml:space="preserve">Phường Hoàng Mai, Thành phố Hà Nội</w:t>
            </w:r>
            <w:r>
              <w:rPr>
                <w:b/>
                <w:bCs/>
                <w:color w:val="000000"/>
                <w:sz w:val="22"/>
                <w:szCs w:val="22"/>
              </w:rPr>
            </w:r>
            <w:r/>
          </w:p>
        </w:tc>
        <w:tc>
          <w:tcPr>
            <w:shd w:val="clear" w:color="000000" w:fill="ffffff"/>
            <w:tcBorders/>
            <w:tcW w:w="1667" w:type="dxa"/>
            <w:vAlign w:val="center"/>
            <w:textDirection w:val="lrTb"/>
            <w:noWrap w:val="false"/>
          </w:tcPr>
          <w:p>
            <w:pPr>
              <w:pBdr/>
              <w:spacing/>
              <w:ind/>
              <w:jc w:val="center"/>
              <w:rPr/>
            </w:pPr>
            <w:r>
              <w:rPr>
                <w:color w:val="000000" w:themeColor="text1"/>
                <w:sz w:val="22"/>
                <w:szCs w:val="22"/>
              </w:rPr>
              <w:t xml:space="preserve">Phường Hoàng Mai, Thành phố Hà Nội</w:t>
            </w:r>
            <w:r>
              <w:rPr>
                <w:b/>
                <w:bCs/>
                <w:color w:val="000000"/>
                <w:sz w:val="22"/>
                <w:szCs w:val="22"/>
              </w:rPr>
            </w:r>
            <w:r/>
          </w:p>
        </w:tc>
        <w:tc>
          <w:tcPr>
            <w:shd w:val="clear" w:color="000000" w:fill="ffffff"/>
            <w:tcBorders/>
            <w:tcW w:w="1494" w:type="dxa"/>
            <w:vAlign w:val="center"/>
            <w:textDirection w:val="lrTb"/>
            <w:noWrap w:val="false"/>
          </w:tcPr>
          <w:p>
            <w:pPr>
              <w:pBdr/>
              <w:spacing/>
              <w:ind/>
              <w:jc w:val="center"/>
              <w:rPr/>
            </w:pPr>
            <w:r>
              <w:rPr>
                <w:color w:val="000000" w:themeColor="text1"/>
                <w:sz w:val="22"/>
                <w:szCs w:val="22"/>
              </w:rPr>
              <w:t xml:space="preserve">Phường Hoàng Mai, Thành phố Hà Nội</w:t>
            </w:r>
            <w:r>
              <w:rPr>
                <w:b/>
                <w:bCs/>
                <w:color w:val="000000"/>
                <w:sz w:val="22"/>
                <w:szCs w:val="22"/>
              </w:rPr>
            </w:r>
            <w:r/>
          </w:p>
        </w:tc>
        <w:tc>
          <w:tcPr>
            <w:shd w:val="clear" w:color="000000" w:fill="ffffff"/>
            <w:tcBorders/>
            <w:tcW w:w="1550" w:type="dxa"/>
            <w:vAlign w:val="center"/>
            <w:textDirection w:val="lrTb"/>
            <w:noWrap w:val="false"/>
          </w:tcPr>
          <w:p>
            <w:pPr>
              <w:pBdr/>
              <w:spacing/>
              <w:ind/>
              <w:jc w:val="center"/>
              <w:rPr/>
            </w:pPr>
            <w:r>
              <w:rPr>
                <w:color w:val="000000" w:themeColor="text1"/>
                <w:sz w:val="22"/>
                <w:szCs w:val="22"/>
              </w:rPr>
              <w:t xml:space="preserve">Phường Hoàng Mai, Thành phố Hà Nội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193.345.835</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218.006.173</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201.848.408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2,7</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-19.334.584</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-21.800.617</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-4.036.968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174.011.251</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196.205.556</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197.811.440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182,9</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95,0</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39,0</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32,0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-33.407.138</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-47.961.358</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-44.406.650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140.604.113</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148.244.198</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153.404.790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 (m)</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10,76</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7,8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8.908.570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13.964.986</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4.296.343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149.512.683</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162.209.184</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157.701.133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-11.637.488</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149.512.683</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150.571.696</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157.701.133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-11.600.750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-13.080.370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-12.110.904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137.911.933</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137.491.326</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145.590.229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137.911.933</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137.491.326</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145.590.229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71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140.331.163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-2,02%</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3,75%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73.251.042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108.444.819</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64.850.865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494"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50"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494" w:type="dxa"/>
            <w:vAlign w:val="center"/>
            <w:textDirection w:val="lrTb"/>
            <w:noWrap/>
          </w:tcPr>
          <w:p>
            <w:pPr>
              <w:pBdr/>
              <w:spacing/>
              <w:ind/>
              <w:jc w:val="center"/>
              <w:rPr>
                <w:sz w:val="22"/>
                <w:szCs w:val="22"/>
              </w:rPr>
            </w:pPr>
            <w:r>
              <w:rPr>
                <w:color w:val="000000" w:themeColor="text1"/>
                <w:sz w:val="22"/>
                <w:szCs w:val="22"/>
              </w:rPr>
              <w:t xml:space="preserve">0% - 22%</w:t>
            </w:r>
            <w:r>
              <w:rPr>
                <w:sz w:val="22"/>
                <w:szCs w:val="22"/>
              </w:rPr>
            </w:r>
            <w:r>
              <w:rPr>
                <w:sz w:val="22"/>
                <w:szCs w:val="22"/>
              </w:rPr>
            </w:r>
          </w:p>
        </w:tc>
        <w:tc>
          <w:tcPr>
            <w:shd w:val="clear" w:color="000000" w:fill="ffffff"/>
            <w:tcBorders/>
            <w:tcW w:w="1550" w:type="dxa"/>
            <w:vAlign w:val="center"/>
            <w:textDirection w:val="lrTb"/>
            <w:noWrap/>
          </w:tcPr>
          <w:p>
            <w:pPr>
              <w:pBdr/>
              <w:spacing/>
              <w:ind/>
              <w:jc w:val="center"/>
              <w:rPr>
                <w:sz w:val="22"/>
                <w:szCs w:val="22"/>
              </w:rPr>
            </w:pPr>
            <w:r>
              <w:rPr>
                <w:color w:val="000000" w:themeColor="text1"/>
                <w:sz w:val="22"/>
                <w:szCs w:val="22"/>
              </w:rPr>
              <w:t xml:space="preserve">0% - 22%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sz w:val="22"/>
                <w:szCs w:val="22"/>
              </w:rPr>
            </w:pPr>
            <w:r>
              <w:rPr>
                <w:color w:val="000000" w:themeColor="text1"/>
                <w:sz w:val="22"/>
                <w:szCs w:val="22"/>
              </w:rPr>
              <w:t xml:space="preserve">55.433.902</w:t>
            </w:r>
            <w:r>
              <w:rPr>
                <w:sz w:val="22"/>
                <w:szCs w:val="22"/>
              </w:rPr>
            </w:r>
            <w:r>
              <w:rPr>
                <w:sz w:val="22"/>
                <w:szCs w:val="22"/>
              </w:rPr>
            </w:r>
          </w:p>
        </w:tc>
        <w:tc>
          <w:tcPr>
            <w:shd w:val="clear" w:color="000000" w:fill="ffffff"/>
            <w:tcBorders/>
            <w:tcW w:w="1494" w:type="dxa"/>
            <w:vAlign w:val="center"/>
            <w:textDirection w:val="lrTb"/>
            <w:noWrap/>
          </w:tcPr>
          <w:p>
            <w:pPr>
              <w:pBdr/>
              <w:spacing/>
              <w:ind/>
              <w:jc w:val="center"/>
              <w:rPr>
                <w:sz w:val="22"/>
                <w:szCs w:val="22"/>
              </w:rPr>
            </w:pPr>
            <w:r>
              <w:rPr>
                <w:color w:val="000000" w:themeColor="text1"/>
                <w:sz w:val="22"/>
                <w:szCs w:val="22"/>
              </w:rPr>
              <w:t xml:space="preserve">80.514.847</w:t>
            </w:r>
            <w:r>
              <w:rPr>
                <w:sz w:val="22"/>
                <w:szCs w:val="22"/>
              </w:rPr>
            </w:r>
            <w:r>
              <w:rPr>
                <w:sz w:val="22"/>
                <w:szCs w:val="22"/>
              </w:rPr>
            </w:r>
          </w:p>
        </w:tc>
        <w:tc>
          <w:tcPr>
            <w:shd w:val="clear" w:color="000000" w:fill="ffffff"/>
            <w:tcBorders/>
            <w:tcW w:w="1550" w:type="dxa"/>
            <w:vAlign w:val="center"/>
            <w:textDirection w:val="lrTb"/>
            <w:noWrap/>
          </w:tcPr>
          <w:p>
            <w:pPr>
              <w:pBdr/>
              <w:spacing/>
              <w:ind/>
              <w:jc w:val="center"/>
              <w:rPr>
                <w:sz w:val="22"/>
                <w:szCs w:val="22"/>
              </w:rPr>
            </w:pPr>
            <w:r>
              <w:rPr>
                <w:color w:val="000000" w:themeColor="text1"/>
                <w:sz w:val="22"/>
                <w:szCs w:val="22"/>
              </w:rPr>
              <w:t xml:space="preserve">56.258.179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w:t>
      </w:r>
      <w:r>
        <w:t xml:space="preserve"> -2,02</w:t>
      </w:r>
      <w:r>
        <w:t xml:space="preserve">% đến</w:t>
      </w:r>
      <w:r>
        <w:t xml:space="preserve"> </w:t>
      </w:r>
      <w:r>
        <w:t xml:space="preserve"> </w:t>
      </w:r>
      <w:r>
        <w:t xml:space="preserve">3,75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137.911.933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45.979.838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137.491.326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45.825.859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145.590.229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48.525.223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140.330.920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140.000.000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501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77"/>
        <w:gridCol w:w="2234"/>
        <w:gridCol w:w="1802"/>
        <w:gridCol w:w="2581"/>
        <w:gridCol w:w="2164"/>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348" w:lineRule="auto"/>
              <w:ind/>
              <w:jc w:val="both"/>
              <w:rPr>
                <w:b/>
                <w:bCs/>
              </w:rPr>
            </w:pPr>
            <w:r>
              <w:rPr>
                <w:color w:val="000000"/>
              </w:rPr>
            </w:r>
            <w:r>
              <w:rPr>
                <w:b/>
                <w:bCs/>
                <w:color w:val="000000" w:themeColor="text1"/>
              </w:rPr>
              <w:t xml:space="preserve">Quyền sử dụng đất tại Thửa đất số: 105, tờ bản đồ số: 22, địa chỉ: </w:t>
            </w:r>
            <w:r>
              <w:rPr>
                <w:b/>
                <w:bCs/>
                <w:color w:val="000000" w:themeColor="text1"/>
              </w:rPr>
              <w:t xml:space="preserve">Tổ 11, phường Yên Sở, quận Hoàng Mai </w:t>
            </w:r>
            <w:r>
              <w:rPr>
                <w:b/>
                <w:bCs/>
                <w:i/>
                <w:iCs/>
                <w:color w:val="000000" w:themeColor="text1"/>
              </w:rPr>
              <w:t xml:space="preserve">(nay là phường Hoàng Mai),</w:t>
            </w:r>
            <w:r>
              <w:rPr>
                <w:b/>
                <w:bCs/>
                <w:color w:val="000000" w:themeColor="text1"/>
              </w:rPr>
              <w:t xml:space="preserve">  </w:t>
            </w:r>
            <w:r>
              <w:rPr>
                <w:b/>
                <w:bCs/>
                <w:color w:val="000000" w:themeColor="text1"/>
              </w:rPr>
              <w:t xml:space="preserve">t</w:t>
            </w:r>
            <w:r>
              <w:rPr>
                <w:b/>
                <w:bCs/>
                <w:color w:val="000000" w:themeColor="text1"/>
              </w:rPr>
              <w:t xml:space="preserve">hành phố Hà Nội theo Giấy chứng nhận quyền sử dụng đất số: AO 926085, Số vào sổ cấp GCN: 02267/ 3298/ QĐ-UB do UBND quận Hoàng Mai cấp ngày 02/12/2009; Chủ sử dụng đất là Ông Nguyễn Văn Quý</w:t>
            </w:r>
            <w:r>
              <w:rPr>
                <w:b/>
                <w:bCs/>
                <w:i/>
                <w:i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182,9</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140.000.000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25.606.000.000</w:t>
            </w:r>
            <w:r/>
          </w:p>
        </w:tc>
      </w:tr>
      <w:tr>
        <w:trPr>
          <w:trHeight w:val="20"/>
        </w:trPr>
        <w:tc>
          <w:tcPr>
            <w:gridSpan w:val="4"/>
            <w:tcBorders/>
            <w:tcW w:w="739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25.606.000.000</w:t>
            </w:r>
            <w:r>
              <w:rPr>
                <w:b/>
                <w:bCs/>
                <w:color w:val="000000"/>
              </w:rPr>
            </w:r>
            <w:r>
              <w:rPr>
                <w:b/>
                <w:bCs/>
                <w:color w:val="000000"/>
              </w:rPr>
            </w:r>
          </w:p>
        </w:tc>
      </w:tr>
      <w:tr>
        <w:trPr>
          <w:trHeight w:val="20"/>
        </w:trPr>
        <w:tc>
          <w:tcPr>
            <w:gridSpan w:val="5"/>
            <w:tcBorders/>
            <w:tcW w:w="9559"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w:t>
            </w:r>
            <w:r>
              <w:rPr>
                <w:b/>
                <w:bCs/>
                <w:i/>
                <w:iCs/>
                <w:color w:val="000000"/>
              </w:rPr>
              <w:t xml:space="preserve">n</w:t>
            </w:r>
            <w:r>
              <w:rPr>
                <w:b/>
                <w:bCs/>
                <w:i/>
                <w:iCs/>
                <w:color w:val="000000"/>
              </w:rPr>
              <w:t xml:space="preserve">ăm tỷ, sáu trăm lẻ sáu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64"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64"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64"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64"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64"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64"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64"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64"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64"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64"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64"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64"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64"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64"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64"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64"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64"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64"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64"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64"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42"/>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05 tầng, diện tích xây dựng khoảng 125m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diện tích sàn xây dựng khoảng 625m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xây dựng năm 2019, có thang máy. Công trình chưa được công nhận trên GCN QSDĐ số: AO 926085</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Đồng thời, Tổ thẩm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w:t>
      </w:r>
      <w:r>
        <w:rPr>
          <w:rFonts w:ascii="Times New Roman" w:hAnsi="Times New Roman" w:eastAsia="Times New Roman" w:cs="Times New Roman"/>
          <w:color w:val="000000"/>
          <w:sz w:val="24"/>
        </w:rPr>
        <w:t xml:space="preserve">ách rời của tài sản thẩm định. Kính đề nghị đơn vị sử dụng kết quả lưu ý.</w:t>
      </w:r>
      <w:r>
        <w:rPr>
          <w:spacing w:val="-2"/>
          <w:lang w:val="pt-BR"/>
        </w:rPr>
      </w:r>
      <w:r>
        <w:rPr>
          <w:spacing w:val="-2"/>
          <w:lang w:val="pt-BR"/>
        </w:rPr>
      </w:r>
    </w:p>
    <w:p>
      <w:pPr>
        <w:numPr>
          <w:ilvl w:val="0"/>
          <w:numId w:val="43"/>
        </w:numPr>
        <w:pBdr>
          <w:top w:val="none" w:color="000000" w:sz="4" w:space="0"/>
          <w:left w:val="none" w:color="000000" w:sz="4" w:space="0"/>
          <w:bottom w:val="none" w:color="000000" w:sz="4" w:space="0"/>
          <w:right w:val="none" w:color="000000" w:sz="4" w:space="0"/>
        </w:pBdr>
        <w:spacing w:line="264"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p>
    <w:p>
      <w:pPr>
        <w:pStyle w:val="1035"/>
        <w:numPr>
          <w:ilvl w:val="0"/>
          <w:numId w:val="3"/>
        </w:numPr>
        <w:pBdr/>
        <w:tabs>
          <w:tab w:val="left" w:leader="none" w:pos="993"/>
        </w:tabs>
        <w:spacing w:after="120" w:before="120" w:line="264"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64"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64"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64"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64"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64"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275/2026/1316/VFI-CT.44.A</w:t>
      </w:r>
      <w:r>
        <w:rPr>
          <w:color w:val="ff0000"/>
          <w:lang w:val="vi-VN"/>
        </w:rPr>
        <w:t xml:space="preserve"> </w:t>
      </w:r>
      <w:r>
        <w:rPr>
          <w:color w:val="000000" w:themeColor="text1"/>
        </w:rPr>
        <w:t xml:space="preserve">ngày 21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275/2026/1316/VFI-BC.44.A</w:t>
      </w:r>
      <w:r>
        <w:rPr>
          <w:i/>
          <w:lang w:val="pt-BR"/>
        </w:rPr>
        <w:t xml:space="preserve"> </w:t>
      </w:r>
      <w:r>
        <w:rPr>
          <w:i/>
          <w:lang w:val="pt-BR"/>
        </w:rPr>
        <w:t xml:space="preserve">ngày </w:t>
      </w:r>
      <w:r>
        <w:rPr>
          <w:i/>
          <w:lang w:val="pt-BR"/>
        </w:rPr>
        <w:t xml:space="preserve">21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0080" cy="206789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10167" name=""/>
                              <pic:cNvPicPr>
                                <a:picLocks noChangeAspect="1"/>
                              </pic:cNvPicPr>
                              <pic:nvPr/>
                            </pic:nvPicPr>
                            <pic:blipFill rotWithShape="1">
                              <a:blip r:embed="rId19"/>
                              <a:stretch/>
                            </pic:blipFill>
                            <pic:spPr bwMode="auto">
                              <a:xfrm flipH="0" flipV="0">
                                <a:off x="0" y="0"/>
                                <a:ext cx="2760079" cy="20678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7.33pt;height:162.8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90348" cy="201565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64137" name=""/>
                              <pic:cNvPicPr>
                                <a:picLocks noChangeAspect="1"/>
                              </pic:cNvPicPr>
                              <pic:nvPr/>
                            </pic:nvPicPr>
                            <pic:blipFill rotWithShape="1">
                              <a:blip r:embed="rId20"/>
                              <a:stretch/>
                            </pic:blipFill>
                            <pic:spPr bwMode="auto">
                              <a:xfrm flipH="0" flipV="0">
                                <a:off x="0" y="0"/>
                                <a:ext cx="2690348" cy="20156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1.84pt;height:158.7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2316" cy="216923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91559" name=""/>
                              <pic:cNvPicPr>
                                <a:picLocks noChangeAspect="1"/>
                              </pic:cNvPicPr>
                              <pic:nvPr/>
                            </pic:nvPicPr>
                            <pic:blipFill rotWithShape="1">
                              <a:blip r:embed="rId21"/>
                              <a:stretch/>
                            </pic:blipFill>
                            <pic:spPr bwMode="auto">
                              <a:xfrm flipH="0" flipV="0">
                                <a:off x="0" y="0"/>
                                <a:ext cx="2892316" cy="21692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7.74pt;height:170.8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3772" cy="209313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68435" name=""/>
                              <pic:cNvPicPr>
                                <a:picLocks noChangeAspect="1"/>
                              </pic:cNvPicPr>
                              <pic:nvPr/>
                            </pic:nvPicPr>
                            <pic:blipFill rotWithShape="1">
                              <a:blip r:embed="rId22"/>
                              <a:stretch/>
                            </pic:blipFill>
                            <pic:spPr bwMode="auto">
                              <a:xfrm flipH="0" flipV="0">
                                <a:off x="0" y="0"/>
                                <a:ext cx="2793772" cy="20931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9.98pt;height:164.8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2576" cy="213943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27217" name=""/>
                              <pic:cNvPicPr>
                                <a:picLocks noChangeAspect="1"/>
                              </pic:cNvPicPr>
                              <pic:nvPr/>
                            </pic:nvPicPr>
                            <pic:blipFill rotWithShape="1">
                              <a:blip r:embed="rId23"/>
                              <a:stretch/>
                            </pic:blipFill>
                            <pic:spPr bwMode="auto">
                              <a:xfrm flipH="0" flipV="0">
                                <a:off x="0" y="0"/>
                                <a:ext cx="2852576" cy="21394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61pt;height:168.46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0861" cy="211564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99123" name=""/>
                              <pic:cNvPicPr>
                                <a:picLocks noChangeAspect="1"/>
                              </pic:cNvPicPr>
                              <pic:nvPr/>
                            </pic:nvPicPr>
                            <pic:blipFill rotWithShape="1">
                              <a:blip r:embed="rId24"/>
                              <a:stretch/>
                            </pic:blipFill>
                            <pic:spPr bwMode="auto">
                              <a:xfrm flipH="0" flipV="0">
                                <a:off x="0" y="0"/>
                                <a:ext cx="2820860" cy="21156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2.12pt;height:166.59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r/>
    </w:p>
    <w:p>
      <w:pPr>
        <w:pBdr/>
        <w:spacing w:after="200" w:line="276" w:lineRule="auto"/>
        <w:ind/>
        <w:rPr/>
      </w:pPr>
      <w:r/>
      <w:r/>
    </w:p>
    <w:p>
      <w:pPr>
        <w:pBdr/>
        <w:spacing w:after="200" w:line="276" w:lineRule="auto"/>
        <w:ind/>
        <w:rPr/>
      </w:pPr>
      <w:r/>
      <w:r/>
    </w:p>
    <w:p>
      <w:pPr>
        <w:pBdr/>
        <w:spacing w:after="200" w:line="276" w:lineRule="auto"/>
        <w:ind/>
        <w:rPr/>
      </w:pPr>
      <w:r>
        <mc:AlternateContent>
          <mc:Choice Requires="wpg">
            <w:drawing>
              <wp:inline xmlns:wp="http://schemas.openxmlformats.org/drawingml/2006/wordprocessingDrawing" distT="0" distB="0" distL="0" distR="0">
                <wp:extent cx="6048375" cy="846602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060374" name=""/>
                        <pic:cNvPicPr>
                          <a:picLocks noChangeAspect="1"/>
                        </pic:cNvPicPr>
                        <pic:nvPr/>
                      </pic:nvPicPr>
                      <pic:blipFill rotWithShape="1">
                        <a:blip r:embed="rId25"/>
                        <a:stretch/>
                      </pic:blipFill>
                      <pic:spPr bwMode="auto">
                        <a:xfrm>
                          <a:off x="0" y="0"/>
                          <a:ext cx="6048374" cy="84660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66.62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6048375" cy="433847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01787" name=""/>
                        <pic:cNvPicPr>
                          <a:picLocks noChangeAspect="1"/>
                        </pic:cNvPicPr>
                        <pic:nvPr/>
                      </pic:nvPicPr>
                      <pic:blipFill rotWithShape="1">
                        <a:blip r:embed="rId26"/>
                        <a:stretch/>
                      </pic:blipFill>
                      <pic:spPr bwMode="auto">
                        <a:xfrm rot="0" flipH="0" flipV="0">
                          <a:off x="0" y="0"/>
                          <a:ext cx="6048374" cy="4338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41.61pt;mso-wrap-distance-left:0.00pt;mso-wrap-distance-top:0.00pt;mso-wrap-distance-right:0.00pt;mso-wrap-distance-bottom:0.00pt;rotation:0;z-index:1;" stroked="false">
                <v:imagedata r:id="rId26" o:title=""/>
                <o:lock v:ext="edit" rotation="t"/>
              </v:shape>
            </w:pict>
          </mc:Fallback>
        </mc:AlternateContent>
      </w:r>
      <w:r/>
    </w:p>
    <w:p>
      <w:pPr>
        <w:pBdr/>
        <w:spacing w:after="200" w:line="276" w:lineRule="auto"/>
        <w:ind/>
        <w:rPr>
          <w:highlight w:val="none"/>
        </w:rPr>
      </w:pPr>
      <w:r>
        <mc:AlternateContent>
          <mc:Choice Requires="wpg">
            <w:drawing>
              <wp:inline xmlns:wp="http://schemas.openxmlformats.org/drawingml/2006/wordprocessingDrawing" distT="0" distB="0" distL="0" distR="0">
                <wp:extent cx="6048375" cy="833778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5302" name=""/>
                        <pic:cNvPicPr>
                          <a:picLocks noChangeAspect="1"/>
                        </pic:cNvPicPr>
                        <pic:nvPr/>
                      </pic:nvPicPr>
                      <pic:blipFill rotWithShape="1">
                        <a:blip r:embed="rId27"/>
                        <a:stretch/>
                      </pic:blipFill>
                      <pic:spPr bwMode="auto">
                        <a:xfrm>
                          <a:off x="0" y="0"/>
                          <a:ext cx="6048374" cy="83377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56.52pt;mso-wrap-distance-left:0.00pt;mso-wrap-distance-top:0.00pt;mso-wrap-distance-right:0.00pt;mso-wrap-distance-bottom:0.00pt;z-index:1;" stroked="false">
                <v:imagedata r:id="rId27" o:title=""/>
                <o:lock v:ext="edit" rotation="t"/>
              </v:shape>
            </w:pict>
          </mc:Fallback>
        </mc:AlternateContent>
      </w:r>
      <w:r>
        <mc:AlternateContent>
          <mc:Choice Requires="wpg">
            <w:drawing>
              <wp:inline xmlns:wp="http://schemas.openxmlformats.org/drawingml/2006/wordprocessingDrawing" distT="0" distB="0" distL="0" distR="0">
                <wp:extent cx="6048375" cy="853748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9078" name=""/>
                        <pic:cNvPicPr>
                          <a:picLocks noChangeAspect="1"/>
                        </pic:cNvPicPr>
                        <pic:nvPr/>
                      </pic:nvPicPr>
                      <pic:blipFill rotWithShape="1">
                        <a:blip r:embed="rId28"/>
                        <a:stretch/>
                      </pic:blipFill>
                      <pic:spPr bwMode="auto">
                        <a:xfrm>
                          <a:off x="0" y="0"/>
                          <a:ext cx="6048374" cy="85374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72.24pt;mso-wrap-distance-left:0.00pt;mso-wrap-distance-top:0.00pt;mso-wrap-distance-right:0.00pt;mso-wrap-distance-bottom:0.00pt;z-index:1;" stroked="false">
                <v:imagedata r:id="rId28" o:title=""/>
                <o:lock v:ext="edit" rotation="t"/>
              </v:shape>
            </w:pict>
          </mc:Fallback>
        </mc:AlternateContent>
      </w:r>
      <w:r>
        <w:rPr>
          <w:highlight w:val="none"/>
        </w:rPr>
      </w:r>
      <w:r>
        <w:rPr>
          <w:highlight w:val="none"/>
        </w:rPr>
      </w:r>
    </w:p>
    <w:p>
      <w:pPr>
        <w:pBdr/>
        <w:spacing w:after="200" w:line="276" w:lineRule="auto"/>
        <w:ind/>
        <w:rPr/>
      </w:pPr>
      <w:r>
        <w:rPr>
          <w:highlight w:val="none"/>
        </w:rPr>
      </w:r>
      <w:r>
        <mc:AlternateContent>
          <mc:Choice Requires="wpg">
            <w:drawing>
              <wp:inline xmlns:wp="http://schemas.openxmlformats.org/drawingml/2006/wordprocessingDrawing" distT="0" distB="0" distL="0" distR="0">
                <wp:extent cx="6048375" cy="796236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94156" name=""/>
                        <pic:cNvPicPr>
                          <a:picLocks noChangeAspect="1"/>
                        </pic:cNvPicPr>
                        <pic:nvPr/>
                      </pic:nvPicPr>
                      <pic:blipFill rotWithShape="1">
                        <a:blip r:embed="rId29"/>
                        <a:srcRect l="0" t="0" r="0" b="1266"/>
                        <a:stretch/>
                      </pic:blipFill>
                      <pic:spPr bwMode="auto">
                        <a:xfrm flipH="0" flipV="0">
                          <a:off x="0" y="0"/>
                          <a:ext cx="6048374" cy="79623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26.96pt;mso-wrap-distance-left:0.00pt;mso-wrap-distance-top:0.00pt;mso-wrap-distance-right:0.00pt;mso-wrap-distance-bottom:0.00pt;z-index:1;" stroked="false">
                <v:imagedata r:id="rId29" o:title="" croptop="0f" cropleft="0f" cropbottom="830f" cropright="0f"/>
                <o:lock v:ext="edit" rotation="t"/>
              </v:shape>
            </w:pict>
          </mc:Fallback>
        </mc:AlternateContent>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275/2026/1316/VFI-BC.44.A</w:t>
      </w:r>
      <w:r>
        <w:rPr>
          <w:i/>
          <w:lang w:val="pt-BR"/>
        </w:rPr>
        <w:t xml:space="preserve"> </w:t>
      </w:r>
      <w:r>
        <w:rPr>
          <w:i/>
          <w:lang w:val="pt-BR"/>
        </w:rPr>
        <w:t xml:space="preserve">ngày </w:t>
      </w:r>
      <w:r>
        <w:rPr>
          <w:i/>
          <w:lang w:val="pt-BR"/>
        </w:rPr>
        <w:t xml:space="preserve">21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0862.299066</w:t>
            </w:r>
            <w:r>
              <w:rPr>
                <w:sz w:val="22"/>
                <w:szCs w:val="22"/>
              </w:rPr>
              <w:t xml:space="preserve"> </w:t>
            </w:r>
            <w:r>
              <w:rPr>
                <w:sz w:val="22"/>
                <w:szCs w:val="22"/>
              </w:rPr>
              <w:br/>
              <w:t xml:space="preserve">(A.Hùng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Phường Hoàng Mai, Thành phố Hà Nội, độ rộng đường trước mặt tài sản 4m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90458"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9904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14.2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3229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393229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09.6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w:t>
            </w:r>
            <w:r>
              <w:t xml:space="preserve">Đình </w:t>
            </w:r>
            <w:r>
              <w:t xml:space="preserve">Duy</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https://batdongsan.com.vn/ban-nha-rieng-duong-tam-trinh-phuong-yen-so-8/ep-hoang-mai-40m-6t-mt4m-11-5-ty-10m-ra-mat-pho-oto-o-gan-2-mat-ngo-pr45784019</w:t>
            </w:r>
            <w:r>
              <w:rPr>
                <w:color w:val="000000" w:themeColor="text1"/>
                <w:sz w:val="22"/>
                <w:szCs w:val="22"/>
              </w:rPr>
              <w:br/>
              <w:t xml:space="preserve">0814.861368</w:t>
            </w:r>
            <w:r>
              <w:rPr>
                <w:sz w:val="22"/>
                <w:szCs w:val="22"/>
              </w:rPr>
              <w:t xml:space="preserve"> </w:t>
            </w:r>
            <w:r>
              <w:rPr>
                <w:sz w:val="22"/>
                <w:szCs w:val="22"/>
              </w:rPr>
              <w:br/>
              <w:t xml:space="preserve">(A.Chung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Hoàng Mai, Thành phố Hà Nội, độ rộng đường trước mặt tài sản 4m.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1152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31152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8.2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7641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0764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99.72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706096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70609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555.9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105431"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10543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02.0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https://alonhadat.com.vn/chinh-chu-ban-nha-dep-mat-ngo-5m-ra-oto-do-mat-tien-sieu-rong-thoang-tien-ich-bat-ngan-18469176.html</w:t>
            </w:r>
            <w:r>
              <w:rPr>
                <w:color w:val="000000" w:themeColor="text1"/>
                <w:sz w:val="22"/>
                <w:szCs w:val="22"/>
              </w:rPr>
              <w:br/>
            </w:r>
            <w:r>
              <w:rPr>
                <w:sz w:val="22"/>
                <w:szCs w:val="22"/>
              </w:rPr>
              <w:t xml:space="preserve">SĐT: </w:t>
            </w:r>
            <w:r>
              <w:rPr>
                <w:color w:val="000000" w:themeColor="text1"/>
                <w:sz w:val="22"/>
                <w:szCs w:val="22"/>
              </w:rPr>
              <w:t xml:space="preserve">0987.866852</w:t>
            </w:r>
            <w:r>
              <w:rPr>
                <w:sz w:val="22"/>
                <w:szCs w:val="22"/>
              </w:rPr>
              <w:t xml:space="preserve"> </w:t>
            </w:r>
            <w:r>
              <w:rPr>
                <w:sz w:val="22"/>
                <w:szCs w:val="22"/>
              </w:rPr>
              <w:br/>
              <w:t xml:space="preserve">(A.Cường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7.470.000.000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Hoàng Mai, Thành phố Hà Nội, độ rộng đường trước mặt tài sản 3m.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60424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360424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83.8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83700" cy="3012535"/>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5383699" cy="3012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23.91pt;height:237.21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83190" cy="2479216"/>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483189" cy="24792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95.53pt;height:195.21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32127" cy="2479216"/>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3032126" cy="24792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38.75pt;height:195.21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438" w:type="dxa"/>
        <w:tblBorders/>
        <w:tblLook w:val="04A0" w:firstRow="1" w:lastRow="0" w:firstColumn="1" w:lastColumn="0" w:noHBand="0" w:noVBand="1"/>
      </w:tblPr>
      <w:tblGrid>
        <w:gridCol w:w="4540"/>
        <w:gridCol w:w="4898"/>
      </w:tblGrid>
      <w:tr>
        <w:trPr>
          <w:trHeight w:val="360"/>
        </w:trPr>
        <w:tc>
          <w:tcPr>
            <w:tcBorders/>
            <w:tcW w:w="4540" w:type="dxa"/>
            <w:vAlign w:val="center"/>
            <w:textDirection w:val="lrTb"/>
            <w:noWrap w:val="false"/>
          </w:tcPr>
          <w:p>
            <w:pPr>
              <w:pBdr/>
              <w:spacing/>
              <w:ind/>
              <w:jc w:val="center"/>
              <w:rPr>
                <w:b/>
                <w:bCs/>
              </w:rPr>
            </w:pPr>
            <w:r>
              <w:rPr>
                <w:b/>
                <w:bCs/>
              </w:rPr>
            </w:r>
            <w:r>
              <w:rPr>
                <w:b/>
                <w:bCs/>
              </w:rPr>
            </w:r>
            <w:r>
              <w:rPr>
                <w:b/>
                <w:bCs/>
              </w:rPr>
            </w:r>
          </w:p>
        </w:tc>
        <w:tc>
          <w:tcPr>
            <w:tcBorders/>
            <w:tcW w:w="4898"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1593"/>
        </w:trPr>
        <w:tc>
          <w:tcPr>
            <w:tcBorders/>
            <w:tcW w:w="4540" w:type="dxa"/>
            <w:vAlign w:val="center"/>
            <w:textDirection w:val="lrTb"/>
            <w:noWrap w:val="false"/>
          </w:tcPr>
          <w:p>
            <w:pPr>
              <w:pBdr/>
              <w:spacing/>
              <w:ind/>
              <w:jc w:val="center"/>
              <w:rPr>
                <w:b/>
                <w:bCs/>
              </w:rPr>
            </w:pPr>
            <w:r>
              <w:rPr>
                <w:b/>
                <w:bCs/>
              </w:rPr>
            </w:r>
            <w:r>
              <w:rPr>
                <w:b/>
                <w:bCs/>
              </w:rPr>
            </w:r>
            <w:r>
              <w:rPr>
                <w:b/>
                <w:bCs/>
              </w:rPr>
            </w:r>
          </w:p>
        </w:tc>
        <w:tc>
          <w:tcPr>
            <w:tcBorders/>
            <w:tcW w:w="4898"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60"/>
        </w:trPr>
        <w:tc>
          <w:tcPr>
            <w:tcBorders/>
            <w:tcW w:w="4540" w:type="dxa"/>
            <w:vAlign w:val="bottom"/>
            <w:textDirection w:val="lrTb"/>
            <w:noWrap w:val="false"/>
          </w:tcPr>
          <w:p>
            <w:pPr>
              <w:pBdr/>
              <w:spacing/>
              <w:ind/>
              <w:jc w:val="center"/>
              <w:rPr>
                <w:b/>
                <w:bCs/>
              </w:rPr>
            </w:pPr>
            <w:r>
              <w:rPr>
                <w:b/>
                <w:bCs/>
              </w:rPr>
            </w:r>
            <w:r>
              <w:rPr>
                <w:b/>
                <w:bCs/>
              </w:rPr>
            </w:r>
            <w:r>
              <w:rPr>
                <w:b/>
                <w:bCs/>
              </w:rPr>
            </w:r>
          </w:p>
        </w:tc>
        <w:tc>
          <w:tcPr>
            <w:tcBorders/>
            <w:tcW w:w="4898" w:type="dxa"/>
            <w:vAlign w:val="center"/>
            <w:textDirection w:val="lrTb"/>
            <w:noWrap/>
          </w:tcPr>
          <w:p>
            <w:pPr>
              <w:pBdr/>
              <w:spacing/>
              <w:ind/>
              <w:jc w:val="center"/>
              <w:rPr>
                <w:b/>
                <w:bCs/>
              </w:rPr>
            </w:pPr>
            <w:r>
              <w:rPr>
                <w:b/>
                <w:bCs/>
              </w:rPr>
              <w:t xml:space="preserve">Lê </w:t>
            </w:r>
            <w:r>
              <w:rPr>
                <w:b/>
                <w:bCs/>
              </w:rPr>
              <w:t xml:space="preserve">Đình </w:t>
            </w:r>
            <w:r>
              <w:rPr>
                <w:b/>
                <w:bCs/>
              </w:rPr>
              <w:t xml:space="preserve">Duy</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FA28DE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62F1BDB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0FA28DE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287</cp:revision>
  <dcterms:created xsi:type="dcterms:W3CDTF">2025-09-15T09:58:00Z</dcterms:created>
  <dcterms:modified xsi:type="dcterms:W3CDTF">2026-09-04T10:01:08Z</dcterms:modified>
</cp:coreProperties>
</file>