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778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778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275/2026/1319/VFI-CT.65.A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PH</w:t>
                            </w:r>
                            <w:r>
                              <w:rPr>
                                <w:rFonts w:ascii="Times New Roman Bold" w:hAnsi="Times New Roman Bold"/>
                                <w:b/>
                                <w:color w:val="000000" w:themeColor="text1"/>
                                <w:lang w:val="pt-BR"/>
                              </w:rPr>
                              <w:t xml:space="preserve">AN THỊ HUYỀN TRANG</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w:t>
                            </w:r>
                            <w:r>
                              <w:rPr>
                                <w:rFonts w:ascii="Times New Roman" w:hAnsi="Times New Roman" w:eastAsia="Times New Roman" w:cs="Times New Roman"/>
                                <w:color w:val="000000"/>
                                <w:sz w:val="24"/>
                              </w:rPr>
                              <w:t xml:space="preserve">v</w:t>
                            </w:r>
                            <w:r>
                              <w:rPr>
                                <w:rFonts w:ascii="Times New Roman" w:hAnsi="Times New Roman" w:eastAsia="Times New Roman" w:cs="Times New Roman"/>
                                <w:color w:val="000000"/>
                                <w:sz w:val="24"/>
                                <w:highlight w:val="white"/>
                              </w:rPr>
                              <w:t xml:space="preserve">à</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tài </w:t>
                            </w:r>
                            <w:r>
                              <w:rPr>
                                <w:rFonts w:ascii="Times New Roman" w:hAnsi="Times New Roman" w:eastAsia="Times New Roman" w:cs="Times New Roman"/>
                                <w:color w:val="000000"/>
                                <w:sz w:val="24"/>
                                <w:highlight w:val="white"/>
                              </w:rPr>
                              <w:t xml:space="preserve">sản </w:t>
                            </w:r>
                            <w:r>
                              <w:rPr>
                                <w:rFonts w:ascii="Times New Roman" w:hAnsi="Times New Roman" w:eastAsia="Times New Roman" w:cs="Times New Roman"/>
                                <w:color w:val="000000"/>
                                <w:sz w:val="24"/>
                                <w:highlight w:val="white"/>
                              </w:rPr>
                              <w:t xml:space="preserve">gắn </w:t>
                            </w:r>
                            <w:r>
                              <w:rPr>
                                <w:rFonts w:ascii="Times New Roman" w:hAnsi="Times New Roman" w:eastAsia="Times New Roman" w:cs="Times New Roman"/>
                                <w:color w:val="000000"/>
                                <w:sz w:val="24"/>
                                <w:highlight w:val="white"/>
                              </w:rPr>
                              <w:t xml:space="preserve">liền </w:t>
                            </w:r>
                            <w:r>
                              <w:rPr>
                                <w:rFonts w:ascii="Times New Roman" w:hAnsi="Times New Roman" w:eastAsia="Times New Roman" w:cs="Times New Roman"/>
                                <w:color w:val="000000"/>
                                <w:sz w:val="24"/>
                                <w:highlight w:val="white"/>
                              </w:rPr>
                              <w:t xml:space="preserve">với </w:t>
                            </w:r>
                            <w:r>
                              <w:rPr>
                                <w:rFonts w:ascii="Times New Roman" w:hAnsi="Times New Roman" w:eastAsia="Times New Roman" w:cs="Times New Roman"/>
                                <w:color w:val="000000"/>
                                <w:sz w:val="24"/>
                                <w:highlight w:val="white"/>
                              </w:rPr>
                              <w:t xml:space="preserve">đất </w:t>
                            </w:r>
                            <w:r>
                              <w:rPr>
                                <w:rFonts w:ascii="Times New Roman" w:hAnsi="Times New Roman" w:eastAsia="Times New Roman" w:cs="Times New Roman"/>
                                <w:color w:val="000000"/>
                                <w:sz w:val="24"/>
                              </w:rPr>
                              <w:t xml:space="preserve">tại thửa đất số: 268, tờ bản đồ số: 15, có địa chỉ: Tổ dân phố 11, phường Tân Quang, thành phố Tuyên Quang, tỉnh Tuyên Quang (Nay là phường Minh Xuân, tỉnh Tuyên Quang), theo Giấy chứng nhận quyền sử dụng đất quyền sở hữu nhà ở và tài sản</w:t>
                            </w:r>
                            <w:r>
                              <w:rPr>
                                <w:rFonts w:ascii="Times New Roman" w:hAnsi="Times New Roman" w:eastAsia="Times New Roman" w:cs="Times New Roman"/>
                                <w:color w:val="000000"/>
                                <w:sz w:val="24"/>
                              </w:rPr>
                              <w:t xml:space="preserve"> khác gắn liền với đất số: CT 796022, số vào số cấp GCN: CS 02501 do Sở Tài nguyên và Môi trường tỉnh Tuyên Quang cấp ngày 08/04/2021. Chủ sử dụng đất là Bà Phan Thị Huyền Trang.</w:t>
                            </w:r>
                            <w:r>
                              <w:rPr>
                                <w:rFonts w:ascii="Times New Roman" w:hAnsi="Times New Roman" w:eastAsia="Times New Roman" w:cs="Times New Roman"/>
                                <w:sz w:val="24"/>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9.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275/2026/1319/VFI-CT.65.A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PH</w:t>
                      </w:r>
                      <w:r>
                        <w:rPr>
                          <w:rFonts w:ascii="Times New Roman Bold" w:hAnsi="Times New Roman Bold"/>
                          <w:b/>
                          <w:color w:val="000000" w:themeColor="text1"/>
                          <w:lang w:val="pt-BR"/>
                        </w:rPr>
                        <w:t xml:space="preserve">AN THỊ HUYỀN TRANG</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w:t>
                      </w:r>
                      <w:r>
                        <w:rPr>
                          <w:rFonts w:ascii="Times New Roman" w:hAnsi="Times New Roman" w:eastAsia="Times New Roman" w:cs="Times New Roman"/>
                          <w:color w:val="000000"/>
                          <w:sz w:val="24"/>
                        </w:rPr>
                        <w:t xml:space="preserve">v</w:t>
                      </w:r>
                      <w:r>
                        <w:rPr>
                          <w:rFonts w:ascii="Times New Roman" w:hAnsi="Times New Roman" w:eastAsia="Times New Roman" w:cs="Times New Roman"/>
                          <w:color w:val="000000"/>
                          <w:sz w:val="24"/>
                          <w:highlight w:val="white"/>
                        </w:rPr>
                        <w:t xml:space="preserve">à</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tài </w:t>
                      </w:r>
                      <w:r>
                        <w:rPr>
                          <w:rFonts w:ascii="Times New Roman" w:hAnsi="Times New Roman" w:eastAsia="Times New Roman" w:cs="Times New Roman"/>
                          <w:color w:val="000000"/>
                          <w:sz w:val="24"/>
                          <w:highlight w:val="white"/>
                        </w:rPr>
                        <w:t xml:space="preserve">sản </w:t>
                      </w:r>
                      <w:r>
                        <w:rPr>
                          <w:rFonts w:ascii="Times New Roman" w:hAnsi="Times New Roman" w:eastAsia="Times New Roman" w:cs="Times New Roman"/>
                          <w:color w:val="000000"/>
                          <w:sz w:val="24"/>
                          <w:highlight w:val="white"/>
                        </w:rPr>
                        <w:t xml:space="preserve">gắn </w:t>
                      </w:r>
                      <w:r>
                        <w:rPr>
                          <w:rFonts w:ascii="Times New Roman" w:hAnsi="Times New Roman" w:eastAsia="Times New Roman" w:cs="Times New Roman"/>
                          <w:color w:val="000000"/>
                          <w:sz w:val="24"/>
                          <w:highlight w:val="white"/>
                        </w:rPr>
                        <w:t xml:space="preserve">liền </w:t>
                      </w:r>
                      <w:r>
                        <w:rPr>
                          <w:rFonts w:ascii="Times New Roman" w:hAnsi="Times New Roman" w:eastAsia="Times New Roman" w:cs="Times New Roman"/>
                          <w:color w:val="000000"/>
                          <w:sz w:val="24"/>
                          <w:highlight w:val="white"/>
                        </w:rPr>
                        <w:t xml:space="preserve">với </w:t>
                      </w:r>
                      <w:r>
                        <w:rPr>
                          <w:rFonts w:ascii="Times New Roman" w:hAnsi="Times New Roman" w:eastAsia="Times New Roman" w:cs="Times New Roman"/>
                          <w:color w:val="000000"/>
                          <w:sz w:val="24"/>
                          <w:highlight w:val="white"/>
                        </w:rPr>
                        <w:t xml:space="preserve">đất </w:t>
                      </w:r>
                      <w:r>
                        <w:rPr>
                          <w:rFonts w:ascii="Times New Roman" w:hAnsi="Times New Roman" w:eastAsia="Times New Roman" w:cs="Times New Roman"/>
                          <w:color w:val="000000"/>
                          <w:sz w:val="24"/>
                        </w:rPr>
                        <w:t xml:space="preserve">tại thửa đất số: 268, tờ bản đồ số: 15, có địa chỉ: Tổ dân phố 11, phường Tân Quang, thành phố Tuyên Quang, tỉnh Tuyên Quang (Nay là phường Minh Xuân, tỉnh Tuyên Quang), theo Giấy chứng nhận quyền sử dụng đất quyền sở hữu nhà ở và tài sản</w:t>
                      </w:r>
                      <w:r>
                        <w:rPr>
                          <w:rFonts w:ascii="Times New Roman" w:hAnsi="Times New Roman" w:eastAsia="Times New Roman" w:cs="Times New Roman"/>
                          <w:color w:val="000000"/>
                          <w:sz w:val="24"/>
                        </w:rPr>
                        <w:t xml:space="preserve"> khác gắn liền với đất số: CT 796022, số vào số cấp GCN: CS 02501 do Sở Tài nguyên và Môi trường tỉnh Tuyên Quang cấp ngày 08/04/2021. Chủ sử dụng đất là Bà Phan Thị Huyền Trang.</w:t>
                      </w:r>
                      <w:r>
                        <w:rPr>
                          <w:rFonts w:ascii="Times New Roman" w:hAnsi="Times New Roman" w:eastAsia="Times New Roman" w:cs="Times New Roman"/>
                          <w:sz w:val="24"/>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w:t>
            </w:r>
            <w:r>
              <w:rPr>
                <w:b/>
                <w:color w:val="000000" w:themeColor="text1"/>
              </w:rPr>
              <w:t xml:space="preserve">2</w:t>
            </w:r>
            <w:r>
              <w:rPr>
                <w:b/>
                <w:color w:val="000000" w:themeColor="text1"/>
              </w:rPr>
              <w:t xml:space="preserve">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5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t xml:space="preserve">26</w:t>
            </w:r>
            <w:r>
              <w:rPr>
                <w:b/>
                <w:bCs/>
              </w:rPr>
            </w:r>
            <w:r>
              <w:rPr>
                <w:b/>
                <w:bCs/>
              </w:rPr>
            </w:r>
          </w:p>
        </w:tc>
      </w:tr>
      <w:tr>
        <w:trPr/>
        <w:tc>
          <w:tcPr>
            <w:tcBorders/>
            <w:tcMar>
              <w:left w:w="108" w:type="dxa"/>
              <w:right w:w="108" w:type="dxa"/>
            </w:tcMar>
            <w:tcW w:w="7280" w:type="dxa"/>
            <w:vAlign w:val="center"/>
            <w:textDirection w:val="lrTb"/>
            <w:noWrap w:val="false"/>
          </w:tcPr>
          <w:p>
            <w:pPr>
              <w:pStyle w:val="105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27</w:t>
            </w:r>
            <w:r>
              <w:rPr>
                <w:b/>
                <w:bCs/>
              </w:rPr>
              <w:t xml:space="preserve">-2</w:t>
            </w:r>
            <w:r>
              <w:rPr>
                <w:b/>
                <w:bCs/>
              </w:rPr>
              <w:t xml:space="preserve">9</w:t>
            </w:r>
            <w:r>
              <w:rPr>
                <w:b/>
                <w:bCs/>
              </w:rPr>
            </w:r>
            <w:r>
              <w:rPr>
                <w:b/>
                <w:bCs/>
              </w:rPr>
            </w:r>
          </w:p>
        </w:tc>
      </w:tr>
    </w:tbl>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5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013"/>
        <w:gridCol w:w="3089"/>
        <w:gridCol w:w="5102"/>
        <w:gridCol w:w="4210"/>
      </w:tblGrid>
      <w:tr>
        <w:trPr>
          <w:trHeight w:val="1152"/>
        </w:trPr>
        <w:tc>
          <w:tcPr>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1240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4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102" w:type="dxa"/>
            <w:textDirection w:val="lrTb"/>
            <w:noWrap w:val="false"/>
          </w:tcPr>
          <w:p>
            <w:pPr>
              <w:pStyle w:val="1052"/>
              <w:pBdr/>
              <w:spacing w:after="60"/>
              <w:ind/>
              <w:rPr>
                <w:color w:val="000000" w:themeColor="text1"/>
                <w:sz w:val="24"/>
                <w:szCs w:val="24"/>
              </w:rPr>
            </w:pPr>
            <w:r>
              <w:rPr>
                <w:rStyle w:val="1051"/>
                <w:rFonts w:ascii="Times New Roman" w:hAnsi="Times New Roman"/>
                <w:color w:val="000000" w:themeColor="text1"/>
                <w:lang w:val="pt-BR"/>
              </w:rPr>
              <w:t xml:space="preserve">Số: </w:t>
            </w:r>
            <w:r>
              <w:rPr>
                <w:rStyle w:val="1051"/>
                <w:rFonts w:ascii="Times New Roman" w:hAnsi="Times New Roman"/>
                <w:color w:val="000000" w:themeColor="text1"/>
                <w:lang w:val="pt-BR"/>
              </w:rPr>
              <w:t xml:space="preserve">275/2026/1319/VFI-CT.65.A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102" w:type="dxa"/>
            <w:textDirection w:val="lrTb"/>
            <w:noWrap w:val="false"/>
          </w:tcPr>
          <w:p>
            <w:pPr>
              <w:pStyle w:val="1052"/>
              <w:pBdr/>
              <w:spacing w:after="60"/>
              <w:ind w:right="-56"/>
              <w:jc w:val="right"/>
              <w:rPr>
                <w:color w:val="000000" w:themeColor="text1"/>
                <w:sz w:val="24"/>
                <w:szCs w:val="24"/>
                <w:lang w:val="vi-VN"/>
              </w:rPr>
            </w:pPr>
            <w:r>
              <w:rPr>
                <w:rStyle w:val="1051"/>
                <w:rFonts w:ascii="Times New Roman" w:hAnsi="Times New Roman"/>
                <w:i/>
                <w:color w:val="auto"/>
              </w:rPr>
              <w:t xml:space="preserve">TP. Hà Nội</w:t>
            </w:r>
            <w:r>
              <w:rPr>
                <w:rStyle w:val="1051"/>
                <w:rFonts w:ascii="Times New Roman" w:hAnsi="Times New Roman"/>
                <w:i/>
                <w:color w:val="auto"/>
                <w:lang w:val="vi-VN"/>
              </w:rPr>
              <w:t xml:space="preserve">, </w:t>
            </w:r>
            <w:r>
              <w:rPr>
                <w:rStyle w:val="1051"/>
                <w:rFonts w:ascii="Times New Roman" w:hAnsi="Times New Roman"/>
                <w:i/>
                <w:color w:val="000000" w:themeColor="text1"/>
                <w:lang w:val="vi-VN"/>
              </w:rPr>
              <w:t xml:space="preserve">ngày 2</w:t>
            </w:r>
            <w:r>
              <w:rPr>
                <w:rStyle w:val="1051"/>
                <w:rFonts w:ascii="Times New Roman" w:hAnsi="Times New Roman"/>
                <w:i/>
                <w:color w:val="000000" w:themeColor="text1"/>
                <w:lang w:val="vi-VN"/>
              </w:rPr>
              <w:t xml:space="preserve">1</w:t>
            </w:r>
            <w:r>
              <w:rPr>
                <w:rStyle w:val="1051"/>
                <w:rFonts w:ascii="Times New Roman" w:hAnsi="Times New Roman"/>
                <w:i/>
                <w:color w:val="000000" w:themeColor="text1"/>
                <w:lang w:val="vi-VN"/>
              </w:rPr>
              <w:t xml:space="preserve"> tháng 8 năm 2026</w:t>
            </w:r>
            <w:r>
              <w:rPr>
                <w:color w:val="000000" w:themeColor="text1"/>
                <w:sz w:val="24"/>
                <w:szCs w:val="24"/>
                <w:lang w:val="vi-VN"/>
              </w:rPr>
            </w:r>
            <w:r>
              <w:rPr>
                <w:color w:val="000000" w:themeColor="text1"/>
                <w:sz w:val="24"/>
                <w:szCs w:val="24"/>
                <w:lang w:val="vi-VN"/>
              </w:rPr>
            </w:r>
          </w:p>
        </w:tc>
      </w:tr>
    </w:tbl>
    <w:p>
      <w:pPr>
        <w:pStyle w:val="1052"/>
        <w:pBdr/>
        <w:spacing w:after="120" w:before="200" w:line="288" w:lineRule="auto"/>
        <w:ind/>
        <w:jc w:val="center"/>
        <w:rPr>
          <w:rStyle w:val="1051"/>
          <w:rFonts w:ascii="Times New Roman" w:hAnsi="Times New Roman"/>
          <w:b/>
          <w:bCs/>
          <w:color w:val="auto"/>
          <w:sz w:val="30"/>
          <w:szCs w:val="30"/>
          <w:lang w:val="vi-VN"/>
        </w:rPr>
      </w:pPr>
      <w:r>
        <w:rPr>
          <w:rStyle w:val="1051"/>
          <w:rFonts w:ascii="Times New Roman" w:hAnsi="Times New Roman"/>
          <w:b/>
          <w:bCs/>
          <w:color w:val="auto"/>
          <w:sz w:val="30"/>
          <w:szCs w:val="30"/>
          <w:lang w:val="vi-VN"/>
        </w:rPr>
        <w:t xml:space="preserve">CHỨNG THƯ THẨM ĐỊNH GIÁ</w:t>
      </w:r>
      <w:r>
        <w:rPr>
          <w:rStyle w:val="1051"/>
          <w:rFonts w:ascii="Times New Roman" w:hAnsi="Times New Roman"/>
          <w:b/>
          <w:bCs/>
          <w:color w:val="auto"/>
          <w:sz w:val="30"/>
          <w:szCs w:val="30"/>
          <w:lang w:val="vi-VN"/>
        </w:rPr>
      </w:r>
      <w:r>
        <w:rPr>
          <w:rStyle w:val="105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PHAN THỊ HUYỀN TRANG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275/2026/1319/VFI-HĐTĐ.65.A</w:t>
      </w:r>
      <w:r>
        <w:rPr>
          <w:spacing w:val="-4"/>
          <w:lang w:val="vi-VN"/>
        </w:rPr>
        <w:t xml:space="preserve"> ký ngày </w:t>
      </w:r>
      <w:r>
        <w:rPr>
          <w:color w:val="000000" w:themeColor="text1"/>
          <w:spacing w:val="-4"/>
        </w:rPr>
        <w:t xml:space="preserve">19 tháng 8 năm 2026</w:t>
      </w:r>
      <w:r>
        <w:rPr>
          <w:spacing w:val="-4"/>
          <w:lang w:val="vi-VN"/>
        </w:rPr>
        <w:t xml:space="preserve"> </w:t>
      </w:r>
      <w:r>
        <w:rPr>
          <w:spacing w:val="-4"/>
          <w:lang w:val="vi-VN"/>
        </w:rPr>
        <w:t xml:space="preserve">giữa </w:t>
      </w:r>
      <w:r>
        <w:rPr>
          <w:rFonts w:ascii="Times New Roman" w:hAnsi="Times New Roman" w:eastAsia="Times New Roman" w:cs="Times New Roman"/>
          <w:color w:val="000000"/>
          <w:spacing w:val="-4"/>
          <w:sz w:val="24"/>
        </w:rPr>
        <w:t xml:space="preserve">Bà Phan Thị Huyền Trang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275/2026/1319/VFI-BC.65.A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21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PHAN THỊ HUYỀN TRANG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025187002124</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Tổ 13, phường Tân Quang, thành phố Tuyên Quang, tỉnh Tuyên Quang (Nay là phường Minh Xuân, tỉnh Tuyên Quang)</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268, tờ bản đồ số: 15, có địa chỉ: Tổ dân phố 11, phường Tân Quang, thành phố Tuyên Quang, tỉnh Tuyên Quang (Nay là phường Minh Xuân, tỉnh Tuyê</w:t>
      </w:r>
      <w:r>
        <w:rPr>
          <w:color w:val="000000" w:themeColor="text1"/>
        </w:rPr>
        <w:t xml:space="preserve">n Quang), theo Giấy chứng nhận quyền sử dụng đất quyền sở hữu nhà ở và tài sản khác gắn liền với đất số: CT 796022, số vào số cấp GCN: CS 02501 do Sở Tài nguyên và Môi trường tỉnh Tuyên Quang cấp ngày 08/04/2021. Chủ sử dụng đất là Bà Phan Thị Huyền Trang.</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52"/>
        <w:gridCol w:w="1212"/>
        <w:gridCol w:w="813"/>
        <w:gridCol w:w="1802"/>
        <w:gridCol w:w="2581"/>
        <w:gridCol w:w="2164"/>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gridSpan w:val="2"/>
            <w:shd w:val="clear" w:color="000000" w:fill="ffffff"/>
            <w:tcBorders/>
            <w:tcW w:w="202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Tỷ lệ chất lượng còn lại (%)</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5"/>
            <w:shd w:val="clear" w:color="000000" w:fill="ffffff"/>
            <w:tcBorders/>
            <w:tcW w:w="6967" w:type="dxa"/>
            <w:vAlign w:val="center"/>
            <w:textDirection w:val="lrTb"/>
            <w:noWrap w:val="false"/>
          </w:tcPr>
          <w:p>
            <w:pPr>
              <w:pBdr/>
              <w:spacing w:after="40" w:before="40" w:line="288" w:lineRule="auto"/>
              <w:ind/>
              <w:jc w:val="both"/>
              <w:rPr>
                <w:b/>
                <w:bCs/>
              </w:rPr>
            </w:pPr>
            <w:r>
              <w:rPr>
                <w:color w:val="000000"/>
              </w:rPr>
              <w:t xml:space="preserve">Quyền sử dụng đất và tài sản gắn liền với đất tại thửa đất số: 268, tờ bản đồ số: 15, có địa chỉ: Tổ dân phố 11, phường Tân Quang, thành phố Tuyên Quang, tỉnh Tuyên Quang (Nay là phường Minh Xuân, tỉnh Tuyê</w:t>
            </w:r>
            <w:r>
              <w:rPr>
                <w:color w:val="000000"/>
              </w:rPr>
              <w:t xml:space="preserve">n Quang), theo Giấy chứng nhận quyền sử dụng đất quyền sở hữu nhà ở và tài sản khác gắn liền với đất số: CT 796022, số vào số cấp GCN: CS 02501 do Sở Tài nguyên và Môi trường tỉnh Tuyên Quang cấp ngày 08/04/2021. Chủ sử dụng đất là Bà Phan Thị Huyền Trang.</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gridSpan w:val="2"/>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243,1</w:t>
            </w:r>
            <w:r>
              <w:rPr>
                <w:color w:val="000000"/>
                <w:highlight w:val="white"/>
              </w:rPr>
            </w:r>
            <w:r>
              <w:rPr>
                <w:color w:val="000000"/>
                <w:highlight w:val="white"/>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56.800.000</w:t>
            </w:r>
            <w:r/>
          </w:p>
        </w:tc>
        <w:tc>
          <w:tcPr>
            <w:shd w:val="clear" w:color="000000" w:fill="ffffff"/>
            <w:tcBorders/>
            <w:tcW w:w="216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13.808.080.000</w:t>
            </w:r>
            <w:r>
              <w:rPr>
                <w:color w:val="000000" w:themeColor="text1"/>
              </w:rPr>
            </w: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gridSpan w:val="2"/>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Nhà cấp 4</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170,17</w:t>
            </w:r>
            <w:r>
              <w:rPr>
                <w:color w:val="000000"/>
                <w:highlight w:val="white"/>
              </w:rPr>
            </w:r>
            <w:r>
              <w:rPr>
                <w:color w:val="000000"/>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5.840.945</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w:t xml:space="preserve">9</w:t>
            </w:r>
            <w:r>
              <w:rPr>
                <w:color w:val="000000" w:themeColor="text1"/>
                <w:highlight w:val="white"/>
              </w:rPr>
              <w:t xml:space="preserve">9</w:t>
            </w:r>
            <w:r>
              <w:rPr>
                <w:color w:val="000000" w:themeColor="text1"/>
                <w:highlight w:val="white"/>
              </w:rPr>
              <w:t xml:space="preserve">%</w:t>
            </w:r>
            <w:r>
              <w:rPr>
                <w:color w:val="000000" w:themeColor="text1"/>
                <w:highlight w:val="white"/>
              </w:rPr>
            </w:r>
            <w:r>
              <w:rPr>
                <w:color w:val="000000" w:themeColor="text1"/>
                <w:highlight w:val="white"/>
              </w:rPr>
            </w:r>
          </w:p>
        </w:tc>
        <w:tc>
          <w:tcPr>
            <w:shd w:val="clear" w:color="000000" w:fill="ffffff"/>
            <w:tcBorders/>
            <w:tcW w:w="2164" w:type="dxa"/>
            <w:vAlign w:val="center"/>
            <w:textDirection w:val="lrTb"/>
            <w:noWrap w:val="false"/>
          </w:tcPr>
          <w:p>
            <w:pPr>
              <w:pBdr/>
              <w:spacing/>
              <w:ind/>
              <w:jc w:val="center"/>
              <w:rPr>
                <w:color w:val="000000" w:themeColor="text1"/>
                <w14:ligatures w14:val="none"/>
              </w:rPr>
            </w:pPr>
            <w:r>
              <w:rPr>
                <w:color w:val="000000" w:themeColor="text1"/>
              </w:rPr>
              <w:t xml:space="preserve">9</w:t>
            </w:r>
            <w:r>
              <w:rPr>
                <w:color w:val="000000" w:themeColor="text1"/>
              </w:rPr>
              <w:t xml:space="preserve">84.</w:t>
            </w:r>
            <w:r>
              <w:rPr>
                <w:color w:val="000000" w:themeColor="text1"/>
              </w:rPr>
              <w:t xml:space="preserve">014.</w:t>
            </w:r>
            <w:r>
              <w:rPr>
                <w:color w:val="000000" w:themeColor="text1"/>
              </w:rPr>
              <w:t xml:space="preserve">075</w:t>
            </w:r>
            <w:r>
              <w:rPr>
                <w:color w:val="000000" w:themeColor="text1"/>
                <w14:ligatures w14:val="none"/>
              </w:rPr>
            </w:r>
            <w:r>
              <w:rPr>
                <w:color w:val="000000" w:themeColor="text1"/>
                <w14:ligatures w14:val="none"/>
              </w:rPr>
            </w:r>
          </w:p>
        </w:tc>
      </w:tr>
      <w:tr>
        <w:trPr>
          <w:trHeight w:val="20"/>
        </w:trPr>
        <w:tc>
          <w:tcPr>
            <w:gridSpan w:val="6"/>
            <w:tcBorders/>
            <w:tcW w:w="7767"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center"/>
              <w:rPr>
                <w:b/>
                <w:bCs/>
                <w:color w:val="000000"/>
              </w:rPr>
            </w:pPr>
            <w:r>
              <w:t xml:space="preserve">14.7</w:t>
            </w:r>
            <w:r>
              <w:t xml:space="preserve">9</w:t>
            </w:r>
            <w:r>
              <w:t xml:space="preserve">2.</w:t>
            </w:r>
            <w:r>
              <w:t xml:space="preserve">094</w:t>
            </w:r>
            <w:r>
              <w:t xml:space="preserve">.</w:t>
            </w:r>
            <w:r>
              <w:t xml:space="preserve">075</w:t>
            </w:r>
            <w:r>
              <w:rPr>
                <w:b/>
                <w:bCs/>
                <w:color w:val="000000"/>
              </w:rPr>
            </w:r>
            <w:r>
              <w:rPr>
                <w:b/>
                <w:bCs/>
                <w:color w:val="000000"/>
              </w:rPr>
            </w:r>
          </w:p>
        </w:tc>
      </w:tr>
      <w:tr>
        <w:trPr>
          <w:trHeight w:val="20"/>
        </w:trPr>
        <w:tc>
          <w:tcPr>
            <w:gridSpan w:val="6"/>
            <w:tcBorders/>
            <w:tcW w:w="7705"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14.7</w:t>
            </w:r>
            <w:r>
              <w:rPr>
                <w:b/>
                <w:bCs/>
              </w:rPr>
              <w:t xml:space="preserve">9</w:t>
            </w:r>
            <w:r>
              <w:rPr>
                <w:b/>
                <w:bCs/>
              </w:rPr>
              <w:t xml:space="preserve">2.</w:t>
            </w:r>
            <w:r>
              <w:rPr>
                <w:b/>
                <w:bCs/>
              </w:rPr>
              <w:t xml:space="preserve">0</w:t>
            </w:r>
            <w:r>
              <w:rPr>
                <w:b/>
                <w:bCs/>
              </w:rPr>
              <w:t xml:space="preserve">00.</w:t>
            </w:r>
            <w:r>
              <w:rPr>
                <w:b/>
                <w:bCs/>
              </w:rPr>
              <w:t xml:space="preserve">000</w:t>
            </w:r>
            <w:r>
              <w:rPr>
                <w:b/>
                <w:bCs/>
                <w:color w:val="000000"/>
              </w:rPr>
            </w:r>
            <w:r>
              <w:rPr>
                <w:b/>
                <w:bCs/>
                <w:color w:val="000000"/>
              </w:rPr>
            </w:r>
          </w:p>
        </w:tc>
      </w:tr>
      <w:tr>
        <w:trPr>
          <w:trHeight w:val="20"/>
        </w:trPr>
        <w:tc>
          <w:tcPr>
            <w:gridSpan w:val="7"/>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Mười </w:t>
            </w:r>
            <w:r>
              <w:rPr>
                <w:b/>
                <w:bCs/>
                <w:i/>
                <w:iCs/>
                <w:color w:val="000000" w:themeColor="text1"/>
              </w:rPr>
              <w:t xml:space="preserve">bốn </w:t>
            </w:r>
            <w:r>
              <w:rPr>
                <w:b/>
                <w:bCs/>
                <w:i/>
                <w:iCs/>
                <w:color w:val="000000" w:themeColor="text1"/>
              </w:rPr>
              <w:t xml:space="preserve">tỷ </w:t>
            </w:r>
            <w:r>
              <w:rPr>
                <w:b/>
                <w:bCs/>
                <w:i/>
                <w:iCs/>
                <w:color w:val="000000" w:themeColor="text1"/>
              </w:rPr>
              <w:t xml:space="preserve">bảy </w:t>
            </w:r>
            <w:r>
              <w:rPr>
                <w:b/>
                <w:bCs/>
                <w:i/>
                <w:iCs/>
                <w:color w:val="000000" w:themeColor="text1"/>
              </w:rPr>
              <w:t xml:space="preserve">trăm </w:t>
            </w:r>
            <w:r>
              <w:rPr>
                <w:b/>
                <w:bCs/>
                <w:i/>
                <w:iCs/>
                <w:color w:val="000000" w:themeColor="text1"/>
              </w:rPr>
              <w:t xml:space="preserve">chín</w:t>
            </w:r>
            <w:r>
              <w:rPr>
                <w:b/>
                <w:bCs/>
                <w:i/>
                <w:iCs/>
                <w:color w:val="000000" w:themeColor="text1"/>
              </w:rPr>
              <w:t xml:space="preserve"> </w:t>
            </w:r>
            <w:r>
              <w:rPr>
                <w:b/>
                <w:bCs/>
                <w:i/>
                <w:iCs/>
                <w:color w:val="000000" w:themeColor="text1"/>
              </w:rPr>
              <w:t xml:space="preserve">mươi </w:t>
            </w:r>
            <w:r>
              <w:rPr>
                <w:b/>
                <w:bCs/>
                <w:i/>
                <w:iCs/>
                <w:color w:val="000000" w:themeColor="text1"/>
              </w:rPr>
              <w:t xml:space="preserve">hai</w:t>
            </w:r>
            <w:r>
              <w:rPr>
                <w:b/>
                <w:bCs/>
                <w:i/>
                <w:iCs/>
                <w:color w:val="000000" w:themeColor="text1"/>
              </w:rPr>
              <w:t xml:space="preserve"> </w:t>
            </w:r>
            <w:r>
              <w:rPr>
                <w:b/>
                <w:bCs/>
                <w:i/>
                <w:iCs/>
                <w:color w:val="000000" w:themeColor="text1"/>
              </w:rPr>
              <w:t xml:space="preserve">triệu</w:t>
            </w:r>
            <w:r>
              <w:rPr>
                <w:b/>
                <w:bCs/>
                <w:i/>
                <w:iCs/>
                <w:color w:val="000000" w:themeColor="text1"/>
              </w:rPr>
              <w:t xml:space="preserve">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pPr>
      <w:r>
        <w:rPr>
          <w:highlight w:val="none"/>
          <w:lang w:val="vi-VN"/>
        </w:rPr>
      </w:r>
      <w:r>
        <w:rPr>
          <w:highlight w:val="none"/>
          <w:lang w:val="vi-VN"/>
        </w:rPr>
      </w: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1895"/>
        <w:gridCol w:w="3066"/>
        <w:gridCol w:w="4961"/>
        <w:gridCol w:w="29"/>
      </w:tblGrid>
      <w:tr>
        <w:trPr>
          <w:trHeight w:val="1843"/>
        </w:trPr>
        <w:tc>
          <w:tcPr>
            <w:tcBorders/>
            <w:tcW w:w="189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4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4961" w:type="dxa"/>
            <w:textDirection w:val="lrTb"/>
            <w:noWrap w:val="false"/>
          </w:tcPr>
          <w:p>
            <w:pPr>
              <w:pStyle w:val="1052"/>
              <w:pBdr/>
              <w:spacing w:after="60"/>
              <w:ind/>
              <w:rPr>
                <w:color w:val="000000" w:themeColor="text1"/>
                <w:sz w:val="24"/>
                <w:szCs w:val="24"/>
              </w:rPr>
            </w:pPr>
            <w:r>
              <w:rPr>
                <w:rStyle w:val="1051"/>
                <w:rFonts w:ascii="Times New Roman" w:hAnsi="Times New Roman"/>
                <w:color w:val="000000" w:themeColor="text1"/>
                <w:lang w:val="pt-BR"/>
              </w:rPr>
              <w:t xml:space="preserve">Số: </w:t>
            </w:r>
            <w:r>
              <w:rPr>
                <w:rStyle w:val="1051"/>
                <w:rFonts w:ascii="Times New Roman" w:hAnsi="Times New Roman"/>
                <w:color w:val="000000" w:themeColor="text1"/>
                <w:lang w:val="pt-BR"/>
              </w:rPr>
              <w:t xml:space="preserve">275/2026/1319/VFI-</w:t>
            </w:r>
            <w:r>
              <w:rPr>
                <w:rStyle w:val="1051"/>
                <w:rFonts w:ascii="Times New Roman" w:hAnsi="Times New Roman"/>
                <w:color w:val="000000" w:themeColor="text1"/>
                <w:lang w:val="pt-BR"/>
              </w:rPr>
              <w:t xml:space="preserve">B</w:t>
            </w:r>
            <w:r>
              <w:rPr>
                <w:rStyle w:val="1051"/>
                <w:rFonts w:ascii="Times New Roman" w:hAnsi="Times New Roman"/>
                <w:color w:val="000000" w:themeColor="text1"/>
                <w:lang w:val="pt-BR"/>
              </w:rPr>
              <w:t xml:space="preserve">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52"/>
              <w:pBdr/>
              <w:spacing w:after="60"/>
              <w:ind w:right="-56"/>
              <w:jc w:val="right"/>
              <w:rPr>
                <w:color w:val="000000" w:themeColor="text1"/>
                <w:sz w:val="24"/>
                <w:szCs w:val="24"/>
                <w:lang w:val="vi-VN"/>
              </w:rPr>
            </w:pPr>
            <w:r>
              <w:rPr>
                <w:rStyle w:val="1051"/>
                <w:rFonts w:ascii="Times New Roman" w:hAnsi="Times New Roman"/>
                <w:i/>
                <w:color w:val="auto"/>
              </w:rPr>
              <w:t xml:space="preserve">TP. Hà Nội</w:t>
            </w:r>
            <w:r>
              <w:rPr>
                <w:rStyle w:val="1051"/>
                <w:rFonts w:ascii="Times New Roman" w:hAnsi="Times New Roman"/>
                <w:i/>
                <w:color w:val="auto"/>
                <w:lang w:val="vi-VN"/>
              </w:rPr>
              <w:t xml:space="preserve">, </w:t>
            </w:r>
            <w:r>
              <w:rPr>
                <w:rStyle w:val="1051"/>
                <w:rFonts w:ascii="Times New Roman" w:hAnsi="Times New Roman"/>
                <w:i/>
                <w:color w:val="000000" w:themeColor="text1"/>
                <w:lang w:val="vi-VN"/>
              </w:rPr>
              <w:t xml:space="preserve">ngày 2</w:t>
            </w:r>
            <w:r>
              <w:rPr>
                <w:rStyle w:val="1051"/>
                <w:rFonts w:ascii="Times New Roman" w:hAnsi="Times New Roman"/>
                <w:i/>
                <w:color w:val="000000" w:themeColor="text1"/>
                <w:lang w:val="vi-VN"/>
              </w:rPr>
              <w:t xml:space="preserve">1</w:t>
            </w:r>
            <w:r>
              <w:rPr>
                <w:rStyle w:val="1051"/>
                <w:rFonts w:ascii="Times New Roman" w:hAnsi="Times New Roman"/>
                <w:i/>
                <w:color w:val="000000" w:themeColor="text1"/>
                <w:lang w:val="vi-VN"/>
              </w:rPr>
              <w:t xml:space="preserve"> tháng 8 năm 2026</w:t>
            </w:r>
            <w:r>
              <w:rPr>
                <w:color w:val="000000" w:themeColor="text1"/>
                <w:sz w:val="24"/>
                <w:szCs w:val="24"/>
                <w:lang w:val="vi-VN"/>
              </w:rPr>
            </w:r>
            <w:r>
              <w:rPr>
                <w:color w:val="000000" w:themeColor="text1"/>
                <w:sz w:val="24"/>
                <w:szCs w:val="24"/>
                <w:lang w:val="vi-VN"/>
              </w:rPr>
            </w:r>
          </w:p>
        </w:tc>
      </w:tr>
    </w:tbl>
    <w:p>
      <w:pPr>
        <w:pStyle w:val="105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3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275/2026/1319/VFI-CT.65.A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w:t>
      </w:r>
      <w:r>
        <w:rPr>
          <w:b w:val="0"/>
          <w:i/>
          <w:color w:val="000000" w:themeColor="text1"/>
          <w:spacing w:val="-6"/>
          <w:sz w:val="24"/>
          <w:szCs w:val="24"/>
          <w:lang w:val="pt-BR"/>
        </w:rPr>
        <w:t xml:space="preserve">1</w:t>
      </w:r>
      <w:r>
        <w:rPr>
          <w:b w:val="0"/>
          <w:i/>
          <w:color w:val="000000" w:themeColor="text1"/>
          <w:spacing w:val="-6"/>
          <w:sz w:val="24"/>
          <w:szCs w:val="24"/>
          <w:lang w:val="pt-BR"/>
        </w:rPr>
        <w:t xml:space="preserve">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3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5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PHAN THỊ HUYỀN TRANG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025187002124</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Tổ 13, phường Tân Quang, thành phố Tuyên Quang, tỉnh Tuyên Quang (Nay là phường Minh Xuân, tỉnh Tuyên Quang)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tài sản gắn liền với đất tại thửa đất số: 268, tờ bản đồ số: 15, có địa chỉ: Tổ dân phố 11, phường Tân Quang, thành phố Tuyên Quang, tỉnh Tuyên Quang (Nay là phường Minh Xuân, tỉnh Tuyê</w:t>
            </w:r>
            <w:r>
              <w:rPr>
                <w:bCs/>
                <w:color w:val="000000" w:themeColor="text1"/>
                <w:lang w:val="pt-BR"/>
              </w:rPr>
              <w:t xml:space="preserve">n Quang), theo Giấy chứng nhận quyền sử dụng đất quyền sở hữu nhà ở và tài sản khác gắn liền với đất số: CT 796022, số vào số cấp GCN: CS 02501 do Sở Tài nguyên và Môi trường tỉnh Tuyên Quang cấp ngày 08/04/2021. Chủ sử dụng đất là Bà Phan Thị Huyền Trang.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Phường Minh Xuân, tỉnh Tuyên Quang</w:t>
            </w: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(21.814694, 105.210083)</w:t>
            </w: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5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19/08/2026.</w:t>
            </w: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5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5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5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53"/>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5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5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5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5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5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53"/>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53"/>
        <w:numPr>
          <w:ilvl w:val="0"/>
          <w:numId w:val="48"/>
        </w:numPr>
        <w:pBdr/>
        <w:spacing w:after="120" w:before="120" w:line="276" w:lineRule="auto"/>
        <w:ind/>
        <w:jc w:val="both"/>
        <w:rPr>
          <w:bCs/>
          <w:spacing w:val="-4"/>
          <w:lang w:val="pt-BR"/>
        </w:rPr>
      </w:pPr>
      <w:r>
        <w:rPr>
          <w:bCs/>
          <w:spacing w:val="-4"/>
          <w:lang w:val="pt-BR"/>
        </w:rPr>
        <w:t xml:space="preserve">Quyết định số 4</w:t>
      </w:r>
      <w:r>
        <w:rPr>
          <w:bCs/>
          <w:spacing w:val="-4"/>
          <w:lang w:val="pt-BR"/>
        </w:rPr>
        <w:t xml:space="preserve">25</w:t>
      </w:r>
      <w:r>
        <w:rPr>
          <w:bCs/>
          <w:spacing w:val="-4"/>
          <w:lang w:val="pt-BR"/>
        </w:rPr>
        <w:t xml:space="preserve">/QĐ-BXD ngày </w:t>
      </w:r>
      <w:r>
        <w:rPr>
          <w:bCs/>
          <w:spacing w:val="-4"/>
          <w:lang w:val="pt-BR"/>
        </w:rPr>
        <w:t xml:space="preserve">30</w:t>
      </w:r>
      <w:r>
        <w:rPr>
          <w:bCs/>
          <w:spacing w:val="-4"/>
          <w:lang w:val="pt-BR"/>
        </w:rPr>
        <w:t xml:space="preserve">/</w:t>
      </w:r>
      <w:r>
        <w:rPr>
          <w:bCs/>
          <w:spacing w:val="-4"/>
          <w:lang w:val="pt-BR"/>
        </w:rPr>
        <w:t xml:space="preserve">3</w:t>
      </w:r>
      <w:r>
        <w:rPr>
          <w:bCs/>
          <w:spacing w:val="-4"/>
          <w:lang w:val="pt-BR"/>
        </w:rPr>
        <w:t xml:space="preserve">/202</w:t>
      </w:r>
      <w:r>
        <w:rPr>
          <w:bCs/>
          <w:spacing w:val="-4"/>
          <w:lang w:val="pt-BR"/>
        </w:rPr>
        <w:t xml:space="preserve">6</w:t>
      </w:r>
      <w:r>
        <w:rPr>
          <w:bCs/>
          <w:spacing w:val="-4"/>
          <w:lang w:val="pt-BR"/>
        </w:rPr>
        <w:t xml:space="preserve"> của Bộ Xây dựng về việc Công bố suất vốn đầu tư xây dựng công trình và giá xây dựng tổng hợp bộ phận kết cấu công trình năm 202</w:t>
      </w:r>
      <w:r>
        <w:rPr>
          <w:bCs/>
          <w:spacing w:val="-4"/>
          <w:lang w:val="pt-BR"/>
        </w:rPr>
        <w:t xml:space="preserve">6</w:t>
      </w:r>
      <w:r>
        <w:rPr>
          <w:bCs/>
          <w:spacing w:val="-4"/>
          <w:lang w:val="pt-BR"/>
        </w:rPr>
        <w:t xml:space="preserve">;</w:t>
      </w:r>
      <w:r>
        <w:rPr>
          <w:bCs/>
          <w:spacing w:val="-4"/>
          <w:lang w:val="pt-BR"/>
        </w:rPr>
      </w:r>
      <w:r>
        <w:rPr>
          <w:bCs/>
          <w:spacing w:val="-4"/>
          <w:lang w:val="pt-BR"/>
        </w:rPr>
      </w:r>
    </w:p>
    <w:p>
      <w:pPr>
        <w:pStyle w:val="105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5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5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5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53"/>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CT 796022, số vào số cấp GCN: CS 02501 do Sở Tài nguyên và Môi trường tỉnh Tuyên Quang cấp ngày 08/04/2021. Chủ sử dụng đất là Bà Phan Thị Huyền Trang.</w:t>
      </w:r>
      <w:r>
        <w:rPr>
          <w:i/>
          <w:iCs/>
          <w:lang w:val="pt-BR"/>
        </w:rPr>
      </w:r>
      <w:r>
        <w:rPr>
          <w:i/>
          <w:iCs/>
          <w:lang w:val="pt-BR"/>
        </w:rPr>
      </w:r>
    </w:p>
    <w:p>
      <w:pPr>
        <w:pStyle w:val="1053"/>
        <w:numPr>
          <w:ilvl w:val="0"/>
          <w:numId w:val="2"/>
        </w:numPr>
        <w:pBdr/>
        <w:tabs>
          <w:tab w:val="left" w:leader="none" w:pos="993"/>
        </w:tabs>
        <w:spacing w:after="120" w:before="120" w:line="276" w:lineRule="auto"/>
        <w:ind/>
        <w:jc w:val="both"/>
        <w:rPr>
          <w:bCs/>
          <w:i/>
          <w:lang w:val="pt-BR"/>
        </w:rPr>
      </w:pPr>
      <w:r>
        <w:rPr>
          <w:highlight w:val="none"/>
          <w:lang w:val="pt-BR" w:bidi="pt-BR"/>
        </w:rPr>
        <w:t xml:space="preserve">GPXD</w:t>
      </w:r>
      <w:r>
        <w:rPr>
          <w:bCs/>
          <w:i/>
          <w:lang w:val="pt-BR"/>
        </w:rPr>
      </w:r>
      <w:r>
        <w:rPr>
          <w:bCs/>
          <w:i/>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số </w:t>
      </w:r>
      <w:r>
        <w:rPr>
          <w:rFonts w:ascii="Times New Roman" w:hAnsi="Times New Roman" w:eastAsia="Times New Roman" w:cs="Times New Roman"/>
          <w:color w:val="000000"/>
          <w:spacing w:val="-4"/>
          <w:sz w:val="24"/>
        </w:rPr>
        <w:t xml:space="preserve">275/2026/1319/VFI-HĐTĐ.65.A ngày 19 tháng 8 năm 2026 giữa Bà Phan Thị Huyền Trang</w:t>
      </w:r>
      <w:r>
        <w:rPr>
          <w:rFonts w:ascii="Times New Roman" w:hAnsi="Times New Roman" w:eastAsia="Times New Roman" w:cs="Times New Roman"/>
          <w:color w:val="000000"/>
          <w:sz w:val="24"/>
        </w:rPr>
        <w:t xml:space="preserve"> với Công ty Cổ phần Thẩm định và Đầu tư Tài chính Hoa Sen.</w:t>
      </w:r>
      <w:r>
        <w:rPr>
          <w:rFonts w:ascii="Times New Roman" w:hAnsi="Times New Roman" w:eastAsia="Times New Roman" w:cs="Times New Roman"/>
          <w:sz w:val="24"/>
        </w:rPr>
      </w:r>
      <w:r/>
    </w:p>
    <w:p>
      <w:pPr>
        <w:pStyle w:val="105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Bất Động Sản Tuyên Quang được xem là “miền đất hứa” vừa được đánh thức trong 3 năm trở lại đây. Tỉnh đang có sự đầu tư và phát triển đồng bộ về hạ tầng giao thông, du lịch và các khu công nghiệp, khu dân cư.</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Không những thế, nhờ xu hướng chuyển dịch đầu tư bất động sản vùng ven đô thị, Tuyên Quang đang bắt đầu nhận được sự đầu tư từ những tập đoàn lớn – mở đường cho sự phát triển của thị trường bất động sản trong những năm tới.</w:t>
      </w:r>
      <w:r/>
    </w:p>
    <w:p>
      <w:pPr>
        <w:numPr>
          <w:ilvl w:val="0"/>
          <w:numId w:val="40"/>
        </w:num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jc w:val="both"/>
        <w:rPr/>
      </w:pPr>
      <w:r>
        <w:rPr>
          <w:rFonts w:ascii="Times New Roman" w:hAnsi="Times New Roman" w:eastAsia="Times New Roman" w:cs="Times New Roman"/>
          <w:color w:val="000000"/>
          <w:sz w:val="24"/>
          <w:highlight w:val="white"/>
        </w:rPr>
        <w:t xml:space="preserve">Hạ tầng giao thông đang hoàn thiện</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Tỉnh Tuyên Quang trong những năm gần đây đã tập trung phát triển và hoàn thiện nhiều công trình hạ tầng giao thông quan trọng, giúp tăng khả năng kết nối đến các khu vực trung tâm như Hà Nội, Bắc Ninh, Thái Nguyên,…. Điển hình là 32 dự án được đầu tư giai </w:t>
      </w:r>
      <w:r>
        <w:rPr>
          <w:rFonts w:ascii="Times New Roman" w:hAnsi="Times New Roman" w:eastAsia="Times New Roman" w:cs="Times New Roman"/>
          <w:color w:val="000000"/>
          <w:sz w:val="24"/>
          <w:highlight w:val="white"/>
        </w:rPr>
        <w:t xml:space="preserve">đoạn 2021 – 2025 với tổng chi phí gần 12.000 tỷ đồng:</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w:t>
        <w:tab/>
        <w:t xml:space="preserve">Cao tốc Tuyên Quang – Phú Thọ nối cao tốc Nội Bài – Lào Cai.</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w:t>
        <w:tab/>
        <w:t xml:space="preserve">Bốn cây cầu lớn trên địa bàn tỉnh: Xuân Vân, Minh Xuân – Tràng Đà, Cầu qua sông Lô Km 71, Cầu và tuyến đường tránh thị trấn Sơn Dương.</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w:t>
        <w:tab/>
        <w:t xml:space="preserve">Các tuyến đường trung tâm thành phố Tuyên Quang (TP Tuyên Quang – Hà Giang, TP Tuyên Quang – Khu du lịch suối khoáng Mỹ Lâm).</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w:t>
        <w:tab/>
        <w:t xml:space="preserve">Cải tạo và nâng cấp đường tỉnh ĐT 185.</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w:t>
        <w:tab/>
        <w:t xml:space="preserve">Bê tông hóa các đường giao thông nông thôn, cầu nhỏ.</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Tỉnh Tuyên Quang đang có 7 tuyến quốc lộ, 3 tuyến đường tỉnh, tạo thành trục giao thông chính cho tỉnh. Hệ thống giao thông tại đây vẫn chủ yếu là đường bộ cấp thấp, không có tuyến đường hàng không và đường sắt nên vẫn còn nhiều hạn chế cho việc phát triển</w:t>
      </w:r>
      <w:r>
        <w:rPr>
          <w:rFonts w:ascii="Times New Roman" w:hAnsi="Times New Roman" w:eastAsia="Times New Roman" w:cs="Times New Roman"/>
          <w:color w:val="000000"/>
          <w:sz w:val="24"/>
          <w:highlight w:val="white"/>
        </w:rPr>
        <w:t xml:space="preserve"> kinh tế, du lịch bất động sản, công nghiệp.</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32 dự án giao thông mới được đầu tư giai đoạn 2021 – 2025 mang theo kỳ vọng sẽ giải quyết những hạn chế về hạ tầng và thúc đẩy hiệu quả tiềm lực kinh tế – xã hội của Tuyên Quang. Đồng thời, thu hút sự quan tâm của nhiều doanh nghiệp đầu tư vào các dự án bấ</w:t>
      </w:r>
      <w:r>
        <w:rPr>
          <w:rFonts w:ascii="Times New Roman" w:hAnsi="Times New Roman" w:eastAsia="Times New Roman" w:cs="Times New Roman"/>
          <w:color w:val="000000"/>
          <w:sz w:val="24"/>
          <w:highlight w:val="white"/>
        </w:rPr>
        <w:t xml:space="preserve">t động sản, tạo đà phát triển cho nền công nghiệp và du lịch tỉnh nhà.</w:t>
      </w:r>
      <w:r/>
    </w:p>
    <w:p>
      <w:pPr>
        <w:numPr>
          <w:ilvl w:val="0"/>
          <w:numId w:val="41"/>
        </w:num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jc w:val="both"/>
        <w:rPr/>
      </w:pPr>
      <w:r>
        <w:rPr>
          <w:rFonts w:ascii="Times New Roman" w:hAnsi="Times New Roman" w:eastAsia="Times New Roman" w:cs="Times New Roman"/>
          <w:color w:val="000000"/>
          <w:sz w:val="24"/>
          <w:highlight w:val="white"/>
        </w:rPr>
        <w:t xml:space="preserve">Ngành du lịch đang được đẩy mạnh</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Ngành du lịch tại Tuyên Quang được ví như “công chúa ngủ trong rừng” bởi có rất nhiều cảnh quan hoang sơ, các điểm di tích nổi tiếng, hệ thống suối khoáng và hồ sinh thái phong phú chưa được “đánh thức” tiềm năng.</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Trong vài năm trở lại đây, ngành du lịch Tuyên Quang mới được xem là ngành kinh tế trọng điểm và đưa vào khai thác, quy hoạch và đẩy mạnh quảng bá. Đến nay, tỉnh đã hoàn thành quy hoạch tổng thể 3 khu du lịch nổi tiếng với nhiều bất động sản nghỉ dưỡng từ </w:t>
      </w:r>
      <w:r>
        <w:rPr>
          <w:rFonts w:ascii="Times New Roman" w:hAnsi="Times New Roman" w:eastAsia="Times New Roman" w:cs="Times New Roman"/>
          <w:color w:val="000000"/>
          <w:sz w:val="24"/>
          <w:highlight w:val="white"/>
        </w:rPr>
        <w:t xml:space="preserve">trung cấp đến cao cấp:</w:t>
        <w:br/>
        <w:t xml:space="preserve">  •</w:t>
        <w:tab/>
        <w:t xml:space="preserve">Khu du lịch suối khoáng Mỹ Lâm.</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w:t>
        <w:tab/>
        <w:t xml:space="preserve">Khu du lịch lịch sử, văn hóa và sinh thái Quốc gia Tân Trào.</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w:t>
        <w:tab/>
        <w:t xml:space="preserve">Khu du lịch sinh thái Na Hang.</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Tuyên Quang đã có nhiều nhà đầu tư chiến lược thực hiện các dự án du lịch và đầu tư cơ sở hạ tầng cao cấp, phát triển nhanh chóng các khu du lịch sinh thái và nghỉ dưỡng. Hiện tỉnh vẫn đang kêu gọi nhiều nguồn đầu tư nhằm xây dựng các sản phẩm du lịch nổi </w:t>
      </w:r>
      <w:r>
        <w:rPr>
          <w:rFonts w:ascii="Times New Roman" w:hAnsi="Times New Roman" w:eastAsia="Times New Roman" w:cs="Times New Roman"/>
          <w:color w:val="000000"/>
          <w:sz w:val="24"/>
          <w:highlight w:val="white"/>
        </w:rPr>
        <w:t xml:space="preserve">bật và tăng tính đột phá cho ngành du lịch.</w:t>
      </w:r>
      <w:r/>
    </w:p>
    <w:p>
      <w:pPr>
        <w:numPr>
          <w:ilvl w:val="0"/>
          <w:numId w:val="42"/>
        </w:num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jc w:val="both"/>
        <w:rPr/>
      </w:pPr>
      <w:r>
        <w:rPr>
          <w:rFonts w:ascii="Times New Roman" w:hAnsi="Times New Roman" w:eastAsia="Times New Roman" w:cs="Times New Roman"/>
          <w:color w:val="000000"/>
          <w:sz w:val="24"/>
          <w:highlight w:val="white"/>
        </w:rPr>
        <w:t xml:space="preserve">Sự phát triển của các khu đô thị, khu dân cư</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Trong giai đoạn 2021 – 2025, Sở xây dựng tỉnh Tuyên Quang đã kêu gọi đầu tư hơn 30 dự án khu đô thị, khu dân cư tại các huyện, thành phố. Hiện tại, đã có một loạt khu đô thị, khu dân cư mới hình thành như: Khu đô thị An Phú, Tân Phát, Việt Mỹ Hưng và khu n</w:t>
      </w:r>
      <w:r>
        <w:rPr>
          <w:rFonts w:ascii="Times New Roman" w:hAnsi="Times New Roman" w:eastAsia="Times New Roman" w:cs="Times New Roman"/>
          <w:color w:val="000000"/>
          <w:sz w:val="24"/>
          <w:highlight w:val="white"/>
        </w:rPr>
        <w:t xml:space="preserve">hà ở thương mại Vincom Shophouse. Bên cạnh đó, năm 2022, bất động sản Tuyên Quang còn đón thêm nhiều dự án mới như: Khu đô thị Kim Phú, Khu đô thị sinh thái Phú Lâm, Khu đô thị sinh thái và dịch vụ thương mại Tình Húc,… (Thông tin dự án sẽ được 101home.vn </w:t>
      </w:r>
      <w:r>
        <w:rPr>
          <w:rFonts w:ascii="Times New Roman" w:hAnsi="Times New Roman" w:eastAsia="Times New Roman" w:cs="Times New Roman"/>
          <w:color w:val="000000"/>
          <w:sz w:val="24"/>
          <w:highlight w:val="white"/>
        </w:rPr>
        <w:t xml:space="preserve">chia sẻ ở phần tiếp theo).</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Ngoài ra, tỉnh cũng vừa được Thủ tướng đồng ý mở rộng một số khu công nghiệp. Qua đó thúc đẩy phát triển khu đô thị, khu dân cư, hình thành nhiều phân khúc khác nhau cho thị trường bất động sản cũng như đem lại nhiều lựa chọn và cơ hội cho nhà đầu tư.</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Là trung tâm kinh tế, văn hóa, chính trị của tỉnh nên Thành phố Tuyên Quang đã và đang thu hút rất nhiều nhà đầu tư bất động sản lớn nhỏ.</w:t>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Không những thế, nơi đây còn gắn liền với nhiều di tích, danh thắng và lễ hội cổ truyền như: Thành Cổ, Đền Hạ, Hội đua thuyền trên Sông Lô, Lễ hội Đền Hạ, Lễ hội rằm Trung Thu, Suối nước khoáng Mỹ Lâm… thu hút khá đông khách du lịch đến thăm quan và trải n</w:t>
      </w:r>
      <w:r>
        <w:rPr>
          <w:rFonts w:ascii="Times New Roman" w:hAnsi="Times New Roman" w:eastAsia="Times New Roman" w:cs="Times New Roman"/>
          <w:color w:val="000000"/>
          <w:sz w:val="24"/>
          <w:highlight w:val="white"/>
        </w:rPr>
        <w:t xml:space="preserve">ghiệm.</w:t>
      </w:r>
      <w:r/>
    </w:p>
    <w:p>
      <w:pPr>
        <w:pBdr>
          <w:top w:val="none" w:color="000000" w:sz="4" w:space="0"/>
          <w:left w:val="none" w:color="000000" w:sz="4" w:space="0"/>
          <w:bottom w:val="none" w:color="000000" w:sz="4" w:space="0"/>
          <w:right w:val="none" w:color="000000" w:sz="4" w:space="0"/>
        </w:pBdr>
        <w:tabs>
          <w:tab w:val="left" w:leader="none" w:pos="180"/>
          <w:tab w:val="left" w:leader="none" w:pos="8686"/>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Với nhiều tiềm năng về du lịch cũng như sự hoàn thiện của cơ sở hạ tầng, giao thông và sự ổn định về kinh tế, Tp Tuyên Quang hiện là khu vực tiềm năng nhất cho ngành bất động sản.</w:t>
      </w:r>
      <w:r>
        <w:rPr>
          <w:rFonts w:ascii="Times New Roman" w:hAnsi="Times New Roman" w:eastAsia="Times New Roman" w:cs="Times New Roman"/>
          <w:color w:val="000000"/>
          <w:sz w:val="24"/>
        </w:rPr>
        <w:tab/>
      </w:r>
      <w:r/>
    </w:p>
    <w:p>
      <w:pPr>
        <w:pBdr>
          <w:top w:val="none" w:color="000000" w:sz="4" w:space="0"/>
          <w:left w:val="none" w:color="000000" w:sz="4" w:space="0"/>
          <w:bottom w:val="none" w:color="000000" w:sz="4" w:space="0"/>
          <w:right w:val="none" w:color="000000" w:sz="4" w:space="0"/>
        </w:pBdr>
        <w:tabs>
          <w:tab w:val="left" w:leader="none" w:pos="180"/>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w:t>
      </w:r>
      <w:r>
        <w:rPr>
          <w:rFonts w:ascii="Times New Roman" w:hAnsi="Times New Roman" w:eastAsia="Times New Roman" w:cs="Times New Roman"/>
          <w:i/>
          <w:color w:val="000000"/>
          <w:sz w:val="24"/>
          <w:highlight w:val="white"/>
        </w:rPr>
        <w:t xml:space="preserve">https://101home.vn/co-nen-mua-dau-tu-bat-dong-san-tuyen-quang/</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p>
    <w:p>
      <w:pPr>
        <w:pStyle w:val="105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gridCol w:w="8779"/>
      </w:tblGrid>
      <w:tr>
        <w:trPr>
          <w:gridAfter w:val="1"/>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và tài sản gắn liền với đất tại thửa đất số: 268, tờ bản đồ số: 15, có địa chỉ: Tổ dân phố 11, phường Tân Quang, thành phố Tuyên Quang, tỉnh Tuyên Quang (Nay là phường Minh Xuân, tỉnh Tuyê</w:t>
            </w:r>
            <w:r>
              <w:rPr>
                <w:b/>
                <w:bCs/>
                <w:color w:val="000000"/>
              </w:rPr>
              <w:t xml:space="preserve">n Quang), theo Giấy chứng nhận quyền sử dụng đất quyền sở hữu nhà ở và tài sản khác gắn liền với đất số: CT 796022, số vào số cấp GCN: CS 02501 do Sở Tài nguyên và Môi trường tỉnh Tuyên Quang cấp ngày 08/04/2021. Chủ sử dụng đất là Bà Phan Thị Huyền Trang.</w:t>
            </w:r>
            <w:r>
              <w:rPr>
                <w:b/>
                <w:bCs/>
                <w:color w:val="000000"/>
              </w:rPr>
            </w:r>
            <w:r>
              <w:rPr>
                <w:b/>
                <w:bCs/>
                <w:color w:val="000000"/>
              </w:rPr>
            </w:r>
          </w:p>
        </w:tc>
      </w:tr>
      <w:tr>
        <w:trPr>
          <w:gridAfter w:val="1"/>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268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15</w:t>
            </w:r>
            <w:r>
              <w:rPr>
                <w:color w:val="ee0000"/>
              </w:rPr>
            </w:r>
            <w:r>
              <w:rPr>
                <w:color w:val="ee0000"/>
              </w:rP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Tổ Dân Phố 11 Phường Tân Quang, Thành Phố Tuyên Quang, Tỉnh Tuyên Quang </w:t>
            </w:r>
            <w:r>
              <w:rPr>
                <w:b w:val="0"/>
                <w:bCs w:val="0"/>
                <w:color w:val="000000"/>
              </w:rPr>
              <w:t xml:space="preserve">(Nay là phường Minh Xuân, tỉnh Tuyên Quang)</w:t>
            </w:r>
            <w:r>
              <w:rPr>
                <w:color w:val="000000"/>
              </w:rPr>
            </w:r>
            <w:r>
              <w:rPr>
                <w:color w:val="000000"/>
              </w:rP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243,1</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Guland, xác định vị trí tài </w:t>
            </w:r>
            <w:r>
              <w:rPr>
                <w:rFonts w:ascii="Times New Roman" w:hAnsi="Times New Roman" w:eastAsia="Times New Roman" w:cs="Times New Roman"/>
                <w:color w:val="000000"/>
                <w:sz w:val="24"/>
              </w:rPr>
              <w:t xml:space="preserve">sản thuộc quy hoạch đất ở.</w:t>
            </w:r>
            <w:r/>
          </w:p>
        </w:tc>
      </w:tr>
      <w:tr>
        <w:trPr>
          <w:gridAfter w:val="1"/>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4704521" cy="215213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06470" name=""/>
                              <pic:cNvPicPr>
                                <a:picLocks noChangeAspect="1"/>
                              </pic:cNvPicPr>
                              <pic:nvPr/>
                            </pic:nvPicPr>
                            <pic:blipFill rotWithShape="1">
                              <a:blip r:embed="rId17"/>
                              <a:stretch/>
                            </pic:blipFill>
                            <pic:spPr bwMode="auto">
                              <a:xfrm flipH="0" flipV="0">
                                <a:off x="0" y="0"/>
                                <a:ext cx="4704520" cy="21521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70.43pt;height:169.46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gridAfter w:val="1"/>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gridAfter w:val="1"/>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Đường tiếp giáp chính:</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 có vỉa hè</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11,5</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11,5</w:t>
            </w: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tiếp giáp với đường Trần Thái Tông</w:t>
            </w: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Tây Nam: Tiếp giáp đường giao thông</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highlight w:val="white"/>
              </w:rPr>
              <w:t xml:space="preserve">C</w:t>
            </w:r>
            <w:r>
              <w:rPr>
                <w:rFonts w:ascii="Times New Roman" w:hAnsi="Times New Roman" w:eastAsia="Times New Roman" w:cs="Times New Roman"/>
                <w:color w:val="000000"/>
                <w:sz w:val="24"/>
                <w:highlight w:val="white"/>
              </w:rPr>
              <w:t xml:space="preserve">á</w:t>
            </w:r>
            <w:r>
              <w:rPr>
                <w:rFonts w:ascii="Times New Roman" w:hAnsi="Times New Roman" w:eastAsia="Times New Roman" w:cs="Times New Roman"/>
                <w:color w:val="000000"/>
                <w:sz w:val="24"/>
                <w:highlight w:val="white"/>
              </w:rPr>
              <w:t xml:space="preserve">c</w:t>
            </w:r>
            <w:r>
              <w:rPr>
                <w:rFonts w:ascii="Times New Roman" w:hAnsi="Times New Roman" w:eastAsia="Times New Roman" w:cs="Times New Roman"/>
                <w:color w:val="000000"/>
                <w:sz w:val="24"/>
              </w:rPr>
              <w:t xml:space="preserve"> hướng khác: Tiếp giáp với các thửa đất khác</w:t>
            </w:r>
            <w:r/>
          </w:p>
        </w:tc>
      </w:tr>
      <w:tr>
        <w:trPr>
          <w:gridAfter w:val="1"/>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jc w:val="left"/>
              <w:rPr/>
            </w:pPr>
            <w:r>
              <w:rPr>
                <w:color w:val="000000"/>
              </w:rPr>
              <w:t xml:space="preserve">Vị trí trên bản đồ vệ tinh</w:t>
            </w:r>
            <w:r/>
          </w:p>
        </w:tc>
        <w:tc>
          <w:tcPr>
            <w:gridSpan w:val="3"/>
            <w:tcBorders/>
            <w:tcW w:w="6259" w:type="dxa"/>
            <w:vAlign w:val="center"/>
            <w:vMerge w:val="restart"/>
            <w:textDirection w:val="lrTb"/>
            <w:noWrap w:val="false"/>
          </w:tcPr>
          <w:p>
            <w:pPr>
              <w:pBdr/>
              <w:spacing/>
              <w:ind/>
              <w:rPr/>
            </w:pPr>
            <w:r>
              <w:rPr>
                <w:color w:val="000000"/>
              </w:rPr>
            </w:r>
            <w:r>
              <w:rPr>
                <w:rFonts w:ascii="Times New Roman" w:hAnsi="Times New Roman" w:eastAsia="Times New Roman" w:cs="Times New Roman"/>
                <w:color w:val="000000"/>
                <w:sz w:val="24"/>
              </w:rPr>
              <w:t xml:space="preserve">(21.814694, 105.210083)</w:t>
            </w: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4526360" cy="251007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770289" name=""/>
                              <pic:cNvPicPr>
                                <a:picLocks noChangeAspect="1"/>
                              </pic:cNvPicPr>
                              <pic:nvPr/>
                            </pic:nvPicPr>
                            <pic:blipFill rotWithShape="1">
                              <a:blip r:embed="rId18"/>
                              <a:stretch/>
                            </pic:blipFill>
                            <pic:spPr bwMode="auto">
                              <a:xfrm flipH="0" flipV="0">
                                <a:off x="0" y="0"/>
                                <a:ext cx="4526360" cy="25100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56.41pt;height:197.64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gridAfter w:val="1"/>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243,1</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14,3</w:t>
            </w: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Nam</w:t>
            </w:r>
            <w:r/>
          </w:p>
        </w:tc>
      </w:tr>
      <w:tr>
        <w:trPr>
          <w:gridAfter w:val="1"/>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Khu vực tập trung dân cư</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w:t>
            </w:r>
            <w:r>
              <w:rPr>
                <w:rFonts w:ascii="Times New Roman" w:hAnsi="Times New Roman" w:eastAsia="Times New Roman" w:cs="Times New Roman"/>
                <w:color w:val="000000"/>
                <w:sz w:val="24"/>
                <w:highlight w:val="white"/>
              </w:rPr>
              <w:t xml:space="preserve">Kinh doanh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gridAfter w:val="1"/>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gridAfter w:val="1"/>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abs>
                <w:tab w:val="center" w:leader="none" w:pos="4282"/>
              </w:tabs>
              <w:spacing/>
              <w:ind/>
              <w:jc w:val="both"/>
              <w:rPr>
                <w:color w:val="000000"/>
                <w:highlight w:val="white"/>
              </w:rPr>
            </w:pPr>
            <w:r>
              <w:rPr>
                <w:color w:val="000000"/>
                <w:highlight w:val="white"/>
              </w:rPr>
              <w:t xml:space="preserve">+ </w:t>
            </w:r>
            <w:r>
              <w:rPr>
                <w:rFonts w:ascii="Times New Roman" w:hAnsi="Times New Roman" w:eastAsia="Times New Roman" w:cs="Times New Roman"/>
                <w:color w:val="000000"/>
                <w:sz w:val="24"/>
                <w:highlight w:val="white"/>
              </w:rPr>
              <w:t xml:space="preserve">Tại thời điểm khảo sát, Tổ thẩm định xác nhận trên đất có CTXD nhà 1 tầng lợp tôn, diện tích xây dựng</w:t>
            </w:r>
            <w:r>
              <w:rPr>
                <w:rFonts w:ascii="Times New Roman" w:hAnsi="Times New Roman" w:eastAsia="Times New Roman" w:cs="Times New Roman"/>
                <w:color w:val="000000"/>
                <w:sz w:val="24"/>
                <w:highlight w:val="white"/>
              </w:rPr>
              <w:t xml:space="preserve"> 170,</w:t>
            </w:r>
            <w:r>
              <w:rPr>
                <w:rFonts w:ascii="Times New Roman" w:hAnsi="Times New Roman" w:eastAsia="Times New Roman" w:cs="Times New Roman"/>
                <w:color w:val="000000"/>
                <w:sz w:val="24"/>
                <w:highlight w:val="white"/>
              </w:rPr>
              <w:t xml:space="preserve">17</w:t>
            </w:r>
            <w:r>
              <w:rPr>
                <w:rFonts w:ascii="Times New Roman" w:hAnsi="Times New Roman" w:eastAsia="Times New Roman" w:cs="Times New Roman"/>
                <w:color w:val="000000"/>
                <w:sz w:val="24"/>
                <w:highlight w:val="white"/>
              </w:rPr>
              <w:t xml:space="preserve">m</w:t>
            </w:r>
            <w:r>
              <w:rPr>
                <w:rFonts w:ascii="Times New Roman" w:hAnsi="Times New Roman" w:eastAsia="Times New Roman" w:cs="Times New Roman"/>
                <w:color w:val="000000"/>
                <w:sz w:val="24"/>
                <w:highlight w:val="white"/>
              </w:rPr>
              <w:t xml:space="preserve">² </w:t>
            </w:r>
            <w:r>
              <w:rPr>
                <w:rFonts w:ascii="Times New Roman" w:hAnsi="Times New Roman" w:eastAsia="Times New Roman" w:cs="Times New Roman"/>
                <w:color w:val="000000"/>
                <w:sz w:val="24"/>
                <w:highlight w:val="white"/>
              </w:rPr>
              <w:t xml:space="preserve">th</w:t>
            </w:r>
            <w:r>
              <w:rPr>
                <w:rFonts w:ascii="Times New Roman" w:hAnsi="Times New Roman" w:eastAsia="Times New Roman" w:cs="Times New Roman"/>
                <w:color w:val="000000"/>
                <w:sz w:val="24"/>
                <w:highlight w:val="white"/>
              </w:rPr>
              <w:t xml:space="preserve">e</w:t>
            </w:r>
            <w:r>
              <w:rPr>
                <w:rFonts w:ascii="Times New Roman" w:hAnsi="Times New Roman" w:eastAsia="Times New Roman" w:cs="Times New Roman"/>
                <w:color w:val="000000"/>
                <w:sz w:val="24"/>
                <w:highlight w:val="white"/>
              </w:rPr>
              <w:t xml:space="preserve">o </w:t>
            </w:r>
            <w:r>
              <w:rPr>
                <w:rFonts w:ascii="Times New Roman" w:hAnsi="Times New Roman" w:eastAsia="Times New Roman" w:cs="Times New Roman"/>
                <w:color w:val="000000"/>
                <w:sz w:val="24"/>
                <w:highlight w:val="white"/>
              </w:rPr>
              <w:t xml:space="preserve">giấy </w:t>
            </w:r>
            <w:r>
              <w:rPr>
                <w:rFonts w:ascii="Times New Roman" w:hAnsi="Times New Roman" w:eastAsia="Times New Roman" w:cs="Times New Roman"/>
                <w:color w:val="000000"/>
                <w:sz w:val="24"/>
                <w:highlight w:val="white"/>
              </w:rPr>
              <w:t xml:space="preserve">phép </w:t>
            </w:r>
            <w:r>
              <w:rPr>
                <w:rFonts w:ascii="Times New Roman" w:hAnsi="Times New Roman" w:eastAsia="Times New Roman" w:cs="Times New Roman"/>
                <w:color w:val="000000"/>
                <w:sz w:val="24"/>
                <w:highlight w:val="white"/>
              </w:rPr>
              <w:t xml:space="preserve">xây </w:t>
            </w:r>
            <w:r>
              <w:rPr>
                <w:rFonts w:ascii="Times New Roman" w:hAnsi="Times New Roman" w:eastAsia="Times New Roman" w:cs="Times New Roman"/>
                <w:color w:val="000000"/>
                <w:sz w:val="24"/>
                <w:highlight w:val="white"/>
              </w:rPr>
              <w:t xml:space="preserve">dựng </w:t>
            </w:r>
            <w:r>
              <w:rPr>
                <w:rFonts w:ascii="Times New Roman" w:hAnsi="Times New Roman" w:eastAsia="Times New Roman" w:cs="Times New Roman"/>
                <w:color w:val="000000"/>
                <w:sz w:val="24"/>
                <w:highlight w:val="white"/>
              </w:rPr>
              <w:t xml:space="preserve">số </w:t>
            </w:r>
            <w:r>
              <w:rPr>
                <w:rFonts w:ascii="Times New Roman" w:hAnsi="Times New Roman" w:eastAsia="Times New Roman" w:cs="Times New Roman"/>
                <w:color w:val="000000"/>
                <w:sz w:val="24"/>
                <w:highlight w:val="white"/>
              </w:rPr>
              <w:t xml:space="preserve">316/</w:t>
            </w:r>
            <w:r>
              <w:rPr>
                <w:rFonts w:ascii="Times New Roman" w:hAnsi="Times New Roman" w:eastAsia="Times New Roman" w:cs="Times New Roman"/>
                <w:color w:val="000000"/>
                <w:sz w:val="24"/>
                <w:highlight w:val="white"/>
              </w:rPr>
              <w:t xml:space="preserve">GPXD/</w:t>
            </w:r>
            <w:r>
              <w:rPr>
                <w:rFonts w:ascii="Times New Roman" w:hAnsi="Times New Roman" w:eastAsia="Times New Roman" w:cs="Times New Roman"/>
                <w:color w:val="000000"/>
                <w:sz w:val="24"/>
                <w:highlight w:val="white"/>
              </w:rPr>
              <w:t xml:space="preserve">2026</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cho </w:t>
            </w:r>
            <w:r>
              <w:rPr>
                <w:rFonts w:ascii="Times New Roman" w:hAnsi="Times New Roman" w:eastAsia="Times New Roman" w:cs="Times New Roman"/>
                <w:color w:val="000000"/>
                <w:sz w:val="24"/>
                <w:highlight w:val="white"/>
              </w:rPr>
              <w:t xml:space="preserve">bà </w:t>
            </w:r>
            <w:r>
              <w:rPr>
                <w:rFonts w:ascii="Times New Roman" w:hAnsi="Times New Roman" w:eastAsia="Times New Roman" w:cs="Times New Roman"/>
                <w:color w:val="000000"/>
                <w:sz w:val="24"/>
                <w:highlight w:val="white"/>
              </w:rPr>
              <w:t xml:space="preserve">Phan </w:t>
            </w:r>
            <w:r>
              <w:rPr>
                <w:rFonts w:ascii="Times New Roman" w:hAnsi="Times New Roman" w:eastAsia="Times New Roman" w:cs="Times New Roman"/>
                <w:color w:val="000000"/>
                <w:sz w:val="24"/>
                <w:highlight w:val="white"/>
              </w:rPr>
              <w:t xml:space="preserve">Thị </w:t>
            </w:r>
            <w:r>
              <w:rPr>
                <w:rFonts w:ascii="Times New Roman" w:hAnsi="Times New Roman" w:eastAsia="Times New Roman" w:cs="Times New Roman"/>
                <w:color w:val="000000"/>
                <w:sz w:val="24"/>
                <w:highlight w:val="white"/>
              </w:rPr>
              <w:t xml:space="preserve">Huyền </w:t>
            </w:r>
            <w:r>
              <w:rPr>
                <w:rFonts w:ascii="Times New Roman" w:hAnsi="Times New Roman" w:eastAsia="Times New Roman" w:cs="Times New Roman"/>
                <w:color w:val="000000"/>
                <w:sz w:val="24"/>
                <w:highlight w:val="white"/>
              </w:rPr>
              <w:t xml:space="preserve">Trang</w:t>
            </w:r>
            <w:r>
              <w:rPr>
                <w:rFonts w:ascii="Times New Roman" w:hAnsi="Times New Roman" w:eastAsia="Times New Roman" w:cs="Times New Roman"/>
                <w:color w:val="000000"/>
                <w:sz w:val="24"/>
                <w:highlight w:val="white"/>
              </w:rPr>
              <w:t xml:space="preserve">. Công trình vừa mới hoàn thành xây dựng trong tháng 8/2026</w:t>
            </w: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color w:val="000000"/>
                <w:sz w:val="24"/>
                <w:highlight w:val="white"/>
              </w:rPr>
              <w:t xml:space="preserve"> CTXD chưa được công nhận trên GCN QSDĐ số CT 796022.</w:t>
            </w:r>
            <w:r>
              <w:rPr>
                <w:color w:val="000000"/>
                <w:highlight w:val="white"/>
              </w:rPr>
            </w:r>
            <w:r>
              <w:rPr>
                <w:color w:val="000000"/>
                <w:highlight w:val="white"/>
              </w:rPr>
            </w:r>
          </w:p>
        </w:tc>
      </w:tr>
    </w:tbl>
    <w:p>
      <w:pPr>
        <w:pBdr/>
        <w:spacing w:line="235" w:lineRule="auto"/>
        <w:ind w:left="0"/>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698"/>
        <w:gridCol w:w="1559"/>
        <w:gridCol w:w="1702"/>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59"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702"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698"/>
        <w:gridCol w:w="1559"/>
        <w:gridCol w:w="1702"/>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59"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702"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5698"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70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5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5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53"/>
        <w:numPr>
          <w:ilvl w:val="0"/>
          <w:numId w:val="4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none"/>
          <w:lang w:val="pt-BR" w:bidi="pt-BR"/>
        </w:rPr>
        <w:t xml:space="preserve">.</w:t>
      </w:r>
      <w:r>
        <w:rPr>
          <w:color w:val="000000" w:themeColor="text1"/>
          <w:spacing w:val="-2"/>
        </w:rPr>
      </w:r>
      <w:r>
        <w:rPr>
          <w:color w:val="000000" w:themeColor="text1"/>
          <w:spacing w:val="-2"/>
        </w:rPr>
      </w:r>
    </w:p>
    <w:p>
      <w:pPr>
        <w:pBdr/>
        <w:spacing/>
        <w:ind w:right="0" w:firstLine="0" w:left="0"/>
        <w:jc w:val="both"/>
        <w:rPr>
          <w:color w:val="000000" w:themeColor="text1"/>
          <w:highlight w:val="white"/>
        </w:rPr>
      </w:pPr>
      <w:r>
        <w:rPr>
          <w:color w:val="000000" w:themeColor="text1"/>
          <w:highlight w:val="white"/>
        </w:rPr>
      </w: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color w:val="000000" w:themeColor="text1"/>
          <w:highlight w:val="white"/>
        </w:rPr>
      </w:r>
      <w:r>
        <w:rPr>
          <w:color w:val="000000" w:themeColor="text1"/>
          <w:highlight w:val="white"/>
        </w:rPr>
      </w:r>
    </w:p>
    <w:p>
      <w:pPr>
        <w:pStyle w:val="105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5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53"/>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 t</w:t>
      </w:r>
      <w:r>
        <w:rPr>
          <w:bCs/>
          <w:i/>
          <w:iCs/>
          <w:highlight w:val="white"/>
          <w:lang w:val="pt-BR"/>
        </w:rPr>
        <w:t xml:space="preserve">iếp cận từ thị trường:</w:t>
      </w:r>
      <w:r>
        <w:rPr>
          <w:bCs/>
          <w:i/>
          <w:iCs/>
          <w:highlight w:val="white"/>
          <w:lang w:val="pt-BR"/>
        </w:rPr>
        <w:t xml:space="preserve"> </w:t>
      </w:r>
      <w:r>
        <w:rPr>
          <w:bCs/>
          <w:highlight w:val="white"/>
          <w:lang w:val="pt-BR"/>
        </w:rPr>
        <w:t xml:space="preserve">X</w:t>
      </w:r>
      <w:r>
        <w:rPr>
          <w:bCs/>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white"/>
          <w:lang w:val="pt-BR"/>
        </w:rPr>
        <w:t xml:space="preserve">.</w:t>
      </w:r>
      <w:r>
        <w:rPr>
          <w:bCs/>
          <w:highlight w:val="white"/>
        </w:rPr>
      </w:r>
      <w:r>
        <w:rPr>
          <w:bCs/>
          <w:highlight w:val="white"/>
        </w:rPr>
      </w:r>
    </w:p>
    <w:p>
      <w:pPr>
        <w:pStyle w:val="1053"/>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 pháp so sánh:</w:t>
      </w:r>
      <w:r>
        <w:rPr>
          <w:bCs/>
          <w:highlight w:val="white"/>
          <w:lang w:val="pt-BR"/>
        </w:rPr>
        <w:t xml:space="preserve"> </w:t>
      </w:r>
      <w:r>
        <w:rPr>
          <w:bCs/>
          <w:highlight w:val="white"/>
          <w:lang w:val="pt-BR"/>
        </w:rPr>
        <w:t xml:space="preserve">X</w:t>
      </w:r>
      <w:r>
        <w:rPr>
          <w:bCs/>
          <w:highlight w:val="white"/>
          <w:lang w:val="pt-BR"/>
        </w:rPr>
        <w:t xml:space="preserve">ác đ</w:t>
      </w:r>
      <w:r>
        <w:rPr>
          <w:bCs/>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white"/>
          <w:lang w:val="pt-BR"/>
        </w:rPr>
        <w:t xml:space="preserve">.</w:t>
      </w:r>
      <w:r>
        <w:rPr>
          <w:bCs/>
          <w:highlight w:val="white"/>
        </w:rPr>
      </w:r>
      <w:r>
        <w:rPr>
          <w:bCs/>
          <w:highlight w:val="white"/>
        </w:rPr>
      </w:r>
    </w:p>
    <w:p>
      <w:pPr>
        <w:pStyle w:val="1053"/>
        <w:numPr>
          <w:ilvl w:val="0"/>
          <w:numId w:val="49"/>
        </w:numPr>
        <w:pBdr/>
        <w:spacing w:after="60" w:before="60" w:line="276" w:lineRule="auto"/>
        <w:ind/>
        <w:jc w:val="both"/>
        <w:rPr>
          <w:color w:val="000000" w:themeColor="text1"/>
        </w:rPr>
      </w:pPr>
      <w:r>
        <w:rPr>
          <w:i/>
          <w:iCs/>
          <w:color w:val="000000" w:themeColor="text1"/>
          <w:lang w:val="vi-VN"/>
        </w:rPr>
        <w:t xml:space="preserve">Cách tiếp cận từ chi phí</w:t>
      </w:r>
      <w:r>
        <w:rPr>
          <w:i/>
          <w:iCs/>
          <w:color w:val="000000" w:themeColor="text1"/>
        </w:rPr>
        <w:t xml:space="preserve">:</w:t>
      </w:r>
      <w:r>
        <w:rPr>
          <w:i/>
          <w:iCs/>
          <w:color w:val="000000" w:themeColor="text1"/>
          <w:lang w:val="vi-VN"/>
        </w:rPr>
        <w:t xml:space="preserve"> </w:t>
      </w:r>
      <w:r>
        <w:rPr>
          <w:color w:val="000000" w:themeColor="text1"/>
        </w:rPr>
        <w:t xml:space="preserve">L</w:t>
      </w:r>
      <w:r>
        <w:rPr>
          <w:color w:val="000000" w:themeColor="text1"/>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color w:val="000000" w:themeColor="text1"/>
          <w:lang w:val="pt-BR"/>
        </w:rPr>
        <w:t xml:space="preserve">.</w:t>
      </w:r>
      <w:r>
        <w:rPr>
          <w:color w:val="000000" w:themeColor="text1"/>
        </w:rPr>
      </w:r>
      <w:r>
        <w:rPr>
          <w:color w:val="000000" w:themeColor="text1"/>
        </w:rPr>
      </w:r>
    </w:p>
    <w:p>
      <w:pPr>
        <w:pStyle w:val="1053"/>
        <w:numPr>
          <w:ilvl w:val="0"/>
          <w:numId w:val="49"/>
        </w:numPr>
        <w:pBdr/>
        <w:tabs>
          <w:tab w:val="left" w:leader="none" w:pos="993"/>
        </w:tabs>
        <w:spacing w:after="120" w:before="120" w:line="264" w:lineRule="auto"/>
        <w:ind/>
        <w:jc w:val="both"/>
        <w:rPr>
          <w:color w:val="000000" w:themeColor="text1"/>
          <w:spacing w:val="-2"/>
        </w:rPr>
      </w:pPr>
      <w:r>
        <w:rPr>
          <w:i/>
          <w:iCs/>
          <w:color w:val="000000" w:themeColor="text1"/>
          <w:lang w:val="vi-VN"/>
        </w:rPr>
        <w:t xml:space="preserve">Phương pháp chi phí thay thế</w:t>
      </w:r>
      <w:r>
        <w:rPr>
          <w:i/>
          <w:iCs/>
          <w:color w:val="000000" w:themeColor="text1"/>
        </w:rPr>
        <w:t xml:space="preserve">:</w:t>
      </w:r>
      <w:r>
        <w:rPr>
          <w:color w:val="000000" w:themeColor="text1"/>
          <w:lang w:val="vi-VN"/>
        </w:rPr>
        <w:t xml:space="preserve"> </w:t>
      </w:r>
      <w:r>
        <w:rPr>
          <w:color w:val="000000" w:themeColor="text1"/>
        </w:rPr>
        <w:t xml:space="preserve">L</w:t>
      </w:r>
      <w:r>
        <w:rPr>
          <w:color w:val="000000" w:themeColor="text1"/>
          <w:lang w:val="vi-VN"/>
        </w:rPr>
        <w:t xml:space="preserve">à phương pháp thẩm </w:t>
      </w:r>
      <w:r>
        <w:rPr>
          <w:color w:val="000000" w:themeColor="text1"/>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color w:val="000000" w:themeColor="text1"/>
          <w:spacing w:val="-2"/>
          <w:lang w:val="pt-BR"/>
        </w:rPr>
        <w:t xml:space="preserve">.</w:t>
      </w:r>
      <w:r>
        <w:rPr>
          <w:color w:val="000000" w:themeColor="text1"/>
          <w:spacing w:val="-2"/>
        </w:rPr>
      </w:r>
      <w:r>
        <w:rPr>
          <w:color w:val="000000" w:themeColor="text1"/>
          <w:spacing w:val="-2"/>
        </w:rPr>
      </w:r>
    </w:p>
    <w:p>
      <w:pPr>
        <w:pStyle w:val="105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5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53"/>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5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5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5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5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Ind w:w="28" w:type="dxa"/>
        <w:tblW w:w="0" w:type="auto"/>
        <w:tblBorders/>
        <w:tblLayout w:type="fixed"/>
        <w:tblLook w:val="04A0" w:firstRow="1" w:lastRow="0" w:firstColumn="1" w:lastColumn="0" w:noHBand="0" w:noVBand="1"/>
      </w:tblPr>
      <w:tblGrid>
        <w:gridCol w:w="676"/>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676"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Phường Minh Xuân, tỉnh Tuyên Quang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Phường Minh Xuân, tỉnh Tuyên Quang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Phường Minh Xuân, tỉnh Tuyên Quang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Phường Minh Xuân, tỉnh Tuyên Quang</w:t>
            </w: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https://www.facebook.com/share/p/1CPRTBTRnY/</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0972 842 193</w:t>
            </w:r>
            <w:r>
              <w:rPr>
                <w:sz w:val="22"/>
                <w:szCs w:val="22"/>
              </w:rPr>
              <w:t xml:space="preserve"> </w:t>
            </w:r>
            <w:r>
              <w:rPr>
                <w:sz w:val="22"/>
                <w:szCs w:val="22"/>
              </w:rPr>
              <w:br/>
              <w:t xml:space="preserve">(</w:t>
            </w:r>
            <w:r>
              <w:rPr>
                <w:sz w:val="22"/>
                <w:szCs w:val="22"/>
              </w:rPr>
              <w:t xml:space="preserve">Minh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0916886662</w:t>
            </w:r>
            <w:r>
              <w:rPr>
                <w:sz w:val="22"/>
                <w:szCs w:val="22"/>
              </w:rPr>
              <w:br/>
            </w:r>
            <w:r>
              <w:rPr>
                <w:sz w:val="22"/>
                <w:szCs w:val="22"/>
              </w:rPr>
              <w:t xml:space="preserve">(</w:t>
            </w:r>
            <w:r>
              <w:rPr>
                <w:sz w:val="22"/>
                <w:szCs w:val="22"/>
              </w:rPr>
              <w:t xml:space="preserve">Tuyết Chinh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0972842193</w:t>
            </w:r>
            <w:r>
              <w:rPr>
                <w:sz w:val="22"/>
                <w:szCs w:val="22"/>
              </w:rPr>
              <w:br/>
            </w:r>
            <w:r>
              <w:rPr>
                <w:sz w:val="22"/>
                <w:szCs w:val="22"/>
              </w:rPr>
              <w:t xml:space="preserve">(</w:t>
            </w:r>
            <w:r>
              <w:rPr>
                <w:sz w:val="22"/>
                <w:szCs w:val="22"/>
              </w:rPr>
              <w:t xml:space="preserve">Thanh Minh</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color w:val="000000"/>
                <w:sz w:val="22"/>
                <w:szCs w:val="22"/>
              </w:rPr>
              <w:t xml:space="preserve"> </w:t>
            </w:r>
            <w:r>
              <w:rPr>
                <w:rFonts w:ascii="Times New Roman" w:hAnsi="Times New Roman" w:eastAsia="Times New Roman" w:cs="Times New Roman"/>
                <w:color w:val="000000"/>
                <w:sz w:val="22"/>
              </w:rPr>
              <w:t xml:space="preserve"> Đang giao dịch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08/2026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Có giấy chứng nhận quyền sử dụng đất</w:t>
            </w:r>
            <w:r>
              <w:rPr>
                <w:rFonts w:ascii="Times New Roman" w:hAnsi="Times New Roman" w:eastAsia="Times New Roman" w:cs="Times New Roman"/>
                <w:sz w:val="24"/>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Có giấy chứng nhận quyền sử dụng đất</w:t>
            </w:r>
            <w:r>
              <w:rPr>
                <w:rFonts w:ascii="Times New Roman" w:hAnsi="Times New Roman" w:eastAsia="Times New Roman" w:cs="Times New Roman"/>
                <w:sz w:val="24"/>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Có giấy chứng nhận quyền sử dụng đất</w:t>
            </w:r>
            <w:r>
              <w:rPr>
                <w:rFonts w:ascii="Times New Roman" w:hAnsi="Times New Roman" w:eastAsia="Times New Roman" w:cs="Times New Roman"/>
                <w:sz w:val="24"/>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Có giấy chứng nhận quyền sử dụng đất</w:t>
            </w:r>
            <w:r>
              <w:rPr>
                <w:rFonts w:ascii="Times New Roman" w:hAnsi="Times New Roman" w:eastAsia="Times New Roman" w:cs="Times New Roman"/>
                <w:sz w:val="24"/>
              </w:rPr>
            </w: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Tài sản tiếp giáp đường Trần Thái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u w:val="none"/>
              </w:rPr>
              <w:t xml:space="preserve">Tài sản nằm tiếp giáp đường Trần Thái Tông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Trần Phú</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tiếp giáp đường Lê Lợi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243,1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676"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w:t>
            </w:r>
            <w:r>
              <w:rPr>
                <w:color w:val="000000" w:themeColor="text1"/>
                <w:sz w:val="22"/>
                <w:szCs w:val="22"/>
              </w:rPr>
              <w:t xml:space="preserve">cấp </w:t>
            </w: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w:t>
            </w:r>
            <w:r>
              <w:rPr>
                <w:color w:val="000000" w:themeColor="text1"/>
                <w:sz w:val="22"/>
                <w:szCs w:val="22"/>
              </w:rPr>
              <w:t xml:space="preserve">3 </w:t>
            </w: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676"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Số </w:t>
            </w: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676"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w:t>
            </w:r>
            <w:r>
              <w:rPr>
                <w:color w:val="000000" w:themeColor="text1"/>
                <w:sz w:val="22"/>
                <w:szCs w:val="22"/>
              </w:rPr>
              <w:t xml:space="preserve">ện</w:t>
            </w:r>
            <w:r>
              <w:rPr>
                <w:color w:val="000000" w:themeColor="text1"/>
                <w:sz w:val="22"/>
                <w:szCs w:val="22"/>
              </w:rPr>
              <w:t xml:space="preserve"> </w:t>
            </w:r>
            <w:r>
              <w:rPr>
                <w:color w:val="000000" w:themeColor="text1"/>
                <w:sz w:val="22"/>
                <w:szCs w:val="22"/>
              </w:rPr>
              <w:t xml:space="preserve">tích </w:t>
            </w:r>
            <w:r>
              <w:rPr>
                <w:color w:val="000000" w:themeColor="text1"/>
                <w:sz w:val="22"/>
                <w:szCs w:val="22"/>
              </w:rPr>
              <w:t xml:space="preserve">sản </w:t>
            </w:r>
            <w:r>
              <w:rPr>
                <w:color w:val="000000" w:themeColor="text1"/>
                <w:sz w:val="22"/>
                <w:szCs w:val="22"/>
              </w:rPr>
              <w:t xml:space="preserve">sử </w:t>
            </w:r>
            <w:r>
              <w:rPr>
                <w:color w:val="000000" w:themeColor="text1"/>
                <w:sz w:val="22"/>
                <w:szCs w:val="22"/>
              </w:rPr>
              <w:t xml:space="preserve">dụng</w:t>
            </w:r>
            <w:r>
              <w:rPr>
                <w:color w:val="000000" w:themeColor="text1"/>
                <w:sz w:val="22"/>
                <w:szCs w:val="22"/>
              </w:rPr>
              <w:t xml:space="preserve"> </w:t>
            </w:r>
            <w:r>
              <w:rPr>
                <w:color w:val="000000" w:themeColor="text1"/>
                <w:sz w:val="22"/>
                <w:szCs w:val="22"/>
              </w:rPr>
              <w:t xml:space="preserve">(</w:t>
            </w:r>
            <w:r>
              <w:rPr>
                <w:color w:val="000000" w:themeColor="text1"/>
                <w:sz w:val="22"/>
                <w:szCs w:val="22"/>
              </w:rPr>
              <w:t xml:space="preserve">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330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6.850.000.000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8.091.000.000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6.370.500.000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1.549.538.100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7.825.950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6.541.461.900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6.370.500.000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59.467.835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57.913.636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6"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5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457"/>
        <w:gridCol w:w="1587"/>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0"/>
                <w:szCs w:val="20"/>
              </w:rPr>
            </w:pPr>
            <w:r>
              <w:rPr>
                <w:color w:val="000000" w:themeColor="text1"/>
                <w:sz w:val="22"/>
                <w:szCs w:val="22"/>
              </w:rPr>
              <w:t xml:space="preserve">6.750.000.000</w:t>
            </w:r>
            <w:r>
              <w:rPr>
                <w:color w:val="000000"/>
                <w:sz w:val="20"/>
                <w:szCs w:val="20"/>
              </w:rPr>
            </w:r>
            <w:r>
              <w:rPr>
                <w:color w:val="000000"/>
                <w:sz w:val="20"/>
                <w:szCs w:val="20"/>
              </w:rPr>
            </w:r>
          </w:p>
        </w:tc>
        <w:tc>
          <w:tcPr>
            <w:shd w:val="clear" w:color="000000" w:fill="ffffff"/>
            <w:tcBorders/>
            <w:tcW w:w="1587" w:type="dxa"/>
            <w:vAlign w:val="center"/>
            <w:textDirection w:val="lrTb"/>
            <w:noWrap w:val="false"/>
          </w:tcPr>
          <w:p>
            <w:pPr>
              <w:pBdr/>
              <w:spacing/>
              <w:ind/>
              <w:jc w:val="center"/>
              <w:rPr>
                <w:color w:val="000000"/>
                <w:sz w:val="20"/>
                <w:szCs w:val="20"/>
              </w:rPr>
            </w:pPr>
            <w:r>
              <w:rPr>
                <w:color w:val="000000" w:themeColor="text1"/>
                <w:sz w:val="22"/>
                <w:szCs w:val="22"/>
              </w:rPr>
              <w:t xml:space="preserve">6.541.461.900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6.370.500.000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59.467.835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57.913.636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57"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87"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457"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87"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59.467.835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57.913.636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59.467.835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57.913.636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87"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59.467.835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57.913.636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Tài sản tiếp giáp đường Trần Thái Tông</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u w:val="none"/>
              </w:rPr>
              <w:t xml:space="preserve">Tài sản nằm tiếp giáp đường Trần Thái Tông</w:t>
            </w:r>
            <w:r/>
          </w:p>
        </w:tc>
        <w:tc>
          <w:tcPr>
            <w:shd w:val="clear" w:color="000000" w:fill="ffffff"/>
            <w:tcBorders/>
            <w:tcW w:w="15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giáp đường Trần Phú</w:t>
            </w: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nằm tiếp giáp đường Lê Lợi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59.467.835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57.913.636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67.500.000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59.467.835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57.913.636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11,5</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13,5</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-1.350.000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-4.757.427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-4.633.091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66.150.000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54.710.408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53.280.545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243,1</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110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-8.775.000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-6.851.413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-6.725.455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47.858.995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46.555.090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6.750.000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5.709.511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5.604.546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64.125.000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53.568.506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52.159.636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14,3</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2.025.000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1.784.035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1.737.409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66.150.000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55.352.541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53.897.045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-4.725.000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61.425.000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55.352.541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53.897.045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color w:val="000000"/>
                <w:sz w:val="22"/>
                <w:szCs w:val="22"/>
              </w:rPr>
            </w:pPr>
            <w:r>
              <w:rPr>
                <w:color w:val="000000" w:themeColor="text1"/>
                <w:sz w:val="22"/>
                <w:szCs w:val="22"/>
              </w:rPr>
              <w:t xml:space="preserve">61.425.000</w:t>
            </w:r>
            <w:r>
              <w:rPr>
                <w:color w:val="000000"/>
                <w:sz w:val="22"/>
                <w:szCs w:val="22"/>
              </w:rPr>
            </w:r>
            <w:r>
              <w:rPr>
                <w:color w:val="000000"/>
                <w:sz w:val="22"/>
                <w:szCs w:val="22"/>
              </w:rPr>
            </w:r>
          </w:p>
        </w:tc>
        <w:tc>
          <w:tcPr>
            <w:shd w:val="clear" w:color="000000" w:fill="ffffff"/>
            <w:tcBorders/>
            <w:tcW w:w="1587" w:type="dxa"/>
            <w:vAlign w:val="center"/>
            <w:textDirection w:val="lrTb"/>
            <w:noWrap/>
          </w:tcPr>
          <w:p>
            <w:pPr>
              <w:pBdr/>
              <w:spacing/>
              <w:ind/>
              <w:jc w:val="center"/>
              <w:rPr>
                <w:color w:val="000000"/>
                <w:sz w:val="22"/>
                <w:szCs w:val="22"/>
              </w:rPr>
            </w:pPr>
            <w:r>
              <w:rPr>
                <w:color w:val="000000" w:themeColor="text1"/>
                <w:sz w:val="22"/>
                <w:szCs w:val="22"/>
              </w:rPr>
              <w:t xml:space="preserve">55.352.541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53.897.045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61.425.000</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55.352.541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53.897.045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56.891.529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color w:val="000000"/>
                <w:sz w:val="22"/>
                <w:szCs w:val="22"/>
              </w:rPr>
            </w:pPr>
            <w:r>
              <w:rPr>
                <w:color w:val="000000" w:themeColor="text1"/>
                <w:sz w:val="22"/>
                <w:szCs w:val="22"/>
              </w:rPr>
              <w:t xml:space="preserve">7,97%</w:t>
            </w:r>
            <w:r>
              <w:rPr>
                <w:color w:val="000000"/>
                <w:sz w:val="22"/>
                <w:szCs w:val="22"/>
              </w:rPr>
            </w:r>
            <w:r>
              <w:rPr>
                <w:color w:val="000000"/>
                <w:sz w:val="22"/>
                <w:szCs w:val="22"/>
              </w:rPr>
            </w:r>
          </w:p>
        </w:tc>
        <w:tc>
          <w:tcPr>
            <w:shd w:val="clear" w:color="000000" w:fill="ffffff"/>
            <w:tcBorders/>
            <w:tcW w:w="1587" w:type="dxa"/>
            <w:vAlign w:val="center"/>
            <w:textDirection w:val="lrTb"/>
            <w:noWrap w:val="false"/>
          </w:tcPr>
          <w:p>
            <w:pPr>
              <w:pBdr/>
              <w:spacing/>
              <w:ind/>
              <w:jc w:val="center"/>
              <w:rPr>
                <w:color w:val="000000"/>
                <w:sz w:val="22"/>
                <w:szCs w:val="22"/>
              </w:rPr>
            </w:pPr>
            <w:r>
              <w:rPr>
                <w:color w:val="000000" w:themeColor="text1"/>
                <w:sz w:val="22"/>
                <w:szCs w:val="22"/>
              </w:rPr>
              <w:t xml:space="preserve">-2,71%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-5,26%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val="false"/>
          </w:tcPr>
          <w:p>
            <w:pPr>
              <w:pBdr/>
              <w:spacing/>
              <w:ind/>
              <w:jc w:val="center"/>
              <w:rPr>
                <w:b/>
                <w:bCs/>
                <w:color w:val="000000"/>
                <w:sz w:val="22"/>
                <w:szCs w:val="22"/>
              </w:rPr>
            </w:pPr>
            <w:r>
              <w:rPr>
                <w:color w:val="000000" w:themeColor="text1"/>
                <w:sz w:val="22"/>
                <w:szCs w:val="22"/>
              </w:rPr>
              <w:t xml:space="preserve">23.625.000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87" w:type="dxa"/>
            <w:vAlign w:val="center"/>
            <w:textDirection w:val="lrTb"/>
            <w:noWrap w:val="false"/>
          </w:tcPr>
          <w:p>
            <w:pPr>
              <w:pBdr/>
              <w:spacing/>
              <w:ind/>
              <w:jc w:val="center"/>
              <w:rPr>
                <w:b/>
                <w:bCs/>
                <w:color w:val="000000"/>
                <w:sz w:val="22"/>
                <w:szCs w:val="22"/>
              </w:rPr>
            </w:pPr>
            <w:r>
              <w:rPr>
                <w:color w:val="000000" w:themeColor="text1"/>
                <w:sz w:val="22"/>
                <w:szCs w:val="22"/>
              </w:rPr>
              <w:t xml:space="preserve">19.102.386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18.700.501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87"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sz w:val="22"/>
                <w:szCs w:val="22"/>
              </w:rPr>
            </w:pPr>
            <w:r>
              <w:rPr>
                <w:color w:val="000000" w:themeColor="text1"/>
                <w:sz w:val="22"/>
                <w:szCs w:val="22"/>
              </w:rPr>
              <w:t xml:space="preserve">0% - 13%</w:t>
            </w:r>
            <w:r>
              <w:rPr>
                <w:sz w:val="22"/>
                <w:szCs w:val="22"/>
              </w:rPr>
            </w:r>
            <w:r>
              <w:rPr>
                <w:sz w:val="22"/>
                <w:szCs w:val="22"/>
              </w:rPr>
            </w:r>
          </w:p>
        </w:tc>
        <w:tc>
          <w:tcPr>
            <w:shd w:val="clear" w:color="000000" w:fill="ffffff"/>
            <w:tcBorders/>
            <w:tcW w:w="1587"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457" w:type="dxa"/>
            <w:vAlign w:val="center"/>
            <w:textDirection w:val="lrTb"/>
            <w:noWrap/>
          </w:tcPr>
          <w:p>
            <w:pPr>
              <w:pBdr/>
              <w:spacing/>
              <w:ind/>
              <w:jc w:val="center"/>
              <w:rPr>
                <w:sz w:val="22"/>
                <w:szCs w:val="22"/>
              </w:rPr>
            </w:pPr>
            <w:r>
              <w:rPr>
                <w:color w:val="000000" w:themeColor="text1"/>
                <w:sz w:val="22"/>
                <w:szCs w:val="22"/>
              </w:rPr>
              <w:t xml:space="preserve">6.075.000</w:t>
            </w:r>
            <w:r>
              <w:rPr>
                <w:sz w:val="22"/>
                <w:szCs w:val="22"/>
              </w:rPr>
            </w:r>
            <w:r>
              <w:rPr>
                <w:sz w:val="22"/>
                <w:szCs w:val="22"/>
              </w:rPr>
            </w:r>
          </w:p>
        </w:tc>
        <w:tc>
          <w:tcPr>
            <w:shd w:val="clear" w:color="000000" w:fill="ffffff"/>
            <w:tcBorders/>
            <w:tcW w:w="1587" w:type="dxa"/>
            <w:vAlign w:val="center"/>
            <w:textDirection w:val="lrTb"/>
            <w:noWrap/>
          </w:tcPr>
          <w:p>
            <w:pPr>
              <w:pBdr/>
              <w:spacing/>
              <w:ind/>
              <w:jc w:val="center"/>
              <w:rPr>
                <w:sz w:val="22"/>
                <w:szCs w:val="22"/>
              </w:rPr>
            </w:pPr>
            <w:r>
              <w:rPr>
                <w:color w:val="000000" w:themeColor="text1"/>
                <w:sz w:val="22"/>
                <w:szCs w:val="22"/>
              </w:rPr>
              <w:t xml:space="preserve">4.115.294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4.016.591</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2,</w:t>
      </w:r>
      <w:r>
        <w:t xml:space="preserve">71</w:t>
      </w:r>
      <w:r>
        <w:t xml:space="preserve">% đến </w:t>
      </w:r>
      <w:r>
        <w:t xml:space="preserve">7,97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61.425.000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20.479.095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55.352.541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18.449.002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53.897.045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17.963.885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56.891.982</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56.800.000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56.800.000</w:t>
      </w:r>
      <w:r>
        <w:rPr>
          <w:b/>
          <w:bCs/>
          <w:color w:val="000000" w:themeColor="text1"/>
        </w:rPr>
        <w:t xml:space="preserve"> </w:t>
      </w:r>
      <w:r>
        <w:rPr>
          <w:b/>
          <w:bCs/>
        </w:rPr>
        <w:t xml:space="preserve">đồng/m².</w:t>
      </w:r>
      <w:r>
        <w:rPr>
          <w:b/>
          <w:bCs/>
        </w:rPr>
      </w:r>
      <w:r>
        <w:rPr>
          <w:b/>
          <w:bCs/>
        </w:rPr>
      </w:r>
    </w:p>
    <w:p>
      <w:pPr>
        <w:pStyle w:val="1053"/>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numPr>
          <w:ilvl w:val="0"/>
          <w:numId w:val="46"/>
        </w:numPr>
        <w:pBdr>
          <w:top w:val="none" w:color="000000" w:sz="4" w:space="0"/>
          <w:left w:val="none" w:color="000000" w:sz="4" w:space="0"/>
          <w:bottom w:val="none" w:color="000000" w:sz="4" w:space="0"/>
          <w:right w:val="none" w:color="000000" w:sz="4" w:space="0"/>
        </w:pBdr>
        <w:spacing w:after="0" w:before="126"/>
        <w:ind w:right="0" w:hanging="360" w:left="360"/>
        <w:jc w:val="both"/>
        <w:rPr/>
      </w:pPr>
      <w:r>
        <w:rPr>
          <w:rFonts w:ascii="Times New Roman" w:hAnsi="Times New Roman" w:eastAsia="Times New Roman" w:cs="Times New Roman"/>
          <w:b/>
          <w:color w:val="000000"/>
          <w:sz w:val="24"/>
        </w:rPr>
        <w:t xml:space="preserve">Xác</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định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đơn</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giá</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xây</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mới</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công</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trình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xây</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pacing w:val="-2"/>
          <w:sz w:val="24"/>
        </w:rPr>
        <w:t xml:space="preserve">dựng:</w:t>
      </w:r>
      <w:r/>
    </w:p>
    <w:p>
      <w:pPr>
        <w:pBdr>
          <w:top w:val="none" w:color="000000" w:sz="4" w:space="0"/>
          <w:left w:val="none" w:color="000000" w:sz="4" w:space="0"/>
          <w:bottom w:val="none" w:color="000000" w:sz="4" w:space="0"/>
          <w:right w:val="none" w:color="000000" w:sz="4" w:space="0"/>
        </w:pBdr>
        <w:spacing w:before="52"/>
        <w:ind w:right="0" w:firstLine="425" w:left="0"/>
        <w:jc w:val="both"/>
        <w:rPr/>
      </w:pPr>
      <w:r>
        <w:rPr>
          <w:rFonts w:ascii="Times New Roman" w:hAnsi="Times New Roman" w:eastAsia="Times New Roman" w:cs="Times New Roman"/>
          <w:color w:val="000000"/>
          <w:sz w:val="24"/>
        </w:rPr>
        <w:t xml:space="preserve">Qua</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tham</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khảo</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thị</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trường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về</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đơn</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mới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đối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với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trình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nhà</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riêng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lẻ</w:t>
      </w:r>
      <w:r>
        <w:rPr>
          <w:rFonts w:ascii="Times New Roman" w:hAnsi="Times New Roman" w:eastAsia="Times New Roman" w:cs="Times New Roman"/>
          <w:color w:val="000000"/>
          <w:spacing w:val="-7"/>
          <w:sz w:val="24"/>
        </w:rPr>
        <w:t xml:space="preserve"> 05</w:t>
      </w:r>
      <w:r>
        <w:rPr>
          <w:rFonts w:ascii="Times New Roman" w:hAnsi="Times New Roman" w:eastAsia="Times New Roman" w:cs="Times New Roman"/>
          <w:color w:val="000000"/>
          <w:sz w:val="24"/>
        </w:rPr>
        <w:t xml:space="preserve">, cân nhắc và xem xét với mức độ hoàn thiện của công trình xây dựng hiện có, Tổ thẩm định nhận thấy đơn giá vận dụng theo Quyết định số 425/QĐ-BXD ngày 30 tháng 3 năm 2026 của Bộ 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về</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việc</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bố</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suất</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vốn</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đầu</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tư</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và</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tổng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hợp</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bộ</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phận</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kết</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cấu</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công trình năm 2025 là khá phù hợp với thị trường, theo đó:</w:t>
      </w:r>
      <w:r/>
    </w:p>
    <w:p>
      <w:pPr>
        <w:pBdr>
          <w:top w:val="none" w:color="000000" w:sz="4" w:space="0"/>
          <w:left w:val="none" w:color="000000" w:sz="4" w:space="0"/>
          <w:bottom w:val="none" w:color="000000" w:sz="4" w:space="0"/>
          <w:right w:val="none" w:color="000000" w:sz="4" w:space="0"/>
        </w:pBdr>
        <w:spacing w:before="60"/>
        <w:ind w:right="0" w:firstLine="425" w:left="0"/>
        <w:rPr/>
      </w:pPr>
      <w:r>
        <w:rPr>
          <w:rFonts w:ascii="Times New Roman" w:hAnsi="Times New Roman" w:eastAsia="Times New Roman" w:cs="Times New Roman"/>
          <w:i/>
          <w:color w:val="000000"/>
          <w:sz w:val="24"/>
        </w:rPr>
        <w:t xml:space="preserve">“</w:t>
      </w:r>
      <w:r>
        <w:rPr>
          <w:rFonts w:ascii="Times New Roman" w:hAnsi="Times New Roman" w:eastAsia="Times New Roman" w:cs="Times New Roman"/>
          <w:i/>
          <w:iCs/>
          <w:color w:val="000000"/>
          <w:sz w:val="24"/>
          <w:szCs w:val="24"/>
        </w:rPr>
        <w:t xml:space="preserve">Nhà 1 tầng, căn hộ khép kín, kết cấu tường gạch chịu lực, mái tôn</w:t>
      </w:r>
      <w:r>
        <w:rPr>
          <w:rFonts w:ascii="Times New Roman" w:hAnsi="Times New Roman" w:eastAsia="Times New Roman" w:cs="Times New Roman"/>
          <w:i/>
          <w:iCs/>
          <w:color w:val="000000"/>
          <w:sz w:val="24"/>
          <w:szCs w:val="24"/>
        </w:rPr>
        <w:t xml:space="preserve"> </w:t>
      </w:r>
      <w:r>
        <w:rPr>
          <w:rFonts w:ascii="Times New Roman" w:hAnsi="Times New Roman" w:eastAsia="Times New Roman" w:cs="Times New Roman"/>
          <w:i/>
          <w:color w:val="000000"/>
          <w:sz w:val="24"/>
        </w:rPr>
        <w:t xml:space="preserve">là </w:t>
      </w:r>
      <w:r>
        <w:rPr>
          <w:rFonts w:ascii="Times New Roman" w:hAnsi="Times New Roman" w:eastAsia="Times New Roman" w:cs="Times New Roman"/>
          <w:i/>
          <w:color w:val="000000"/>
          <w:sz w:val="24"/>
        </w:rPr>
        <w:t xml:space="preserve">6.</w:t>
      </w:r>
      <w:r>
        <w:rPr>
          <w:rFonts w:ascii="Times New Roman" w:hAnsi="Times New Roman" w:eastAsia="Times New Roman" w:cs="Times New Roman"/>
          <w:i/>
          <w:color w:val="000000"/>
          <w:sz w:val="24"/>
        </w:rPr>
        <w:t xml:space="preserve">247</w:t>
      </w:r>
      <w:r>
        <w:rPr>
          <w:rFonts w:ascii="Times New Roman" w:hAnsi="Times New Roman" w:eastAsia="Times New Roman" w:cs="Times New Roman"/>
          <w:i/>
          <w:color w:val="000000"/>
          <w:sz w:val="24"/>
        </w:rPr>
        <w:t xml:space="preserve">.000 đồng/m² sàn, hệ số vùng </w:t>
      </w:r>
      <w:r>
        <w:rPr>
          <w:rFonts w:ascii="Times New Roman" w:hAnsi="Times New Roman" w:eastAsia="Times New Roman" w:cs="Times New Roman"/>
          <w:i/>
          <w:color w:val="000000"/>
          <w:sz w:val="24"/>
        </w:rPr>
        <w:t xml:space="preserve">1</w:t>
      </w:r>
      <w:r>
        <w:rPr>
          <w:rFonts w:ascii="Times New Roman" w:hAnsi="Times New Roman" w:eastAsia="Times New Roman" w:cs="Times New Roman"/>
          <w:i/>
          <w:color w:val="000000"/>
          <w:sz w:val="24"/>
        </w:rPr>
        <w:t xml:space="preserve"> – </w:t>
      </w:r>
      <w:r>
        <w:rPr>
          <w:rFonts w:ascii="Times New Roman" w:hAnsi="Times New Roman" w:eastAsia="Times New Roman" w:cs="Times New Roman"/>
          <w:i/>
          <w:color w:val="000000"/>
          <w:sz w:val="24"/>
        </w:rPr>
        <w:t xml:space="preserve">Tỉnh </w:t>
      </w:r>
      <w:r>
        <w:rPr>
          <w:rFonts w:ascii="Times New Roman" w:hAnsi="Times New Roman" w:eastAsia="Times New Roman" w:cs="Times New Roman"/>
          <w:i/>
          <w:color w:val="000000"/>
          <w:sz w:val="24"/>
        </w:rPr>
        <w:t xml:space="preserve">Tuyên </w:t>
      </w:r>
      <w:r>
        <w:rPr>
          <w:rFonts w:ascii="Times New Roman" w:hAnsi="Times New Roman" w:eastAsia="Times New Roman" w:cs="Times New Roman"/>
          <w:i/>
          <w:color w:val="000000"/>
          <w:sz w:val="24"/>
        </w:rPr>
        <w:t xml:space="preserve">Quang</w:t>
      </w:r>
      <w:r>
        <w:rPr>
          <w:rFonts w:ascii="Times New Roman" w:hAnsi="Times New Roman" w:eastAsia="Times New Roman" w:cs="Times New Roman"/>
          <w:i/>
          <w:color w:val="000000"/>
          <w:sz w:val="24"/>
        </w:rPr>
        <w:t xml:space="preserve"> là 0,9</w:t>
      </w:r>
      <w:r>
        <w:rPr>
          <w:rFonts w:ascii="Times New Roman" w:hAnsi="Times New Roman" w:eastAsia="Times New Roman" w:cs="Times New Roman"/>
          <w:i/>
          <w:color w:val="000000"/>
          <w:sz w:val="24"/>
        </w:rPr>
        <w:t xml:space="preserve">35</w:t>
      </w:r>
      <w:r>
        <w:rPr>
          <w:rFonts w:ascii="Times New Roman" w:hAnsi="Times New Roman" w:eastAsia="Times New Roman" w:cs="Times New Roman"/>
          <w:i/>
          <w:color w:val="000000"/>
          <w:sz w:val="24"/>
        </w:rPr>
        <w:t xml:space="preserve">, tương đương đơn giá: </w:t>
      </w:r>
      <w:r>
        <w:rPr>
          <w:rFonts w:ascii="Times New Roman" w:hAnsi="Times New Roman" w:eastAsia="Times New Roman" w:cs="Times New Roman"/>
          <w:i/>
          <w:iCs/>
          <w:color w:val="000000"/>
          <w:sz w:val="24"/>
          <w:szCs w:val="24"/>
        </w:rPr>
        <w:t xml:space="preserve">5.840.945</w:t>
      </w:r>
      <w:r>
        <w:rPr>
          <w:rFonts w:ascii="Times New Roman" w:hAnsi="Times New Roman" w:eastAsia="Times New Roman" w:cs="Times New Roman"/>
          <w:i/>
          <w:color w:val="000000"/>
          <w:sz w:val="24"/>
        </w:rPr>
        <w:t xml:space="preserve"> đồng/m</w:t>
      </w:r>
      <w:r>
        <w:rPr>
          <w:rFonts w:ascii="Times New Roman" w:hAnsi="Times New Roman" w:eastAsia="Times New Roman" w:cs="Times New Roman"/>
          <w:i/>
          <w:color w:val="000000"/>
          <w:sz w:val="13"/>
        </w:rPr>
        <w:t xml:space="preserve">2</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Do</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đó,</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Tổ thẩm</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xác định</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đơn giá</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mới của</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z w:val="24"/>
        </w:rPr>
        <w:t xml:space="preserve">trình là: </w:t>
      </w:r>
      <w:r>
        <w:rPr>
          <w:rFonts w:ascii="Times New Roman" w:hAnsi="Times New Roman" w:eastAsia="Times New Roman" w:cs="Times New Roman"/>
          <w:b/>
          <w:bCs/>
          <w:i/>
          <w:iCs/>
          <w:color w:val="000000"/>
          <w:sz w:val="24"/>
          <w:szCs w:val="24"/>
        </w:rPr>
        <w:t xml:space="preserve">5.840.945</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pacing w:val="-2"/>
          <w:sz w:val="24"/>
        </w:rPr>
        <w:t xml:space="preserve">đồng/m²</w:t>
      </w:r>
      <w:r>
        <w:rPr>
          <w:rFonts w:ascii="Times New Roman" w:hAnsi="Times New Roman" w:eastAsia="Times New Roman" w:cs="Times New Roman"/>
          <w:color w:val="000000"/>
          <w:spacing w:val="-2"/>
          <w:sz w:val="24"/>
        </w:rPr>
        <w:t xml:space="preserve">.</w:t>
      </w:r>
      <w:r/>
    </w:p>
    <w:p>
      <w:pPr>
        <w:pStyle w:val="1053"/>
        <w:numPr>
          <w:ilvl w:val="0"/>
          <w:numId w:val="51"/>
        </w:numPr>
        <w:suppressLineNumbers w:val="false"/>
        <w:pBdr>
          <w:top w:val="none" w:color="000000" w:sz="4" w:space="0"/>
          <w:left w:val="none" w:color="000000" w:sz="4" w:space="0"/>
          <w:bottom w:val="none" w:color="000000" w:sz="4" w:space="0"/>
          <w:right w:val="none" w:color="000000" w:sz="4" w:space="0"/>
        </w:pBdr>
        <w:tabs>
          <w:tab w:val="left" w:leader="none" w:pos="284"/>
        </w:tabs>
        <w:spacing w:after="40" w:before="40"/>
        <w:ind w:right="0"/>
        <w:jc w:val="both"/>
        <w:rPr>
          <w:color w:val="000000" w:themeColor="text1"/>
        </w:rPr>
      </w:pPr>
      <w:r>
        <w:rPr>
          <w:rFonts w:ascii="Times New Roman" w:hAnsi="Times New Roman" w:eastAsia="Times New Roman" w:cs="Times New Roman"/>
          <w:b/>
          <w:color w:val="000000" w:themeColor="text1"/>
          <w:sz w:val="24"/>
        </w:rPr>
        <w:t xml:space="preserve">Xác định Tỷ lệ hao mòn của CTXD</w:t>
      </w:r>
      <w:r>
        <w:rPr>
          <w:rFonts w:ascii="Times New Roman" w:hAnsi="Times New Roman" w:eastAsia="Times New Roman" w:cs="Times New Roman"/>
          <w:color w:val="000000" w:themeColor="text1"/>
          <w:sz w:val="24"/>
        </w:rPr>
        <w:t xml:space="preserve">: Qua khảo sát hiện trạng, Tổ thẩm định xác định Tổng giá trị hao mòn của tài sản thẩm qua kỹ thuật tổng cộng.</w:t>
      </w:r>
      <w:r>
        <w:rPr>
          <w:color w:val="000000" w:themeColor="text1"/>
        </w:rPr>
      </w:r>
      <w:r>
        <w:rPr>
          <w:color w:val="000000" w:themeColor="text1"/>
        </w:rPr>
      </w:r>
    </w:p>
    <w:p>
      <w:pPr>
        <w:numPr>
          <w:ilvl w:val="0"/>
          <w:numId w:val="50"/>
        </w:num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120" w:line="276" w:lineRule="auto"/>
        <w:ind w:left="0"/>
        <w:jc w:val="both"/>
        <w:rPr>
          <w:color w:val="000000" w:themeColor="text1"/>
        </w:rPr>
      </w:pPr>
      <w:r>
        <w:rPr>
          <w:rFonts w:ascii="Times New Roman" w:hAnsi="Times New Roman" w:eastAsia="Times New Roman" w:cs="Times New Roman"/>
          <w:i/>
          <w:color w:val="000000" w:themeColor="text1"/>
          <w:sz w:val="24"/>
        </w:rPr>
        <w:t xml:space="preserve">Xác định tỷ lệ hao mòn của tài sản theo kỹ thuật tổng cộng như sau:</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i/>
          <w:color w:val="000000" w:themeColor="text1"/>
          <w:sz w:val="24"/>
        </w:rPr>
        <w:t xml:space="preserve">Tổng giá trị hao mòn của tài sản được xác định thông qua phân tích từng loại hao mòn vật lý, chức năng và ngoại biên của tài sản và cộng giá trị của các loại hao mòn này.</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Tổ thẩm định xác định hao mòn chức năng và hao mòn ngoại biên là không đáng kể, nên tỷ lệ hao mòn của tài sản thẩm định được xác định theo hao mòn vật lý thông qua xác định tỷ lệ chất lượng còn lại của công trình theo khảo sát thực tế dưới sự hướng dẫn trự</w:t>
      </w:r>
      <w:r>
        <w:rPr>
          <w:rFonts w:ascii="Times New Roman" w:hAnsi="Times New Roman" w:eastAsia="Times New Roman" w:cs="Times New Roman"/>
          <w:i/>
          <w:color w:val="000000" w:themeColor="text1"/>
          <w:sz w:val="24"/>
        </w:rPr>
        <w:t xml:space="preserve">c tiếp của khách hàng và vận dụng công văn Số: 1326/BXD-QLN do Bộ xây dựng ban hành ngày 8/8/2011 về việc hướng dẫn kiểm kê, đánh giá lại giá trị tài sản cố định là nhà, vật kiến trúc.</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Tỷ lệ hao mòn của nhà, vật kiến trúc được xác định căn cứ vào đánh giá tỷ trọng của từng kết cấu chính trong tổng giá trị tài sản, mức độ hư hỏng, chất lượng còn lại của từng kết cấu chính; từ đó, xác định tỷ lệ % giá trị hao mòn vật lý của tài sản thẩm đị</w:t>
      </w:r>
      <w:r>
        <w:rPr>
          <w:rFonts w:ascii="Times New Roman" w:hAnsi="Times New Roman" w:eastAsia="Times New Roman" w:cs="Times New Roman"/>
          <w:i/>
          <w:color w:val="000000" w:themeColor="text1"/>
          <w:sz w:val="24"/>
        </w:rPr>
        <w:t xml:space="preserve">nh giá theo công thức sau:</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 w:val="left" w:leader="none" w:pos="6012"/>
        </w:tabs>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rPr>
      </w:r>
      <w:r>
        <w:rPr>
          <w:color w:val="000000" w:themeColor="text1"/>
        </w:rPr>
      </w:r>
      <w:r>
        <w:rPr>
          <w:color w:val="000000" w:themeColor="text1"/>
        </w:rPr>
      </w:r>
    </w:p>
    <w:tbl>
      <w:tblPr>
        <w:tblStyle w:val="1057"/>
        <w:tblInd w:w="1871"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7"/>
        <w:gridCol w:w="709"/>
        <w:gridCol w:w="283"/>
        <w:gridCol w:w="1134"/>
        <w:gridCol w:w="567"/>
        <w:gridCol w:w="1843"/>
      </w:tblGrid>
      <w:tr>
        <w:trPr/>
        <w:tc>
          <w:tcPr>
            <w:tcBorders/>
            <w:tcMar>
              <w:left w:w="108" w:type="dxa"/>
              <w:top w:w="0" w:type="dxa"/>
              <w:right w:w="108" w:type="dxa"/>
              <w:bottom w:w="0" w:type="dxa"/>
            </w:tcMar>
            <w:tcW w:w="567" w:type="dxa"/>
            <w:vAlign w:val="center"/>
            <w:vMerge w:val="restart"/>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H  </w:t>
            </w:r>
            <w:r>
              <w:rPr>
                <w:color w:val="000000" w:themeColor="text1"/>
              </w:rPr>
            </w:r>
            <w:r>
              <w:rPr>
                <w:color w:val="000000" w:themeColor="text1"/>
              </w:rPr>
            </w:r>
          </w:p>
        </w:tc>
        <w:tc>
          <w:tcPr>
            <w:tcBorders/>
            <w:tcMar>
              <w:left w:w="108" w:type="dxa"/>
              <w:top w:w="0" w:type="dxa"/>
              <w:right w:w="108" w:type="dxa"/>
              <w:bottom w:w="0" w:type="dxa"/>
            </w:tcMar>
            <w:tcW w:w="709" w:type="dxa"/>
            <w:vAlign w:val="center"/>
            <w:vMerge w:val="restart"/>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283" w:type="dxa"/>
            <w:vAlign w:val="center"/>
            <w:textDirection w:val="lrTb"/>
            <w:noWrap w:val="false"/>
          </w:tcPr>
          <w:p>
            <w:pPr>
              <w:suppressLineNumbers w:val="false"/>
              <w:pBdr/>
              <w:spacing w:after="0" w:before="0" w:line="240" w:lineRule="auto"/>
              <w:ind w:left="0"/>
              <w:jc w:val="center"/>
              <w:rPr>
                <w:color w:val="000000" w:themeColor="text1"/>
              </w:rPr>
            </w:pPr>
            <w:r>
              <w:rPr>
                <w:color w:val="000000" w:themeColor="text1"/>
              </w:rPr>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1134" w:type="dxa"/>
            <w:vAlign w:val="center"/>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H</w:t>
            </w:r>
            <w:r>
              <w:rPr>
                <w:rFonts w:ascii="Times New Roman" w:hAnsi="Times New Roman" w:eastAsia="Times New Roman" w:cs="Times New Roman"/>
                <w:color w:val="000000" w:themeColor="text1"/>
                <w:sz w:val="20"/>
                <w:vertAlign w:val="subscript"/>
              </w:rPr>
              <w:t xml:space="preserve">i</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567" w:type="dxa"/>
            <w:vAlign w:val="center"/>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x</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1843" w:type="dxa"/>
            <w:vAlign w:val="center"/>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T</w:t>
            </w:r>
            <w:r>
              <w:rPr>
                <w:rFonts w:ascii="Times New Roman" w:hAnsi="Times New Roman" w:eastAsia="Times New Roman" w:cs="Times New Roman"/>
                <w:color w:val="000000" w:themeColor="text1"/>
                <w:sz w:val="20"/>
                <w:vertAlign w:val="subscript"/>
              </w:rPr>
              <w:t xml:space="preserve">i</w:t>
            </w:r>
            <w:r>
              <w:rPr>
                <w:color w:val="000000" w:themeColor="text1"/>
              </w:rPr>
            </w:r>
            <w:r>
              <w:rPr>
                <w:color w:val="000000" w:themeColor="text1"/>
              </w:rPr>
            </w:r>
          </w:p>
        </w:tc>
      </w:tr>
      <w:tr>
        <w:trPr>
          <w:trHeight w:val="629"/>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3"/>
            <w:tcBorders/>
            <w:tcMar>
              <w:left w:w="108" w:type="dxa"/>
              <w:top w:w="0" w:type="dxa"/>
              <w:right w:w="108" w:type="dxa"/>
              <w:bottom w:w="0" w:type="dxa"/>
            </w:tcMar>
            <w:tcW w:w="1984" w:type="dxa"/>
            <w:vAlign w:val="center"/>
            <w:textDirection w:val="lrTb"/>
            <w:noWrap w:val="false"/>
          </w:tcPr>
          <w:p>
            <w:pPr>
              <w:suppressLineNumbers w:val="false"/>
              <w:pBdr/>
              <w:spacing w:after="0" w:before="0" w:line="240" w:lineRule="auto"/>
              <w:ind w:left="0"/>
              <w:jc w:val="center"/>
              <w:rPr>
                <w:color w:val="000000" w:themeColor="text1"/>
              </w:rPr>
            </w:pPr>
            <w:r>
              <w:rPr>
                <w:color w:val="000000" w:themeColor="text1"/>
              </w:rPr>
            </w:r>
            <w:r>
              <w:rPr>
                <w:color w:val="000000" w:themeColor="text1"/>
              </w:rPr>
            </w:r>
            <w:r>
              <w:rPr>
                <w:color w:val="000000" w:themeColor="text1"/>
              </w:rPr>
            </w:r>
          </w:p>
        </w:tc>
        <w:tc>
          <w:tcPr>
            <w:tcBorders/>
            <w:tcMar>
              <w:left w:w="0" w:type="dxa"/>
              <w:top w:w="0" w:type="dxa"/>
              <w:right w:w="0" w:type="dxa"/>
              <w:bottom w:w="0" w:type="dxa"/>
            </w:tcMar>
            <w:tcW w:w="1843" w:type="dxa"/>
            <w:vAlign w:val="center"/>
            <w:textDirection w:val="lrTb"/>
            <w:noWrap w:val="false"/>
          </w:tcPr>
          <w:p>
            <w:pPr>
              <w:suppressLineNumbers w:val="false"/>
              <w:pBdr>
                <w:top w:val="none" w:color="000000" w:sz="4" w:space="0"/>
                <w:left w:val="none" w:color="000000" w:sz="4" w:space="0"/>
                <w:bottom w:val="none" w:color="000000" w:sz="4" w:space="0"/>
                <w:right w:val="none" w:color="000000" w:sz="4" w:space="0"/>
              </w:pBdr>
              <w:spacing w:after="12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Ti</w:t>
            </w:r>
            <w:r>
              <w:rPr>
                <w:color w:val="000000" w:themeColor="text1"/>
              </w:rPr>
            </w:r>
            <w:r>
              <w:rPr>
                <w:color w:val="000000" w:themeColor="text1"/>
              </w:rPr>
            </w:r>
          </w:p>
        </w:tc>
      </w:tr>
    </w:tbl>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Trong đó: </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H: Tỷ lệ hao mòn vật lý của tài sản thẩm định giá tính theo tỷ lệ %;</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H</w:t>
      </w:r>
      <w:r>
        <w:rPr>
          <w:rFonts w:ascii="Times New Roman" w:hAnsi="Times New Roman" w:eastAsia="Times New Roman" w:cs="Times New Roman"/>
          <w:i/>
          <w:color w:val="000000" w:themeColor="text1"/>
          <w:sz w:val="20"/>
          <w:vertAlign w:val="subscript"/>
        </w:rPr>
        <w:t xml:space="preserve">i</w:t>
      </w:r>
      <w:r>
        <w:rPr>
          <w:rFonts w:ascii="Times New Roman" w:hAnsi="Times New Roman" w:eastAsia="Times New Roman" w:cs="Times New Roman"/>
          <w:i/>
          <w:color w:val="000000" w:themeColor="text1"/>
          <w:sz w:val="24"/>
        </w:rPr>
        <w:t xml:space="preserve">: Hao mòn vật lý của kết cấu chính thứ i tính theo tỷ lệ %;</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T</w:t>
      </w:r>
      <w:r>
        <w:rPr>
          <w:rFonts w:ascii="Times New Roman" w:hAnsi="Times New Roman" w:eastAsia="Times New Roman" w:cs="Times New Roman"/>
          <w:i/>
          <w:color w:val="000000" w:themeColor="text1"/>
          <w:sz w:val="20"/>
          <w:vertAlign w:val="subscript"/>
        </w:rPr>
        <w:t xml:space="preserve">i</w:t>
      </w:r>
      <w:r>
        <w:rPr>
          <w:rFonts w:ascii="Times New Roman" w:hAnsi="Times New Roman" w:eastAsia="Times New Roman" w:cs="Times New Roman"/>
          <w:i/>
          <w:color w:val="000000" w:themeColor="text1"/>
          <w:sz w:val="24"/>
        </w:rPr>
        <w:t xml:space="preserve">: Tỷ trọng của kết cấu chính thứ i trong tổng giá trị tài sản thẩm định giá;</w:t>
      </w:r>
      <w:r>
        <w:rPr>
          <w:color w:val="000000" w:themeColor="text1"/>
        </w:rPr>
      </w:r>
      <w:r>
        <w:rPr>
          <w:color w:val="000000" w:themeColor="text1"/>
        </w:rPr>
      </w:r>
    </w:p>
    <w:p>
      <w:pPr>
        <w:suppressLineNumbers w:val="false"/>
        <w:pBdr>
          <w:top w:val="none" w:color="000000" w:sz="4" w:space="0"/>
          <w:left w:val="none" w:color="000000" w:sz="4" w:space="0"/>
          <w:bottom w:val="none" w:color="000000" w:sz="4" w:space="0"/>
          <w:right w:val="none" w:color="000000" w:sz="4" w:space="0"/>
        </w:pBdr>
        <w:tabs>
          <w:tab w:val="left" w:leader="none" w:pos="284"/>
        </w:tabs>
        <w:spacing w:after="120" w:before="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n: Tổng số kết cấu chính của tài sản thẩm định giá;</w:t>
      </w:r>
      <w:r>
        <w:rPr>
          <w:color w:val="000000" w:themeColor="text1"/>
        </w:rPr>
      </w:r>
      <w:r>
        <w:rPr>
          <w:color w:val="000000" w:themeColor="text1"/>
        </w:rPr>
      </w:r>
    </w:p>
    <w:p>
      <w:pPr>
        <w:numPr>
          <w:ilvl w:val="0"/>
          <w:numId w:val="46"/>
        </w:numPr>
        <w:suppressLineNumbers w:val="false"/>
        <w:pBdr>
          <w:top w:val="none" w:color="000000" w:sz="4" w:space="0"/>
          <w:left w:val="none" w:color="000000" w:sz="4" w:space="0"/>
          <w:bottom w:val="none" w:color="000000" w:sz="4" w:space="0"/>
          <w:right w:val="none" w:color="000000" w:sz="4" w:space="0"/>
        </w:pBdr>
        <w:spacing w:after="0" w:before="126"/>
        <w:ind w:right="0" w:hanging="360" w:left="0"/>
        <w:jc w:val="both"/>
        <w:rPr>
          <w:color w:val="000000" w:themeColor="text1"/>
        </w:rPr>
      </w:pPr>
      <w:r>
        <w:rPr>
          <w:rFonts w:ascii="Times New Roman" w:hAnsi="Times New Roman" w:eastAsia="Times New Roman" w:cs="Times New Roman"/>
          <w:i/>
          <w:color w:val="000000" w:themeColor="text1"/>
          <w:sz w:val="24"/>
        </w:rPr>
        <w:t xml:space="preserve">i: kết cấu chính thứ i.</w:t>
      </w:r>
      <w:r>
        <w:rPr>
          <w:color w:val="000000" w:themeColor="text1"/>
        </w:rPr>
      </w:r>
      <w:r>
        <w:rPr>
          <w:color w:val="000000" w:themeColor="text1"/>
        </w:rPr>
      </w:r>
    </w:p>
    <w:p>
      <w:pPr>
        <w:numPr>
          <w:ilvl w:val="0"/>
          <w:numId w:val="52"/>
        </w:numPr>
        <w:pBdr>
          <w:top w:val="none" w:color="000000" w:sz="4" w:space="0"/>
          <w:left w:val="none" w:color="000000" w:sz="4" w:space="0"/>
          <w:bottom w:val="none" w:color="000000" w:sz="4" w:space="0"/>
          <w:right w:val="none" w:color="000000" w:sz="4" w:space="0"/>
        </w:pBdr>
        <w:spacing w:after="120" w:before="120" w:line="324" w:lineRule="auto"/>
        <w:ind w:right="0" w:hanging="567" w:left="709"/>
        <w:jc w:val="both"/>
        <w:rPr>
          <w:color w:val="000000" w:themeColor="text1"/>
        </w:rPr>
      </w:pPr>
      <w:r>
        <w:rPr>
          <w:rFonts w:ascii="Times New Roman" w:hAnsi="Times New Roman" w:eastAsia="Times New Roman" w:cs="Times New Roman"/>
          <w:b/>
          <w:i/>
          <w:color w:val="000000" w:themeColor="text1"/>
          <w:sz w:val="24"/>
        </w:rPr>
        <w:t xml:space="preserve">Tỷ lệ hao mòn theo phương pháp tổng cộng</w:t>
      </w:r>
      <w:r>
        <w:rPr>
          <w:color w:val="000000" w:themeColor="text1"/>
        </w:rPr>
      </w:r>
      <w:r>
        <w:rPr>
          <w:color w:val="000000" w:themeColor="text1"/>
        </w:rPr>
      </w:r>
    </w:p>
    <w:tbl>
      <w:tblPr>
        <w:tblStyle w:val="105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18"/>
        <w:gridCol w:w="1874"/>
        <w:gridCol w:w="2269"/>
        <w:gridCol w:w="2269"/>
        <w:gridCol w:w="2269"/>
      </w:tblGrid>
      <w:tr>
        <w:trPr>
          <w:trHeight w:val="939"/>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7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KẾT CẤU CHÍNH</w:t>
            </w:r>
            <w:r/>
          </w:p>
        </w:tc>
        <w:tc>
          <w:tcPr>
            <w:tcBorders>
              <w:top w:val="single" w:color="000000" w:sz="5" w:space="0"/>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left"/>
              <w:rPr/>
            </w:pPr>
            <w:r>
              <w:rPr>
                <w:rFonts w:ascii="Times New Roman" w:hAnsi="Times New Roman" w:eastAsia="Times New Roman" w:cs="Times New Roman"/>
                <w:b/>
                <w:color w:val="000000"/>
                <w:sz w:val="24"/>
              </w:rPr>
              <w:t xml:space="preserve">ỏ </w:t>
            </w:r>
            <w:r>
              <w:rPr>
                <w:rFonts w:ascii="Times New Roman" w:hAnsi="Times New Roman" w:eastAsia="Times New Roman" w:cs="Times New Roman"/>
                <w:b/>
                <w:color w:val="000000"/>
                <w:sz w:val="24"/>
              </w:rPr>
            </w:r>
            <w:r/>
          </w:p>
        </w:tc>
        <w:tc>
          <w:tcPr>
            <w:tcBorders>
              <w:top w:val="single" w:color="000000" w:sz="5" w:space="0"/>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hao mòn các kết cấu chính (%)</w:t>
            </w:r>
            <w:r/>
          </w:p>
        </w:tc>
        <w:tc>
          <w:tcPr>
            <w:tcBorders>
              <w:top w:val="single" w:color="000000" w:sz="5" w:space="0"/>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a</w:t>
            </w:r>
            <w:r/>
          </w:p>
        </w:tc>
        <w:tc>
          <w:tcPr>
            <w:tcBorders>
              <w:bottom w:val="single" w:color="000000" w:sz="5" w:space="0"/>
              <w:right w:val="single" w:color="000000" w:sz="5" w:space="0"/>
            </w:tcBorders>
            <w:tcMar>
              <w:left w:w="0" w:type="dxa"/>
              <w:top w:w="0" w:type="dxa"/>
              <w:right w:w="0" w:type="dxa"/>
              <w:bottom w:w="0" w:type="dxa"/>
            </w:tcMar>
            <w:tcW w:w="1874"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b</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c</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d</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e = c x d/g</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0" w:type="dxa"/>
              <w:top w:w="0" w:type="dxa"/>
              <w:right w:w="0" w:type="dxa"/>
              <w:bottom w:w="0" w:type="dxa"/>
            </w:tcMar>
            <w:tcW w:w="1874"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Móng</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10%</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right w:val="single" w:color="000000" w:sz="5" w:space="0"/>
            </w:tcBorders>
            <w:tcMar>
              <w:left w:w="0" w:type="dxa"/>
              <w:top w:w="0" w:type="dxa"/>
              <w:right w:w="0" w:type="dxa"/>
              <w:bottom w:w="0" w:type="dxa"/>
            </w:tcMar>
            <w:tcW w:w="1874"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Khung, cột</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5" w:space="0"/>
              <w:right w:val="single" w:color="000000" w:sz="5" w:space="0"/>
            </w:tcBorders>
            <w:tcMar>
              <w:left w:w="0" w:type="dxa"/>
              <w:top w:w="0" w:type="dxa"/>
              <w:right w:w="0" w:type="dxa"/>
              <w:bottom w:w="0" w:type="dxa"/>
            </w:tcMar>
            <w:tcW w:w="1874"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Tường</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18%</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w:t>
            </w:r>
            <w:r/>
          </w:p>
        </w:tc>
        <w:tc>
          <w:tcPr>
            <w:tcBorders>
              <w:bottom w:val="single" w:color="000000" w:sz="5" w:space="0"/>
              <w:right w:val="single" w:color="000000" w:sz="5" w:space="0"/>
            </w:tcBorders>
            <w:tcMar>
              <w:left w:w="0" w:type="dxa"/>
              <w:top w:w="0" w:type="dxa"/>
              <w:right w:w="0" w:type="dxa"/>
              <w:bottom w:w="0" w:type="dxa"/>
            </w:tcMar>
            <w:tcW w:w="1874"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Nền, sàn</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tcBorders>
              <w:bottom w:val="single" w:color="000000" w:sz="5" w:space="0"/>
              <w:right w:val="single" w:color="000000" w:sz="5" w:space="0"/>
            </w:tcBorders>
            <w:tcMar>
              <w:left w:w="0" w:type="dxa"/>
              <w:top w:w="0" w:type="dxa"/>
              <w:right w:w="0" w:type="dxa"/>
              <w:bottom w:w="0" w:type="dxa"/>
            </w:tcMar>
            <w:tcW w:w="1874"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Kết cấu đỡ mái</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9%</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w:t>
            </w:r>
            <w:r/>
          </w:p>
        </w:tc>
        <w:tc>
          <w:tcPr>
            <w:tcBorders>
              <w:bottom w:val="single" w:color="000000" w:sz="5" w:space="0"/>
              <w:right w:val="single" w:color="000000" w:sz="5" w:space="0"/>
            </w:tcBorders>
            <w:tcMar>
              <w:left w:w="0" w:type="dxa"/>
              <w:top w:w="0" w:type="dxa"/>
              <w:right w:w="0" w:type="dxa"/>
              <w:bottom w:w="0" w:type="dxa"/>
            </w:tcMar>
            <w:tcW w:w="1874"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Mái</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17%</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187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Tổng cộng (g)</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59%</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418"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187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hao mòn:</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5" w:space="0"/>
              <w:right w:val="single" w:color="000000" w:sz="5" w:space="0"/>
            </w:tcBorders>
            <w:tcMar>
              <w:left w:w="0" w:type="dxa"/>
              <w:top w:w="0" w:type="dxa"/>
              <w:right w:w="0" w:type="dxa"/>
              <w:bottom w:w="0" w:type="dxa"/>
            </w:tcMar>
            <w:tcW w:w="226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r>
    </w:tbl>
    <w:p>
      <w:pPr>
        <w:pStyle w:val="1034"/>
        <w:pBdr>
          <w:top w:val="none" w:color="000000" w:sz="4" w:space="0"/>
          <w:left w:val="none" w:color="000000" w:sz="4" w:space="0"/>
          <w:bottom w:val="none" w:color="000000" w:sz="4" w:space="0"/>
          <w:right w:val="none" w:color="000000" w:sz="4" w:space="0"/>
        </w:pBdr>
        <w:tabs>
          <w:tab w:val="left" w:leader="none" w:pos="1106"/>
        </w:tabs>
        <w:spacing w:after="0" w:before="85"/>
        <w:ind w:firstLine="0" w:left="0"/>
        <w:rPr/>
      </w:pPr>
      <w:r>
        <w:rPr>
          <w:rFonts w:ascii="Times New Roman" w:hAnsi="Times New Roman" w:eastAsia="Times New Roman" w:cs="Times New Roman"/>
          <w:b/>
          <w:color w:val="000000"/>
          <w:spacing w:val="-2"/>
          <w:sz w:val="24"/>
          <w:highlight w:val="none"/>
        </w:rPr>
        <w:t xml:space="preserve">Tổ </w:t>
      </w:r>
      <w:r>
        <w:rPr>
          <w:rFonts w:ascii="Times New Roman" w:hAnsi="Times New Roman" w:eastAsia="Times New Roman" w:cs="Times New Roman"/>
          <w:b/>
          <w:color w:val="000000"/>
          <w:spacing w:val="-2"/>
          <w:sz w:val="24"/>
          <w:highlight w:val="none"/>
        </w:rPr>
        <w:t xml:space="preserve">thẩm </w:t>
      </w:r>
      <w:r>
        <w:rPr>
          <w:rFonts w:ascii="Times New Roman" w:hAnsi="Times New Roman" w:eastAsia="Times New Roman" w:cs="Times New Roman"/>
          <w:b/>
          <w:color w:val="000000"/>
          <w:spacing w:val="-2"/>
          <w:sz w:val="24"/>
          <w:highlight w:val="none"/>
        </w:rPr>
        <w:t xml:space="preserve">định </w:t>
      </w:r>
      <w:r>
        <w:rPr>
          <w:rFonts w:ascii="Times New Roman" w:hAnsi="Times New Roman" w:eastAsia="Times New Roman" w:cs="Times New Roman"/>
          <w:b/>
          <w:color w:val="000000"/>
          <w:spacing w:val="-2"/>
          <w:sz w:val="24"/>
          <w:highlight w:val="none"/>
        </w:rPr>
        <w:t xml:space="preserve">xác </w:t>
      </w:r>
      <w:r>
        <w:rPr>
          <w:rFonts w:ascii="Times New Roman" w:hAnsi="Times New Roman" w:eastAsia="Times New Roman" w:cs="Times New Roman"/>
          <w:b/>
          <w:color w:val="000000"/>
          <w:spacing w:val="-2"/>
          <w:sz w:val="24"/>
          <w:highlight w:val="none"/>
        </w:rPr>
        <w:t xml:space="preserve">định </w:t>
      </w:r>
      <w:r>
        <w:rPr>
          <w:rFonts w:ascii="Times New Roman" w:hAnsi="Times New Roman" w:eastAsia="Times New Roman" w:cs="Times New Roman"/>
          <w:b/>
          <w:color w:val="000000"/>
          <w:spacing w:val="-2"/>
          <w:sz w:val="24"/>
          <w:highlight w:val="none"/>
        </w:rPr>
        <w:t xml:space="preserve">tỷ </w:t>
      </w:r>
      <w:r>
        <w:rPr>
          <w:rFonts w:ascii="Times New Roman" w:hAnsi="Times New Roman" w:eastAsia="Times New Roman" w:cs="Times New Roman"/>
          <w:b/>
          <w:color w:val="000000"/>
          <w:spacing w:val="-2"/>
          <w:sz w:val="24"/>
          <w:highlight w:val="none"/>
        </w:rPr>
        <w:t xml:space="preserve">lệ </w:t>
      </w:r>
      <w:r>
        <w:rPr>
          <w:rFonts w:ascii="Times New Roman" w:hAnsi="Times New Roman" w:eastAsia="Times New Roman" w:cs="Times New Roman"/>
          <w:b/>
          <w:color w:val="000000"/>
          <w:spacing w:val="-2"/>
          <w:sz w:val="24"/>
          <w:highlight w:val="none"/>
        </w:rPr>
        <w:t xml:space="preserve">hao </w:t>
      </w:r>
      <w:r>
        <w:rPr>
          <w:rFonts w:ascii="Times New Roman" w:hAnsi="Times New Roman" w:eastAsia="Times New Roman" w:cs="Times New Roman"/>
          <w:b/>
          <w:color w:val="000000"/>
          <w:spacing w:val="-2"/>
          <w:sz w:val="24"/>
          <w:highlight w:val="none"/>
        </w:rPr>
        <w:t xml:space="preserve">mòn </w:t>
      </w:r>
      <w:r>
        <w:rPr>
          <w:rFonts w:ascii="Times New Roman" w:hAnsi="Times New Roman" w:eastAsia="Times New Roman" w:cs="Times New Roman"/>
          <w:b/>
          <w:color w:val="000000"/>
          <w:spacing w:val="-2"/>
          <w:sz w:val="24"/>
          <w:highlight w:val="none"/>
        </w:rPr>
        <w:t xml:space="preserve">của </w:t>
      </w:r>
      <w:r>
        <w:rPr>
          <w:rFonts w:ascii="Times New Roman" w:hAnsi="Times New Roman" w:eastAsia="Times New Roman" w:cs="Times New Roman"/>
          <w:b/>
          <w:color w:val="000000"/>
          <w:spacing w:val="-2"/>
          <w:sz w:val="24"/>
          <w:highlight w:val="none"/>
        </w:rPr>
        <w:t xml:space="preserve">tài </w:t>
      </w:r>
      <w:r>
        <w:rPr>
          <w:rFonts w:ascii="Times New Roman" w:hAnsi="Times New Roman" w:eastAsia="Times New Roman" w:cs="Times New Roman"/>
          <w:b/>
          <w:color w:val="000000"/>
          <w:spacing w:val="-2"/>
          <w:sz w:val="24"/>
          <w:highlight w:val="none"/>
        </w:rPr>
        <w:t xml:space="preserve">sản </w:t>
      </w:r>
      <w:r>
        <w:rPr>
          <w:rFonts w:ascii="Times New Roman" w:hAnsi="Times New Roman" w:eastAsia="Times New Roman" w:cs="Times New Roman"/>
          <w:b/>
          <w:color w:val="000000"/>
          <w:spacing w:val="-2"/>
          <w:sz w:val="24"/>
          <w:highlight w:val="none"/>
        </w:rPr>
        <w:t xml:space="preserve">thẩm </w:t>
      </w:r>
      <w:r>
        <w:rPr>
          <w:rFonts w:ascii="Times New Roman" w:hAnsi="Times New Roman" w:eastAsia="Times New Roman" w:cs="Times New Roman"/>
          <w:b/>
          <w:color w:val="000000"/>
          <w:spacing w:val="-2"/>
          <w:sz w:val="24"/>
          <w:highlight w:val="none"/>
        </w:rPr>
        <w:t xml:space="preserve">định </w:t>
      </w:r>
      <w:r>
        <w:rPr>
          <w:rFonts w:ascii="Times New Roman" w:hAnsi="Times New Roman" w:eastAsia="Times New Roman" w:cs="Times New Roman"/>
          <w:b/>
          <w:color w:val="000000"/>
          <w:spacing w:val="-2"/>
          <w:sz w:val="24"/>
          <w:highlight w:val="none"/>
        </w:rPr>
        <w:t xml:space="preserve">là </w:t>
      </w:r>
      <w:r>
        <w:rPr>
          <w:rFonts w:ascii="Times New Roman" w:hAnsi="Times New Roman" w:eastAsia="Times New Roman" w:cs="Times New Roman"/>
          <w:b/>
          <w:color w:val="000000"/>
          <w:spacing w:val="-2"/>
          <w:sz w:val="24"/>
          <w:highlight w:val="none"/>
        </w:rPr>
        <w:t xml:space="preserve">1%</w:t>
      </w:r>
      <w:r>
        <w:rPr>
          <w:rFonts w:ascii="Times New Roman" w:hAnsi="Times New Roman" w:eastAsia="Times New Roman" w:cs="Times New Roman"/>
          <w:b/>
          <w:color w:val="000000"/>
          <w:spacing w:val="-2"/>
          <w:sz w:val="24"/>
          <w:highlight w:val="none"/>
        </w:rPr>
      </w:r>
      <w:r/>
    </w:p>
    <w:p>
      <w:pPr>
        <w:pStyle w:val="1034"/>
        <w:numPr>
          <w:ilvl w:val="0"/>
          <w:numId w:val="47"/>
        </w:numPr>
        <w:pBdr>
          <w:top w:val="none" w:color="000000" w:sz="4" w:space="0"/>
          <w:left w:val="none" w:color="000000" w:sz="4" w:space="0"/>
          <w:bottom w:val="none" w:color="000000" w:sz="4" w:space="0"/>
          <w:right w:val="none" w:color="000000" w:sz="4" w:space="0"/>
        </w:pBdr>
        <w:tabs>
          <w:tab w:val="left" w:leader="none" w:pos="1106"/>
        </w:tabs>
        <w:spacing w:after="0" w:before="85"/>
        <w:ind/>
        <w:rPr/>
      </w:pPr>
      <w:r>
        <w:rPr>
          <w:rFonts w:ascii="Times New Roman" w:hAnsi="Times New Roman" w:eastAsia="Times New Roman" w:cs="Times New Roman"/>
          <w:b/>
          <w:color w:val="000000"/>
          <w:sz w:val="24"/>
        </w:rPr>
        <w:t xml:space="preserve">Xác</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định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giá</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trị</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công</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trình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xây</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pacing w:val="-2"/>
          <w:sz w:val="24"/>
        </w:rPr>
        <w:t xml:space="preserve">dựng:</w:t>
      </w:r>
      <w:r/>
    </w:p>
    <w:p>
      <w:pPr>
        <w:pBdr>
          <w:top w:val="none" w:color="000000" w:sz="4" w:space="0"/>
          <w:left w:val="none" w:color="000000" w:sz="4" w:space="0"/>
          <w:bottom w:val="none" w:color="000000" w:sz="4" w:space="0"/>
          <w:right w:val="none" w:color="000000" w:sz="4" w:space="0"/>
        </w:pBdr>
        <w:spacing w:before="153"/>
        <w:ind w:right="0" w:firstLine="0" w:left="0"/>
        <w:rPr/>
      </w:pP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pacing w:val="-2"/>
          <w:sz w:val="24"/>
        </w:rPr>
        <w:t xml:space="preserve">thức:</w:t>
      </w:r>
      <w:r/>
    </w:p>
    <w:tbl>
      <w:tblPr>
        <w:tblStyle w:val="1057"/>
        <w:tblInd w:w="45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722"/>
        <w:gridCol w:w="538"/>
        <w:gridCol w:w="3685"/>
        <w:gridCol w:w="567"/>
        <w:gridCol w:w="1559"/>
      </w:tblGrid>
      <w:tr>
        <w:trPr/>
        <w:tc>
          <w:tcPr>
            <w:tcBorders/>
            <w:tcMar>
              <w:left w:w="108" w:type="dxa"/>
              <w:top w:w="0" w:type="dxa"/>
              <w:right w:w="108" w:type="dxa"/>
              <w:bottom w:w="0" w:type="dxa"/>
            </w:tcMar>
            <w:tcW w:w="2722"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2016"/>
              </w:tabs>
              <w:spacing w:before="181"/>
              <w:ind w:right="0" w:firstLine="0" w:left="0"/>
              <w:rPr/>
            </w:pPr>
            <w:r>
              <w:rPr>
                <w:rFonts w:ascii="Times New Roman" w:hAnsi="Times New Roman" w:eastAsia="Times New Roman" w:cs="Times New Roman"/>
                <w:color w:val="000000"/>
                <w:sz w:val="24"/>
              </w:rPr>
              <w:t xml:space="preserve">Giá trị ước</w:t>
            </w:r>
            <w:r>
              <w:rPr>
                <w:rFonts w:ascii="Times New Roman" w:hAnsi="Times New Roman" w:eastAsia="Times New Roman" w:cs="Times New Roman"/>
                <w:color w:val="000000"/>
                <w:spacing w:val="40"/>
                <w:sz w:val="24"/>
              </w:rPr>
              <w:t xml:space="preserve"> </w:t>
            </w:r>
            <w:r>
              <w:rPr>
                <w:rFonts w:ascii="Times New Roman" w:hAnsi="Times New Roman" w:eastAsia="Times New Roman" w:cs="Times New Roman"/>
                <w:color w:val="000000"/>
                <w:sz w:val="24"/>
              </w:rPr>
              <w:t xml:space="preserve">tính của tài sản</w:t>
            </w:r>
            <w:r/>
          </w:p>
        </w:tc>
        <w:tc>
          <w:tcPr>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8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1"/>
              <w:ind w:right="0" w:firstLine="0" w:left="0"/>
              <w:jc w:val="center"/>
              <w:rPr/>
            </w:pPr>
            <w:r>
              <w:rPr>
                <w:rFonts w:ascii="Times New Roman" w:hAnsi="Times New Roman" w:eastAsia="Times New Roman" w:cs="Times New Roman"/>
                <w:color w:val="000000"/>
                <w:sz w:val="24"/>
              </w:rPr>
              <w:t xml:space="preserve">Chi</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phí</w:t>
            </w:r>
            <w:r>
              <w:rPr>
                <w:rFonts w:ascii="Times New Roman" w:hAnsi="Times New Roman" w:eastAsia="Times New Roman" w:cs="Times New Roman"/>
                <w:color w:val="000000"/>
                <w:spacing w:val="-2"/>
                <w:sz w:val="24"/>
              </w:rPr>
              <w:t xml:space="preserve"> </w:t>
            </w:r>
            <w:r>
              <w:rPr>
                <w:rFonts w:ascii="Times New Roman" w:hAnsi="Times New Roman" w:eastAsia="Times New Roman" w:cs="Times New Roman"/>
                <w:color w:val="000000"/>
                <w:sz w:val="24"/>
              </w:rPr>
              <w:t xml:space="preserve">thay</w:t>
            </w:r>
            <w:r>
              <w:rPr>
                <w:rFonts w:ascii="Times New Roman" w:hAnsi="Times New Roman" w:eastAsia="Times New Roman" w:cs="Times New Roman"/>
                <w:color w:val="000000"/>
                <w:spacing w:val="-1"/>
                <w:sz w:val="24"/>
              </w:rPr>
              <w:t xml:space="preserve"> </w:t>
            </w:r>
            <w:r>
              <w:rPr>
                <w:rFonts w:ascii="Times New Roman" w:hAnsi="Times New Roman" w:eastAsia="Times New Roman" w:cs="Times New Roman"/>
                <w:color w:val="000000"/>
                <w:spacing w:val="-5"/>
                <w:sz w:val="24"/>
              </w:rPr>
              <w:t xml:space="preserve">thế</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(Giá</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trị</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xây</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mới</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tài</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sản</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đã</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bao</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gồm</w:t>
            </w:r>
            <w:r>
              <w:rPr>
                <w:rFonts w:ascii="Times New Roman" w:hAnsi="Times New Roman" w:eastAsia="Times New Roman" w:cs="Times New Roman"/>
                <w:color w:val="000000"/>
                <w:spacing w:val="-5"/>
                <w:sz w:val="22"/>
              </w:rPr>
              <w:t xml:space="preserve"> </w:t>
            </w:r>
            <w:r>
              <w:rPr>
                <w:rFonts w:ascii="Times New Roman" w:hAnsi="Times New Roman" w:eastAsia="Times New Roman" w:cs="Times New Roman"/>
                <w:color w:val="000000"/>
                <w:sz w:val="22"/>
              </w:rPr>
              <w:t xml:space="preserve">lợi nhuận của nhà sản xuất/nhà đầu tư)</w:t>
            </w:r>
            <w:r/>
          </w:p>
        </w:tc>
        <w:tc>
          <w:tcPr>
            <w:tcBorders/>
            <w:tcMar>
              <w:left w:w="108" w:type="dxa"/>
              <w:top w:w="0" w:type="dxa"/>
              <w:right w:w="108"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w:t>
            </w:r>
            <w:r>
              <w:rPr>
                <w:rFonts w:ascii="Times New Roman" w:hAnsi="Times New Roman" w:eastAsia="Times New Roman" w:cs="Times New Roman"/>
                <w:color w:val="000000"/>
                <w:spacing w:val="-15"/>
                <w:sz w:val="22"/>
              </w:rPr>
              <w:t xml:space="preserve"> </w:t>
            </w:r>
            <w:r>
              <w:rPr>
                <w:rFonts w:ascii="Times New Roman" w:hAnsi="Times New Roman" w:eastAsia="Times New Roman" w:cs="Times New Roman"/>
                <w:color w:val="000000"/>
                <w:sz w:val="22"/>
              </w:rPr>
              <w:t xml:space="preserve">giá</w:t>
            </w:r>
            <w:r>
              <w:rPr>
                <w:rFonts w:ascii="Times New Roman" w:hAnsi="Times New Roman" w:eastAsia="Times New Roman" w:cs="Times New Roman"/>
                <w:color w:val="000000"/>
                <w:spacing w:val="-15"/>
                <w:sz w:val="22"/>
              </w:rPr>
              <w:t xml:space="preserve"> </w:t>
            </w:r>
            <w:r>
              <w:rPr>
                <w:rFonts w:ascii="Times New Roman" w:hAnsi="Times New Roman" w:eastAsia="Times New Roman" w:cs="Times New Roman"/>
                <w:color w:val="000000"/>
                <w:sz w:val="22"/>
              </w:rPr>
              <w:t xml:space="preserve">trị hao mòn</w:t>
            </w:r>
            <w:r/>
          </w:p>
        </w:tc>
      </w:tr>
    </w:tbl>
    <w:p>
      <w:pPr>
        <w:pBdr>
          <w:top w:val="none" w:color="000000" w:sz="4" w:space="0"/>
          <w:left w:val="none" w:color="000000" w:sz="4" w:space="0"/>
          <w:bottom w:val="none" w:color="000000" w:sz="4" w:space="0"/>
          <w:right w:val="none" w:color="000000" w:sz="4" w:space="0"/>
        </w:pBdr>
        <w:spacing w:before="153"/>
        <w:ind w:right="0" w:firstLine="0" w:left="0"/>
        <w:rPr/>
      </w:pPr>
      <w:r>
        <w:rPr>
          <w:rFonts w:ascii="Times New Roman" w:hAnsi="Times New Roman" w:eastAsia="Times New Roman" w:cs="Times New Roman"/>
          <w:color w:val="000000"/>
          <w:sz w:val="24"/>
        </w:rPr>
        <w:t xml:space="preserve"> </w:t>
      </w:r>
      <w:r>
        <w:rPr>
          <w:b/>
          <w:bCs/>
          <w:highlight w:val="none"/>
        </w:rPr>
      </w: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cấp 4</w:t>
            </w: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170,17</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5.840.945</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993.953.611</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1</w:t>
            </w:r>
            <w:r>
              <w:rPr>
                <w:sz w:val="22"/>
                <w:szCs w:val="22"/>
              </w:rPr>
              <w:t xml:space="preserve">%</w:t>
            </w:r>
            <w:r>
              <w:rPr>
                <w:sz w:val="22"/>
                <w:szCs w:val="22"/>
              </w:rPr>
            </w:r>
            <w:r>
              <w:rPr>
                <w:sz w:val="22"/>
                <w:szCs w:val="22"/>
              </w:rPr>
            </w:r>
          </w:p>
        </w:tc>
        <w:tc>
          <w:tcPr>
            <w:tcBorders/>
            <w:tcW w:w="155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val="0"/>
                <w:bCs w:val="0"/>
                <w:color w:val="000000" w:themeColor="text1"/>
                <w:sz w:val="24"/>
                <w:szCs w:val="24"/>
                <w14:ligatures w14:val="none"/>
              </w:rPr>
            </w:pPr>
            <w:r>
              <w:rPr>
                <w:rFonts w:ascii="Times New Roman" w:hAnsi="Times New Roman" w:eastAsia="Times New Roman" w:cs="Times New Roman"/>
                <w:b w:val="0"/>
                <w:bCs w:val="0"/>
                <w:color w:val="000000" w:themeColor="text1"/>
                <w:sz w:val="24"/>
                <w:szCs w:val="24"/>
              </w:rPr>
              <w:t xml:space="preserve">9.</w:t>
            </w:r>
            <w:r>
              <w:rPr>
                <w:rFonts w:ascii="Times New Roman" w:hAnsi="Times New Roman" w:eastAsia="Times New Roman" w:cs="Times New Roman"/>
                <w:b w:val="0"/>
                <w:bCs w:val="0"/>
                <w:color w:val="000000" w:themeColor="text1"/>
                <w:sz w:val="24"/>
                <w:szCs w:val="24"/>
              </w:rPr>
              <w:t xml:space="preserve">939.</w:t>
            </w:r>
            <w:r>
              <w:rPr>
                <w:rFonts w:ascii="Times New Roman" w:hAnsi="Times New Roman" w:eastAsia="Times New Roman" w:cs="Times New Roman"/>
                <w:b w:val="0"/>
                <w:bCs w:val="0"/>
                <w:color w:val="000000" w:themeColor="text1"/>
                <w:sz w:val="24"/>
                <w:szCs w:val="24"/>
              </w:rPr>
              <w:t xml:space="preserve">536</w:t>
            </w:r>
            <w:r>
              <w:rPr>
                <w:rFonts w:ascii="Times New Roman" w:hAnsi="Times New Roman" w:eastAsia="Times New Roman" w:cs="Times New Roman"/>
                <w:b w:val="0"/>
                <w:bCs w:val="0"/>
                <w:color w:val="000000" w:themeColor="text1"/>
                <w:sz w:val="24"/>
                <w:szCs w:val="24"/>
                <w14:ligatures w14:val="none"/>
              </w:rPr>
            </w:r>
            <w:r>
              <w:rPr>
                <w:rFonts w:ascii="Times New Roman" w:hAnsi="Times New Roman" w:eastAsia="Times New Roman" w:cs="Times New Roman"/>
                <w:b w:val="0"/>
                <w:bCs w:val="0"/>
                <w:color w:val="000000" w:themeColor="text1"/>
                <w:sz w:val="24"/>
                <w:szCs w:val="24"/>
                <w14:ligatures w14:val="none"/>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9</w:t>
            </w:r>
            <w:r>
              <w:rPr>
                <w:sz w:val="22"/>
                <w:szCs w:val="22"/>
              </w:rPr>
              <w:t xml:space="preserve">84.</w:t>
            </w:r>
            <w:r>
              <w:rPr>
                <w:sz w:val="22"/>
                <w:szCs w:val="22"/>
              </w:rPr>
              <w:t xml:space="preserve">014.</w:t>
            </w:r>
            <w:r>
              <w:rPr>
                <w:sz w:val="22"/>
                <w:szCs w:val="22"/>
              </w:rPr>
              <w:t xml:space="preserve">075</w:t>
            </w:r>
            <w:r>
              <w:rPr>
                <w:sz w:val="22"/>
                <w:szCs w:val="22"/>
              </w:rPr>
            </w:r>
            <w:r>
              <w:rPr>
                <w:sz w:val="22"/>
                <w:szCs w:val="22"/>
              </w:rPr>
            </w:r>
          </w:p>
        </w:tc>
      </w:tr>
    </w:tbl>
    <w:p>
      <w:pPr>
        <w:pStyle w:val="1053"/>
        <w:pBdr/>
        <w:spacing w:after="120" w:before="120" w:line="276" w:lineRule="auto"/>
        <w:ind w:left="0"/>
        <w:jc w:val="both"/>
        <w:rPr>
          <w:b/>
          <w:lang w:val="pt-BR"/>
        </w:rPr>
      </w:pPr>
      <w:r>
        <w:rPr>
          <w:b/>
          <w:lang w:val="pt-BR"/>
        </w:rPr>
      </w:r>
      <w:r>
        <w:rPr>
          <w:b/>
          <w:lang w:val="pt-BR"/>
        </w:rPr>
      </w:r>
      <w:r>
        <w:rPr>
          <w:b/>
          <w:lang w:val="pt-BR"/>
        </w:rPr>
      </w:r>
    </w:p>
    <w:p>
      <w:pPr>
        <w:pStyle w:val="105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5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52"/>
        <w:gridCol w:w="1212"/>
        <w:gridCol w:w="813"/>
        <w:gridCol w:w="1802"/>
        <w:gridCol w:w="2581"/>
        <w:gridCol w:w="2164"/>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gridSpan w:val="2"/>
            <w:shd w:val="clear" w:color="000000" w:fill="ffffff"/>
            <w:tcBorders/>
            <w:tcW w:w="202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ind/>
              <w:jc w:val="center"/>
              <w:rPr>
                <w:b/>
                <w:bCs/>
                <w:color w:val="000000" w:themeColor="text1"/>
              </w:rPr>
            </w:pPr>
            <w:r>
              <w:rPr>
                <w:b/>
                <w:bCs/>
                <w:color w:val="000000" w:themeColor="text1"/>
              </w:rPr>
              <w:t xml:space="preserve">Tỷ lệ chất lượng còn lại (%)</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5"/>
            <w:shd w:val="clear" w:color="000000" w:fill="ffffff"/>
            <w:tcBorders/>
            <w:tcW w:w="6967" w:type="dxa"/>
            <w:vAlign w:val="center"/>
            <w:textDirection w:val="lrTb"/>
            <w:noWrap w:val="false"/>
          </w:tcPr>
          <w:p>
            <w:pPr>
              <w:pBdr/>
              <w:spacing w:after="40" w:before="40" w:line="288" w:lineRule="auto"/>
              <w:ind/>
              <w:jc w:val="both"/>
              <w:rPr>
                <w:b/>
                <w:bCs/>
              </w:rPr>
            </w:pPr>
            <w:r>
              <w:rPr>
                <w:color w:val="000000"/>
              </w:rPr>
              <w:t xml:space="preserve">Quyền sử dụng đất và tài sản gắn liền với đất tại thửa đất số: 268, tờ bản đồ số: 15, có địa chỉ: Tổ dân phố 11, phường Tân Quang, thành phố Tuyên Quang, tỉnh Tuyên Quang (Nay là phường Minh Xuân, tỉnh Tuyê</w:t>
            </w:r>
            <w:r>
              <w:rPr>
                <w:color w:val="000000"/>
              </w:rPr>
              <w:t xml:space="preserve">n Quang), theo Giấy chứng nhận quyền sử dụng đất quyền sở hữu nhà ở và tài sản khác gắn liền với đất số: CT 796022, số vào số cấp GCN: CS 02501 do Sở Tài nguyên và Môi trường tỉnh Tuyên Quang cấp ngày 08/04/2021. Chủ sử dụng đất là Bà Phan Thị Huyền Trang.</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gridSpan w:val="2"/>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243,1</w:t>
            </w:r>
            <w:r>
              <w:rPr>
                <w:color w:val="000000"/>
                <w:highlight w:val="white"/>
              </w:rPr>
            </w:r>
            <w:r>
              <w:rPr>
                <w:color w:val="000000"/>
                <w:highlight w:val="white"/>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56.800.000</w:t>
            </w:r>
            <w:r/>
          </w:p>
        </w:tc>
        <w:tc>
          <w:tcPr>
            <w:shd w:val="clear" w:color="000000" w:fill="ffffff"/>
            <w:tcBorders/>
            <w:tcW w:w="216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13.808.080.000</w:t>
            </w: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gridSpan w:val="2"/>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Nhà cấp 4</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170,17</w:t>
            </w:r>
            <w:r>
              <w:rPr>
                <w:color w:val="000000"/>
                <w:highlight w:val="white"/>
              </w:rPr>
            </w:r>
            <w:r>
              <w:rPr>
                <w:color w:val="000000"/>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5.840.945</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ind/>
              <w:jc w:val="center"/>
              <w:rPr>
                <w:color w:val="000000" w:themeColor="text1"/>
              </w:rPr>
            </w:pPr>
            <w:r>
              <w:rPr>
                <w:color w:val="000000" w:themeColor="text1"/>
              </w:rPr>
            </w:r>
            <w:r>
              <w:rPr>
                <w:color w:val="000000" w:themeColor="text1"/>
              </w:rPr>
              <w:t xml:space="preserve">9</w:t>
            </w:r>
            <w:r>
              <w:rPr>
                <w:color w:val="000000" w:themeColor="text1"/>
              </w:rPr>
              <w:t xml:space="preserve">9</w:t>
            </w:r>
            <w:r>
              <w:rPr>
                <w:color w:val="000000" w:themeColor="text1"/>
              </w:rPr>
              <w:t xml:space="preserve">%</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14:ligatures w14:val="none"/>
              </w:rPr>
            </w:pPr>
            <w:r>
              <w:rPr>
                <w:color w:val="000000" w:themeColor="text1"/>
              </w:rPr>
              <w:t xml:space="preserve">9</w:t>
            </w:r>
            <w:r>
              <w:rPr>
                <w:color w:val="000000" w:themeColor="text1"/>
              </w:rPr>
              <w:t xml:space="preserve">84.</w:t>
            </w:r>
            <w:r>
              <w:rPr>
                <w:color w:val="000000" w:themeColor="text1"/>
              </w:rPr>
              <w:t xml:space="preserve">014.</w:t>
            </w:r>
            <w:r>
              <w:rPr>
                <w:color w:val="000000" w:themeColor="text1"/>
              </w:rPr>
              <w:t xml:space="preserve">075</w:t>
            </w:r>
            <w:r>
              <w:rPr>
                <w:color w:val="000000" w:themeColor="text1"/>
                <w14:ligatures w14:val="none"/>
              </w:rPr>
            </w:r>
            <w:r>
              <w:rPr>
                <w:color w:val="000000" w:themeColor="text1"/>
                <w14:ligatures w14:val="none"/>
              </w:rPr>
            </w:r>
          </w:p>
        </w:tc>
      </w:tr>
      <w:tr>
        <w:trPr>
          <w:trHeight w:val="20"/>
        </w:trPr>
        <w:tc>
          <w:tcPr>
            <w:gridSpan w:val="6"/>
            <w:tcBorders/>
            <w:tcW w:w="7767"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center"/>
              <w:rPr>
                <w:b/>
                <w:bCs/>
                <w:color w:val="000000"/>
              </w:rPr>
            </w:pPr>
            <w:r>
              <w:t xml:space="preserve">14.7</w:t>
            </w:r>
            <w:r>
              <w:t xml:space="preserve">9</w:t>
            </w:r>
            <w:r>
              <w:t xml:space="preserve">2.</w:t>
            </w:r>
            <w:r>
              <w:t xml:space="preserve">094</w:t>
            </w:r>
            <w:r>
              <w:t xml:space="preserve">.</w:t>
            </w:r>
            <w:r>
              <w:t xml:space="preserve">075</w:t>
            </w:r>
            <w:r>
              <w:rPr>
                <w:b/>
                <w:bCs/>
                <w:color w:val="000000"/>
              </w:rPr>
            </w:r>
            <w:r>
              <w:rPr>
                <w:b/>
                <w:bCs/>
                <w:color w:val="000000"/>
              </w:rPr>
            </w:r>
          </w:p>
        </w:tc>
      </w:tr>
      <w:tr>
        <w:trPr>
          <w:trHeight w:val="20"/>
        </w:trPr>
        <w:tc>
          <w:tcPr>
            <w:gridSpan w:val="6"/>
            <w:tcBorders/>
            <w:tcW w:w="7705"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14.7</w:t>
            </w:r>
            <w:r>
              <w:rPr>
                <w:b/>
                <w:bCs/>
              </w:rPr>
              <w:t xml:space="preserve">9</w:t>
            </w:r>
            <w:r>
              <w:rPr>
                <w:b/>
                <w:bCs/>
              </w:rPr>
              <w:t xml:space="preserve">2.</w:t>
            </w:r>
            <w:r>
              <w:rPr>
                <w:b/>
                <w:bCs/>
              </w:rPr>
              <w:t xml:space="preserve">0</w:t>
            </w:r>
            <w:r>
              <w:rPr>
                <w:b/>
                <w:bCs/>
              </w:rPr>
              <w:t xml:space="preserve">00.</w:t>
            </w:r>
            <w:r>
              <w:rPr>
                <w:b/>
                <w:bCs/>
              </w:rPr>
              <w:t xml:space="preserve">000</w:t>
            </w:r>
            <w:r>
              <w:rPr>
                <w:b/>
                <w:bCs/>
                <w:color w:val="000000"/>
              </w:rPr>
            </w:r>
            <w:r>
              <w:rPr>
                <w:b/>
                <w:bCs/>
                <w:color w:val="000000"/>
              </w:rPr>
            </w:r>
          </w:p>
        </w:tc>
      </w:tr>
      <w:tr>
        <w:trPr>
          <w:trHeight w:val="20"/>
        </w:trPr>
        <w:tc>
          <w:tcPr>
            <w:gridSpan w:val="7"/>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Mười </w:t>
            </w:r>
            <w:r>
              <w:rPr>
                <w:b/>
                <w:bCs/>
                <w:i/>
                <w:iCs/>
                <w:color w:val="000000" w:themeColor="text1"/>
              </w:rPr>
              <w:t xml:space="preserve">bốn </w:t>
            </w:r>
            <w:r>
              <w:rPr>
                <w:b/>
                <w:bCs/>
                <w:i/>
                <w:iCs/>
                <w:color w:val="000000" w:themeColor="text1"/>
              </w:rPr>
              <w:t xml:space="preserve">tỷ </w:t>
            </w:r>
            <w:r>
              <w:rPr>
                <w:b/>
                <w:bCs/>
                <w:i/>
                <w:iCs/>
                <w:color w:val="000000" w:themeColor="text1"/>
              </w:rPr>
              <w:t xml:space="preserve">bảy </w:t>
            </w:r>
            <w:r>
              <w:rPr>
                <w:b/>
                <w:bCs/>
                <w:i/>
                <w:iCs/>
                <w:color w:val="000000" w:themeColor="text1"/>
              </w:rPr>
              <w:t xml:space="preserve">trăm </w:t>
            </w:r>
            <w:r>
              <w:rPr>
                <w:b/>
                <w:bCs/>
                <w:i/>
                <w:iCs/>
                <w:color w:val="000000" w:themeColor="text1"/>
              </w:rPr>
              <w:t xml:space="preserve">chín</w:t>
            </w:r>
            <w:r>
              <w:rPr>
                <w:b/>
                <w:bCs/>
                <w:i/>
                <w:iCs/>
                <w:color w:val="000000" w:themeColor="text1"/>
              </w:rPr>
              <w:t xml:space="preserve"> </w:t>
            </w:r>
            <w:r>
              <w:rPr>
                <w:b/>
                <w:bCs/>
                <w:i/>
                <w:iCs/>
                <w:color w:val="000000" w:themeColor="text1"/>
              </w:rPr>
              <w:t xml:space="preserve">mươi </w:t>
            </w:r>
            <w:r>
              <w:rPr>
                <w:b/>
                <w:bCs/>
                <w:i/>
                <w:iCs/>
                <w:color w:val="000000" w:themeColor="text1"/>
              </w:rPr>
              <w:t xml:space="preserve">hai</w:t>
            </w:r>
            <w:r>
              <w:rPr>
                <w:b/>
                <w:bCs/>
                <w:i/>
                <w:iCs/>
                <w:color w:val="000000" w:themeColor="text1"/>
              </w:rPr>
              <w:t xml:space="preserve"> </w:t>
            </w:r>
            <w:r>
              <w:rPr>
                <w:b/>
                <w:bCs/>
                <w:i/>
                <w:iCs/>
                <w:color w:val="000000" w:themeColor="text1"/>
              </w:rPr>
              <w:t xml:space="preserve">triệu</w:t>
            </w:r>
            <w:r>
              <w:rPr>
                <w:b/>
                <w:bCs/>
                <w:i/>
                <w:iCs/>
                <w:color w:val="000000" w:themeColor="text1"/>
              </w:rPr>
              <w:t xml:space="preserve"> đồng</w:t>
            </w:r>
            <w:r>
              <w:rPr>
                <w:b/>
                <w:bCs/>
                <w:i/>
                <w:iCs/>
                <w:color w:val="000000" w:themeColor="text1"/>
              </w:rPr>
              <w:t xml:space="preserve">./.)</w:t>
            </w:r>
            <w:r>
              <w:rPr>
                <w:b/>
                <w:bCs/>
                <w:i/>
                <w:iCs/>
                <w:color w:val="000000" w:themeColor="text1"/>
              </w:rPr>
            </w:r>
            <w:r>
              <w:rPr>
                <w:b/>
                <w:bCs/>
                <w:i/>
                <w:iCs/>
                <w:color w:val="000000" w:themeColor="text1"/>
              </w:rPr>
            </w:r>
          </w:p>
        </w:tc>
      </w:tr>
    </w:tbl>
    <w:p>
      <w:pPr>
        <w:pStyle w:val="1053"/>
        <w:pBdr/>
        <w:tabs>
          <w:tab w:val="left" w:leader="none" w:pos="993"/>
        </w:tabs>
        <w:spacing w:after="120" w:before="120" w:line="276" w:lineRule="auto"/>
        <w:ind w:left="0"/>
        <w:jc w:val="both"/>
        <w:rPr/>
      </w:pPr>
      <w:r/>
      <w:r/>
    </w:p>
    <w:p>
      <w:pPr>
        <w:pStyle w:val="105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5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5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5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53"/>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5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5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5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5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5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5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5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5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5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5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5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5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5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5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5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53"/>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5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5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53"/>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5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5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53"/>
        <w:pBdr/>
        <w:tabs>
          <w:tab w:val="left" w:leader="none" w:pos="993"/>
        </w:tabs>
        <w:spacing w:after="120" w:before="120" w:line="288" w:lineRule="auto"/>
        <w:ind w:left="0"/>
        <w:jc w:val="both"/>
        <w:rPr>
          <w:lang w:val="vi-VN"/>
        </w:rPr>
      </w:pPr>
      <w:r>
        <w:rPr>
          <w:lang w:val="vi-VN"/>
        </w:rPr>
        <w:br/>
      </w:r>
      <w:r>
        <w:rPr>
          <w:lang w:val="vi-VN"/>
        </w:rPr>
      </w:r>
      <w:r>
        <w:rPr>
          <w:lang w:val="vi-VN"/>
        </w:rPr>
      </w:r>
    </w:p>
    <w:p>
      <w:pPr>
        <w:pBdr/>
        <w:shd w:val="nil" w:color="auto"/>
        <w:spacing/>
        <w:ind/>
        <w:rPr>
          <w:lang w:val="pt-BR"/>
        </w:rPr>
      </w:pPr>
      <w:r>
        <w:rPr>
          <w:highlight w:val="none"/>
          <w:lang w:val="vi-VN"/>
        </w:rPr>
        <w:br w:type="page" w:clear="all"/>
      </w:r>
      <w:r>
        <w:rPr>
          <w:lang w:val="pt-BR"/>
        </w:rPr>
      </w:r>
      <w:r>
        <w:rPr>
          <w:lang w:val="pt-BR"/>
        </w:rPr>
      </w:r>
    </w:p>
    <w:p>
      <w:pPr>
        <w:pStyle w:val="1053"/>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275/2026/1319/VFI-CT.65.A</w:t>
      </w:r>
      <w:r>
        <w:rPr>
          <w:color w:val="ff0000"/>
          <w:lang w:val="vi-VN"/>
        </w:rPr>
        <w:t xml:space="preserve"> </w:t>
      </w:r>
      <w:r>
        <w:rPr>
          <w:color w:val="000000" w:themeColor="text1"/>
        </w:rPr>
        <w:t xml:space="preserve">ngày 21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 </w:t>
            </w: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w:t>
            </w:r>
            <w:r>
              <w:rPr>
                <w:rFonts w:eastAsia="Calibri"/>
                <w:b/>
                <w:color w:val="000000" w:themeColor="text1"/>
                <w:lang w:val="pt-BR"/>
              </w:rPr>
              <w:t xml:space="preserve">Th</w:t>
            </w:r>
            <w:r>
              <w:rPr>
                <w:rFonts w:eastAsia="Calibri"/>
                <w:b/>
                <w:color w:val="000000" w:themeColor="text1"/>
                <w:lang w:val="pt-BR"/>
              </w:rPr>
              <w:t xml:space="preserve">ị </w:t>
            </w:r>
            <w:r>
              <w:rPr>
                <w:rFonts w:eastAsia="Calibri"/>
                <w:b/>
                <w:color w:val="000000" w:themeColor="text1"/>
                <w:lang w:val="pt-BR"/>
              </w:rPr>
              <w:t xml:space="preserve">Hồng </w:t>
            </w:r>
            <w:r>
              <w:rPr>
                <w:rFonts w:eastAsia="Calibri"/>
                <w:b/>
                <w:color w:val="000000" w:themeColor="text1"/>
                <w:lang w:val="pt-BR"/>
              </w:rPr>
              <w:t xml:space="preserve">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275/2026/1319/VFI-BC.65.A</w:t>
      </w:r>
      <w:r>
        <w:rPr>
          <w:i/>
        </w:rPr>
        <w:t xml:space="preserve"> ngày</w:t>
      </w:r>
      <w:r>
        <w:rPr>
          <w:i/>
          <w:lang w:val="pt-BR"/>
        </w:rPr>
        <w:t xml:space="preserve"> </w:t>
      </w:r>
      <w:r>
        <w:rPr>
          <w:i/>
          <w:lang w:val="pt-BR"/>
        </w:rPr>
        <w:t xml:space="preserve">21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5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tcBorders/>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057275" cy="211455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08947" name=""/>
                              <pic:cNvPicPr>
                                <a:picLocks noChangeAspect="1"/>
                              </pic:cNvPicPr>
                              <pic:nvPr/>
                            </pic:nvPicPr>
                            <pic:blipFill rotWithShape="1">
                              <a:blip r:embed="rId19"/>
                              <a:stretch/>
                            </pic:blipFill>
                            <pic:spPr bwMode="auto">
                              <a:xfrm>
                                <a:off x="0" y="0"/>
                                <a:ext cx="1057275" cy="21145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83.25pt;height:166.50pt;mso-wrap-distance-left:0.00pt;mso-wrap-distance-top:0.00pt;mso-wrap-distance-right:0.00pt;mso-wrap-distance-bottom:0.00pt;z-index:1;" stroked="false">
                      <v:imagedata r:id="rId19" o:title=""/>
                      <o:lock v:ext="edit" rotation="t"/>
                    </v:shape>
                  </w:pict>
                </mc:Fallback>
              </mc:AlternateContent>
            </w:r>
            <w:r/>
          </w:p>
        </w:tc>
        <w:tc>
          <w:tcPr>
            <w:tcBorders/>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609850" cy="18859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84820" name=""/>
                              <pic:cNvPicPr>
                                <a:picLocks noChangeAspect="1"/>
                              </pic:cNvPicPr>
                              <pic:nvPr/>
                            </pic:nvPicPr>
                            <pic:blipFill rotWithShape="1">
                              <a:blip r:embed="rId20"/>
                              <a:stretch/>
                            </pic:blipFill>
                            <pic:spPr bwMode="auto">
                              <a:xfrm>
                                <a:off x="0" y="0"/>
                                <a:ext cx="2609848" cy="18859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5.50pt;height:148.50pt;mso-wrap-distance-left:0.00pt;mso-wrap-distance-top:0.00pt;mso-wrap-distance-right:0.00pt;mso-wrap-distance-bottom:0.00pt;z-index:1;" stroked="false">
                      <v:imagedata r:id="rId20" o:title=""/>
                      <o:lock v:ext="edit" rotation="t"/>
                    </v:shape>
                  </w:pict>
                </mc:Fallback>
              </mc:AlternateContent>
            </w:r>
            <w:r/>
          </w:p>
        </w:tc>
      </w:tr>
      <w:tr>
        <w:trPr/>
        <w:tc>
          <w:tcPr>
            <w:tcBorders/>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05075" cy="19335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551836" name=""/>
                              <pic:cNvPicPr>
                                <a:picLocks noChangeAspect="1"/>
                              </pic:cNvPicPr>
                              <pic:nvPr/>
                            </pic:nvPicPr>
                            <pic:blipFill rotWithShape="1">
                              <a:blip r:embed="rId21"/>
                              <a:stretch/>
                            </pic:blipFill>
                            <pic:spPr bwMode="auto">
                              <a:xfrm>
                                <a:off x="0" y="0"/>
                                <a:ext cx="2505074" cy="19335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7.25pt;height:152.25pt;mso-wrap-distance-left:0.00pt;mso-wrap-distance-top:0.00pt;mso-wrap-distance-right:0.00pt;mso-wrap-distance-bottom:0.00pt;z-index:1;" stroked="false">
                      <v:imagedata r:id="rId21" o:title=""/>
                      <o:lock v:ext="edit" rotation="t"/>
                    </v:shape>
                  </w:pict>
                </mc:Fallback>
              </mc:AlternateContent>
            </w:r>
            <w:r/>
          </w:p>
        </w:tc>
        <w:tc>
          <w:tcPr>
            <w:tcBorders/>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71750" cy="189547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08703" name=""/>
                              <pic:cNvPicPr>
                                <a:picLocks noChangeAspect="1"/>
                              </pic:cNvPicPr>
                              <pic:nvPr/>
                            </pic:nvPicPr>
                            <pic:blipFill rotWithShape="1">
                              <a:blip r:embed="rId22"/>
                              <a:stretch/>
                            </pic:blipFill>
                            <pic:spPr bwMode="auto">
                              <a:xfrm>
                                <a:off x="0" y="0"/>
                                <a:ext cx="2571750" cy="1895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2.50pt;height:149.25pt;mso-wrap-distance-left:0.00pt;mso-wrap-distance-top:0.00pt;mso-wrap-distance-right:0.00pt;mso-wrap-distance-bottom:0.00pt;z-index:1;" stroked="false">
                      <v:imagedata r:id="rId22" o:title=""/>
                      <o:lock v:ext="edit" rotation="t"/>
                    </v:shape>
                  </w:pict>
                </mc:Fallback>
              </mc:AlternateContent>
            </w:r>
            <w:r/>
          </w:p>
        </w:tc>
      </w:tr>
      <w:tr>
        <w:trPr/>
        <w:tc>
          <w:tcPr>
            <w:tcBorders/>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81275" cy="193357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64574" name=""/>
                              <pic:cNvPicPr>
                                <a:picLocks noChangeAspect="1"/>
                              </pic:cNvPicPr>
                              <pic:nvPr/>
                            </pic:nvPicPr>
                            <pic:blipFill rotWithShape="1">
                              <a:blip r:embed="rId23"/>
                              <a:stretch/>
                            </pic:blipFill>
                            <pic:spPr bwMode="auto">
                              <a:xfrm>
                                <a:off x="0" y="0"/>
                                <a:ext cx="2581274" cy="19335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3.25pt;height:152.25pt;mso-wrap-distance-left:0.00pt;mso-wrap-distance-top:0.00pt;mso-wrap-distance-right:0.00pt;mso-wrap-distance-bottom:0.00pt;z-index:1;" stroked="false">
                      <v:imagedata r:id="rId23" o:title=""/>
                      <o:lock v:ext="edit" rotation="t"/>
                    </v:shape>
                  </w:pict>
                </mc:Fallback>
              </mc:AlternateContent>
            </w:r>
            <w:r/>
          </w:p>
        </w:tc>
        <w:tc>
          <w:tcPr>
            <w:tcBorders/>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05075" cy="19431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20304" name=""/>
                              <pic:cNvPicPr>
                                <a:picLocks noChangeAspect="1"/>
                              </pic:cNvPicPr>
                              <pic:nvPr/>
                            </pic:nvPicPr>
                            <pic:blipFill rotWithShape="1">
                              <a:blip r:embed="rId24"/>
                              <a:stretch/>
                            </pic:blipFill>
                            <pic:spPr bwMode="auto">
                              <a:xfrm>
                                <a:off x="0" y="0"/>
                                <a:ext cx="2505074" cy="19431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97.25pt;height:153.00pt;mso-wrap-distance-left:0.00pt;mso-wrap-distance-top:0.00pt;mso-wrap-distance-right:0.00pt;mso-wrap-distance-bottom:0.00pt;z-index:1;" stroked="false">
                      <v:imagedata r:id="rId24" o:title=""/>
                      <o:lock v:ext="edit" rotation="t"/>
                    </v:shape>
                  </w:pict>
                </mc:Fallback>
              </mc:AlternateContent>
            </w:r>
            <w:r/>
          </w:p>
        </w:tc>
      </w:tr>
    </w:tbl>
    <w:p>
      <w:pPr>
        <w:pBdr/>
        <w:shd w:val="nil" w:color="auto"/>
        <w:spacing/>
        <w:ind/>
        <w:rPr/>
      </w:pPr>
      <w:r>
        <w:br w:type="page" w:clear="all"/>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GIẤY CHỨNG NHẬN QSDĐ</w:t>
      </w:r>
      <w:r/>
    </w:p>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6048375" cy="44577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406921" name=""/>
                        <pic:cNvPicPr>
                          <a:picLocks noChangeAspect="1"/>
                        </pic:cNvPicPr>
                        <pic:nvPr/>
                      </pic:nvPicPr>
                      <pic:blipFill rotWithShape="1">
                        <a:blip r:embed="rId25"/>
                        <a:stretch/>
                      </pic:blipFill>
                      <pic:spPr bwMode="auto">
                        <a:xfrm>
                          <a:off x="0" y="0"/>
                          <a:ext cx="6048374" cy="44576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51.00pt;mso-wrap-distance-left:0.00pt;mso-wrap-distance-top:0.00pt;mso-wrap-distance-right:0.00pt;mso-wrap-distance-bottom:0.00pt;z-index:1;" stroked="false">
                <v:imagedata r:id="rId25"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6029325" cy="44386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59408" name=""/>
                        <pic:cNvPicPr>
                          <a:picLocks noChangeAspect="1"/>
                        </pic:cNvPicPr>
                        <pic:nvPr/>
                      </pic:nvPicPr>
                      <pic:blipFill rotWithShape="1">
                        <a:blip r:embed="rId26"/>
                        <a:stretch/>
                      </pic:blipFill>
                      <pic:spPr bwMode="auto">
                        <a:xfrm>
                          <a:off x="0" y="0"/>
                          <a:ext cx="6029324" cy="44386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4.75pt;height:349.50pt;mso-wrap-distance-left:0.00pt;mso-wrap-distance-top:0.00pt;mso-wrap-distance-right:0.00pt;mso-wrap-distance-bottom:0.00pt;z-index:1;" stroked="false">
                <v:imagedata r:id="rId26"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BIÊN BẢN KHẢO SÁT</w:t>
      </w:r>
      <w:r/>
    </w:p>
    <w:p>
      <w:pPr>
        <w:pBdr/>
        <w:spacing/>
        <w:ind/>
        <w:rPr/>
      </w:pPr>
      <w: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48375" cy="7159428"/>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82763" name=""/>
                        <pic:cNvPicPr>
                          <a:picLocks noChangeAspect="1"/>
                        </pic:cNvPicPr>
                        <pic:nvPr/>
                      </pic:nvPicPr>
                      <pic:blipFill rotWithShape="1">
                        <a:blip r:embed="rId27"/>
                        <a:stretch/>
                      </pic:blipFill>
                      <pic:spPr bwMode="auto">
                        <a:xfrm>
                          <a:off x="0" y="0"/>
                          <a:ext cx="6048374" cy="71594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563.73pt;mso-wrap-distance-left:0.00pt;mso-wrap-distance-top:0.00pt;mso-wrap-distance-right:0.00pt;mso-wrap-distance-bottom:0.00pt;z-index:1;" stroked="false">
                <v:imagedata r:id="rId27" o:title=""/>
                <o:lock v:ext="edit" rotation="t"/>
              </v:shape>
            </w:pict>
          </mc:Fallback>
        </mc:AlternateContent>
      </w:r>
      <w:r>
        <w:rPr>
          <w:highlight w:val="none"/>
        </w:rPr>
      </w:r>
      <w:r>
        <w:rPr>
          <w:highlight w:val="none"/>
        </w:rPr>
      </w:r>
    </w:p>
    <w:p>
      <w:pPr>
        <w:pBdr/>
        <w:shd w:val="nil" w:color="auto"/>
        <w:spacing/>
        <w:ind/>
        <w:rPr/>
      </w:pPr>
      <w:r>
        <w:rPr>
          <w:b/>
          <w:bCs/>
          <w:highlight w:val="none"/>
        </w:rPr>
        <w:br w:type="page" w:clear="all"/>
      </w:r>
      <w:r>
        <w:rPr>
          <w:b/>
          <w:bCs/>
          <w:highlight w:val="none"/>
        </w:rPr>
      </w:r>
      <w:r/>
    </w:p>
    <w:p>
      <w:pPr>
        <w:pBdr/>
        <w:shd w:val="nil" w:color="auto"/>
        <w:spacing/>
        <w:ind/>
        <w:jc w:val="center"/>
        <w:rPr>
          <w:b/>
          <w:bCs/>
          <w:highlight w:val="none"/>
        </w:rPr>
      </w:pPr>
      <w:r>
        <w:rPr>
          <w:b/>
          <w:bCs/>
        </w:rPr>
        <w:t xml:space="preserve">GIẤY </w:t>
      </w:r>
      <w:r>
        <w:rPr>
          <w:b/>
          <w:bCs/>
        </w:rPr>
        <w:t xml:space="preserve">PHÉP </w:t>
      </w:r>
      <w:r>
        <w:rPr>
          <w:b/>
          <w:bCs/>
        </w:rPr>
        <w:t xml:space="preserve">XÂY </w:t>
      </w:r>
      <w:r>
        <w:rPr>
          <w:b/>
          <w:bCs/>
        </w:rPr>
        <w:t xml:space="preserve">DỰNG</w:t>
      </w:r>
      <w:r>
        <w:rPr>
          <w:b/>
          <w:bCs/>
          <w:highlight w:val="none"/>
        </w:rPr>
      </w:r>
      <w:r>
        <w:rPr>
          <w:b/>
          <w:bCs/>
          <w:highlight w:val="none"/>
        </w:rPr>
      </w:r>
    </w:p>
    <w:p>
      <w:pPr>
        <w:pBdr/>
        <w:shd w:val="nil" w:color="000000"/>
        <w:spacing/>
        <w:ind/>
        <w:jc w:val="left"/>
        <w:rPr/>
      </w:pPr>
      <w:r>
        <mc:AlternateContent>
          <mc:Choice Requires="wpg">
            <w:drawing>
              <wp:inline xmlns:wp="http://schemas.openxmlformats.org/drawingml/2006/wordprocessingDrawing" distT="0" distB="0" distL="0" distR="0">
                <wp:extent cx="6048375" cy="842952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024134" name=""/>
                        <pic:cNvPicPr>
                          <a:picLocks noChangeAspect="1"/>
                        </pic:cNvPicPr>
                        <pic:nvPr/>
                      </pic:nvPicPr>
                      <pic:blipFill rotWithShape="1">
                        <a:blip r:embed="rId28"/>
                        <a:stretch/>
                      </pic:blipFill>
                      <pic:spPr bwMode="auto">
                        <a:xfrm>
                          <a:off x="0" y="0"/>
                          <a:ext cx="6048374" cy="8429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63.74pt;mso-wrap-distance-left:0.00pt;mso-wrap-distance-top:0.00pt;mso-wrap-distance-right:0.00pt;mso-wrap-distance-bottom:0.00pt;z-index:1;" stroked="false">
                <v:imagedata r:id="rId28" o:title=""/>
                <o:lock v:ext="edit" rotation="t"/>
              </v:shape>
            </w:pict>
          </mc:Fallback>
        </mc:AlternateContent>
      </w:r>
      <w:r/>
    </w:p>
    <w:p>
      <w:pPr>
        <w:pBdr/>
        <w:shd w:val="nil" w:color="auto"/>
        <w:spacing/>
        <w:ind/>
        <w:rPr/>
      </w:pPr>
      <w:r>
        <w:rPr>
          <w:highlight w:val="none"/>
        </w:rPr>
        <w:br w:type="page" w:clear="all"/>
      </w:r>
      <w:r>
        <w:rPr>
          <w:highlight w:val="none"/>
        </w:rPr>
      </w:r>
      <w:r/>
    </w:p>
    <w:p>
      <w:pPr>
        <w:pBdr/>
        <w:shd w:val="nil" w:color="000000"/>
        <w:spacing/>
        <w:ind/>
        <w:jc w:val="left"/>
        <w:rPr>
          <w:highlight w:val="none"/>
        </w:rPr>
      </w:pPr>
      <w:r>
        <mc:AlternateContent>
          <mc:Choice Requires="wpg">
            <w:drawing>
              <wp:inline xmlns:wp="http://schemas.openxmlformats.org/drawingml/2006/wordprocessingDrawing" distT="0" distB="0" distL="0" distR="0">
                <wp:extent cx="6048375" cy="8517608"/>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056743" name=""/>
                        <pic:cNvPicPr>
                          <a:picLocks noChangeAspect="1"/>
                        </pic:cNvPicPr>
                        <pic:nvPr/>
                      </pic:nvPicPr>
                      <pic:blipFill rotWithShape="1">
                        <a:blip r:embed="rId29"/>
                        <a:stretch/>
                      </pic:blipFill>
                      <pic:spPr bwMode="auto">
                        <a:xfrm>
                          <a:off x="0" y="0"/>
                          <a:ext cx="6048374" cy="85176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70.68pt;mso-wrap-distance-left:0.00pt;mso-wrap-distance-top:0.00pt;mso-wrap-distance-right:0.00pt;mso-wrap-distance-bottom:0.00pt;z-index:1;" stroked="false">
                <v:imagedata r:id="rId29" o:title=""/>
                <o:lock v:ext="edit" rotation="t"/>
              </v:shape>
            </w:pict>
          </mc:Fallback>
        </mc:AlternateContent>
      </w:r>
      <w:r>
        <w:br w:type="page" w:clear="all"/>
      </w:r>
      <w:r>
        <w:rPr>
          <w:highlight w:val="none"/>
        </w:rPr>
      </w:r>
      <w:r>
        <w:rPr>
          <w:highlight w:val="none"/>
        </w:rPr>
      </w:r>
    </w:p>
    <w:p>
      <w:pPr>
        <w:pBdr/>
        <w:shd w:val="nil" w:color="auto"/>
        <w:spacing/>
        <w:ind/>
        <w:rPr/>
      </w:pPr>
      <w:r/>
      <w:r/>
    </w:p>
    <w:p>
      <w:pPr>
        <w:pBdr/>
        <w:spacing w:after="200" w:line="276" w:lineRule="auto"/>
        <w:ind/>
        <w:rPr/>
      </w:pPr>
      <w:r>
        <w:rPr>
          <w:highlight w:val="none"/>
        </w:rPr>
      </w:r>
      <w:r>
        <w:rPr>
          <w:highlight w:val="none"/>
        </w:r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275/2026/1319/VFI-BC.65.A</w:t>
      </w:r>
      <w:r>
        <w:rPr>
          <w:i/>
        </w:rPr>
        <w:t xml:space="preserve"> ngày</w:t>
      </w:r>
      <w:r>
        <w:rPr>
          <w:i/>
          <w:lang w:val="pt-BR"/>
        </w:rPr>
        <w:t xml:space="preserve"> </w:t>
      </w:r>
      <w:r>
        <w:rPr>
          <w:i/>
          <w:lang w:val="pt-BR"/>
        </w:rPr>
        <w:t xml:space="preserve">21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0972 842 193</w:t>
            </w:r>
            <w:r>
              <w:rPr>
                <w:sz w:val="22"/>
                <w:szCs w:val="22"/>
              </w:rPr>
              <w:t xml:space="preserve"> </w:t>
            </w:r>
            <w:r>
              <w:rPr>
                <w:sz w:val="22"/>
                <w:szCs w:val="22"/>
              </w:rPr>
              <w:br/>
              <w:t xml:space="preserve">(Minh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7.500.000.000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6.750.000.000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(100m²)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highlight w:val="white"/>
              </w:rPr>
              <w:t xml:space="preserve">Tài sản nằm tiếp giáp đường Trần Thái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2 mặt ngõ</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Tài sản trên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bl>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619"/>
      </w:tblGrid>
      <w:tr>
        <w:trPr>
          <w:trHeight w:val="3376"/>
        </w:trPr>
        <w:tc>
          <w:tcPr>
            <w:tcBorders>
              <w:left w:val="single" w:color="000000" w:sz="8" w:space="0"/>
              <w:bottom w:val="single" w:color="000000" w:sz="8" w:space="0"/>
              <w:right w:val="single" w:color="000000" w:sz="8" w:space="0"/>
            </w:tcBorders>
            <w:tcMar>
              <w:left w:w="108" w:type="dxa"/>
              <w:top w:w="0" w:type="dxa"/>
              <w:right w:w="108" w:type="dxa"/>
              <w:bottom w:w="0" w:type="dxa"/>
            </w:tcMar>
            <w:tcW w:w="9619"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405098" cy="1995897"/>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723230" name=""/>
                              <pic:cNvPicPr>
                                <a:picLocks noChangeAspect="1"/>
                              </pic:cNvPicPr>
                              <pic:nvPr/>
                            </pic:nvPicPr>
                            <pic:blipFill rotWithShape="1">
                              <a:blip r:embed="rId30"/>
                              <a:stretch/>
                            </pic:blipFill>
                            <pic:spPr bwMode="auto">
                              <a:xfrm flipH="0" flipV="0">
                                <a:off x="0" y="0"/>
                                <a:ext cx="2405097" cy="19958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9.38pt;height:157.16pt;mso-wrap-distance-left:0.00pt;mso-wrap-distance-top:0.00pt;mso-wrap-distance-right:0.00pt;mso-wrap-distance-bottom:0.00pt;z-index:1;" stroked="false">
                      <v:imagedata r:id="rId30"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368539" cy="1979421"/>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17316" name=""/>
                              <pic:cNvPicPr>
                                <a:picLocks noChangeAspect="1"/>
                              </pic:cNvPicPr>
                              <pic:nvPr/>
                            </pic:nvPicPr>
                            <pic:blipFill rotWithShape="1">
                              <a:blip r:embed="rId31"/>
                              <a:stretch/>
                            </pic:blipFill>
                            <pic:spPr bwMode="auto">
                              <a:xfrm flipH="0" flipV="0">
                                <a:off x="0" y="0"/>
                                <a:ext cx="2368538" cy="19794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6.50pt;height:155.86pt;mso-wrap-distance-left:0.00pt;mso-wrap-distance-top:0.00pt;mso-wrap-distance-right:0.00pt;mso-wrap-distance-bottom:0.00pt;z-index:1;" stroked="false">
                      <v:imagedata r:id="rId31" o:title=""/>
                      <o:lock v:ext="edit" rotation="t"/>
                    </v:shape>
                  </w:pict>
                </mc:Fallback>
              </mc:AlternateContent>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r>
      <w:r/>
    </w:p>
    <w:tbl>
      <w:tblPr>
        <w:tblStyle w:val="1057"/>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283"/>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Nguyễn Thị Hồng Phúc</w:t>
            </w:r>
            <w:r/>
          </w:p>
        </w:tc>
      </w:tr>
    </w:tbl>
    <w:p>
      <w:pPr>
        <w:pBdr/>
        <w:spacing/>
        <w:ind/>
        <w:jc w:val="center"/>
        <w:rPr/>
      </w:pPr>
      <w:r>
        <w:br w:type="page" w:clear="all"/>
      </w:r>
      <w:r>
        <w:rPr>
          <w:b/>
          <w:bCs/>
          <w:iCs/>
          <w:lang w:val="pt-BR"/>
        </w:rPr>
        <w:t xml:space="preserve">TSSS2</w:t>
      </w:r>
      <w:r>
        <w:rPr>
          <w:b/>
          <w:bCs/>
          <w:iCs/>
          <w:lang w:val="pt-BR"/>
        </w:rPr>
      </w: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 SĐT: 0916886662 </w:t>
              <w:br/>
              <w:t xml:space="preserve"> (Tuyết Chinh)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8.700.000.000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7.830.000.000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(110m²)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nằm tiếp giáp đường Trần Phú</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2138"/>
              </w:tabs>
              <w:spacing w:line="276" w:lineRule="auto"/>
              <w:ind w:right="0" w:firstLine="0" w:left="0"/>
              <w:rPr/>
            </w:pPr>
            <w:r>
              <w:rPr>
                <w:rFonts w:ascii="Times New Roman" w:hAnsi="Times New Roman" w:eastAsia="Times New Roman" w:cs="Times New Roman"/>
                <w:color w:val="000000"/>
                <w:sz w:val="22"/>
              </w:rPr>
              <w:t xml:space="preserve">Tài sản trên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Nhà 3 tầng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bl>
    <w:tbl>
      <w:tblPr>
        <w:tblStyle w:val="105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619"/>
      </w:tblGrid>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619"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027260" cy="1857272"/>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840404" name=""/>
                              <pic:cNvPicPr>
                                <a:picLocks noChangeAspect="1"/>
                              </pic:cNvPicPr>
                              <pic:nvPr/>
                            </pic:nvPicPr>
                            <pic:blipFill rotWithShape="1">
                              <a:blip r:embed="rId32"/>
                              <a:stretch/>
                            </pic:blipFill>
                            <pic:spPr bwMode="auto">
                              <a:xfrm flipH="0" flipV="0">
                                <a:off x="0" y="0"/>
                                <a:ext cx="2027259" cy="18572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59.63pt;height:146.24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2"/>
              </w:rPr>
              <w:t xml:space="preserve"> </w:t>
            </w:r>
            <w:r>
              <w:rPr>
                <w:rFonts w:ascii="Times New Roman" w:hAnsi="Times New Roman" w:eastAsia="Times New Roman" w:cs="Times New Roman"/>
                <w:color w:val="000000"/>
                <w:sz w:val="22"/>
              </w:rPr>
              <mc:AlternateContent>
                <mc:Choice Requires="wpg">
                  <w:drawing>
                    <wp:inline xmlns:wp="http://schemas.openxmlformats.org/drawingml/2006/wordprocessingDrawing" distT="0" distB="0" distL="0" distR="0">
                      <wp:extent cx="1851026" cy="1844794"/>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73228" name=""/>
                              <pic:cNvPicPr>
                                <a:picLocks noChangeAspect="1"/>
                              </pic:cNvPicPr>
                              <pic:nvPr/>
                            </pic:nvPicPr>
                            <pic:blipFill rotWithShape="1">
                              <a:blip r:embed="rId33"/>
                              <a:stretch/>
                            </pic:blipFill>
                            <pic:spPr bwMode="auto">
                              <a:xfrm flipH="0" flipV="0">
                                <a:off x="0" y="0"/>
                                <a:ext cx="1851026" cy="18447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45.75pt;height:145.26pt;mso-wrap-distance-left:0.00pt;mso-wrap-distance-top:0.00pt;mso-wrap-distance-right:0.00pt;mso-wrap-distance-bottom:0.00pt;z-index:1;" stroked="false">
                      <v:imagedata r:id="rId33"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560660" cy="1935921"/>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2850" name=""/>
                              <pic:cNvPicPr>
                                <a:picLocks noChangeAspect="1"/>
                              </pic:cNvPicPr>
                              <pic:nvPr/>
                            </pic:nvPicPr>
                            <pic:blipFill rotWithShape="1">
                              <a:blip r:embed="rId34"/>
                              <a:stretch/>
                            </pic:blipFill>
                            <pic:spPr bwMode="auto">
                              <a:xfrm flipH="0" flipV="0">
                                <a:off x="0" y="0"/>
                                <a:ext cx="2560659" cy="19359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1.63pt;height:152.43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1057"/>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12"/>
        </w:trPr>
        <w:tc>
          <w:tcPr>
            <w:tcBorders/>
            <w:tcMar>
              <w:left w:w="108" w:type="dxa"/>
              <w:top w:w="0" w:type="dxa"/>
              <w:right w:w="108" w:type="dxa"/>
              <w:bottom w:w="0" w:type="dxa"/>
            </w:tcMar>
            <w:tcW w:w="4427"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Nguyễn Thị Hồng Phúc</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b/>
          <w:bCs/>
          <w:iCs/>
          <w:lang w:val="pt-BR"/>
        </w:rPr>
        <w:t xml:space="preserve">TSSS 3</w:t>
      </w:r>
      <w:r>
        <w:rPr>
          <w:iCs/>
          <w:lang w:val="pt-BR"/>
        </w:rPr>
      </w: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https://www.facebook.com/share/p/1CPRTBTRnY/</w:t>
            </w:r>
            <w:r>
              <w:rPr>
                <w:color w:val="000000" w:themeColor="text1"/>
                <w:sz w:val="22"/>
                <w:szCs w:val="22"/>
              </w:rPr>
              <w:br/>
            </w:r>
            <w:r>
              <w:rPr>
                <w:sz w:val="22"/>
                <w:szCs w:val="22"/>
              </w:rPr>
              <w:t xml:space="preserve">SĐT: </w:t>
            </w:r>
            <w:r>
              <w:rPr>
                <w:color w:val="000000" w:themeColor="text1"/>
                <w:sz w:val="22"/>
                <w:szCs w:val="22"/>
              </w:rPr>
              <w:t xml:space="preserve">0972842193</w:t>
            </w:r>
            <w:r>
              <w:rPr>
                <w:sz w:val="22"/>
                <w:szCs w:val="22"/>
              </w:rPr>
              <w:t xml:space="preserve"> </w:t>
            </w:r>
            <w:r>
              <w:rPr>
                <w:sz w:val="22"/>
                <w:szCs w:val="22"/>
              </w:rPr>
              <w:br/>
              <w:t xml:space="preserve">(Thanh Minh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6.370.500.000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(110m²)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tiếp giáp đường Lê Lợi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2138"/>
              </w:tabs>
              <w:spacing w:line="276" w:lineRule="auto"/>
              <w:ind w:right="0" w:firstLine="0" w:left="0"/>
              <w:rPr/>
            </w:pPr>
            <w:r>
              <w:rPr>
                <w:rFonts w:ascii="Times New Roman" w:hAnsi="Times New Roman" w:eastAsia="Times New Roman" w:cs="Times New Roman"/>
                <w:color w:val="000000"/>
                <w:sz w:val="22"/>
              </w:rPr>
              <w:t xml:space="preserve">Tài sản trên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Nhà 3 tầng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455885" cy="2357303"/>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2455884" cy="23573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3.38pt;height:185.61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08285" cy="2383885"/>
                      <wp:effectExtent l="0" t="0" r="0" b="0"/>
                      <wp:docPr id="24" name=""/>
                      <wp:cNvGraphicFramePr/>
                      <a:graphic xmlns:a="http://schemas.openxmlformats.org/drawingml/2006/main">
                        <a:graphicData uri="http://schemas.openxmlformats.org/drawingml/2006/picture">
                          <pic:pic xmlns:pic="http://schemas.openxmlformats.org/drawingml/2006/picture">
                            <pic:nvPicPr>
                              <pic:cNvPr id="1615246347" name="" descr=""/>
                              <pic:cNvPicPr/>
                              <pic:nvPr/>
                            </pic:nvPicPr>
                            <pic:blipFill rotWithShape="1">
                              <a:blip r:embed="rId36"/>
                              <a:stretch/>
                            </pic:blipFill>
                            <pic:spPr bwMode="auto">
                              <a:xfrm flipH="0" flipV="0">
                                <a:off x="0" y="0"/>
                                <a:ext cx="2608284" cy="23838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05.38pt;height:187.71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rFonts w:ascii="Times New Roman" w:hAnsi="Times New Roman" w:eastAsia="Times New Roman" w:cs="Times New Roman"/>
                <w:color w:val="000000"/>
                <w:sz w:val="24"/>
              </w:rPr>
              <w:t xml:space="preserve">Nguyễn Thị Hồng Phúc</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4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343FA5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7797FC5E"/>
    <w:lvl w:ilvl="0">
      <w:isLgl w:val="false"/>
      <w:lvlJc w:val="left"/>
      <w:lvlText w:val="¨"/>
      <w:numFmt w:val="bullet"/>
      <w:pPr>
        <w:pBdr/>
        <w:spacing/>
        <w:ind w:hanging="360" w:left="1069"/>
      </w:pPr>
      <w:rPr>
        <w:rFonts w:hint="default" w:ascii="Symbol" w:hAnsi="Symbol" w:eastAsia="Symbol" w:cs="Symbol"/>
      </w:rPr>
      <w:start w:val="1"/>
      <w:suff w:val="tab"/>
    </w:lvl>
    <w:lvl w:ilvl="1">
      <w:isLgl w:val="false"/>
      <w:lvlJc w:val="left"/>
      <w:lvlText w:val="o"/>
      <w:numFmt w:val="bullet"/>
      <w:pPr>
        <w:pBdr/>
        <w:spacing/>
        <w:ind w:hanging="360" w:left="1789"/>
      </w:pPr>
      <w:rPr>
        <w:rFonts w:hint="default" w:ascii="Courier New" w:hAnsi="Courier New" w:eastAsia="Courier New" w:cs="Courier New"/>
      </w:rPr>
      <w:start w:val="1"/>
      <w:suff w:val="tab"/>
    </w:lvl>
    <w:lvl w:ilvl="2">
      <w:isLgl w:val="false"/>
      <w:lvlJc w:val="left"/>
      <w:lvlText w:val="§"/>
      <w:numFmt w:val="bullet"/>
      <w:pPr>
        <w:pBdr/>
        <w:spacing/>
        <w:ind w:hanging="360" w:left="2509"/>
      </w:pPr>
      <w:rPr>
        <w:rFonts w:hint="default" w:ascii="Wingdings" w:hAnsi="Wingdings" w:eastAsia="Wingdings" w:cs="Wingdings"/>
      </w:rPr>
      <w:start w:val="1"/>
      <w:suff w:val="tab"/>
    </w:lvl>
    <w:lvl w:ilvl="3">
      <w:isLgl w:val="false"/>
      <w:lvlJc w:val="left"/>
      <w:lvlText w:val="·"/>
      <w:numFmt w:val="bullet"/>
      <w:pPr>
        <w:pBdr/>
        <w:spacing/>
        <w:ind w:hanging="360" w:left="3229"/>
      </w:pPr>
      <w:rPr>
        <w:rFonts w:hint="default" w:ascii="Symbol" w:hAnsi="Symbol" w:eastAsia="Symbol" w:cs="Symbol"/>
      </w:rPr>
      <w:start w:val="1"/>
      <w:suff w:val="tab"/>
    </w:lvl>
    <w:lvl w:ilvl="4">
      <w:isLgl w:val="false"/>
      <w:lvlJc w:val="left"/>
      <w:lvlText w:val="o"/>
      <w:numFmt w:val="bullet"/>
      <w:pPr>
        <w:pBdr/>
        <w:spacing/>
        <w:ind w:hanging="360" w:left="3949"/>
      </w:pPr>
      <w:rPr>
        <w:rFonts w:hint="default" w:ascii="Courier New" w:hAnsi="Courier New" w:eastAsia="Courier New" w:cs="Courier New"/>
      </w:rPr>
      <w:start w:val="1"/>
      <w:suff w:val="tab"/>
    </w:lvl>
    <w:lvl w:ilvl="5">
      <w:isLgl w:val="false"/>
      <w:lvlJc w:val="left"/>
      <w:lvlText w:val="§"/>
      <w:numFmt w:val="bullet"/>
      <w:pPr>
        <w:pBdr/>
        <w:spacing/>
        <w:ind w:hanging="360" w:left="4669"/>
      </w:pPr>
      <w:rPr>
        <w:rFonts w:hint="default" w:ascii="Wingdings" w:hAnsi="Wingdings" w:eastAsia="Wingdings" w:cs="Wingdings"/>
      </w:rPr>
      <w:start w:val="1"/>
      <w:suff w:val="tab"/>
    </w:lvl>
    <w:lvl w:ilvl="6">
      <w:isLgl w:val="false"/>
      <w:lvlJc w:val="left"/>
      <w:lvlText w:val="·"/>
      <w:numFmt w:val="bullet"/>
      <w:pPr>
        <w:pBdr/>
        <w:spacing/>
        <w:ind w:hanging="360" w:left="5389"/>
      </w:pPr>
      <w:rPr>
        <w:rFonts w:hint="default" w:ascii="Symbol" w:hAnsi="Symbol" w:eastAsia="Symbol" w:cs="Symbol"/>
      </w:rPr>
      <w:start w:val="1"/>
      <w:suff w:val="tab"/>
    </w:lvl>
    <w:lvl w:ilvl="7">
      <w:isLgl w:val="false"/>
      <w:lvlJc w:val="left"/>
      <w:lvlText w:val="o"/>
      <w:numFmt w:val="bullet"/>
      <w:pPr>
        <w:pBdr/>
        <w:spacing/>
        <w:ind w:hanging="360" w:left="6109"/>
      </w:pPr>
      <w:rPr>
        <w:rFonts w:hint="default" w:ascii="Courier New" w:hAnsi="Courier New" w:eastAsia="Courier New" w:cs="Courier New"/>
      </w:rPr>
      <w:start w:val="1"/>
      <w:suff w:val="tab"/>
    </w:lvl>
    <w:lvl w:ilvl="8">
      <w:isLgl w:val="false"/>
      <w:lvlJc w:val="left"/>
      <w:lvlText w:val="§"/>
      <w:numFmt w:val="bullet"/>
      <w:pPr>
        <w:pBdr/>
        <w:spacing/>
        <w:ind w:hanging="360" w:left="6829"/>
      </w:pPr>
      <w:rPr>
        <w:rFonts w:hint="default" w:ascii="Wingdings" w:hAnsi="Wingdings" w:eastAsia="Wingdings" w:cs="Wingdings"/>
      </w:rPr>
      <w:start w:val="1"/>
      <w:suff w:val="tab"/>
    </w:lvl>
  </w:abstractNum>
  <w:abstractNum w:abstractNumId="39">
    <w:nsid w:val="1615498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6EE4706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2">
    <w:nsid w:val="0D10C1C5"/>
    <w:lvl w:ilvl="0">
      <w:isLgl w:val="false"/>
      <w:lvlJc w:val="left"/>
      <w:lvlText w:val="–"/>
      <w:numFmt w:val="bullet"/>
      <w:pPr>
        <w:pBdr/>
        <w:spacing/>
        <w:ind w:hanging="360" w:left="1429"/>
      </w:pPr>
      <w:rPr>
        <w:rFonts w:hint="default" w:ascii="Arial" w:hAnsi="Arial" w:eastAsia="Arial" w:cs="Arial"/>
      </w:rPr>
      <w:start w:val="1"/>
      <w:suff w:val="tab"/>
    </w:lvl>
    <w:lvl w:ilvl="1">
      <w:isLgl w:val="false"/>
      <w:lvlJc w:val="left"/>
      <w:lvlText w:val="o"/>
      <w:numFmt w:val="bullet"/>
      <w:pPr>
        <w:pBdr/>
        <w:spacing/>
        <w:ind w:hanging="360" w:left="2149"/>
      </w:pPr>
      <w:rPr>
        <w:rFonts w:hint="default" w:ascii="Courier New" w:hAnsi="Courier New" w:eastAsia="Courier New" w:cs="Courier New"/>
      </w:rPr>
      <w:start w:val="1"/>
      <w:suff w:val="tab"/>
    </w:lvl>
    <w:lvl w:ilvl="2">
      <w:isLgl w:val="false"/>
      <w:lvlJc w:val="left"/>
      <w:lvlText w:val="§"/>
      <w:numFmt w:val="bullet"/>
      <w:pPr>
        <w:pBdr/>
        <w:spacing/>
        <w:ind w:hanging="360" w:left="2869"/>
      </w:pPr>
      <w:rPr>
        <w:rFonts w:hint="default" w:ascii="Wingdings" w:hAnsi="Wingdings" w:eastAsia="Wingdings" w:cs="Wingdings"/>
      </w:rPr>
      <w:start w:val="1"/>
      <w:suff w:val="tab"/>
    </w:lvl>
    <w:lvl w:ilvl="3">
      <w:isLgl w:val="false"/>
      <w:lvlJc w:val="left"/>
      <w:lvlText w:val="·"/>
      <w:numFmt w:val="bullet"/>
      <w:pPr>
        <w:pBdr/>
        <w:spacing/>
        <w:ind w:hanging="360" w:left="3589"/>
      </w:pPr>
      <w:rPr>
        <w:rFonts w:hint="default" w:ascii="Symbol" w:hAnsi="Symbol" w:eastAsia="Symbol" w:cs="Symbol"/>
      </w:rPr>
      <w:start w:val="1"/>
      <w:suff w:val="tab"/>
    </w:lvl>
    <w:lvl w:ilvl="4">
      <w:isLgl w:val="false"/>
      <w:lvlJc w:val="left"/>
      <w:lvlText w:val="o"/>
      <w:numFmt w:val="bullet"/>
      <w:pPr>
        <w:pBdr/>
        <w:spacing/>
        <w:ind w:hanging="360" w:left="4309"/>
      </w:pPr>
      <w:rPr>
        <w:rFonts w:hint="default" w:ascii="Courier New" w:hAnsi="Courier New" w:eastAsia="Courier New" w:cs="Courier New"/>
      </w:rPr>
      <w:start w:val="1"/>
      <w:suff w:val="tab"/>
    </w:lvl>
    <w:lvl w:ilvl="5">
      <w:isLgl w:val="false"/>
      <w:lvlJc w:val="left"/>
      <w:lvlText w:val="§"/>
      <w:numFmt w:val="bullet"/>
      <w:pPr>
        <w:pBdr/>
        <w:spacing/>
        <w:ind w:hanging="360" w:left="5029"/>
      </w:pPr>
      <w:rPr>
        <w:rFonts w:hint="default" w:ascii="Wingdings" w:hAnsi="Wingdings" w:eastAsia="Wingdings" w:cs="Wingdings"/>
      </w:rPr>
      <w:start w:val="1"/>
      <w:suff w:val="tab"/>
    </w:lvl>
    <w:lvl w:ilvl="6">
      <w:isLgl w:val="false"/>
      <w:lvlJc w:val="left"/>
      <w:lvlText w:val="·"/>
      <w:numFmt w:val="bullet"/>
      <w:pPr>
        <w:pBdr/>
        <w:spacing/>
        <w:ind w:hanging="360" w:left="5749"/>
      </w:pPr>
      <w:rPr>
        <w:rFonts w:hint="default" w:ascii="Symbol" w:hAnsi="Symbol" w:eastAsia="Symbol" w:cs="Symbol"/>
      </w:rPr>
      <w:start w:val="1"/>
      <w:suff w:val="tab"/>
    </w:lvl>
    <w:lvl w:ilvl="7">
      <w:isLgl w:val="false"/>
      <w:lvlJc w:val="left"/>
      <w:lvlText w:val="o"/>
      <w:numFmt w:val="bullet"/>
      <w:pPr>
        <w:pBdr/>
        <w:spacing/>
        <w:ind w:hanging="360" w:left="6469"/>
      </w:pPr>
      <w:rPr>
        <w:rFonts w:hint="default" w:ascii="Courier New" w:hAnsi="Courier New" w:eastAsia="Courier New" w:cs="Courier New"/>
      </w:rPr>
      <w:start w:val="1"/>
      <w:suff w:val="tab"/>
    </w:lvl>
    <w:lvl w:ilvl="8">
      <w:isLgl w:val="false"/>
      <w:lvlJc w:val="left"/>
      <w:lvlText w:val="§"/>
      <w:numFmt w:val="bullet"/>
      <w:pPr>
        <w:pBdr/>
        <w:spacing/>
        <w:ind w:hanging="360" w:left="7189"/>
      </w:pPr>
      <w:rPr>
        <w:rFonts w:hint="default" w:ascii="Wingdings" w:hAnsi="Wingdings" w:eastAsia="Wingdings" w:cs="Wingdings"/>
      </w:rPr>
      <w:start w:val="1"/>
      <w:suff w:val="tab"/>
    </w:lvl>
  </w:abstractNum>
  <w:abstractNum w:abstractNumId="43">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4">
    <w:nsid w:val="674E5EB0"/>
    <w:lvl w:ilvl="0">
      <w:isLgl w:val="false"/>
      <w:lvlJc w:val="left"/>
      <w:lvlText w:val="❖"/>
      <w:numFmt w:val="bullet"/>
      <w:pPr>
        <w:pBdr/>
        <w:spacing/>
        <w:ind w:hanging="360" w:left="1107"/>
      </w:pPr>
      <w:rPr>
        <w:rFonts w:hint="default" w:ascii="Symbol" w:hAnsi="Symbol" w:eastAsia="Symbol" w:cs="Symbol"/>
      </w:rPr>
      <w:start w:val="1"/>
      <w:suff w:val="tab"/>
    </w:lvl>
    <w:lvl w:ilvl="1">
      <w:isLgl w:val="false"/>
      <w:lvlJc w:val="left"/>
      <w:lvlText w:val="❖"/>
      <w:numFmt w:val="bullet"/>
      <w:pPr>
        <w:pBdr/>
        <w:spacing/>
        <w:ind w:hanging="360" w:left="1620"/>
      </w:pPr>
      <w:rPr>
        <w:rFonts w:hint="default" w:ascii="Symbol" w:hAnsi="Symbol" w:eastAsia="Symbol" w:cs="Symbol"/>
      </w:rPr>
      <w:start w:val="1"/>
      <w:suff w:val="tab"/>
    </w:lvl>
    <w:lvl w:ilvl="2">
      <w:isLgl w:val="false"/>
      <w:lvlJc w:val="left"/>
      <w:lvlText w:val="•"/>
      <w:numFmt w:val="bullet"/>
      <w:pPr>
        <w:pBdr/>
        <w:spacing/>
        <w:ind w:hanging="360" w:left="2574"/>
      </w:pPr>
      <w:rPr>
        <w:rFonts w:hint="default" w:ascii="Symbol" w:hAnsi="Symbol" w:eastAsia="Symbol" w:cs="Symbol"/>
      </w:rPr>
      <w:start w:val="1"/>
      <w:suff w:val="tab"/>
    </w:lvl>
    <w:lvl w:ilvl="3">
      <w:isLgl w:val="false"/>
      <w:lvlJc w:val="left"/>
      <w:lvlText w:val="•"/>
      <w:numFmt w:val="bullet"/>
      <w:pPr>
        <w:pBdr/>
        <w:spacing/>
        <w:ind w:hanging="360" w:left="3528"/>
      </w:pPr>
      <w:rPr>
        <w:rFonts w:hint="default" w:ascii="Symbol" w:hAnsi="Symbol" w:eastAsia="Symbol" w:cs="Symbol"/>
      </w:rPr>
      <w:start w:val="1"/>
      <w:suff w:val="tab"/>
    </w:lvl>
    <w:lvl w:ilvl="4">
      <w:isLgl w:val="false"/>
      <w:lvlJc w:val="left"/>
      <w:lvlText w:val="•"/>
      <w:numFmt w:val="bullet"/>
      <w:pPr>
        <w:pBdr/>
        <w:spacing/>
        <w:ind w:hanging="360" w:left="4482"/>
      </w:pPr>
      <w:rPr>
        <w:rFonts w:hint="default" w:ascii="Symbol" w:hAnsi="Symbol" w:eastAsia="Symbol" w:cs="Symbol"/>
      </w:rPr>
      <w:start w:val="1"/>
      <w:suff w:val="tab"/>
    </w:lvl>
    <w:lvl w:ilvl="5">
      <w:isLgl w:val="false"/>
      <w:lvlJc w:val="left"/>
      <w:lvlText w:val="•"/>
      <w:numFmt w:val="bullet"/>
      <w:pPr>
        <w:pBdr/>
        <w:spacing/>
        <w:ind w:hanging="360" w:left="5436"/>
      </w:pPr>
      <w:rPr>
        <w:rFonts w:hint="default" w:ascii="Symbol" w:hAnsi="Symbol" w:eastAsia="Symbol" w:cs="Symbol"/>
      </w:rPr>
      <w:start w:val="1"/>
      <w:suff w:val="tab"/>
    </w:lvl>
    <w:lvl w:ilvl="6">
      <w:isLgl w:val="false"/>
      <w:lvlJc w:val="left"/>
      <w:lvlText w:val="•"/>
      <w:numFmt w:val="bullet"/>
      <w:pPr>
        <w:pBdr/>
        <w:spacing/>
        <w:ind w:hanging="360" w:left="6391"/>
      </w:pPr>
      <w:rPr>
        <w:rFonts w:hint="default" w:ascii="Symbol" w:hAnsi="Symbol" w:eastAsia="Symbol" w:cs="Symbol"/>
      </w:rPr>
      <w:start w:val="1"/>
      <w:suff w:val="tab"/>
    </w:lvl>
    <w:lvl w:ilvl="7">
      <w:isLgl w:val="false"/>
      <w:lvlJc w:val="left"/>
      <w:lvlText w:val="•"/>
      <w:numFmt w:val="bullet"/>
      <w:pPr>
        <w:pBdr/>
        <w:spacing/>
        <w:ind w:hanging="360" w:left="7345"/>
      </w:pPr>
      <w:rPr>
        <w:rFonts w:hint="default" w:ascii="Symbol" w:hAnsi="Symbol" w:eastAsia="Symbol" w:cs="Symbol"/>
      </w:rPr>
      <w:start w:val="1"/>
      <w:suff w:val="tab"/>
    </w:lvl>
    <w:lvl w:ilvl="8">
      <w:isLgl w:val="false"/>
      <w:lvlJc w:val="left"/>
      <w:lvlText w:val="•"/>
      <w:numFmt w:val="bullet"/>
      <w:pPr>
        <w:pBdr/>
        <w:spacing/>
        <w:ind w:hanging="360" w:left="8299"/>
      </w:pPr>
      <w:rPr>
        <w:rFonts w:hint="default" w:ascii="Symbol" w:hAnsi="Symbol" w:eastAsia="Symbol" w:cs="Symbol"/>
      </w:rPr>
      <w:start w:val="1"/>
      <w:suff w:val="tab"/>
    </w:lvl>
  </w:abstractNum>
  <w:abstractNum w:abstractNumId="45">
    <w:nsid w:val="18F215B3"/>
    <w:lvl w:ilvl="0">
      <w:isLgl w:val="false"/>
      <w:lvlJc w:val="left"/>
      <w:lvlText w:val="❖"/>
      <w:numFmt w:val="bullet"/>
      <w:pPr>
        <w:pBdr/>
        <w:spacing/>
        <w:ind w:hanging="360" w:left="1107"/>
      </w:pPr>
      <w:rPr>
        <w:rFonts w:hint="default" w:ascii="Symbol" w:hAnsi="Symbol" w:eastAsia="Symbol" w:cs="Symbol"/>
      </w:rPr>
      <w:start w:val="1"/>
      <w:suff w:val="tab"/>
    </w:lvl>
    <w:lvl w:ilvl="1">
      <w:isLgl w:val="false"/>
      <w:lvlJc w:val="left"/>
      <w:lvlText w:val="❖"/>
      <w:numFmt w:val="bullet"/>
      <w:pPr>
        <w:pBdr/>
        <w:spacing/>
        <w:ind w:hanging="360" w:left="1620"/>
      </w:pPr>
      <w:rPr>
        <w:rFonts w:hint="default" w:ascii="Symbol" w:hAnsi="Symbol" w:eastAsia="Symbol" w:cs="Symbol"/>
      </w:rPr>
      <w:start w:val="1"/>
      <w:suff w:val="tab"/>
    </w:lvl>
    <w:lvl w:ilvl="2">
      <w:isLgl w:val="false"/>
      <w:lvlJc w:val="left"/>
      <w:lvlText w:val="•"/>
      <w:numFmt w:val="bullet"/>
      <w:pPr>
        <w:pBdr/>
        <w:spacing/>
        <w:ind w:hanging="360" w:left="2574"/>
      </w:pPr>
      <w:rPr>
        <w:rFonts w:hint="default" w:ascii="Symbol" w:hAnsi="Symbol" w:eastAsia="Symbol" w:cs="Symbol"/>
      </w:rPr>
      <w:start w:val="1"/>
      <w:suff w:val="tab"/>
    </w:lvl>
    <w:lvl w:ilvl="3">
      <w:isLgl w:val="false"/>
      <w:lvlJc w:val="left"/>
      <w:lvlText w:val="•"/>
      <w:numFmt w:val="bullet"/>
      <w:pPr>
        <w:pBdr/>
        <w:spacing/>
        <w:ind w:hanging="360" w:left="3528"/>
      </w:pPr>
      <w:rPr>
        <w:rFonts w:hint="default" w:ascii="Symbol" w:hAnsi="Symbol" w:eastAsia="Symbol" w:cs="Symbol"/>
      </w:rPr>
      <w:start w:val="1"/>
      <w:suff w:val="tab"/>
    </w:lvl>
    <w:lvl w:ilvl="4">
      <w:isLgl w:val="false"/>
      <w:lvlJc w:val="left"/>
      <w:lvlText w:val="•"/>
      <w:numFmt w:val="bullet"/>
      <w:pPr>
        <w:pBdr/>
        <w:spacing/>
        <w:ind w:hanging="360" w:left="4482"/>
      </w:pPr>
      <w:rPr>
        <w:rFonts w:hint="default" w:ascii="Symbol" w:hAnsi="Symbol" w:eastAsia="Symbol" w:cs="Symbol"/>
      </w:rPr>
      <w:start w:val="1"/>
      <w:suff w:val="tab"/>
    </w:lvl>
    <w:lvl w:ilvl="5">
      <w:isLgl w:val="false"/>
      <w:lvlJc w:val="left"/>
      <w:lvlText w:val="•"/>
      <w:numFmt w:val="bullet"/>
      <w:pPr>
        <w:pBdr/>
        <w:spacing/>
        <w:ind w:hanging="360" w:left="5436"/>
      </w:pPr>
      <w:rPr>
        <w:rFonts w:hint="default" w:ascii="Symbol" w:hAnsi="Symbol" w:eastAsia="Symbol" w:cs="Symbol"/>
      </w:rPr>
      <w:start w:val="1"/>
      <w:suff w:val="tab"/>
    </w:lvl>
    <w:lvl w:ilvl="6">
      <w:isLgl w:val="false"/>
      <w:lvlJc w:val="left"/>
      <w:lvlText w:val="•"/>
      <w:numFmt w:val="bullet"/>
      <w:pPr>
        <w:pBdr/>
        <w:spacing/>
        <w:ind w:hanging="360" w:left="6391"/>
      </w:pPr>
      <w:rPr>
        <w:rFonts w:hint="default" w:ascii="Symbol" w:hAnsi="Symbol" w:eastAsia="Symbol" w:cs="Symbol"/>
      </w:rPr>
      <w:start w:val="1"/>
      <w:suff w:val="tab"/>
    </w:lvl>
    <w:lvl w:ilvl="7">
      <w:isLgl w:val="false"/>
      <w:lvlJc w:val="left"/>
      <w:lvlText w:val="•"/>
      <w:numFmt w:val="bullet"/>
      <w:pPr>
        <w:pBdr/>
        <w:spacing/>
        <w:ind w:hanging="360" w:left="7345"/>
      </w:pPr>
      <w:rPr>
        <w:rFonts w:hint="default" w:ascii="Symbol" w:hAnsi="Symbol" w:eastAsia="Symbol" w:cs="Symbol"/>
      </w:rPr>
      <w:start w:val="1"/>
      <w:suff w:val="tab"/>
    </w:lvl>
    <w:lvl w:ilvl="8">
      <w:isLgl w:val="false"/>
      <w:lvlJc w:val="left"/>
      <w:lvlText w:val="•"/>
      <w:numFmt w:val="bullet"/>
      <w:pPr>
        <w:pBdr/>
        <w:spacing/>
        <w:ind w:hanging="360" w:left="8299"/>
      </w:pPr>
      <w:rPr>
        <w:rFonts w:hint="default" w:ascii="Symbol" w:hAnsi="Symbol" w:eastAsia="Symbol" w:cs="Symbol"/>
      </w:rPr>
      <w:start w:val="1"/>
      <w:suff w:val="tab"/>
    </w:lvl>
  </w:abstractNum>
  <w:abstractNum w:abstractNumId="46">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8">
    <w:nsid w:val="7AE88C69"/>
    <w:lvl w:ilvl="0">
      <w:isLgl w:val="false"/>
      <w:lvlJc w:val="left"/>
      <w:lvlText w:val=""/>
      <w:numFmt w:val="bullet"/>
      <w:pPr>
        <w:pBdr/>
        <w:spacing/>
        <w:ind w:hanging="360" w:left="1004"/>
      </w:pPr>
      <w:rPr>
        <w:rFonts w:hint="default" w:ascii="Wingdings" w:hAnsi="Wingdings" w:eastAsia="Wingdings" w:cs="Wingdings"/>
      </w:rPr>
      <w:start w:val="1"/>
      <w:suff w:val="tab"/>
    </w:lvl>
    <w:lvl w:ilvl="1">
      <w:isLgl w:val="false"/>
      <w:lvlJc w:val="left"/>
      <w:lvlText w:val="o"/>
      <w:numFmt w:val="bullet"/>
      <w:pPr>
        <w:pBdr/>
        <w:spacing/>
        <w:ind w:hanging="360" w:left="1724"/>
      </w:pPr>
      <w:rPr>
        <w:rFonts w:hint="default" w:ascii="Courier New" w:hAnsi="Courier New" w:eastAsia="Courier New" w:cs="Courier New"/>
      </w:rPr>
      <w:start w:val="1"/>
      <w:suff w:val="tab"/>
    </w:lvl>
    <w:lvl w:ilvl="2">
      <w:isLgl w:val="false"/>
      <w:lvlJc w:val="left"/>
      <w:lvlText w:val=""/>
      <w:numFmt w:val="bullet"/>
      <w:pPr>
        <w:pBdr/>
        <w:spacing/>
        <w:ind w:hanging="360" w:left="2444"/>
      </w:pPr>
      <w:rPr>
        <w:rFonts w:hint="default" w:ascii="Wingdings" w:hAnsi="Wingdings" w:eastAsia="Wingdings" w:cs="Wingdings"/>
      </w:rPr>
      <w:start w:val="1"/>
      <w:suff w:val="tab"/>
    </w:lvl>
    <w:lvl w:ilvl="3">
      <w:isLgl w:val="false"/>
      <w:lvlJc w:val="left"/>
      <w:lvlText w:val=""/>
      <w:numFmt w:val="bullet"/>
      <w:pPr>
        <w:pBdr/>
        <w:spacing/>
        <w:ind w:hanging="360" w:left="3164"/>
      </w:pPr>
      <w:rPr>
        <w:rFonts w:hint="default" w:ascii="Symbol" w:hAnsi="Symbol" w:eastAsia="Symbol" w:cs="Symbol"/>
      </w:rPr>
      <w:start w:val="1"/>
      <w:suff w:val="tab"/>
    </w:lvl>
    <w:lvl w:ilvl="4">
      <w:isLgl w:val="false"/>
      <w:lvlJc w:val="left"/>
      <w:lvlText w:val="o"/>
      <w:numFmt w:val="bullet"/>
      <w:pPr>
        <w:pBdr/>
        <w:spacing/>
        <w:ind w:hanging="360" w:left="3884"/>
      </w:pPr>
      <w:rPr>
        <w:rFonts w:hint="default" w:ascii="Courier New" w:hAnsi="Courier New" w:eastAsia="Courier New" w:cs="Courier New"/>
      </w:rPr>
      <w:start w:val="1"/>
      <w:suff w:val="tab"/>
    </w:lvl>
    <w:lvl w:ilvl="5">
      <w:isLgl w:val="false"/>
      <w:lvlJc w:val="left"/>
      <w:lvlText w:val=""/>
      <w:numFmt w:val="bullet"/>
      <w:pPr>
        <w:pBdr/>
        <w:spacing/>
        <w:ind w:hanging="360" w:left="4604"/>
      </w:pPr>
      <w:rPr>
        <w:rFonts w:hint="default" w:ascii="Wingdings" w:hAnsi="Wingdings" w:eastAsia="Wingdings" w:cs="Wingdings"/>
      </w:rPr>
      <w:start w:val="1"/>
      <w:suff w:val="tab"/>
    </w:lvl>
    <w:lvl w:ilvl="6">
      <w:isLgl w:val="false"/>
      <w:lvlJc w:val="left"/>
      <w:lvlText w:val=""/>
      <w:numFmt w:val="bullet"/>
      <w:pPr>
        <w:pBdr/>
        <w:spacing/>
        <w:ind w:hanging="360" w:left="5324"/>
      </w:pPr>
      <w:rPr>
        <w:rFonts w:hint="default" w:ascii="Symbol" w:hAnsi="Symbol" w:eastAsia="Symbol" w:cs="Symbol"/>
      </w:rPr>
      <w:start w:val="1"/>
      <w:suff w:val="tab"/>
    </w:lvl>
    <w:lvl w:ilvl="7">
      <w:isLgl w:val="false"/>
      <w:lvlJc w:val="left"/>
      <w:lvlText w:val="o"/>
      <w:numFmt w:val="bullet"/>
      <w:pPr>
        <w:pBdr/>
        <w:spacing/>
        <w:ind w:hanging="360" w:left="6044"/>
      </w:pPr>
      <w:rPr>
        <w:rFonts w:hint="default" w:ascii="Courier New" w:hAnsi="Courier New" w:eastAsia="Courier New" w:cs="Courier New"/>
      </w:rPr>
      <w:start w:val="1"/>
      <w:suff w:val="tab"/>
    </w:lvl>
    <w:lvl w:ilvl="8">
      <w:isLgl w:val="false"/>
      <w:lvlJc w:val="left"/>
      <w:lvlText w:val=""/>
      <w:numFmt w:val="bullet"/>
      <w:pPr>
        <w:pBdr/>
        <w:spacing/>
        <w:ind w:hanging="360" w:left="6764"/>
      </w:pPr>
      <w:rPr>
        <w:rFonts w:hint="default" w:ascii="Wingdings" w:hAnsi="Wingdings" w:eastAsia="Wingdings" w:cs="Wingdings"/>
      </w:rPr>
      <w:start w:val="1"/>
      <w:suff w:val="tab"/>
    </w:lvl>
  </w:abstractNum>
  <w:abstractNum w:abstractNumId="49">
    <w:nsid w:val="6FC8879F"/>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0">
    <w:nsid w:val="39757EFA"/>
    <w:lvl w:ilvl="0">
      <w:isLgl w:val="false"/>
      <w:lvlJc w:val="left"/>
      <w:lvlText w:val=""/>
      <w:numFmt w:val="bullet"/>
      <w:pPr>
        <w:pBdr/>
        <w:spacing/>
        <w:ind w:hanging="360" w:left="1146"/>
      </w:pPr>
      <w:rPr>
        <w:rFonts w:hint="default" w:ascii="Wingdings" w:hAnsi="Wingdings" w:eastAsia="Wingdings" w:cs="Wingdings"/>
      </w:rPr>
      <w:start w:val="1"/>
      <w:suff w:val="tab"/>
    </w:lvl>
    <w:lvl w:ilvl="1">
      <w:isLgl w:val="false"/>
      <w:lvlJc w:val="left"/>
      <w:lvlText w:val="o"/>
      <w:numFmt w:val="bullet"/>
      <w:pPr>
        <w:pBdr/>
        <w:spacing/>
        <w:ind w:hanging="360" w:left="1866"/>
      </w:pPr>
      <w:rPr>
        <w:rFonts w:hint="default" w:ascii="Courier New" w:hAnsi="Courier New" w:eastAsia="Courier New" w:cs="Courier New"/>
      </w:rPr>
      <w:start w:val="1"/>
      <w:suff w:val="tab"/>
    </w:lvl>
    <w:lvl w:ilvl="2">
      <w:isLgl w:val="false"/>
      <w:lvlJc w:val="left"/>
      <w:lvlText w:val=""/>
      <w:numFmt w:val="bullet"/>
      <w:pPr>
        <w:pBdr/>
        <w:spacing/>
        <w:ind w:hanging="360" w:left="2586"/>
      </w:pPr>
      <w:rPr>
        <w:rFonts w:hint="default" w:ascii="Wingdings" w:hAnsi="Wingdings" w:eastAsia="Wingdings" w:cs="Wingdings"/>
      </w:rPr>
      <w:start w:val="1"/>
      <w:suff w:val="tab"/>
    </w:lvl>
    <w:lvl w:ilvl="3">
      <w:isLgl w:val="false"/>
      <w:lvlJc w:val="left"/>
      <w:lvlText w:val=""/>
      <w:numFmt w:val="bullet"/>
      <w:pPr>
        <w:pBdr/>
        <w:spacing/>
        <w:ind w:hanging="360" w:left="3306"/>
      </w:pPr>
      <w:rPr>
        <w:rFonts w:hint="default" w:ascii="Symbol" w:hAnsi="Symbol" w:eastAsia="Symbol" w:cs="Symbol"/>
      </w:rPr>
      <w:start w:val="1"/>
      <w:suff w:val="tab"/>
    </w:lvl>
    <w:lvl w:ilvl="4">
      <w:isLgl w:val="false"/>
      <w:lvlJc w:val="left"/>
      <w:lvlText w:val="o"/>
      <w:numFmt w:val="bullet"/>
      <w:pPr>
        <w:pBdr/>
        <w:spacing/>
        <w:ind w:hanging="360" w:left="4026"/>
      </w:pPr>
      <w:rPr>
        <w:rFonts w:hint="default" w:ascii="Courier New" w:hAnsi="Courier New" w:eastAsia="Courier New" w:cs="Courier New"/>
      </w:rPr>
      <w:start w:val="1"/>
      <w:suff w:val="tab"/>
    </w:lvl>
    <w:lvl w:ilvl="5">
      <w:isLgl w:val="false"/>
      <w:lvlJc w:val="left"/>
      <w:lvlText w:val=""/>
      <w:numFmt w:val="bullet"/>
      <w:pPr>
        <w:pBdr/>
        <w:spacing/>
        <w:ind w:hanging="360" w:left="4746"/>
      </w:pPr>
      <w:rPr>
        <w:rFonts w:hint="default" w:ascii="Wingdings" w:hAnsi="Wingdings" w:eastAsia="Wingdings" w:cs="Wingdings"/>
      </w:rPr>
      <w:start w:val="1"/>
      <w:suff w:val="tab"/>
    </w:lvl>
    <w:lvl w:ilvl="6">
      <w:isLgl w:val="false"/>
      <w:lvlJc w:val="left"/>
      <w:lvlText w:val=""/>
      <w:numFmt w:val="bullet"/>
      <w:pPr>
        <w:pBdr/>
        <w:spacing/>
        <w:ind w:hanging="360" w:left="5466"/>
      </w:pPr>
      <w:rPr>
        <w:rFonts w:hint="default" w:ascii="Symbol" w:hAnsi="Symbol" w:eastAsia="Symbol" w:cs="Symbol"/>
      </w:rPr>
      <w:start w:val="1"/>
      <w:suff w:val="tab"/>
    </w:lvl>
    <w:lvl w:ilvl="7">
      <w:isLgl w:val="false"/>
      <w:lvlJc w:val="left"/>
      <w:lvlText w:val="o"/>
      <w:numFmt w:val="bullet"/>
      <w:pPr>
        <w:pBdr/>
        <w:spacing/>
        <w:ind w:hanging="360" w:left="6186"/>
      </w:pPr>
      <w:rPr>
        <w:rFonts w:hint="default" w:ascii="Courier New" w:hAnsi="Courier New" w:eastAsia="Courier New" w:cs="Courier New"/>
      </w:rPr>
      <w:start w:val="1"/>
      <w:suff w:val="tab"/>
    </w:lvl>
    <w:lvl w:ilvl="8">
      <w:isLgl w:val="false"/>
      <w:lvlJc w:val="left"/>
      <w:lvlText w:val=""/>
      <w:numFmt w:val="bullet"/>
      <w:pPr>
        <w:pBdr/>
        <w:spacing/>
        <w:ind w:hanging="360" w:left="6906"/>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5">
    <w:name w:val="Table Grid Light"/>
    <w:basedOn w:val="103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Plain Table 1"/>
    <w:basedOn w:val="103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Plain Table 2"/>
    <w:basedOn w:val="103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Plain Table 3"/>
    <w:basedOn w:val="103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Plain Table 4"/>
    <w:basedOn w:val="103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Plain Table 5"/>
    <w:basedOn w:val="103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1 Light"/>
    <w:basedOn w:val="103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1 Light - Accent 1"/>
    <w:basedOn w:val="103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1 Light - Accent 2"/>
    <w:basedOn w:val="103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1 Light - Accent 3"/>
    <w:basedOn w:val="103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1 Light - Accent 4"/>
    <w:basedOn w:val="103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1 Light - Accent 5"/>
    <w:basedOn w:val="103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1 Light - Accent 6"/>
    <w:basedOn w:val="103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2"/>
    <w:basedOn w:val="103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2 - Accent 1"/>
    <w:basedOn w:val="103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2 - Accent 2"/>
    <w:basedOn w:val="103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2 - Accent 3"/>
    <w:basedOn w:val="103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2 - Accent 4"/>
    <w:basedOn w:val="103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2 - Accent 5"/>
    <w:basedOn w:val="103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2 - Accent 6"/>
    <w:basedOn w:val="103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3"/>
    <w:basedOn w:val="103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3 - Accent 1"/>
    <w:basedOn w:val="103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3 - Accent 2"/>
    <w:basedOn w:val="103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3 - Accent 3"/>
    <w:basedOn w:val="103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3 - Accent 4"/>
    <w:basedOn w:val="103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3 - Accent 5"/>
    <w:basedOn w:val="103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3 - Accent 6"/>
    <w:basedOn w:val="103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4"/>
    <w:basedOn w:val="103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4 - Accent 1"/>
    <w:basedOn w:val="103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4 - Accent 2"/>
    <w:basedOn w:val="103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4 - Accent 3"/>
    <w:basedOn w:val="103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4 - Accent 4"/>
    <w:basedOn w:val="103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4 - Accent 5"/>
    <w:basedOn w:val="103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4 - Accent 6"/>
    <w:basedOn w:val="103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5 Dark"/>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5 Dark- Accent 1"/>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5 Dark - Accent 2"/>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5 Dark - Accent 3"/>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5 Dark- Accent 4"/>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5 Dark - Accent 5"/>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5 Dark - Accent 6"/>
    <w:basedOn w:val="103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6 Colorful"/>
    <w:basedOn w:val="103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7">
    <w:name w:val="Grid Table 6 Colorful - Accent 1"/>
    <w:basedOn w:val="103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8">
    <w:name w:val="Grid Table 6 Colorful - Accent 2"/>
    <w:basedOn w:val="103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9">
    <w:name w:val="Grid Table 6 Colorful - Accent 3"/>
    <w:basedOn w:val="103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10">
    <w:name w:val="Grid Table 6 Colorful - Accent 4"/>
    <w:basedOn w:val="103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11">
    <w:name w:val="Grid Table 6 Colorful - Accent 5"/>
    <w:basedOn w:val="103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2">
    <w:name w:val="Grid Table 6 Colorful - Accent 6"/>
    <w:basedOn w:val="103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3">
    <w:name w:val="Grid Table 7 Colorful"/>
    <w:basedOn w:val="103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7 Colorful - Accent 1"/>
    <w:basedOn w:val="103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7 Colorful - Accent 2"/>
    <w:basedOn w:val="103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7 Colorful - Accent 3"/>
    <w:basedOn w:val="103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7 Colorful - Accent 4"/>
    <w:basedOn w:val="103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7 Colorful - Accent 5"/>
    <w:basedOn w:val="103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7 Colorful - Accent 6"/>
    <w:basedOn w:val="103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1 Light"/>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1 Light - Accent 1"/>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1 Light - Accent 2"/>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1 Light - Accent 3"/>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1 Light - Accent 4"/>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1 Light - Accent 5"/>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1 Light - Accent 6"/>
    <w:basedOn w:val="103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2"/>
    <w:basedOn w:val="103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2 - Accent 1"/>
    <w:basedOn w:val="103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2 - Accent 2"/>
    <w:basedOn w:val="103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2 - Accent 3"/>
    <w:basedOn w:val="103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2 - Accent 4"/>
    <w:basedOn w:val="103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2 - Accent 5"/>
    <w:basedOn w:val="103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2 - Accent 6"/>
    <w:basedOn w:val="103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3"/>
    <w:basedOn w:val="103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3 - Accent 1"/>
    <w:basedOn w:val="103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3 - Accent 2"/>
    <w:basedOn w:val="103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3 - Accent 3"/>
    <w:basedOn w:val="103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3 - Accent 4"/>
    <w:basedOn w:val="103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3 - Accent 5"/>
    <w:basedOn w:val="103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3 - Accent 6"/>
    <w:basedOn w:val="103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4"/>
    <w:basedOn w:val="103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4 - Accent 1"/>
    <w:basedOn w:val="103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4 - Accent 2"/>
    <w:basedOn w:val="103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4 - Accent 3"/>
    <w:basedOn w:val="103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4 - Accent 4"/>
    <w:basedOn w:val="103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4 - Accent 5"/>
    <w:basedOn w:val="103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4 - Accent 6"/>
    <w:basedOn w:val="103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5 Dark"/>
    <w:basedOn w:val="103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9">
    <w:name w:val="List Table 5 Dark - Accent 1"/>
    <w:basedOn w:val="103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0">
    <w:name w:val="List Table 5 Dark - Accent 2"/>
    <w:basedOn w:val="103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1">
    <w:name w:val="List Table 5 Dark - Accent 3"/>
    <w:basedOn w:val="103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2">
    <w:name w:val="List Table 5 Dark - Accent 4"/>
    <w:basedOn w:val="103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3">
    <w:name w:val="List Table 5 Dark - Accent 5"/>
    <w:basedOn w:val="103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4">
    <w:name w:val="List Table 5 Dark - Accent 6"/>
    <w:basedOn w:val="103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5">
    <w:name w:val="List Table 6 Colorful"/>
    <w:basedOn w:val="103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6 Colorful - Accent 1"/>
    <w:basedOn w:val="103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6 Colorful - Accent 2"/>
    <w:basedOn w:val="103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6 Colorful - Accent 3"/>
    <w:basedOn w:val="103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6 Colorful - Accent 4"/>
    <w:basedOn w:val="103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6 Colorful - Accent 5"/>
    <w:basedOn w:val="103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6 Colorful - Accent 6"/>
    <w:basedOn w:val="103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7 Colorful"/>
    <w:basedOn w:val="103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63">
    <w:name w:val="List Table 7 Colorful - Accent 1"/>
    <w:basedOn w:val="103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64">
    <w:name w:val="List Table 7 Colorful - Accent 2"/>
    <w:basedOn w:val="103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65">
    <w:name w:val="List Table 7 Colorful - Accent 3"/>
    <w:basedOn w:val="103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66">
    <w:name w:val="List Table 7 Colorful - Accent 4"/>
    <w:basedOn w:val="103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67">
    <w:name w:val="List Table 7 Colorful - Accent 5"/>
    <w:basedOn w:val="103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8">
    <w:name w:val="List Table 7 Colorful - Accent 6"/>
    <w:basedOn w:val="103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9">
    <w:name w:val="Lined - Accent"/>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ned - Accent 1"/>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ned - Accent 2"/>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ned - Accent 3"/>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ned - Accent 4"/>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ned - Accent 5"/>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ned - Accent 6"/>
    <w:basedOn w:val="103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amp; Lined - Accent"/>
    <w:basedOn w:val="103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amp; Lined - Accent 1"/>
    <w:basedOn w:val="103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amp; Lined - Accent 2"/>
    <w:basedOn w:val="103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amp; Lined - Accent 3"/>
    <w:basedOn w:val="103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amp; Lined - Accent 4"/>
    <w:basedOn w:val="103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amp; Lined - Accent 5"/>
    <w:basedOn w:val="103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amp; Lined - Accent 6"/>
    <w:basedOn w:val="103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w:basedOn w:val="103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Bordered - Accent 1"/>
    <w:basedOn w:val="103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Bordered - Accent 2"/>
    <w:basedOn w:val="103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Bordered - Accent 3"/>
    <w:basedOn w:val="103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Bordered - Accent 4"/>
    <w:basedOn w:val="103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Bordered - Accent 5"/>
    <w:basedOn w:val="103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Bordered - Accent 6"/>
    <w:basedOn w:val="103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0">
    <w:name w:val="Heading 5"/>
    <w:basedOn w:val="1031"/>
    <w:next w:val="1031"/>
    <w:link w:val="99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91">
    <w:name w:val="Heading 6"/>
    <w:basedOn w:val="1031"/>
    <w:next w:val="1031"/>
    <w:link w:val="99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92">
    <w:name w:val="Heading 7"/>
    <w:basedOn w:val="1031"/>
    <w:next w:val="1031"/>
    <w:link w:val="99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93">
    <w:name w:val="Heading 8"/>
    <w:basedOn w:val="1031"/>
    <w:next w:val="1031"/>
    <w:link w:val="99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94">
    <w:name w:val="Heading 9"/>
    <w:basedOn w:val="1031"/>
    <w:next w:val="1031"/>
    <w:link w:val="99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95">
    <w:name w:val="Heading 5 Char"/>
    <w:basedOn w:val="1036"/>
    <w:link w:val="990"/>
    <w:uiPriority w:val="9"/>
    <w:pPr>
      <w:pBdr/>
      <w:spacing/>
      <w:ind/>
    </w:pPr>
    <w:rPr>
      <w:rFonts w:ascii="Arial" w:hAnsi="Arial" w:eastAsia="Arial" w:cs="Arial"/>
      <w:color w:val="0f4761" w:themeColor="accent1" w:themeShade="BF"/>
    </w:rPr>
  </w:style>
  <w:style w:type="character" w:styleId="996">
    <w:name w:val="Heading 6 Char"/>
    <w:basedOn w:val="1036"/>
    <w:link w:val="991"/>
    <w:uiPriority w:val="9"/>
    <w:pPr>
      <w:pBdr/>
      <w:spacing/>
      <w:ind/>
    </w:pPr>
    <w:rPr>
      <w:rFonts w:ascii="Arial" w:hAnsi="Arial" w:eastAsia="Arial" w:cs="Arial"/>
      <w:i/>
      <w:iCs/>
      <w:color w:val="595959" w:themeColor="text1" w:themeTint="A6"/>
    </w:rPr>
  </w:style>
  <w:style w:type="character" w:styleId="997">
    <w:name w:val="Heading 7 Char"/>
    <w:basedOn w:val="1036"/>
    <w:link w:val="992"/>
    <w:uiPriority w:val="9"/>
    <w:pPr>
      <w:pBdr/>
      <w:spacing/>
      <w:ind/>
    </w:pPr>
    <w:rPr>
      <w:rFonts w:ascii="Arial" w:hAnsi="Arial" w:eastAsia="Arial" w:cs="Arial"/>
      <w:color w:val="595959" w:themeColor="text1" w:themeTint="A6"/>
    </w:rPr>
  </w:style>
  <w:style w:type="character" w:styleId="998">
    <w:name w:val="Heading 8 Char"/>
    <w:basedOn w:val="1036"/>
    <w:link w:val="993"/>
    <w:uiPriority w:val="9"/>
    <w:pPr>
      <w:pBdr/>
      <w:spacing/>
      <w:ind/>
    </w:pPr>
    <w:rPr>
      <w:rFonts w:ascii="Arial" w:hAnsi="Arial" w:eastAsia="Arial" w:cs="Arial"/>
      <w:i/>
      <w:iCs/>
      <w:color w:val="272727" w:themeColor="text1" w:themeTint="D8"/>
    </w:rPr>
  </w:style>
  <w:style w:type="character" w:styleId="999">
    <w:name w:val="Heading 9 Char"/>
    <w:basedOn w:val="1036"/>
    <w:link w:val="994"/>
    <w:uiPriority w:val="9"/>
    <w:pPr>
      <w:pBdr/>
      <w:spacing/>
      <w:ind/>
    </w:pPr>
    <w:rPr>
      <w:rFonts w:ascii="Arial" w:hAnsi="Arial" w:eastAsia="Arial" w:cs="Arial"/>
      <w:i/>
      <w:iCs/>
      <w:color w:val="272727" w:themeColor="text1" w:themeTint="D8"/>
    </w:rPr>
  </w:style>
  <w:style w:type="paragraph" w:styleId="1000">
    <w:name w:val="Subtitle"/>
    <w:basedOn w:val="1031"/>
    <w:next w:val="1031"/>
    <w:link w:val="1001"/>
    <w:uiPriority w:val="11"/>
    <w:qFormat/>
    <w:pPr>
      <w:numPr>
        <w:ilvl w:val="1"/>
      </w:numPr>
      <w:pBdr/>
      <w:spacing/>
      <w:ind/>
    </w:pPr>
    <w:rPr>
      <w:color w:val="595959" w:themeColor="text1" w:themeTint="A6"/>
      <w:spacing w:val="15"/>
      <w:sz w:val="28"/>
      <w:szCs w:val="28"/>
    </w:rPr>
  </w:style>
  <w:style w:type="character" w:styleId="1001">
    <w:name w:val="Subtitle Char"/>
    <w:basedOn w:val="1036"/>
    <w:link w:val="1000"/>
    <w:uiPriority w:val="11"/>
    <w:pPr>
      <w:pBdr/>
      <w:spacing/>
      <w:ind/>
    </w:pPr>
    <w:rPr>
      <w:color w:val="595959" w:themeColor="text1" w:themeTint="A6"/>
      <w:spacing w:val="15"/>
      <w:sz w:val="28"/>
      <w:szCs w:val="28"/>
    </w:rPr>
  </w:style>
  <w:style w:type="paragraph" w:styleId="1002">
    <w:name w:val="Quote"/>
    <w:basedOn w:val="1031"/>
    <w:next w:val="1031"/>
    <w:link w:val="1003"/>
    <w:uiPriority w:val="29"/>
    <w:qFormat/>
    <w:pPr>
      <w:pBdr/>
      <w:spacing w:before="160"/>
      <w:ind/>
      <w:jc w:val="center"/>
    </w:pPr>
    <w:rPr>
      <w:i/>
      <w:iCs/>
      <w:color w:val="404040" w:themeColor="text1" w:themeTint="BF"/>
    </w:rPr>
  </w:style>
  <w:style w:type="character" w:styleId="1003">
    <w:name w:val="Quote Char"/>
    <w:basedOn w:val="1036"/>
    <w:link w:val="1002"/>
    <w:uiPriority w:val="29"/>
    <w:pPr>
      <w:pBdr/>
      <w:spacing/>
      <w:ind/>
    </w:pPr>
    <w:rPr>
      <w:i/>
      <w:iCs/>
      <w:color w:val="404040" w:themeColor="text1" w:themeTint="BF"/>
    </w:rPr>
  </w:style>
  <w:style w:type="character" w:styleId="1004">
    <w:name w:val="Intense Emphasis"/>
    <w:basedOn w:val="1036"/>
    <w:uiPriority w:val="21"/>
    <w:qFormat/>
    <w:pPr>
      <w:pBdr/>
      <w:spacing/>
      <w:ind/>
    </w:pPr>
    <w:rPr>
      <w:i/>
      <w:iCs/>
      <w:color w:val="0f4761" w:themeColor="accent1" w:themeShade="BF"/>
    </w:rPr>
  </w:style>
  <w:style w:type="paragraph" w:styleId="1005">
    <w:name w:val="Intense Quote"/>
    <w:basedOn w:val="1031"/>
    <w:next w:val="1031"/>
    <w:link w:val="100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06">
    <w:name w:val="Intense Quote Char"/>
    <w:basedOn w:val="1036"/>
    <w:link w:val="1005"/>
    <w:uiPriority w:val="30"/>
    <w:pPr>
      <w:pBdr/>
      <w:spacing/>
      <w:ind/>
    </w:pPr>
    <w:rPr>
      <w:i/>
      <w:iCs/>
      <w:color w:val="0f4761" w:themeColor="accent1" w:themeShade="BF"/>
    </w:rPr>
  </w:style>
  <w:style w:type="character" w:styleId="1007">
    <w:name w:val="Intense Reference"/>
    <w:basedOn w:val="1036"/>
    <w:uiPriority w:val="32"/>
    <w:qFormat/>
    <w:pPr>
      <w:pBdr/>
      <w:spacing/>
      <w:ind/>
    </w:pPr>
    <w:rPr>
      <w:b/>
      <w:bCs/>
      <w:smallCaps/>
      <w:color w:val="0f4761" w:themeColor="accent1" w:themeShade="BF"/>
      <w:spacing w:val="5"/>
    </w:rPr>
  </w:style>
  <w:style w:type="paragraph" w:styleId="1008">
    <w:name w:val="No Spacing"/>
    <w:basedOn w:val="1031"/>
    <w:uiPriority w:val="1"/>
    <w:qFormat/>
    <w:pPr>
      <w:pBdr/>
      <w:spacing w:after="0" w:line="240" w:lineRule="auto"/>
      <w:ind/>
    </w:pPr>
  </w:style>
  <w:style w:type="character" w:styleId="1009">
    <w:name w:val="Subtle Emphasis"/>
    <w:basedOn w:val="1036"/>
    <w:uiPriority w:val="19"/>
    <w:qFormat/>
    <w:pPr>
      <w:pBdr/>
      <w:spacing/>
      <w:ind/>
    </w:pPr>
    <w:rPr>
      <w:i/>
      <w:iCs/>
      <w:color w:val="404040" w:themeColor="text1" w:themeTint="BF"/>
    </w:rPr>
  </w:style>
  <w:style w:type="character" w:styleId="1010">
    <w:name w:val="Subtle Reference"/>
    <w:basedOn w:val="1036"/>
    <w:uiPriority w:val="31"/>
    <w:qFormat/>
    <w:pPr>
      <w:pBdr/>
      <w:spacing/>
      <w:ind/>
    </w:pPr>
    <w:rPr>
      <w:smallCaps/>
      <w:color w:val="5a5a5a" w:themeColor="text1" w:themeTint="A5"/>
    </w:rPr>
  </w:style>
  <w:style w:type="character" w:styleId="1011">
    <w:name w:val="Book Title"/>
    <w:basedOn w:val="1036"/>
    <w:uiPriority w:val="33"/>
    <w:qFormat/>
    <w:pPr>
      <w:pBdr/>
      <w:spacing/>
      <w:ind/>
    </w:pPr>
    <w:rPr>
      <w:b/>
      <w:bCs/>
      <w:i/>
      <w:iCs/>
      <w:spacing w:val="5"/>
    </w:rPr>
  </w:style>
  <w:style w:type="paragraph" w:styleId="1012">
    <w:name w:val="Caption"/>
    <w:basedOn w:val="1031"/>
    <w:next w:val="1031"/>
    <w:uiPriority w:val="35"/>
    <w:unhideWhenUsed/>
    <w:qFormat/>
    <w:pPr>
      <w:pBdr/>
      <w:spacing w:after="200" w:line="240" w:lineRule="auto"/>
      <w:ind/>
    </w:pPr>
    <w:rPr>
      <w:i/>
      <w:iCs/>
      <w:color w:val="0e2841" w:themeColor="text2"/>
      <w:sz w:val="18"/>
      <w:szCs w:val="18"/>
    </w:rPr>
  </w:style>
  <w:style w:type="paragraph" w:styleId="1013">
    <w:name w:val="footnote text"/>
    <w:basedOn w:val="1031"/>
    <w:link w:val="1014"/>
    <w:uiPriority w:val="99"/>
    <w:semiHidden/>
    <w:unhideWhenUsed/>
    <w:pPr>
      <w:pBdr/>
      <w:spacing w:after="0" w:line="240" w:lineRule="auto"/>
      <w:ind/>
    </w:pPr>
    <w:rPr>
      <w:sz w:val="20"/>
      <w:szCs w:val="20"/>
    </w:rPr>
  </w:style>
  <w:style w:type="character" w:styleId="1014">
    <w:name w:val="Footnote Text Char"/>
    <w:basedOn w:val="1036"/>
    <w:link w:val="1013"/>
    <w:uiPriority w:val="99"/>
    <w:semiHidden/>
    <w:pPr>
      <w:pBdr/>
      <w:spacing/>
      <w:ind/>
    </w:pPr>
    <w:rPr>
      <w:sz w:val="20"/>
      <w:szCs w:val="20"/>
    </w:rPr>
  </w:style>
  <w:style w:type="character" w:styleId="1015">
    <w:name w:val="footnote reference"/>
    <w:basedOn w:val="1036"/>
    <w:uiPriority w:val="99"/>
    <w:semiHidden/>
    <w:unhideWhenUsed/>
    <w:pPr>
      <w:pBdr/>
      <w:spacing/>
      <w:ind/>
    </w:pPr>
    <w:rPr>
      <w:vertAlign w:val="superscript"/>
    </w:rPr>
  </w:style>
  <w:style w:type="paragraph" w:styleId="1016">
    <w:name w:val="endnote text"/>
    <w:basedOn w:val="1031"/>
    <w:link w:val="1017"/>
    <w:uiPriority w:val="99"/>
    <w:semiHidden/>
    <w:unhideWhenUsed/>
    <w:pPr>
      <w:pBdr/>
      <w:spacing w:after="0" w:line="240" w:lineRule="auto"/>
      <w:ind/>
    </w:pPr>
    <w:rPr>
      <w:sz w:val="20"/>
      <w:szCs w:val="20"/>
    </w:rPr>
  </w:style>
  <w:style w:type="character" w:styleId="1017">
    <w:name w:val="Endnote Text Char"/>
    <w:basedOn w:val="1036"/>
    <w:link w:val="1016"/>
    <w:uiPriority w:val="99"/>
    <w:semiHidden/>
    <w:pPr>
      <w:pBdr/>
      <w:spacing/>
      <w:ind/>
    </w:pPr>
    <w:rPr>
      <w:sz w:val="20"/>
      <w:szCs w:val="20"/>
    </w:rPr>
  </w:style>
  <w:style w:type="character" w:styleId="1018">
    <w:name w:val="endnote reference"/>
    <w:basedOn w:val="1036"/>
    <w:uiPriority w:val="99"/>
    <w:semiHidden/>
    <w:unhideWhenUsed/>
    <w:pPr>
      <w:pBdr/>
      <w:spacing/>
      <w:ind/>
    </w:pPr>
    <w:rPr>
      <w:vertAlign w:val="superscript"/>
    </w:rPr>
  </w:style>
  <w:style w:type="paragraph" w:styleId="1019">
    <w:name w:val="toc 1"/>
    <w:basedOn w:val="1031"/>
    <w:next w:val="1031"/>
    <w:uiPriority w:val="39"/>
    <w:unhideWhenUsed/>
    <w:pPr>
      <w:pBdr/>
      <w:spacing w:after="100"/>
      <w:ind/>
    </w:pPr>
  </w:style>
  <w:style w:type="paragraph" w:styleId="1020">
    <w:name w:val="toc 2"/>
    <w:basedOn w:val="1031"/>
    <w:next w:val="1031"/>
    <w:uiPriority w:val="39"/>
    <w:unhideWhenUsed/>
    <w:pPr>
      <w:pBdr/>
      <w:spacing w:after="100"/>
      <w:ind w:left="220"/>
    </w:pPr>
  </w:style>
  <w:style w:type="paragraph" w:styleId="1021">
    <w:name w:val="toc 3"/>
    <w:basedOn w:val="1031"/>
    <w:next w:val="1031"/>
    <w:uiPriority w:val="39"/>
    <w:unhideWhenUsed/>
    <w:pPr>
      <w:pBdr/>
      <w:spacing w:after="100"/>
      <w:ind w:left="440"/>
    </w:pPr>
  </w:style>
  <w:style w:type="paragraph" w:styleId="1022">
    <w:name w:val="toc 4"/>
    <w:basedOn w:val="1031"/>
    <w:next w:val="1031"/>
    <w:uiPriority w:val="39"/>
    <w:unhideWhenUsed/>
    <w:pPr>
      <w:pBdr/>
      <w:spacing w:after="100"/>
      <w:ind w:left="660"/>
    </w:pPr>
  </w:style>
  <w:style w:type="paragraph" w:styleId="1023">
    <w:name w:val="toc 5"/>
    <w:basedOn w:val="1031"/>
    <w:next w:val="1031"/>
    <w:uiPriority w:val="39"/>
    <w:unhideWhenUsed/>
    <w:pPr>
      <w:pBdr/>
      <w:spacing w:after="100"/>
      <w:ind w:left="880"/>
    </w:pPr>
  </w:style>
  <w:style w:type="paragraph" w:styleId="1024">
    <w:name w:val="toc 6"/>
    <w:basedOn w:val="1031"/>
    <w:next w:val="1031"/>
    <w:uiPriority w:val="39"/>
    <w:unhideWhenUsed/>
    <w:pPr>
      <w:pBdr/>
      <w:spacing w:after="100"/>
      <w:ind w:left="1100"/>
    </w:pPr>
  </w:style>
  <w:style w:type="paragraph" w:styleId="1025">
    <w:name w:val="toc 7"/>
    <w:basedOn w:val="1031"/>
    <w:next w:val="1031"/>
    <w:uiPriority w:val="39"/>
    <w:unhideWhenUsed/>
    <w:pPr>
      <w:pBdr/>
      <w:spacing w:after="100"/>
      <w:ind w:left="1320"/>
    </w:pPr>
  </w:style>
  <w:style w:type="paragraph" w:styleId="1026">
    <w:name w:val="toc 8"/>
    <w:basedOn w:val="1031"/>
    <w:next w:val="1031"/>
    <w:uiPriority w:val="39"/>
    <w:unhideWhenUsed/>
    <w:pPr>
      <w:pBdr/>
      <w:spacing w:after="100"/>
      <w:ind w:left="1540"/>
    </w:pPr>
  </w:style>
  <w:style w:type="paragraph" w:styleId="1027">
    <w:name w:val="toc 9"/>
    <w:basedOn w:val="1031"/>
    <w:next w:val="1031"/>
    <w:uiPriority w:val="39"/>
    <w:unhideWhenUsed/>
    <w:pPr>
      <w:pBdr/>
      <w:spacing w:after="100"/>
      <w:ind w:left="1760"/>
    </w:pPr>
  </w:style>
  <w:style w:type="character" w:styleId="1028">
    <w:name w:val="Placeholder Text"/>
    <w:basedOn w:val="1036"/>
    <w:uiPriority w:val="99"/>
    <w:semiHidden/>
    <w:pPr>
      <w:pBdr/>
      <w:spacing/>
      <w:ind/>
    </w:pPr>
    <w:rPr>
      <w:color w:val="666666"/>
    </w:rPr>
  </w:style>
  <w:style w:type="paragraph" w:styleId="1029">
    <w:name w:val="TOC Heading"/>
    <w:uiPriority w:val="39"/>
    <w:unhideWhenUsed/>
    <w:pPr>
      <w:pBdr/>
      <w:spacing/>
      <w:ind/>
    </w:pPr>
  </w:style>
  <w:style w:type="paragraph" w:styleId="1030">
    <w:name w:val="table of figures"/>
    <w:basedOn w:val="1031"/>
    <w:next w:val="1031"/>
    <w:uiPriority w:val="99"/>
    <w:unhideWhenUsed/>
    <w:pPr>
      <w:pBdr/>
      <w:spacing w:after="0" w:afterAutospacing="0"/>
      <w:ind/>
    </w:pPr>
  </w:style>
  <w:style w:type="paragraph" w:styleId="1031" w:default="1">
    <w:name w:val="Normal"/>
    <w:qFormat/>
    <w:pPr>
      <w:pBdr/>
      <w:spacing w:after="0" w:line="240" w:lineRule="auto"/>
      <w:ind/>
    </w:pPr>
    <w:rPr>
      <w:rFonts w:ascii="Times New Roman" w:hAnsi="Times New Roman" w:eastAsia="Times New Roman" w:cs="Times New Roman"/>
      <w:sz w:val="24"/>
      <w:szCs w:val="24"/>
    </w:rPr>
  </w:style>
  <w:style w:type="paragraph" w:styleId="1032">
    <w:name w:val="Heading 1"/>
    <w:basedOn w:val="1031"/>
    <w:next w:val="1031"/>
    <w:link w:val="1039"/>
    <w:qFormat/>
    <w:pPr>
      <w:keepNext w:val="true"/>
      <w:pBdr/>
      <w:spacing w:after="120" w:before="120"/>
      <w:ind/>
      <w:jc w:val="center"/>
      <w:outlineLvl w:val="0"/>
    </w:pPr>
    <w:rPr>
      <w:b/>
      <w:bCs/>
      <w:sz w:val="27"/>
      <w:szCs w:val="27"/>
    </w:rPr>
  </w:style>
  <w:style w:type="paragraph" w:styleId="1033">
    <w:name w:val="Heading 2"/>
    <w:basedOn w:val="1031"/>
    <w:next w:val="1031"/>
    <w:link w:val="104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34">
    <w:name w:val="Heading 3"/>
    <w:basedOn w:val="1031"/>
    <w:next w:val="1031"/>
    <w:link w:val="1041"/>
    <w:qFormat/>
    <w:pPr>
      <w:keepNext w:val="true"/>
      <w:pBdr/>
      <w:spacing w:before="60"/>
      <w:ind/>
      <w:outlineLvl w:val="2"/>
    </w:pPr>
    <w:rPr>
      <w:sz w:val="28"/>
      <w:szCs w:val="28"/>
    </w:rPr>
  </w:style>
  <w:style w:type="paragraph" w:styleId="1035">
    <w:name w:val="Heading 4"/>
    <w:basedOn w:val="1031"/>
    <w:next w:val="1031"/>
    <w:link w:val="1042"/>
    <w:qFormat/>
    <w:pPr>
      <w:keepNext w:val="true"/>
      <w:pBdr/>
      <w:spacing/>
      <w:ind/>
      <w:jc w:val="center"/>
      <w:outlineLvl w:val="3"/>
    </w:pPr>
    <w:rPr>
      <w:b/>
      <w:bCs/>
    </w:rPr>
  </w:style>
  <w:style w:type="character" w:styleId="1036" w:default="1">
    <w:name w:val="Default Paragraph Font"/>
    <w:uiPriority w:val="1"/>
    <w:semiHidden/>
    <w:unhideWhenUsed/>
    <w:pPr>
      <w:pBdr/>
      <w:spacing/>
      <w:ind/>
    </w:pPr>
  </w:style>
  <w:style w:type="table" w:styleId="103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8" w:default="1">
    <w:name w:val="No List"/>
    <w:uiPriority w:val="99"/>
    <w:semiHidden/>
    <w:unhideWhenUsed/>
    <w:pPr>
      <w:pBdr/>
      <w:spacing/>
      <w:ind/>
    </w:pPr>
  </w:style>
  <w:style w:type="character" w:styleId="1039" w:customStyle="1">
    <w:name w:val="Heading 1 Char"/>
    <w:basedOn w:val="1036"/>
    <w:link w:val="1032"/>
    <w:pPr>
      <w:pBdr/>
      <w:spacing/>
      <w:ind/>
    </w:pPr>
    <w:rPr>
      <w:rFonts w:ascii="Times New Roman" w:hAnsi="Times New Roman" w:eastAsia="Times New Roman" w:cs="Times New Roman"/>
      <w:b/>
      <w:bCs/>
      <w:sz w:val="27"/>
      <w:szCs w:val="27"/>
    </w:rPr>
  </w:style>
  <w:style w:type="character" w:styleId="1040" w:customStyle="1">
    <w:name w:val="Heading 2 Char"/>
    <w:basedOn w:val="1036"/>
    <w:link w:val="1033"/>
    <w:uiPriority w:val="9"/>
    <w:pPr>
      <w:pBdr/>
      <w:spacing/>
      <w:ind/>
    </w:pPr>
    <w:rPr>
      <w:rFonts w:asciiTheme="majorHAnsi" w:hAnsiTheme="majorHAnsi" w:eastAsiaTheme="majorEastAsia" w:cstheme="majorBidi"/>
      <w:color w:val="365f91" w:themeColor="accent1" w:themeShade="BF"/>
      <w:sz w:val="26"/>
      <w:szCs w:val="26"/>
    </w:rPr>
  </w:style>
  <w:style w:type="character" w:styleId="1041" w:customStyle="1">
    <w:name w:val="Heading 3 Char"/>
    <w:basedOn w:val="1036"/>
    <w:link w:val="1034"/>
    <w:pPr>
      <w:pBdr/>
      <w:spacing/>
      <w:ind/>
    </w:pPr>
    <w:rPr>
      <w:rFonts w:ascii="Times New Roman" w:hAnsi="Times New Roman" w:eastAsia="Times New Roman" w:cs="Times New Roman"/>
      <w:sz w:val="28"/>
      <w:szCs w:val="28"/>
    </w:rPr>
  </w:style>
  <w:style w:type="character" w:styleId="1042" w:customStyle="1">
    <w:name w:val="Heading 4 Char"/>
    <w:basedOn w:val="1036"/>
    <w:link w:val="1035"/>
    <w:pPr>
      <w:pBdr/>
      <w:spacing/>
      <w:ind/>
    </w:pPr>
    <w:rPr>
      <w:rFonts w:ascii="Times New Roman" w:hAnsi="Times New Roman" w:eastAsia="Times New Roman" w:cs="Times New Roman"/>
      <w:b/>
      <w:bCs/>
      <w:sz w:val="24"/>
      <w:szCs w:val="24"/>
    </w:rPr>
  </w:style>
  <w:style w:type="character" w:styleId="1043">
    <w:name w:val="Hyperlink"/>
    <w:uiPriority w:val="99"/>
    <w:pPr>
      <w:pBdr/>
      <w:spacing/>
      <w:ind/>
    </w:pPr>
    <w:rPr>
      <w:color w:val="000000"/>
      <w:u w:val="single"/>
    </w:rPr>
  </w:style>
  <w:style w:type="character" w:styleId="1044">
    <w:name w:val="Strong"/>
    <w:uiPriority w:val="22"/>
    <w:qFormat/>
    <w:pPr>
      <w:pBdr/>
      <w:spacing/>
      <w:ind/>
    </w:pPr>
    <w:rPr>
      <w:b/>
      <w:bCs/>
    </w:rPr>
  </w:style>
  <w:style w:type="paragraph" w:styleId="1045">
    <w:name w:val="Balloon Text"/>
    <w:basedOn w:val="1031"/>
    <w:link w:val="1046"/>
    <w:uiPriority w:val="99"/>
    <w:semiHidden/>
    <w:unhideWhenUsed/>
    <w:pPr>
      <w:pBdr/>
      <w:spacing/>
      <w:ind/>
    </w:pPr>
    <w:rPr>
      <w:rFonts w:ascii="Tahoma" w:hAnsi="Tahoma" w:cs="Tahoma"/>
      <w:sz w:val="16"/>
      <w:szCs w:val="16"/>
    </w:rPr>
  </w:style>
  <w:style w:type="character" w:styleId="1046" w:customStyle="1">
    <w:name w:val="Balloon Text Char"/>
    <w:basedOn w:val="1036"/>
    <w:link w:val="1045"/>
    <w:uiPriority w:val="99"/>
    <w:semiHidden/>
    <w:pPr>
      <w:pBdr/>
      <w:spacing/>
      <w:ind/>
    </w:pPr>
    <w:rPr>
      <w:rFonts w:ascii="Tahoma" w:hAnsi="Tahoma" w:eastAsia="Times New Roman" w:cs="Tahoma"/>
      <w:sz w:val="16"/>
      <w:szCs w:val="16"/>
    </w:rPr>
  </w:style>
  <w:style w:type="paragraph" w:styleId="1047">
    <w:name w:val="Header"/>
    <w:basedOn w:val="1031"/>
    <w:link w:val="1048"/>
    <w:unhideWhenUsed/>
    <w:pPr>
      <w:pBdr/>
      <w:tabs>
        <w:tab w:val="center" w:leader="none" w:pos="4680"/>
        <w:tab w:val="right" w:leader="none" w:pos="9360"/>
      </w:tabs>
      <w:spacing/>
      <w:ind/>
    </w:pPr>
  </w:style>
  <w:style w:type="character" w:styleId="1048" w:customStyle="1">
    <w:name w:val="Header Char"/>
    <w:basedOn w:val="1036"/>
    <w:link w:val="1047"/>
    <w:pPr>
      <w:pBdr/>
      <w:spacing/>
      <w:ind/>
    </w:pPr>
    <w:rPr>
      <w:rFonts w:ascii="Times New Roman" w:hAnsi="Times New Roman" w:eastAsia="Times New Roman" w:cs="Times New Roman"/>
      <w:sz w:val="24"/>
      <w:szCs w:val="24"/>
    </w:rPr>
  </w:style>
  <w:style w:type="paragraph" w:styleId="1049">
    <w:name w:val="Footer"/>
    <w:basedOn w:val="1031"/>
    <w:link w:val="1050"/>
    <w:uiPriority w:val="99"/>
    <w:unhideWhenUsed/>
    <w:pPr>
      <w:pBdr/>
      <w:tabs>
        <w:tab w:val="center" w:leader="none" w:pos="4680"/>
        <w:tab w:val="right" w:leader="none" w:pos="9360"/>
      </w:tabs>
      <w:spacing/>
      <w:ind/>
    </w:pPr>
  </w:style>
  <w:style w:type="character" w:styleId="1050" w:customStyle="1">
    <w:name w:val="Footer Char"/>
    <w:basedOn w:val="1036"/>
    <w:link w:val="1049"/>
    <w:uiPriority w:val="99"/>
    <w:pPr>
      <w:pBdr/>
      <w:spacing/>
      <w:ind/>
    </w:pPr>
    <w:rPr>
      <w:rFonts w:ascii="Times New Roman" w:hAnsi="Times New Roman" w:eastAsia="Times New Roman" w:cs="Times New Roman"/>
      <w:sz w:val="24"/>
      <w:szCs w:val="24"/>
    </w:rPr>
  </w:style>
  <w:style w:type="character" w:styleId="1051" w:customStyle="1">
    <w:name w:val="normal-h1"/>
    <w:pPr>
      <w:pBdr/>
      <w:spacing/>
      <w:ind/>
    </w:pPr>
    <w:rPr>
      <w:rFonts w:hint="default" w:ascii=".VnTime" w:hAnsi=".VnTime"/>
      <w:color w:val="0000ff"/>
      <w:sz w:val="24"/>
      <w:szCs w:val="24"/>
    </w:rPr>
  </w:style>
  <w:style w:type="paragraph" w:styleId="1052" w:customStyle="1">
    <w:name w:val="normal-p"/>
    <w:basedOn w:val="1031"/>
    <w:pPr>
      <w:pBdr/>
      <w:spacing/>
      <w:ind/>
      <w:jc w:val="both"/>
    </w:pPr>
    <w:rPr>
      <w:sz w:val="20"/>
      <w:szCs w:val="20"/>
    </w:rPr>
  </w:style>
  <w:style w:type="paragraph" w:styleId="1053">
    <w:name w:val="List Paragraph"/>
    <w:basedOn w:val="1031"/>
    <w:link w:val="1140"/>
    <w:uiPriority w:val="34"/>
    <w:qFormat/>
    <w:pPr>
      <w:pBdr/>
      <w:spacing/>
      <w:ind w:left="720"/>
    </w:pPr>
  </w:style>
  <w:style w:type="paragraph" w:styleId="1054">
    <w:name w:val="Normal (Web)"/>
    <w:basedOn w:val="1031"/>
    <w:uiPriority w:val="99"/>
    <w:pPr>
      <w:pBdr/>
      <w:spacing w:after="100" w:afterAutospacing="1" w:before="100" w:beforeAutospacing="1"/>
      <w:ind/>
    </w:pPr>
  </w:style>
  <w:style w:type="paragraph" w:styleId="1055">
    <w:name w:val="Body Text"/>
    <w:basedOn w:val="1031"/>
    <w:link w:val="1056"/>
    <w:pPr>
      <w:pBdr/>
      <w:spacing w:after="120"/>
      <w:ind/>
      <w:jc w:val="both"/>
    </w:pPr>
  </w:style>
  <w:style w:type="character" w:styleId="1056" w:customStyle="1">
    <w:name w:val="Body Text Char"/>
    <w:basedOn w:val="1036"/>
    <w:link w:val="1055"/>
    <w:pPr>
      <w:pBdr/>
      <w:spacing/>
      <w:ind/>
    </w:pPr>
    <w:rPr>
      <w:rFonts w:ascii="Times New Roman" w:hAnsi="Times New Roman" w:eastAsia="Times New Roman" w:cs="Times New Roman"/>
      <w:sz w:val="24"/>
      <w:szCs w:val="24"/>
    </w:rPr>
  </w:style>
  <w:style w:type="table" w:styleId="1057">
    <w:name w:val="Table Grid"/>
    <w:basedOn w:val="103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9">
    <w:name w:val="annotation reference"/>
    <w:basedOn w:val="1036"/>
    <w:uiPriority w:val="99"/>
    <w:semiHidden/>
    <w:unhideWhenUsed/>
    <w:pPr>
      <w:pBdr/>
      <w:spacing/>
      <w:ind/>
    </w:pPr>
    <w:rPr>
      <w:sz w:val="16"/>
      <w:szCs w:val="16"/>
    </w:rPr>
  </w:style>
  <w:style w:type="paragraph" w:styleId="1060">
    <w:name w:val="annotation text"/>
    <w:basedOn w:val="1031"/>
    <w:link w:val="1061"/>
    <w:uiPriority w:val="99"/>
    <w:unhideWhenUsed/>
    <w:pPr>
      <w:pBdr/>
      <w:spacing/>
      <w:ind/>
    </w:pPr>
    <w:rPr>
      <w:sz w:val="20"/>
      <w:szCs w:val="20"/>
    </w:rPr>
  </w:style>
  <w:style w:type="character" w:styleId="1061" w:customStyle="1">
    <w:name w:val="Comment Text Char"/>
    <w:basedOn w:val="1036"/>
    <w:link w:val="1060"/>
    <w:uiPriority w:val="99"/>
    <w:pPr>
      <w:pBdr/>
      <w:spacing/>
      <w:ind/>
    </w:pPr>
    <w:rPr>
      <w:rFonts w:ascii="Times New Roman" w:hAnsi="Times New Roman" w:eastAsia="Times New Roman" w:cs="Times New Roman"/>
      <w:sz w:val="20"/>
      <w:szCs w:val="20"/>
    </w:rPr>
  </w:style>
  <w:style w:type="paragraph" w:styleId="1062">
    <w:name w:val="annotation subject"/>
    <w:basedOn w:val="1060"/>
    <w:next w:val="1060"/>
    <w:link w:val="1063"/>
    <w:uiPriority w:val="99"/>
    <w:semiHidden/>
    <w:unhideWhenUsed/>
    <w:pPr>
      <w:pBdr/>
      <w:spacing/>
      <w:ind/>
    </w:pPr>
    <w:rPr>
      <w:b/>
      <w:bCs/>
    </w:rPr>
  </w:style>
  <w:style w:type="character" w:styleId="1063" w:customStyle="1">
    <w:name w:val="Comment Subject Char"/>
    <w:basedOn w:val="1061"/>
    <w:link w:val="1062"/>
    <w:uiPriority w:val="99"/>
    <w:semiHidden/>
    <w:pPr>
      <w:pBdr/>
      <w:spacing/>
      <w:ind/>
    </w:pPr>
    <w:rPr>
      <w:rFonts w:ascii="Times New Roman" w:hAnsi="Times New Roman" w:eastAsia="Times New Roman" w:cs="Times New Roman"/>
      <w:b/>
      <w:bCs/>
      <w:sz w:val="20"/>
      <w:szCs w:val="20"/>
    </w:rPr>
  </w:style>
  <w:style w:type="paragraph" w:styleId="1064" w:customStyle="1">
    <w:name w:val="font5"/>
    <w:basedOn w:val="1031"/>
    <w:pPr>
      <w:pBdr/>
      <w:spacing w:after="100" w:afterAutospacing="1" w:before="100" w:beforeAutospacing="1"/>
      <w:ind/>
    </w:pPr>
    <w:rPr>
      <w:rFonts w:ascii="Tahoma" w:hAnsi="Tahoma" w:cs="Tahoma"/>
      <w:color w:val="000000"/>
      <w:sz w:val="18"/>
      <w:szCs w:val="18"/>
    </w:rPr>
  </w:style>
  <w:style w:type="paragraph" w:styleId="1065" w:customStyle="1">
    <w:name w:val="font6"/>
    <w:basedOn w:val="1031"/>
    <w:pPr>
      <w:pBdr/>
      <w:spacing w:after="100" w:afterAutospacing="1" w:before="100" w:beforeAutospacing="1"/>
      <w:ind/>
    </w:pPr>
    <w:rPr>
      <w:rFonts w:ascii="Tahoma" w:hAnsi="Tahoma" w:cs="Tahoma"/>
      <w:b/>
      <w:bCs/>
      <w:color w:val="000000"/>
      <w:sz w:val="18"/>
      <w:szCs w:val="18"/>
    </w:rPr>
  </w:style>
  <w:style w:type="paragraph" w:styleId="1066" w:customStyle="1">
    <w:name w:val="xl233"/>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34"/>
    <w:basedOn w:val="1031"/>
    <w:pPr>
      <w:pBdr/>
      <w:spacing w:after="100" w:afterAutospacing="1" w:before="100" w:beforeAutospacing="1"/>
      <w:ind/>
      <w:jc w:val="center"/>
    </w:pPr>
  </w:style>
  <w:style w:type="paragraph" w:styleId="1068" w:customStyle="1">
    <w:name w:val="xl235"/>
    <w:basedOn w:val="1031"/>
    <w:pPr>
      <w:pBdr/>
      <w:spacing w:after="100" w:afterAutospacing="1" w:before="100" w:beforeAutospacing="1"/>
      <w:ind/>
      <w:jc w:val="center"/>
    </w:pPr>
    <w:rPr>
      <w:b/>
      <w:bCs/>
    </w:rPr>
  </w:style>
  <w:style w:type="paragraph" w:styleId="1069" w:customStyle="1">
    <w:name w:val="xl236"/>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37"/>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1" w:customStyle="1">
    <w:name w:val="xl238"/>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2" w:customStyle="1">
    <w:name w:val="xl23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73" w:customStyle="1">
    <w:name w:val="xl240"/>
    <w:basedOn w:val="1031"/>
    <w:pPr>
      <w:pBdr/>
      <w:spacing w:after="100" w:afterAutospacing="1" w:before="100" w:beforeAutospacing="1"/>
      <w:ind/>
    </w:pPr>
  </w:style>
  <w:style w:type="paragraph" w:styleId="1074" w:customStyle="1">
    <w:name w:val="xl241"/>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42"/>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43"/>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44"/>
    <w:basedOn w:val="1031"/>
    <w:pPr>
      <w:pBdr/>
      <w:spacing w:after="100" w:afterAutospacing="1" w:before="100" w:beforeAutospacing="1"/>
      <w:ind/>
    </w:pPr>
    <w:rPr>
      <w:b/>
      <w:bCs/>
    </w:rPr>
  </w:style>
  <w:style w:type="paragraph" w:styleId="1078" w:customStyle="1">
    <w:name w:val="xl245"/>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46"/>
    <w:basedOn w:val="103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0" w:customStyle="1">
    <w:name w:val="xl247"/>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48"/>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4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50"/>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51"/>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5" w:customStyle="1">
    <w:name w:val="xl252"/>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53"/>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54"/>
    <w:basedOn w:val="103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55"/>
    <w:basedOn w:val="103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56"/>
    <w:basedOn w:val="103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90" w:customStyle="1">
    <w:name w:val="xl257"/>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58"/>
    <w:basedOn w:val="103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2" w:customStyle="1">
    <w:name w:val="xl25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3" w:customStyle="1">
    <w:name w:val="xl260"/>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61"/>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5" w:customStyle="1">
    <w:name w:val="xl262"/>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6" w:customStyle="1">
    <w:name w:val="xl263"/>
    <w:basedOn w:val="1031"/>
    <w:pPr>
      <w:pBdr/>
      <w:shd w:val="clear" w:color="000000" w:fill="ffffff"/>
      <w:spacing w:after="100" w:afterAutospacing="1" w:before="100" w:beforeAutospacing="1"/>
      <w:ind/>
    </w:pPr>
  </w:style>
  <w:style w:type="paragraph" w:styleId="1097" w:customStyle="1">
    <w:name w:val="xl264"/>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65"/>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66"/>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00" w:customStyle="1">
    <w:name w:val="xl267"/>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68"/>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02" w:customStyle="1">
    <w:name w:val="xl269"/>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03" w:customStyle="1">
    <w:name w:val="xl270"/>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71"/>
    <w:basedOn w:val="103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05" w:customStyle="1">
    <w:name w:val="xl272"/>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06" w:customStyle="1">
    <w:name w:val="xl273"/>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7" w:customStyle="1">
    <w:name w:val="xl274"/>
    <w:basedOn w:val="103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8" w:customStyle="1">
    <w:name w:val="xl275"/>
    <w:basedOn w:val="1031"/>
    <w:pPr>
      <w:pBdr/>
      <w:spacing w:after="100" w:afterAutospacing="1" w:before="100" w:beforeAutospacing="1"/>
      <w:ind/>
    </w:pPr>
  </w:style>
  <w:style w:type="paragraph" w:styleId="1109" w:customStyle="1">
    <w:name w:val="xl276"/>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0" w:customStyle="1">
    <w:name w:val="xl277"/>
    <w:basedOn w:val="103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11" w:customStyle="1">
    <w:name w:val="xl278"/>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customStyle="1">
    <w:name w:val="xl279"/>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3" w:customStyle="1">
    <w:name w:val="xl280"/>
    <w:basedOn w:val="103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14" w:customStyle="1">
    <w:name w:val="xl281"/>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15" w:customStyle="1">
    <w:name w:val="xl282"/>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6" w:customStyle="1">
    <w:name w:val="xl283"/>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84"/>
    <w:basedOn w:val="1031"/>
    <w:pPr>
      <w:pBdr>
        <w:left w:val="single" w:color="000000" w:sz="4" w:space="0"/>
        <w:bottom w:val="single" w:color="000000" w:sz="4" w:space="0"/>
        <w:right w:val="single" w:color="000000" w:sz="4" w:space="0"/>
      </w:pBdr>
      <w:spacing w:after="100" w:afterAutospacing="1" w:before="100" w:beforeAutospacing="1"/>
      <w:ind/>
    </w:pPr>
  </w:style>
  <w:style w:type="paragraph" w:styleId="1118" w:customStyle="1">
    <w:name w:val="xl285"/>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9" w:customStyle="1">
    <w:name w:val="xl286"/>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0" w:customStyle="1">
    <w:name w:val="xl287"/>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21" w:customStyle="1">
    <w:name w:val="xl288"/>
    <w:basedOn w:val="1031"/>
    <w:pPr>
      <w:pBdr>
        <w:top w:val="single" w:color="000000" w:sz="4" w:space="0"/>
        <w:left w:val="single" w:color="000000" w:sz="4" w:space="0"/>
        <w:right w:val="single" w:color="000000" w:sz="4" w:space="0"/>
      </w:pBdr>
      <w:spacing w:after="100" w:afterAutospacing="1" w:before="100" w:beforeAutospacing="1"/>
      <w:ind/>
    </w:pPr>
  </w:style>
  <w:style w:type="paragraph" w:styleId="1122" w:customStyle="1">
    <w:name w:val="xl289"/>
    <w:basedOn w:val="1031"/>
    <w:pPr>
      <w:pBdr>
        <w:left w:val="single" w:color="000000" w:sz="4" w:space="0"/>
        <w:right w:val="single" w:color="000000" w:sz="4" w:space="0"/>
      </w:pBdr>
      <w:spacing w:after="100" w:afterAutospacing="1" w:before="100" w:beforeAutospacing="1"/>
      <w:ind/>
    </w:pPr>
    <w:rPr>
      <w:b/>
      <w:bCs/>
    </w:rPr>
  </w:style>
  <w:style w:type="paragraph" w:styleId="1123" w:customStyle="1">
    <w:name w:val="xl290"/>
    <w:basedOn w:val="103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24" w:customStyle="1">
    <w:name w:val="xl291"/>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25" w:customStyle="1">
    <w:name w:val="xl292"/>
    <w:basedOn w:val="1031"/>
    <w:pPr>
      <w:pBdr>
        <w:top w:val="single" w:color="000000" w:sz="4" w:space="0"/>
        <w:left w:val="single" w:color="000000" w:sz="4" w:space="0"/>
        <w:right w:val="single" w:color="000000" w:sz="4" w:space="0"/>
      </w:pBdr>
      <w:spacing w:after="100" w:afterAutospacing="1" w:before="100" w:beforeAutospacing="1"/>
      <w:ind/>
    </w:pPr>
  </w:style>
  <w:style w:type="paragraph" w:styleId="1126" w:customStyle="1">
    <w:name w:val="xl293"/>
    <w:basedOn w:val="1031"/>
    <w:pPr>
      <w:pBdr>
        <w:left w:val="single" w:color="000000" w:sz="4" w:space="0"/>
        <w:bottom w:val="single" w:color="000000" w:sz="4" w:space="0"/>
        <w:right w:val="single" w:color="000000" w:sz="4" w:space="0"/>
      </w:pBdr>
      <w:spacing w:after="100" w:afterAutospacing="1" w:before="100" w:beforeAutospacing="1"/>
      <w:ind/>
    </w:pPr>
  </w:style>
  <w:style w:type="paragraph" w:styleId="1127" w:customStyle="1">
    <w:name w:val="xl294"/>
    <w:basedOn w:val="103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8">
    <w:name w:val="Title"/>
    <w:basedOn w:val="1031"/>
    <w:link w:val="1129"/>
    <w:qFormat/>
    <w:pPr>
      <w:pBdr/>
      <w:spacing/>
      <w:ind/>
      <w:jc w:val="center"/>
    </w:pPr>
    <w:rPr>
      <w:b/>
      <w:bCs/>
      <w:sz w:val="32"/>
      <w:szCs w:val="26"/>
    </w:rPr>
  </w:style>
  <w:style w:type="character" w:styleId="1129" w:customStyle="1">
    <w:name w:val="Title Char"/>
    <w:basedOn w:val="1036"/>
    <w:link w:val="1128"/>
    <w:pPr>
      <w:pBdr/>
      <w:spacing/>
      <w:ind/>
    </w:pPr>
    <w:rPr>
      <w:rFonts w:ascii="Times New Roman" w:hAnsi="Times New Roman" w:eastAsia="Times New Roman" w:cs="Times New Roman"/>
      <w:b/>
      <w:bCs/>
      <w:sz w:val="32"/>
      <w:szCs w:val="26"/>
    </w:rPr>
  </w:style>
  <w:style w:type="character" w:styleId="1130" w:customStyle="1">
    <w:name w:val="Unresolved Mention1"/>
    <w:basedOn w:val="1036"/>
    <w:uiPriority w:val="99"/>
    <w:semiHidden/>
    <w:unhideWhenUsed/>
    <w:pPr>
      <w:pBdr/>
      <w:spacing/>
      <w:ind/>
    </w:pPr>
    <w:rPr>
      <w:color w:val="605e5c"/>
      <w:shd w:val="clear" w:color="auto" w:fill="e1dfdd"/>
    </w:rPr>
  </w:style>
  <w:style w:type="character" w:styleId="1131" w:customStyle="1">
    <w:name w:val="Body text (3)_"/>
    <w:link w:val="1132"/>
    <w:pPr>
      <w:pBdr/>
      <w:spacing/>
      <w:ind/>
    </w:pPr>
    <w:rPr>
      <w:rFonts w:ascii="Times New Roman" w:hAnsi="Times New Roman" w:cs="Times New Roman"/>
      <w:i/>
      <w:iCs/>
      <w:spacing w:val="4"/>
      <w:shd w:val="clear" w:color="auto" w:fill="ffffff"/>
    </w:rPr>
  </w:style>
  <w:style w:type="paragraph" w:styleId="1132" w:customStyle="1">
    <w:name w:val="Body text (3)1"/>
    <w:basedOn w:val="1031"/>
    <w:link w:val="113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33" w:customStyle="1">
    <w:name w:val="t-j"/>
    <w:basedOn w:val="1031"/>
    <w:pPr>
      <w:pBdr/>
      <w:spacing w:after="100" w:afterAutospacing="1" w:before="100" w:beforeAutospacing="1"/>
      <w:ind/>
    </w:pPr>
  </w:style>
  <w:style w:type="character" w:styleId="1134" w:customStyle="1">
    <w:name w:val="Unresolved Mention2"/>
    <w:basedOn w:val="1036"/>
    <w:uiPriority w:val="99"/>
    <w:semiHidden/>
    <w:unhideWhenUsed/>
    <w:pPr>
      <w:pBdr/>
      <w:spacing/>
      <w:ind/>
    </w:pPr>
    <w:rPr>
      <w:color w:val="605e5c"/>
      <w:shd w:val="clear" w:color="auto" w:fill="e1dfdd"/>
    </w:rPr>
  </w:style>
  <w:style w:type="character" w:styleId="1135">
    <w:name w:val="FollowedHyperlink"/>
    <w:basedOn w:val="1036"/>
    <w:uiPriority w:val="99"/>
    <w:semiHidden/>
    <w:unhideWhenUsed/>
    <w:pPr>
      <w:pBdr/>
      <w:spacing/>
      <w:ind/>
    </w:pPr>
    <w:rPr>
      <w:color w:val="800080" w:themeColor="followedHyperlink"/>
      <w:u w:val="single"/>
    </w:rPr>
  </w:style>
  <w:style w:type="character" w:styleId="1136" w:customStyle="1">
    <w:name w:val="text"/>
    <w:basedOn w:val="1036"/>
    <w:pPr>
      <w:pBdr/>
      <w:spacing/>
      <w:ind/>
    </w:pPr>
  </w:style>
  <w:style w:type="character" w:styleId="1137" w:customStyle="1">
    <w:name w:val="card-send-time__sendtime"/>
    <w:basedOn w:val="1036"/>
    <w:pPr>
      <w:pBdr/>
      <w:spacing/>
      <w:ind/>
    </w:pPr>
  </w:style>
  <w:style w:type="character" w:styleId="1138" w:customStyle="1">
    <w:name w:val="Đề cập Chưa giải quyết1"/>
    <w:basedOn w:val="1036"/>
    <w:uiPriority w:val="99"/>
    <w:semiHidden/>
    <w:unhideWhenUsed/>
    <w:pPr>
      <w:pBdr/>
      <w:spacing/>
      <w:ind/>
    </w:pPr>
    <w:rPr>
      <w:color w:val="605e5c"/>
      <w:shd w:val="clear" w:color="auto" w:fill="e1dfdd"/>
    </w:rPr>
  </w:style>
  <w:style w:type="paragraph" w:styleId="1139" w:customStyle="1">
    <w:name w:val="nqtitle"/>
    <w:basedOn w:val="1031"/>
    <w:pPr>
      <w:pBdr/>
      <w:spacing w:after="100" w:afterAutospacing="1" w:before="100" w:beforeAutospacing="1"/>
      <w:ind/>
    </w:pPr>
    <w:rPr>
      <w:lang w:val="vi-VN" w:eastAsia="vi-VN"/>
    </w:rPr>
  </w:style>
  <w:style w:type="character" w:styleId="1140" w:customStyle="1">
    <w:name w:val="List Paragraph Char"/>
    <w:link w:val="1053"/>
    <w:uiPriority w:val="34"/>
    <w:qFormat/>
    <w:pPr>
      <w:pBdr/>
      <w:spacing/>
      <w:ind/>
    </w:pPr>
    <w:rPr>
      <w:rFonts w:ascii="Times New Roman" w:hAnsi="Times New Roman" w:eastAsia="Times New Roman" w:cs="Times New Roman"/>
      <w:sz w:val="24"/>
      <w:szCs w:val="24"/>
    </w:rPr>
  </w:style>
  <w:style w:type="character" w:styleId="1141" w:customStyle="1">
    <w:name w:val="Đề cập Chưa giải quyết2"/>
    <w:basedOn w:val="1036"/>
    <w:uiPriority w:val="99"/>
    <w:semiHidden/>
    <w:unhideWhenUsed/>
    <w:pPr>
      <w:pBdr/>
      <w:spacing/>
      <w:ind/>
    </w:pPr>
    <w:rPr>
      <w:color w:val="605e5c"/>
      <w:shd w:val="clear" w:color="auto" w:fill="e1dfdd"/>
    </w:rPr>
  </w:style>
  <w:style w:type="character" w:styleId="1142" w:customStyle="1">
    <w:name w:val="Unresolved Mention3"/>
    <w:basedOn w:val="1036"/>
    <w:uiPriority w:val="99"/>
    <w:semiHidden/>
    <w:unhideWhenUsed/>
    <w:pPr>
      <w:pBdr/>
      <w:spacing/>
      <w:ind/>
    </w:pPr>
    <w:rPr>
      <w:color w:val="605e5c"/>
      <w:shd w:val="clear" w:color="auto" w:fill="e1dfdd"/>
    </w:rPr>
  </w:style>
  <w:style w:type="character" w:styleId="1143" w:customStyle="1">
    <w:name w:val="copy"/>
    <w:basedOn w:val="1036"/>
    <w:pPr>
      <w:pBdr/>
      <w:spacing/>
      <w:ind/>
    </w:pPr>
  </w:style>
  <w:style w:type="paragraph" w:styleId="1144" w:customStyle="1">
    <w:name w:val="align-justify"/>
    <w:basedOn w:val="1031"/>
    <w:pPr>
      <w:pBdr/>
      <w:spacing w:after="100" w:afterAutospacing="1" w:before="100" w:beforeAutospacing="1"/>
      <w:ind/>
    </w:pPr>
  </w:style>
  <w:style w:type="character" w:styleId="1145" w:customStyle="1">
    <w:name w:val="btn"/>
    <w:basedOn w:val="1036"/>
    <w:pPr>
      <w:pBdr/>
      <w:spacing/>
      <w:ind/>
    </w:pPr>
  </w:style>
  <w:style w:type="character" w:styleId="1146" w:customStyle="1">
    <w:name w:val="hide_mobile"/>
    <w:basedOn w:val="1036"/>
    <w:pPr>
      <w:pBdr/>
      <w:spacing/>
      <w:ind/>
    </w:pPr>
  </w:style>
  <w:style w:type="character" w:styleId="1147">
    <w:name w:val="Emphasis"/>
    <w:basedOn w:val="1036"/>
    <w:uiPriority w:val="20"/>
    <w:qFormat/>
    <w:pPr>
      <w:pBdr/>
      <w:spacing/>
      <w:ind/>
    </w:pPr>
    <w:rPr>
      <w:i/>
      <w:iCs/>
    </w:rPr>
  </w:style>
  <w:style w:type="character" w:styleId="1148" w:customStyle="1">
    <w:name w:val="t1"/>
    <w:basedOn w:val="1036"/>
    <w:pPr>
      <w:pBdr/>
      <w:spacing/>
      <w:ind/>
    </w:pPr>
  </w:style>
  <w:style w:type="character" w:styleId="1149" w:customStyle="1">
    <w:name w:val="Unresolved Mention4"/>
    <w:basedOn w:val="1036"/>
    <w:uiPriority w:val="99"/>
    <w:semiHidden/>
    <w:unhideWhenUsed/>
    <w:pPr>
      <w:pBdr/>
      <w:spacing/>
      <w:ind/>
    </w:pPr>
    <w:rPr>
      <w:color w:val="605e5c"/>
      <w:shd w:val="clear" w:color="auto" w:fill="e1dfdd"/>
    </w:rPr>
  </w:style>
  <w:style w:type="character" w:styleId="1150">
    <w:name w:val="Unresolved Mention"/>
    <w:basedOn w:val="103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gif"/><Relationship Id="rId21" Type="http://schemas.openxmlformats.org/officeDocument/2006/relationships/image" Target="media/image7.gif"/><Relationship Id="rId22" Type="http://schemas.openxmlformats.org/officeDocument/2006/relationships/image" Target="media/image8.gif"/><Relationship Id="rId23" Type="http://schemas.openxmlformats.org/officeDocument/2006/relationships/image" Target="media/image9.jpg"/><Relationship Id="rId24" Type="http://schemas.openxmlformats.org/officeDocument/2006/relationships/image" Target="media/image10.gif"/><Relationship Id="rId25" Type="http://schemas.openxmlformats.org/officeDocument/2006/relationships/image" Target="media/image11.gif"/><Relationship Id="rId26" Type="http://schemas.openxmlformats.org/officeDocument/2006/relationships/image" Target="media/image12.gif"/><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gif"/><Relationship Id="rId31" Type="http://schemas.openxmlformats.org/officeDocument/2006/relationships/image" Target="media/image17.gif"/><Relationship Id="rId32" Type="http://schemas.openxmlformats.org/officeDocument/2006/relationships/image" Target="media/image18.gif"/><Relationship Id="rId33" Type="http://schemas.openxmlformats.org/officeDocument/2006/relationships/image" Target="media/image19.jpg"/><Relationship Id="rId34" Type="http://schemas.openxmlformats.org/officeDocument/2006/relationships/image" Target="media/image20.gif"/><Relationship Id="rId35" Type="http://schemas.openxmlformats.org/officeDocument/2006/relationships/image" Target="media/image21.png"/><Relationship Id="rId36"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Vân Anh</cp:lastModifiedBy>
  <cp:revision>515</cp:revision>
  <dcterms:created xsi:type="dcterms:W3CDTF">2025-09-15T02:01:00Z</dcterms:created>
  <dcterms:modified xsi:type="dcterms:W3CDTF">2026-09-07T03:21:32Z</dcterms:modified>
</cp:coreProperties>
</file>