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53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53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275/2026/1498/VFI-CT.44.A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Phan Văn Toàn</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154, tờ bản đồ số: 20, có địa chỉ: Thôn 1, xã Tây Phương, thàn</w:t>
                            </w:r>
                            <w:r>
                              <w:rPr>
                                <w:color w:val="000000" w:themeColor="text1"/>
                              </w:rPr>
                              <w:t xml:space="preserve">h phố Hà Nội theo Giấy chứng nhận quyền sử dụng đất, quyền sở hữu tài sản gắn liền với đất số: AA</w:t>
                            </w:r>
                            <w:r>
                              <w:rPr>
                                <w:color w:val="000000"/>
                              </w:rPr>
                              <w:t xml:space="preserve"> 06010189, Số vào sổ cấp GCN: CN1895 do Chi nhánh văn phòng đăng ký đất đai Hà Nội - Huyện Thạch Thất cấp ngày 06/03/2026; chủ sử dụng đất là Ông Phan Văn Toàn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275/2026/1498/VFI-CT.44.A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Phan Văn Toàn</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154, tờ bản đồ số: 20, có địa chỉ: Thôn 1, xã Tây Phương, thàn</w:t>
                      </w:r>
                      <w:r>
                        <w:rPr>
                          <w:color w:val="000000" w:themeColor="text1"/>
                        </w:rPr>
                        <w:t xml:space="preserve">h phố Hà Nội theo Giấy chứng nhận quyền sử dụng đất, quyền sở hữu tài sản gắn liền với đất số: AA</w:t>
                      </w:r>
                      <w:r>
                        <w:rPr>
                          <w:color w:val="000000"/>
                        </w:rPr>
                        <w:t xml:space="preserve"> 06010189, Số vào sổ cấp GCN: CN1895 do Chi nhánh văn phòng đăng ký đất đai Hà Nội - Huyện Thạch Thất cấp ngày 06/03/2026; chủ sử dụng đất là Ông Phan Văn Toàn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4-22</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23 - 26 </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27 -33</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275/2026/1498/VFI-CT.44.A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23 tháng 9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Phan Văn Toàn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275/2026/1498/VFI-HĐTĐ.44.A</w:t>
      </w:r>
      <w:r>
        <w:rPr>
          <w:spacing w:val="-4"/>
          <w:lang w:val="vi-VN"/>
        </w:rPr>
        <w:t xml:space="preserve"> ký ngày </w:t>
      </w:r>
      <w:r>
        <w:rPr>
          <w:color w:val="000000" w:themeColor="text1"/>
          <w:spacing w:val="-4"/>
        </w:rPr>
        <w:t xml:space="preserve">18 tháng 9 năm 2026</w:t>
      </w:r>
      <w:r>
        <w:rPr>
          <w:spacing w:val="-4"/>
          <w:lang w:val="vi-VN"/>
        </w:rPr>
        <w:t xml:space="preserve"> </w:t>
      </w:r>
      <w:r>
        <w:rPr>
          <w:spacing w:val="-4"/>
          <w:lang w:val="vi-VN"/>
        </w:rPr>
        <w:t xml:space="preserve">giữa </w:t>
      </w:r>
      <w:r>
        <w:rPr>
          <w:color w:val="000000" w:themeColor="text1"/>
          <w:spacing w:val="-4"/>
        </w:rPr>
        <w:t xml:space="preserve">Ông Phan Văn Toàn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275/2026/1498/VFI-BC.44.A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Phan Văn Toàn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001095009365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Năm sinh:</w:t>
            </w:r>
            <w:r>
              <w:rPr>
                <w:bCs/>
                <w:color w:val="000000" w:themeColor="text1"/>
                <w:highlight w:val="yellow"/>
                <w:lang w:val="pt-BR"/>
              </w:rPr>
            </w:r>
            <w:r>
              <w:rPr>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lang w:val="pt-BR"/>
              </w:rPr>
            </w:r>
            <w:r>
              <w:rPr>
                <w:bCs/>
                <w:color w:val="000000" w:themeColor="text1"/>
                <w:highlight w:val="yellow"/>
              </w:rPr>
            </w:r>
          </w:p>
        </w:tc>
        <w:tc>
          <w:tcPr>
            <w:tcBorders/>
            <w:tcW w:w="3643" w:type="pct"/>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color w:val="ff0000"/>
                <w:highlight w:val="yellow"/>
                <w:lang w:val="pt-BR"/>
              </w:rPr>
            </w:r>
            <w:r>
              <w:rPr>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Địa chỉ</w:t>
            </w:r>
            <w:r>
              <w:rPr>
                <w:bCs/>
                <w:color w:val="000000" w:themeColor="text1"/>
                <w:highlight w:val="yellow"/>
                <w:lang w:val="pt-BR"/>
              </w:rPr>
            </w:r>
            <w:r>
              <w:rPr>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lang w:val="pt-BR"/>
              </w:rPr>
            </w:r>
            <w:r>
              <w:rPr>
                <w:bCs/>
                <w:color w:val="000000" w:themeColor="text1"/>
                <w:highlight w:val="yellow"/>
              </w:rPr>
            </w:r>
          </w:p>
        </w:tc>
        <w:tc>
          <w:tcPr>
            <w:tcBorders/>
            <w:tcW w:w="3643" w:type="pct"/>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color w:val="ff0000"/>
                <w:highlight w:val="yellow"/>
                <w:lang w:val="pt-BR"/>
              </w:rPr>
            </w:r>
            <w:r>
              <w:rPr>
                <w:color w:val="ff0000"/>
                <w:highlight w:val="yellow"/>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154, tờ bản đồ số: 20, có địa chỉ: Thôn 1, xã Tây Phương, thàn</w:t>
      </w:r>
      <w:r>
        <w:rPr>
          <w:color w:val="000000" w:themeColor="text1"/>
        </w:rPr>
        <w:t xml:space="preserve">h phố Hà Nội theo Giấy chứng nhận quyền sử dụng đất, quyền sở hữu tài sản gắn liền với đất số: AA 06010189, Số vào sổ cấp GCN: CN1895 do Chi nhánh văn phòng đăng ký đất đai Hà Nội - Huyện Thạch Thất cấp ngày 06/03/2026; chủ sử dụng đất là Ông Phan Văn Toàn</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154, tờ bản đồ số: 20, có địa chỉ: Thôn 1, xã Tây Phương, thàn</w:t>
            </w:r>
            <w:r>
              <w:rPr>
                <w:color w:val="000000"/>
              </w:rPr>
              <w:t xml:space="preserve">h phố Hà Nội theo Giấy chứng nhận quyền sử dụng đất, quyền sở hữu tài sản gắn liền với đất số: AA 06010189, Số vào sổ cấp GCN: CN1895 do Chi nhánh văn phòng đăng ký đất đai Hà Nội - Huyện Thạch Thất cấp ngày 06/03/2026; chủ sử dụng đất là Ông Phan Văn Toàn</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205,6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b w:val="0"/>
                <w:bCs w:val="0"/>
              </w:rPr>
            </w:pPr>
            <w:r>
              <w:rPr>
                <w:b w:val="0"/>
                <w:bCs w:val="0"/>
                <w:color w:val="000000" w:themeColor="text1"/>
              </w:rPr>
            </w:r>
            <w:r>
              <w:rPr>
                <w:b w:val="0"/>
                <w:bCs w:val="0"/>
                <w:color w:val="000000" w:themeColor="text1"/>
                <w:lang w:val="vi-VN"/>
              </w:rPr>
              <w:t xml:space="preserve">41.000.000</w:t>
            </w:r>
            <w:r>
              <w:rPr>
                <w:b w:val="0"/>
                <w:bCs w:val="0"/>
              </w:rPr>
            </w:r>
            <w:r>
              <w:rPr>
                <w:b w:val="0"/>
                <w:bCs w:val="0"/>
              </w:rPr>
            </w:r>
          </w:p>
        </w:tc>
        <w:tc>
          <w:tcPr>
            <w:shd w:val="clear" w:color="000000" w:fill="ffffff"/>
            <w:tcBorders/>
            <w:tcW w:w="2164"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8.429.600.000</w:t>
            </w:r>
            <w:r>
              <w:rPr>
                <w:b w:val="0"/>
                <w:bCs w:val="0"/>
              </w:rPr>
            </w:r>
            <w:r>
              <w:rPr>
                <w:b w:val="0"/>
                <w:bCs w:val="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rPr>
            </w:pPr>
            <w:r>
              <w:rPr>
                <w:b/>
                <w:bCs/>
                <w:color w:val="000000" w:themeColor="text1"/>
              </w:rPr>
              <w:t xml:space="preserve">8.429.600.000</w:t>
            </w:r>
            <w:r>
              <w:rPr>
                <w:b/>
                <w:bCs/>
              </w:rPr>
            </w:r>
            <w:r>
              <w:rPr>
                <w:b/>
                <w:bCs/>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w:t>
            </w:r>
            <w:r>
              <w:rPr>
                <w:b/>
                <w:bCs/>
                <w:i/>
                <w:iCs/>
                <w:color w:val="000000"/>
                <w:highlight w:val="yellow"/>
              </w:rPr>
              <w:t xml:space="preserve">triệu,</w:t>
            </w:r>
            <w:r>
              <w:rPr>
                <w:b/>
                <w:bCs/>
                <w:i/>
                <w:iCs/>
                <w:color w:val="000000"/>
              </w:rPr>
              <w:t xml:space="preserve"> bốn trăm hai mươi chín triệu, sáu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lang w:val="pt-BR"/>
        </w:rPr>
      </w:r>
      <w:r>
        <w:rPr>
          <w:lang w:val="pt-BR"/>
        </w:rPr>
      </w:r>
    </w:p>
    <w:p>
      <w:pPr>
        <w:pBdr/>
        <w:spacing w:after="120" w:before="120" w:line="312" w:lineRule="auto"/>
        <w:ind w:firstLine="0"/>
        <w:rPr>
          <w:rFonts w:eastAsia="Calibri"/>
          <w:b/>
          <w:bCs/>
          <w:spacing w:val="-4"/>
          <w:lang w:val="pt-BR"/>
        </w:rPr>
      </w:pPr>
      <w:r>
        <w:rPr>
          <w:lang w:val="pt-BR"/>
        </w:rPr>
      </w: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lang w:val="pt-BR"/>
        </w:rPr>
      </w:r>
      <w:r>
        <w:rPr>
          <w:rFonts w:eastAsia="Calibri"/>
          <w:b/>
          <w:bCs/>
          <w:spacing w:val="-4"/>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color w:val="000000" w:themeColor="text1"/>
                <w:sz w:val="24"/>
                <w:szCs w:val="24"/>
                <w:highlight w:val="yellow"/>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w:t>
            </w:r>
            <w:r>
              <w:rPr>
                <w:rStyle w:val="1029"/>
                <w:rFonts w:ascii="Times New Roman" w:hAnsi="Times New Roman"/>
                <w:color w:val="000000" w:themeColor="text1"/>
                <w:highlight w:val="yellow"/>
                <w:lang w:val="pt-BR"/>
              </w:rPr>
              <w:t xml:space="preserve">498/VFI-BC.44.A</w:t>
            </w:r>
            <w:r>
              <w:rPr>
                <w:color w:val="000000" w:themeColor="text1"/>
                <w:sz w:val="24"/>
                <w:szCs w:val="24"/>
                <w:highlight w:val="yellow"/>
              </w:rPr>
            </w:r>
            <w:r>
              <w:rPr>
                <w:color w:val="000000" w:themeColor="text1"/>
                <w:sz w:val="24"/>
                <w:szCs w:val="24"/>
                <w:highlight w:val="yellow"/>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23 tháng 9 năm 2026</w:t>
            </w:r>
            <w:r>
              <w:rPr>
                <w:color w:val="000000" w:themeColor="text1"/>
                <w:sz w:val="24"/>
                <w:szCs w:val="24"/>
                <w:lang w:val="vi-VN"/>
              </w:rPr>
            </w:r>
            <w:r>
              <w:rPr>
                <w:color w:val="000000" w:themeColor="text1"/>
                <w:sz w:val="24"/>
                <w:szCs w:val="24"/>
                <w:lang w:val="vi-VN"/>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275/2026/1498/VFI-CT.44.A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Phan Văn Toàn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001095009365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Năm sinh:</w:t>
            </w:r>
            <w:r>
              <w:rPr>
                <w:bCs/>
                <w:highlight w:val="yellow"/>
                <w:lang w:val="pt-BR"/>
              </w:rPr>
            </w:r>
            <w:r>
              <w:rPr>
                <w:bCs/>
                <w:highlight w:val="yellow"/>
              </w:rPr>
            </w:r>
          </w:p>
        </w:tc>
        <w:tc>
          <w:tcPr>
            <w:tcBorders/>
            <w:tcW w:w="284" w:type="dxa"/>
            <w:vAlign w:val="center"/>
            <w:textDirection w:val="lrTb"/>
            <w:noWrap w:val="false"/>
          </w:tcPr>
          <w:p>
            <w:pPr>
              <w:pStyle w:val="1031"/>
              <w:pBdr/>
              <w:spacing w:after="60" w:before="60" w:line="276" w:lineRule="auto"/>
              <w:ind w:left="0"/>
              <w:rPr>
                <w:bCs/>
                <w:highlight w:val="yellow"/>
              </w:rPr>
            </w:pPr>
            <w:r>
              <w:rPr>
                <w:bCs/>
                <w:highlight w:val="yellow"/>
                <w:lang w:val="pt-BR"/>
              </w:rPr>
              <w:t xml:space="preserve">:</w:t>
            </w:r>
            <w:r>
              <w:rPr>
                <w:bCs/>
                <w:highlight w:val="yellow"/>
                <w:lang w:val="pt-BR"/>
              </w:rPr>
            </w:r>
            <w:r>
              <w:rPr>
                <w:bCs/>
                <w:highlight w:val="yellow"/>
              </w:rPr>
            </w:r>
          </w:p>
        </w:tc>
        <w:tc>
          <w:tcPr>
            <w:tcBorders/>
            <w:tcW w:w="6945" w:type="dxa"/>
            <w:vAlign w:val="center"/>
            <w:textDirection w:val="lrTb"/>
            <w:noWrap w:val="false"/>
          </w:tcPr>
          <w:p>
            <w:pPr>
              <w:pBdr/>
              <w:spacing w:after="60" w:before="60" w:line="276" w:lineRule="auto"/>
              <w:ind/>
              <w:rPr>
                <w:b/>
                <w:bCs/>
                <w:highlight w:val="yellow"/>
              </w:rPr>
            </w:pPr>
            <w:r>
              <w:rPr>
                <w:color w:val="000000" w:themeColor="text1"/>
                <w:highlight w:val="yellow"/>
                <w:lang w:val="vi-VN"/>
              </w:rPr>
            </w:r>
            <w:r>
              <w:rPr>
                <w:b/>
                <w:bCs/>
                <w:highlight w:val="yellow"/>
              </w:rPr>
            </w:r>
            <w:r>
              <w:rPr>
                <w:b/>
                <w:bCs/>
                <w:highlight w:val="yellow"/>
              </w:rPr>
            </w:r>
          </w:p>
        </w:tc>
      </w:tr>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Địa chỉ</w:t>
            </w:r>
            <w:r>
              <w:rPr>
                <w:bCs/>
                <w:highlight w:val="yellow"/>
                <w:lang w:val="pt-BR"/>
              </w:rPr>
            </w:r>
            <w:r>
              <w:rPr>
                <w:bCs/>
                <w:highlight w:val="yellow"/>
              </w:rPr>
            </w:r>
          </w:p>
        </w:tc>
        <w:tc>
          <w:tcPr>
            <w:tcBorders/>
            <w:tcW w:w="284" w:type="dxa"/>
            <w:vAlign w:val="center"/>
            <w:textDirection w:val="lrTb"/>
            <w:noWrap w:val="false"/>
          </w:tcPr>
          <w:p>
            <w:pPr>
              <w:pStyle w:val="1031"/>
              <w:pBdr/>
              <w:spacing w:after="60" w:before="60" w:line="276" w:lineRule="auto"/>
              <w:ind w:left="0"/>
              <w:rPr>
                <w:bCs/>
                <w:highlight w:val="yellow"/>
              </w:rPr>
            </w:pPr>
            <w:r>
              <w:rPr>
                <w:bCs/>
                <w:highlight w:val="yellow"/>
                <w:lang w:val="pt-BR"/>
              </w:rPr>
              <w:t xml:space="preserve">:</w:t>
            </w:r>
            <w:r>
              <w:rPr>
                <w:bCs/>
                <w:highlight w:val="yellow"/>
                <w:lang w:val="pt-BR"/>
              </w:rPr>
            </w:r>
            <w:r>
              <w:rPr>
                <w:bCs/>
                <w:highlight w:val="yellow"/>
              </w:rPr>
            </w:r>
          </w:p>
        </w:tc>
        <w:tc>
          <w:tcPr>
            <w:tcBorders/>
            <w:tcW w:w="6945" w:type="dxa"/>
            <w:vAlign w:val="center"/>
            <w:textDirection w:val="lrTb"/>
            <w:noWrap w:val="false"/>
          </w:tcPr>
          <w:p>
            <w:pPr>
              <w:pBdr/>
              <w:spacing w:after="60" w:before="60" w:line="276" w:lineRule="auto"/>
              <w:ind/>
              <w:rPr>
                <w:b/>
                <w:bCs/>
                <w:highlight w:val="yellow"/>
              </w:rPr>
            </w:pPr>
            <w:r>
              <w:rPr>
                <w:color w:val="000000" w:themeColor="text1"/>
                <w:highlight w:val="yellow"/>
                <w:lang w:val="vi-VN"/>
              </w:rPr>
            </w:r>
            <w:r>
              <w:rPr>
                <w:b/>
                <w:bCs/>
                <w:highlight w:val="yellow"/>
              </w:rPr>
            </w:r>
            <w:r>
              <w:rPr>
                <w:b/>
                <w:bCs/>
                <w:highlight w:val="yellow"/>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154, tờ bản đồ số: 20, có địa chỉ: Thôn 1, xã Tây Phương, thàn</w:t>
            </w:r>
            <w:r>
              <w:rPr>
                <w:bCs/>
                <w:color w:val="000000" w:themeColor="text1"/>
                <w:lang w:val="pt-BR"/>
              </w:rPr>
              <w:t xml:space="preserve">h phố Hà Nội theo Giấy chứng nhận quyền sử dụng đất, quyền sở hữu tài sản gắn liền với đất số: AA 06010189, Số vào sổ cấp GCN: CN1895 do Chi nhánh văn phòng đăng ký đất đai Hà Nội - Huyện Thạch Thất cấp ngày 06/03/2026; chủ sử dụng đất là Ông Phan Văn Toàn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1, Xã Tây Phương,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r>
            <w:commentRangeStart w:id="0"/>
            <w:r>
              <w:rPr>
                <w:rFonts w:ascii="Times New Roman" w:hAnsi="Times New Roman" w:cs="Times New Roman"/>
                <w:color w:val="000000"/>
                <w:sz w:val="24"/>
                <w:szCs w:val="24"/>
              </w:rPr>
              <w:t xml:space="preserve">21.038694444444, 105.60322222222</w:t>
            </w:r>
            <w:commentRangeEnd w:id="0"/>
            <w:r>
              <w:commentReference w:id="0"/>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yellow"/>
                <w:lang w:val="pt-BR"/>
              </w:rPr>
            </w:r>
            <w:commentRangeStart w:id="1"/>
            <w:r>
              <w:rPr>
                <w:highlight w:val="yellow"/>
                <w:lang w:val="pt-BR"/>
              </w:rPr>
              <w:t xml:space="preserve">Tháng</w:t>
            </w:r>
            <w:commentRangeEnd w:id="1"/>
            <w:r>
              <w:commentReference w:id="1"/>
            </w:r>
            <w:r>
              <w:rPr>
                <w:highlight w:val="yellow"/>
                <w:lang w:val="pt-BR"/>
              </w:rPr>
              <w:t xml:space="preserve"> 09/2026</w:t>
            </w:r>
            <w:r>
              <w:rPr>
                <w:highlight w:val="yellow"/>
                <w:lang w:val="pt-BR"/>
              </w:rPr>
              <w:t xml:space="preserve">.</w:t>
            </w:r>
            <w:r>
              <w:rPr>
                <w:highlight w:val="yellow"/>
                <w:lang w:val="pt-BR"/>
              </w:rPr>
            </w:r>
            <w:r>
              <w:rPr>
                <w:highlight w:val="yellow"/>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highlight w:val="white"/>
        </w:rPr>
        <w:t xml:space="preserve">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06010189, Số vào sổ cấp GCN: CN1895 do Chi nhánh văn phòng đăng ký đất đai Hà Nội - Huyện Thạch Thất cấp ngày 06/03/2026; chủ sử dụng đất là Ông Phan Văn Toàn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275/2026/1498/VFI-HĐTĐ.44.A ngày 18/09/2026 giữa ông Phan Văn Toàn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850" w:left="0"/>
        <w:jc w:val="both"/>
        <w:rPr/>
      </w:pPr>
      <w:r>
        <w:rPr>
          <w:i/>
          <w:iCs/>
          <w:lang w:val="pt-BR"/>
        </w:rPr>
      </w:r>
      <w:r>
        <w:rPr>
          <w:rFonts w:ascii="Times New Roman" w:hAnsi="Times New Roman" w:eastAsia="Times New Roman" w:cs="Times New Roman"/>
          <w:color w:val="000000"/>
          <w:sz w:val="24"/>
        </w:rPr>
        <w:t xml:space="preserve">Thị trường bất động sản đất ở tại xã Tây Phương nằm trong khu vực phía Tây Hà Nội, có đặc điểm của thị trường bất động sản ven đô đang trong quá trình đô thị hóa. Khu vực có lợi thế về vị trí khi nằm trong không gian phát triển phía Tây Thủ đô, đồng thời c</w:t>
      </w:r>
      <w:r>
        <w:rPr>
          <w:rFonts w:ascii="Times New Roman" w:hAnsi="Times New Roman" w:eastAsia="Times New Roman" w:cs="Times New Roman"/>
          <w:color w:val="000000"/>
          <w:sz w:val="24"/>
        </w:rPr>
        <w:t xml:space="preserve">ó khả năng kết nối với các khu vực như Thạch Thất, Quốc Oai, Hòa Lạc và trung tâm Hà Nội thông qua hệ thống đường giao thông liên vùng. Quá trình hoàn thiện hạ tầng giao thông và mở rộng không gian đô thị về phía Tây tạo điều kiện nâng cao khả năng tiếp cậ</w:t>
      </w:r>
      <w:r>
        <w:rPr>
          <w:rFonts w:ascii="Times New Roman" w:hAnsi="Times New Roman" w:eastAsia="Times New Roman" w:cs="Times New Roman"/>
          <w:color w:val="000000"/>
          <w:sz w:val="24"/>
        </w:rPr>
        <w:t xml:space="preserve">n cũng như gia tăng nhu cầu đối với đất ở tại khu vực.</w:t>
      </w:r>
      <w:r/>
    </w:p>
    <w:p>
      <w:pPr>
        <w:pBdr>
          <w:top w:val="none" w:color="000000" w:sz="4" w:space="0"/>
          <w:left w:val="none" w:color="000000" w:sz="4" w:space="0"/>
          <w:bottom w:val="none" w:color="000000" w:sz="4" w:space="0"/>
          <w:right w:val="none" w:color="000000" w:sz="4" w:space="0"/>
        </w:pBdr>
        <w:spacing/>
        <w:ind w:right="0" w:firstLine="850" w:left="0"/>
        <w:jc w:val="both"/>
        <w:rPr/>
      </w:pPr>
      <w:r>
        <w:rPr>
          <w:rFonts w:ascii="Times New Roman" w:hAnsi="Times New Roman" w:eastAsia="Times New Roman" w:cs="Times New Roman"/>
          <w:color w:val="000000"/>
          <w:sz w:val="24"/>
        </w:rPr>
        <w:t xml:space="preserve">Thị trường đất ở tại xã Tây Phương hiện chủ yếu bao gồm đất ở trong các khu dân cư hiện hữu, đất trong các thôn, làng truyền thống và đất nằm dọc các tuyến đường liên xã, liên huyện. Các khu vực có vị trí gần trục giao thông chính, đường có chiều rộng lớn,</w:t>
      </w:r>
      <w:r>
        <w:rPr>
          <w:rFonts w:ascii="Times New Roman" w:hAnsi="Times New Roman" w:eastAsia="Times New Roman" w:cs="Times New Roman"/>
          <w:color w:val="000000"/>
          <w:sz w:val="24"/>
        </w:rPr>
        <w:t xml:space="preserve"> ô tô di chuyển thuận lợi hoặc có khả năng kinh doanh thường có mức giá cao hơn so với các thửa đất nằm sâu trong khu dân cư, ngõ nhỏ hoặc cách xa các tuyến đường chính. Bên cạnh nhu cầu mua để ở, thị trường còn có nhu cầu đầu tư dài hạn do kỳ vọng vào quá</w:t>
      </w:r>
      <w:r>
        <w:rPr>
          <w:rFonts w:ascii="Times New Roman" w:hAnsi="Times New Roman" w:eastAsia="Times New Roman" w:cs="Times New Roman"/>
          <w:color w:val="000000"/>
          <w:sz w:val="24"/>
        </w:rPr>
        <w:t xml:space="preserve"> trình phát triển hạ tầng và đô thị hóa của khu vực phía Tây Hà Nội.</w:t>
      </w:r>
      <w:r/>
    </w:p>
    <w:p>
      <w:pPr>
        <w:pBdr>
          <w:top w:val="none" w:color="000000" w:sz="4" w:space="0"/>
          <w:left w:val="none" w:color="000000" w:sz="4" w:space="0"/>
          <w:bottom w:val="none" w:color="000000" w:sz="4" w:space="0"/>
          <w:right w:val="none" w:color="000000" w:sz="4" w:space="0"/>
        </w:pBdr>
        <w:spacing/>
        <w:ind w:right="0" w:firstLine="850" w:left="0"/>
        <w:jc w:val="both"/>
        <w:rPr/>
      </w:pPr>
      <w:r>
        <w:rPr>
          <w:rFonts w:ascii="Times New Roman" w:hAnsi="Times New Roman" w:eastAsia="Times New Roman" w:cs="Times New Roman"/>
          <w:color w:val="000000"/>
          <w:sz w:val="24"/>
        </w:rPr>
        <w:t xml:space="preserve">Mặt bằng giá đất tại xã Tây Phương có sự phân hóa tương đối rõ giữa các khu vực và từng vị trí cụ thể. Theo các tin đăng trên thị trường, những thửa đất có diện tích khoảng 80–100 m² tại các khu vực dân cư thuận lợi có mức giá chào bán phổ biến từ khoảng t</w:t>
      </w:r>
      <w:r>
        <w:rPr>
          <w:rFonts w:ascii="Times New Roman" w:hAnsi="Times New Roman" w:eastAsia="Times New Roman" w:cs="Times New Roman"/>
          <w:color w:val="000000"/>
          <w:sz w:val="24"/>
        </w:rPr>
        <w:t xml:space="preserve">rên 20 triệu đồng/m² đến khoảng 40–50 triệu đồng/m², trong khi những vị trí có mặt đường rộng, mặt tiền đẹp, khả năng kinh doanh hoặc nằm gần các tuyến giao thông lớn có thể có mức giá cao hơn. Ngược lại, các thửa đất nằm trong ngõ nhỏ, đường làng hoặc có </w:t>
      </w:r>
      <w:r>
        <w:rPr>
          <w:rFonts w:ascii="Times New Roman" w:hAnsi="Times New Roman" w:eastAsia="Times New Roman" w:cs="Times New Roman"/>
          <w:color w:val="000000"/>
          <w:sz w:val="24"/>
        </w:rPr>
        <w:t xml:space="preserve">điều kiện tiếp cận giao thông hạn chế thường có mức giá thấp hơn. Cần lưu ý rằng đây là giá chào bán trên thị trường, chưa phản ánh hoàn toàn giá giao dịch thực tế và cần được điều chỉnh khi sử dụng làm tài sản so sánh trong thẩm định giá.</w:t>
      </w:r>
      <w:r/>
    </w:p>
    <w:p>
      <w:pPr>
        <w:pBdr>
          <w:top w:val="none" w:color="000000" w:sz="4" w:space="0"/>
          <w:left w:val="none" w:color="000000" w:sz="4" w:space="0"/>
          <w:bottom w:val="none" w:color="000000" w:sz="4" w:space="0"/>
          <w:right w:val="none" w:color="000000" w:sz="4" w:space="0"/>
        </w:pBdr>
        <w:spacing/>
        <w:ind w:right="0" w:firstLine="850" w:left="0"/>
        <w:jc w:val="both"/>
        <w:rPr/>
      </w:pPr>
      <w:r>
        <w:rPr>
          <w:rFonts w:ascii="Times New Roman" w:hAnsi="Times New Roman" w:eastAsia="Times New Roman" w:cs="Times New Roman"/>
          <w:color w:val="000000"/>
          <w:sz w:val="24"/>
        </w:rPr>
        <w:t xml:space="preserve">Một trong những yếu tố tác động đáng kể đến giá đất tại Tây Phương là hệ thống giao thông và khả năng kết nối với các khu vực phát triển phía Tây Hà Nội. Các thửa đất có vị trí thuận lợi để tiếp cận Đại lộ Thăng Long, các tuyến đường 419, 420 và hệ thống đ</w:t>
      </w:r>
      <w:r>
        <w:rPr>
          <w:rFonts w:ascii="Times New Roman" w:hAnsi="Times New Roman" w:eastAsia="Times New Roman" w:cs="Times New Roman"/>
          <w:color w:val="000000"/>
          <w:sz w:val="24"/>
        </w:rPr>
        <w:t xml:space="preserve">ường liên xã có lợi thế hơn về khả năng kết nối, kinh doanh và khai thác sử dụng. Bên cạnh đó, sự phát triển của các khu dân cư, hoạt động sản xuất – kinh doanh, làng nghề và các khu vực công nghiệp lân cận cũng góp phần tạo nhu cầu đối với đất ở và nhà ở </w:t>
      </w:r>
      <w:r>
        <w:rPr>
          <w:rFonts w:ascii="Times New Roman" w:hAnsi="Times New Roman" w:eastAsia="Times New Roman" w:cs="Times New Roman"/>
          <w:color w:val="000000"/>
          <w:sz w:val="24"/>
        </w:rPr>
        <w:t xml:space="preserve">trên địa bàn.</w:t>
      </w:r>
      <w:r/>
    </w:p>
    <w:p>
      <w:pPr>
        <w:pBdr>
          <w:top w:val="none" w:color="000000" w:sz="4" w:space="0"/>
          <w:left w:val="none" w:color="000000" w:sz="4" w:space="0"/>
          <w:bottom w:val="none" w:color="000000" w:sz="4" w:space="0"/>
          <w:right w:val="none" w:color="000000" w:sz="4" w:space="0"/>
        </w:pBdr>
        <w:spacing/>
        <w:ind w:right="0" w:firstLine="850" w:left="0"/>
        <w:jc w:val="both"/>
        <w:rPr/>
      </w:pPr>
      <w:r>
        <w:rPr>
          <w:rFonts w:ascii="Times New Roman" w:hAnsi="Times New Roman" w:eastAsia="Times New Roman" w:cs="Times New Roman"/>
          <w:color w:val="000000"/>
          <w:sz w:val="24"/>
        </w:rPr>
        <w:t xml:space="preserve">Ngoài yếu tố hạ tầng, giá đất tại xã Tây Phương còn chịu ảnh hưởng bởi đặc điểm dân cư, mức độ hoàn thiện của các tiện ích xung quanh, quy mô và hình dạng thửa đất, chiều rộng mặt tiền, chiều rộng đường tiếp giáp, tình trạng pháp lý và quy hoạch sử dụng đấ</w:t>
      </w:r>
      <w:r>
        <w:rPr>
          <w:rFonts w:ascii="Times New Roman" w:hAnsi="Times New Roman" w:eastAsia="Times New Roman" w:cs="Times New Roman"/>
          <w:color w:val="000000"/>
          <w:sz w:val="24"/>
        </w:rPr>
        <w:t xml:space="preserve">t. Những thửa đất có Giấy chứng nhận quyền sử dụng đất rõ ràng, mục đích sử dụng là đất ở, không vướng quy hoạch và có hình dạng đẹp thường có khả năng thanh khoản tốt hơn. Đối với các thửa đất có diện tích lớn hoặc nằm tại khu vực có quy hoạch thay đổi, c</w:t>
      </w:r>
      <w:r>
        <w:rPr>
          <w:rFonts w:ascii="Times New Roman" w:hAnsi="Times New Roman" w:eastAsia="Times New Roman" w:cs="Times New Roman"/>
          <w:color w:val="000000"/>
          <w:sz w:val="24"/>
        </w:rPr>
        <w:t xml:space="preserve">ần xem xét riêng từng trường hợp để đánh giá đúng giá trị thị trường.</w:t>
      </w:r>
      <w:r/>
    </w:p>
    <w:p>
      <w:pPr>
        <w:pBdr>
          <w:top w:val="none" w:color="000000" w:sz="4" w:space="0"/>
          <w:left w:val="none" w:color="000000" w:sz="4" w:space="0"/>
          <w:bottom w:val="none" w:color="000000" w:sz="4" w:space="0"/>
          <w:right w:val="none" w:color="000000" w:sz="4" w:space="0"/>
        </w:pBdr>
        <w:spacing/>
        <w:ind w:right="0" w:firstLine="850" w:left="0"/>
        <w:jc w:val="both"/>
        <w:rPr/>
      </w:pPr>
      <w:r>
        <w:rPr>
          <w:rFonts w:ascii="Times New Roman" w:hAnsi="Times New Roman" w:eastAsia="Times New Roman" w:cs="Times New Roman"/>
          <w:color w:val="000000"/>
          <w:sz w:val="24"/>
        </w:rPr>
        <w:t xml:space="preserve">Nhìn chung, thị trường đất ở xã Tây Phương đang có sự phát triển theo xu hướng chung của khu vực phía Tây Hà Nội. Mức giá có sự phân hóa mạnh theo vị trí và chất lượng hạ tầng, trong đó các khu vực gần trục giao thông chính và khu dân cư tập trung có mặt b</w:t>
      </w:r>
      <w:r>
        <w:rPr>
          <w:rFonts w:ascii="Times New Roman" w:hAnsi="Times New Roman" w:eastAsia="Times New Roman" w:cs="Times New Roman"/>
          <w:color w:val="000000"/>
          <w:sz w:val="24"/>
        </w:rPr>
        <w:t xml:space="preserve">ằng giá cao hơn. Trong thời gian tới, sự phát triển hạ tầng giao thông, quá trình đô thị hóa và sự mở rộng các hoạt động kinh tế – dịch vụ tại khu vực phía Tây được kỳ vọng tiếp tục tác động đến nhu cầu và mặt bằng giá đất. Tuy nhiên, do đặc điểm địa bàn r</w:t>
      </w:r>
      <w:r>
        <w:rPr>
          <w:rFonts w:ascii="Times New Roman" w:hAnsi="Times New Roman" w:eastAsia="Times New Roman" w:cs="Times New Roman"/>
          <w:color w:val="000000"/>
          <w:sz w:val="24"/>
        </w:rPr>
        <w:t xml:space="preserve">ộng và điều kiện từng khu vực khác nhau, việc xác định giá đất cần được thực hiện trên cơ sở so sánh với các bất động sản có vị trí, mục đích sử dụng, diện tích, đặc điểm pháp lý và điều kiện hạ tầng tương đồng.</w:t>
      </w:r>
      <w:r>
        <w:rPr>
          <w:rFonts w:ascii="Times New Roman" w:hAnsi="Times New Roman" w:eastAsia="Times New Roman" w:cs="Times New Roman"/>
          <w:sz w:val="24"/>
        </w:rPr>
      </w: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1951"/>
        <w:gridCol w:w="2126"/>
        <w:gridCol w:w="2126"/>
        <w:gridCol w:w="2693"/>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895" w:type="dxa"/>
            <w:vAlign w:val="center"/>
            <w:textDirection w:val="lrTb"/>
            <w:noWrap w:val="false"/>
          </w:tcPr>
          <w:p>
            <w:pPr>
              <w:pBdr/>
              <w:spacing/>
              <w:ind/>
              <w:jc w:val="both"/>
              <w:rPr>
                <w:b/>
                <w:bCs/>
                <w:color w:val="000000"/>
              </w:rPr>
            </w:pPr>
            <w:r>
              <w:rPr>
                <w:b/>
                <w:bCs/>
                <w:color w:val="000000"/>
              </w:rPr>
              <w:t xml:space="preserve">Quyền sử dụng đất tại thửa đất số: 154, tờ bản đồ số: 20, có địa chỉ: Thôn 1, xã Tây Phương, thàn</w:t>
            </w:r>
            <w:r>
              <w:rPr>
                <w:b/>
                <w:bCs/>
                <w:color w:val="000000"/>
              </w:rPr>
              <w:t xml:space="preserve">h phố Hà Nội theo Giấy chứng nhận quyền sử dụng đất, quyền sở hữu tài sản gắn liền với đất số: AA 06010189, Số vào sổ cấp GCN: CN1895 do Chi nhánh văn phòng đăng ký đất đai Hà Nội - Huyện Thạch Thất cấp ngày 06/03/2026; chủ sử dụng đất là Ông Phan Văn Toàn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895"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693" w:type="dxa"/>
            <w:vAlign w:val="center"/>
            <w:textDirection w:val="lrTb"/>
            <w:noWrap w:val="false"/>
          </w:tcPr>
          <w:p>
            <w:pPr>
              <w:pBdr/>
              <w:spacing/>
              <w:ind/>
              <w:jc w:val="center"/>
              <w:rPr>
                <w:color w:val="ee0000"/>
              </w:rPr>
            </w:pPr>
            <w:r>
              <w:rPr>
                <w:color w:val="000000" w:themeColor="text1"/>
              </w:rPr>
              <w:t xml:space="preserve">20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945" w:type="dxa"/>
            <w:vAlign w:val="center"/>
            <w:textDirection w:val="lrTb"/>
            <w:noWrap w:val="false"/>
          </w:tcPr>
          <w:p>
            <w:pPr>
              <w:pBdr/>
              <w:spacing/>
              <w:ind/>
              <w:jc w:val="both"/>
              <w:rPr>
                <w:color w:val="000000"/>
              </w:rPr>
            </w:pPr>
            <w:r>
              <w:rPr>
                <w:color w:val="000000"/>
              </w:rPr>
              <w:t xml:space="preserve">Thôn </w:t>
            </w:r>
            <w:r>
              <w:rPr>
                <w:color w:val="000000"/>
              </w:rPr>
              <w:t xml:space="preserve">1, xã Tây Phương,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205,6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693"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693"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94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Thửa đất này được cấp đổi từ thửa đất số 100, tờ bản đồ số 2 tại Giấy chứng nhận số AH 759681 được UBND huyện Thạch Thất cấp ngày 29/1/2007.</w:t>
              <w:br/>
              <w:t xml:space="preserve">- Là thửa đất số 154 tờ bản đồ số 20 theo Bản đồ dự án tổng thể thuộc xã Chàng Sơn, huyện Thạch Thất (cũ).</w:t>
              <w:br/>
              <w:t xml:space="preserve">- Là t</w:t>
            </w:r>
            <w:r>
              <w:rPr>
                <w:rFonts w:ascii="Times New Roman" w:hAnsi="Times New Roman" w:eastAsia="Times New Roman" w:cs="Times New Roman"/>
                <w:color w:val="000000"/>
                <w:sz w:val="24"/>
              </w:rPr>
              <w:t xml:space="preserve">ài sản riêng của ông Phan Văn Toàn theo Văn bản thỏa thuận tài sản riêng của vợ chồng số 965 lập ngày 17/01/2025 tại Văn phòng công chứng Dương Thị Diệu, thành phố Hà Nội.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945" w:type="dxa"/>
            <w:vAlign w:val="center"/>
            <w:textDirection w:val="lrTb"/>
            <w:noWrap w:val="false"/>
          </w:tcPr>
          <w:p>
            <w:pPr>
              <w:pBdr/>
              <w:spacing w:after="0" w:before="0" w:line="240" w:lineRule="auto"/>
              <w:ind/>
              <w:jc w:val="both"/>
              <w:rPr>
                <w:rFonts w:ascii="Times New Roman" w:hAnsi="Times New Roman" w:cs="Times New Roman"/>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w:t>
            </w:r>
            <w:r>
              <w:rPr>
                <w:rFonts w:ascii="Times New Roman" w:hAnsi="Times New Roman" w:eastAsia="Times New Roman" w:cs="Times New Roman"/>
              </w:rPr>
            </w:r>
            <w:r>
              <w:rPr>
                <w:rFonts w:ascii="Times New Roman" w:hAnsi="Times New Roman" w:cs="Times New Roman"/>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895"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sz w:val="24"/>
                <w:highlight w:val="red"/>
              </w:rPr>
            </w:pPr>
            <w:r>
              <w:rPr>
                <w:rFonts w:ascii="Times New Roman" w:hAnsi="Times New Roman" w:eastAsia="Times New Roman" w:cs="Times New Roman"/>
                <w:color w:val="000000"/>
                <w:sz w:val="24"/>
                <w:highlight w:val="red"/>
              </w:rPr>
            </w:r>
            <w:r>
              <mc:AlternateContent>
                <mc:Choice Requires="wpg">
                  <w:drawing>
                    <wp:inline xmlns:wp="http://schemas.openxmlformats.org/drawingml/2006/wordprocessingDrawing" distT="0" distB="0" distL="0" distR="0">
                      <wp:extent cx="6048375" cy="316212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67974" name=""/>
                              <pic:cNvPicPr>
                                <a:picLocks noChangeAspect="1"/>
                              </pic:cNvPicPr>
                              <pic:nvPr/>
                            </pic:nvPicPr>
                            <pic:blipFill rotWithShape="1">
                              <a:blip r:embed="rId17"/>
                              <a:stretch/>
                            </pic:blipFill>
                            <pic:spPr bwMode="auto">
                              <a:xfrm>
                                <a:off x="0" y="0"/>
                                <a:ext cx="6048374" cy="31621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48.99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highlight w:val="red"/>
              </w:rPr>
            </w:r>
            <w:r>
              <w:rPr>
                <w:rFonts w:ascii="Times New Roman" w:hAnsi="Times New Roman" w:eastAsia="Times New Roman" w:cs="Times New Roman"/>
                <w:color w:val="000000"/>
                <w:sz w:val="24"/>
                <w:highlight w:val="red"/>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895"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895"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highlight w:val="yellow"/>
              </w:rPr>
            </w:pPr>
            <w:r>
              <w:rPr>
                <w:color w:val="000000"/>
                <w:highlight w:val="yellow"/>
              </w:rPr>
              <w:t xml:space="preserve">Nằm trên </w:t>
            </w:r>
            <w:commentRangeStart w:id="2"/>
            <w:r>
              <w:rPr>
                <w:color w:val="000000"/>
                <w:highlight w:val="yellow"/>
              </w:rPr>
              <w:t xml:space="preserve">trục</w:t>
            </w:r>
            <w:commentRangeEnd w:id="2"/>
            <w:r>
              <w:commentReference w:id="2"/>
            </w:r>
            <w:r>
              <w:rPr>
                <w:color w:val="000000"/>
                <w:highlight w:val="yellow"/>
              </w:rPr>
              <w:t xml:space="preserve"> chính Đường 80</w:t>
            </w:r>
            <w:r>
              <w:rPr>
                <w:color w:val="000000"/>
                <w:highlight w:val="yellow"/>
              </w:rPr>
            </w:r>
            <w:r>
              <w:rPr>
                <w:color w:val="000000"/>
                <w:highlight w:val="yellow"/>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693"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693"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94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đường Chăn Nuôi khoảng 60m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94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Đông Bắc - Tiếp giáp đường giao thông rộng 4m;</w:t>
              <w:br/>
              <w:t xml:space="preserve">Hướng Đông Nam - Tiếp giáp đường giao thông rộng 2,6m;</w:t>
              <w:br/>
              <w:t xml:space="preserve">Các hướng còn lại tiếp giáp với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895"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r>
            <w:commentRangeStart w:id="3"/>
            <w:r>
              <w:rPr>
                <w:color w:val="000000"/>
              </w:rPr>
              <w:t xml:space="preserve">21.038694444444</w:t>
            </w:r>
            <w:r>
              <w:rPr>
                <w:color w:val="000000"/>
              </w:rPr>
              <w:t xml:space="preserve">, </w:t>
            </w:r>
            <w:r>
              <w:rPr>
                <w:color w:val="000000"/>
              </w:rPr>
              <w:t xml:space="preserve">105.60322222222</w:t>
            </w:r>
            <w:commentRangeEnd w:id="3"/>
            <w:r>
              <w:commentReference w:id="3"/>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895"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555500" cy="294932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25042" name=""/>
                              <pic:cNvPicPr>
                                <a:picLocks noChangeAspect="1"/>
                              </pic:cNvPicPr>
                              <pic:nvPr/>
                            </pic:nvPicPr>
                            <pic:blipFill rotWithShape="1">
                              <a:blip r:embed="rId18"/>
                              <a:stretch/>
                            </pic:blipFill>
                            <pic:spPr bwMode="auto">
                              <a:xfrm flipH="0" flipV="0">
                                <a:off x="0" y="0"/>
                                <a:ext cx="5555500" cy="29493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7.44pt;height:232.23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895"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205,6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693"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693" w:type="dxa"/>
            <w:vAlign w:val="center"/>
            <w:textDirection w:val="lrTb"/>
            <w:noWrap w:val="false"/>
          </w:tcPr>
          <w:p>
            <w:pPr>
              <w:pBdr/>
              <w:spacing/>
              <w:ind/>
              <w:jc w:val="center"/>
              <w:rPr>
                <w:color w:val="000000" w:themeColor="text1"/>
              </w:rPr>
            </w:pPr>
            <w:r>
              <w:rPr>
                <w:color w:val="000000" w:themeColor="text1"/>
              </w:rPr>
              <w:t xml:space="preserve">~24,19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693"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895"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945"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693" w:type="dxa"/>
            <w:vAlign w:val="center"/>
            <w:textDirection w:val="lrTb"/>
            <w:noWrap w:val="false"/>
          </w:tcPr>
          <w:p>
            <w:pPr>
              <w:pBdr/>
              <w:spacing/>
              <w:ind/>
              <w:jc w:val="center"/>
              <w:rPr>
                <w:color w:val="000000"/>
                <w:highlight w:val="yellow"/>
              </w:rPr>
            </w:pPr>
            <w:r>
              <w:rPr>
                <w:color w:val="000000"/>
                <w:highlight w:val="yellow"/>
              </w:rPr>
              <w:t xml:space="preserve">Cao</w:t>
            </w:r>
            <w:r>
              <w:rPr>
                <w:color w:val="000000"/>
                <w:highlight w:val="yellow"/>
              </w:rPr>
            </w:r>
            <w:r>
              <w:rPr>
                <w:color w:val="000000"/>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1951"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highlight w:val="yellow"/>
              </w:rPr>
            </w:pPr>
            <w:r>
              <w:rPr>
                <w:color w:val="000000"/>
                <w:highlight w:val="yellow"/>
              </w:rPr>
              <w:t xml:space="preserve">Khả năng chuyển nhượng:</w:t>
            </w:r>
            <w:r>
              <w:rPr>
                <w:color w:val="000000"/>
                <w:highlight w:val="yellow"/>
              </w:rPr>
            </w:r>
            <w:r>
              <w:rPr>
                <w:color w:val="000000"/>
                <w:highlight w:val="yellow"/>
              </w:rPr>
            </w:r>
          </w:p>
        </w:tc>
        <w:tc>
          <w:tcPr>
            <w:tcBorders/>
            <w:tcW w:w="2693"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895" w:type="dxa"/>
            <w:vAlign w:val="center"/>
            <w:textDirection w:val="lrTb"/>
            <w:noWrap w:val="false"/>
          </w:tcPr>
          <w:p>
            <w:pPr>
              <w:pBdr/>
              <w:spacing/>
              <w:ind/>
              <w:rPr>
                <w:b/>
                <w:bCs/>
                <w:color w:val="000000"/>
              </w:rPr>
            </w:pPr>
            <w:r>
              <w:rPr>
                <w:b/>
                <w:bCs/>
                <w:color w:val="000000"/>
              </w:rPr>
              <w:t xml:space="preserve">Tài sản gắn li</w:t>
            </w:r>
            <w:commentRangeStart w:id="4"/>
            <w:r>
              <w:rPr>
                <w:b/>
                <w:bCs/>
                <w:color w:val="000000"/>
              </w:rPr>
              <w:t xml:space="preserve">ền với đấ</w:t>
            </w:r>
            <w:commentRangeEnd w:id="4"/>
            <w:r>
              <w:commentReference w:id="4"/>
            </w:r>
            <w:r>
              <w:rPr>
                <w:b/>
                <w:bCs/>
                <w:color w:val="000000"/>
              </w:rPr>
              <w:t xml:space="preserve">t</w:t>
            </w:r>
            <w:r>
              <w:rPr>
                <w:b/>
                <w:bCs/>
                <w:color w:val="000000"/>
              </w:rPr>
            </w:r>
            <w:r>
              <w:rPr>
                <w:b/>
                <w:bCs/>
                <w:color w:val="000000"/>
              </w:rPr>
            </w:r>
          </w:p>
        </w:tc>
      </w:tr>
      <w:tr>
        <w:trPr>
          <w:trHeight w:val="351"/>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895" w:type="dxa"/>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Tại thời điểm khảo sát, dưới sự hướng dẫn của chủ tài sản, trên đất có CTXD nhà cấp 4, tổng diện tích xây dựng khoảng 102,8m2, xây dựng từ năm 2000, Công trình chưa được công nhận trên GCN QSDĐ số: AA </w:t>
            </w:r>
            <w:r>
              <w:rPr>
                <w:color w:val="000000"/>
              </w:rPr>
              <w:t xml:space="preserve">06010189</w:t>
            </w:r>
            <w:r>
              <w:rPr>
                <w:rFonts w:ascii="Times New Roman" w:hAnsi="Times New Roman" w:eastAsia="Times New Roman" w:cs="Times New Roman"/>
                <w:color w:val="000000"/>
                <w:sz w:val="24"/>
              </w:rPr>
            </w:r>
            <w:r/>
          </w:p>
        </w:tc>
      </w:tr>
    </w:tbl>
    <w:p>
      <w:pPr>
        <w:pBdr/>
        <w:shd w:val="nil" w:color="auto"/>
        <w:spacing/>
        <w:ind/>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w:t>
      </w:r>
      <w:r>
        <w:rPr>
          <w:b/>
          <w:bCs/>
          <w:u w:val="single"/>
        </w:rPr>
        <w:t xml:space="preserve">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Có</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center"/>
              <w:rPr>
                <w:lang w:eastAsia="ko-KR"/>
              </w:rPr>
            </w:pPr>
            <w:r>
              <w:rPr>
                <w:lang w:eastAsia="ko-KR"/>
              </w:rPr>
              <w:t xml:space="preserve">Tài sản bị đường đâm</w:t>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14:ligatures w14:val="none"/>
        </w:rPr>
      </w:pPr>
      <w:r>
        <w:rPr>
          <w:spacing w:val="-2"/>
          <w:lang w:val="pt-BR" w:bidi="pt-BR"/>
        </w:rPr>
      </w:r>
      <w:r>
        <w:rPr>
          <w:spacing w:val="-2"/>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14:ligatures w14:val="none"/>
        </w:rPr>
      </w:r>
      <w:r>
        <w:rPr>
          <w:spacing w:val="-2"/>
          <w:lang w:val="pt-BR"/>
          <w14:ligatures w14:val="none"/>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cấp 4, tổng diện tích xây dựng khoảng 102,8m2, xây dựng từ năm 2000, Công trình chưa được công nhận trên GCN QSDĐ số: AA </w:t>
      </w:r>
      <w:r>
        <w:rPr>
          <w:color w:val="000000"/>
        </w:rPr>
        <w:t xml:space="preserve">06010189. </w:t>
      </w:r>
      <w:r>
        <w:rPr>
          <w:rFonts w:ascii="Times New Roman" w:hAnsi="Times New Roman" w:eastAsia="Times New Roman" w:cs="Times New Roman"/>
          <w:color w:val="000000"/>
          <w:spacing w:val="-2"/>
          <w:sz w:val="24"/>
          <w:highlight w:val="white"/>
        </w:rPr>
        <w:t xml:space="preserve"> Đồng thời, Tổ thẩm định cũng không nhận được bất kỳ giấy tờ pháp lý nào liên quan đến chủ tài sản. Theo đề nghị của Khách hàng/ Ngân hàng, Tổ thẩm định không xác định giá trị CTXD nhưng vẫn coi đó là phần không thể thiếu của tài sản thẩm định.</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734"/>
        <w:gridCol w:w="1851"/>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34"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r>
      <w:tr>
        <w:trPr>
          <w:trHeight w:val="1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https://www.facebook.com/share/p/17tFFd18nx/</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SĐT: </w:t>
            </w:r>
            <w:r>
              <w:rPr>
                <w:color w:val="000000" w:themeColor="text1"/>
                <w:sz w:val="22"/>
                <w:szCs w:val="22"/>
                <w:highlight w:val="white"/>
              </w:rPr>
            </w:r>
            <w:r>
              <w:rPr>
                <w:color w:val="000000" w:themeColor="text1"/>
                <w:sz w:val="22"/>
                <w:szCs w:val="22"/>
                <w:highlight w:val="white"/>
              </w:rPr>
            </w:r>
          </w:p>
          <w:p>
            <w:pPr>
              <w:pBdr/>
              <w:spacing/>
              <w:ind/>
              <w:jc w:val="center"/>
              <w:rPr>
                <w:sz w:val="22"/>
                <w:szCs w:val="22"/>
                <w:highlight w:val="white"/>
              </w:rPr>
            </w:pPr>
            <w:r>
              <w:rPr>
                <w:color w:val="000000" w:themeColor="text1"/>
                <w:sz w:val="22"/>
                <w:szCs w:val="22"/>
                <w:highlight w:val="white"/>
              </w:rPr>
              <w:t xml:space="preserve">0943 701 936 </w:t>
            </w:r>
            <w:r>
              <w:rPr>
                <w:sz w:val="22"/>
                <w:szCs w:val="22"/>
                <w:highlight w:val="white"/>
              </w:rPr>
              <w:t xml:space="preserve"> </w:t>
            </w:r>
            <w:r>
              <w:rPr>
                <w:sz w:val="22"/>
                <w:szCs w:val="22"/>
                <w:highlight w:val="white"/>
              </w:rPr>
              <w:br/>
              <w:t xml:space="preserve">(</w:t>
            </w:r>
            <w:r>
              <w:rPr>
                <w:sz w:val="22"/>
                <w:szCs w:val="22"/>
                <w:highlight w:val="white"/>
              </w:rPr>
              <w:t xml:space="preserve">Phương Nhi</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SĐT: 0963607662</w:t>
            </w:r>
            <w:r>
              <w:rPr>
                <w:sz w:val="22"/>
                <w:szCs w:val="22"/>
                <w:highlight w:val="white"/>
              </w:rPr>
              <w:br/>
            </w:r>
            <w:r>
              <w:rPr>
                <w:sz w:val="22"/>
                <w:szCs w:val="22"/>
                <w:highlight w:val="white"/>
              </w:rPr>
              <w:t xml:space="preserve">(</w:t>
            </w:r>
            <w:r>
              <w:rPr>
                <w:sz w:val="22"/>
                <w:szCs w:val="22"/>
                <w:highlight w:val="white"/>
              </w:rPr>
              <w:t xml:space="preserve">Cấn Loan</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SĐT: 0963607662</w:t>
            </w:r>
            <w:r>
              <w:rPr>
                <w:sz w:val="22"/>
                <w:szCs w:val="22"/>
                <w:highlight w:val="white"/>
              </w:rPr>
              <w:br/>
            </w:r>
            <w:r>
              <w:rPr>
                <w:sz w:val="22"/>
                <w:szCs w:val="22"/>
                <w:highlight w:val="white"/>
              </w:rPr>
              <w:t xml:space="preserve">(</w:t>
            </w:r>
            <w:r>
              <w:rPr>
                <w:sz w:val="22"/>
                <w:szCs w:val="22"/>
                <w:highlight w:val="white"/>
              </w:rPr>
              <w:t xml:space="preserve">Cấn Loan</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Khu dân cư xã Tây Phương, Thành phố Hà Nội, khoảng cách </w:t>
            </w:r>
            <w:r>
              <w:rPr>
                <w:color w:val="000000" w:themeColor="text1"/>
                <w:sz w:val="22"/>
                <w:szCs w:val="22"/>
                <w:highlight w:val="white"/>
              </w:rPr>
              <w:t xml:space="preserve">ra đường chính 60m ra Đường Chăn Nuôi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ài sản tại: Khu dân cư xã Tây Phương, Thành phố Hà Nội</w:t>
            </w:r>
            <w:r>
              <w:rPr>
                <w:color w:val="000000" w:themeColor="text1"/>
                <w:sz w:val="22"/>
                <w:szCs w:val="22"/>
                <w:highlight w:val="white"/>
              </w:rPr>
              <w:t xml:space="preserve"> Cách trục chính Chàng Sơn khoảng 100mm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ài sản tại: Khu dân cư xã Tây Phương, Thành phố Hà Nội</w:t>
            </w:r>
            <w:r>
              <w:rPr>
                <w:color w:val="000000" w:themeColor="text1"/>
                <w:sz w:val="22"/>
                <w:szCs w:val="22"/>
                <w:highlight w:val="white"/>
              </w:rPr>
              <w:t xml:space="preserve"> Cách trục chính Chàng Sơn khoảng 40mm</w:t>
            </w:r>
            <w:r>
              <w:rPr>
                <w:color w:val="000000"/>
                <w:sz w:val="22"/>
                <w:szCs w:val="22"/>
                <w:highlight w:val="white"/>
              </w:rPr>
            </w:r>
            <w:r>
              <w:rPr>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ài sản tại: Khu dân cư xã Tây Phương, Thành phố Hà Nội</w:t>
            </w:r>
            <w:r>
              <w:rPr>
                <w:color w:val="000000" w:themeColor="text1"/>
                <w:sz w:val="22"/>
                <w:szCs w:val="22"/>
                <w:highlight w:val="white"/>
              </w:rPr>
              <w:t xml:space="preserve"> Cách trục chính Chàng Sơn khoảng 60mm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34"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Vị trí tương quan</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các tài sản so sánh</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7077"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rPr>
              <mc:AlternateContent>
                <mc:Choice Requires="wpg">
                  <w:drawing>
                    <wp:inline xmlns:wp="http://schemas.openxmlformats.org/drawingml/2006/wordprocessingDrawing" distT="0" distB="0" distL="0" distR="0">
                      <wp:extent cx="3986477" cy="2135709"/>
                      <wp:effectExtent l="0" t="0" r="0" b="0"/>
                      <wp:docPr id="7" name=""/>
                      <wp:cNvGraphicFramePr/>
                      <a:graphic xmlns:a="http://schemas.openxmlformats.org/drawingml/2006/main">
                        <a:graphicData uri="http://schemas.openxmlformats.org/drawingml/2006/picture">
                          <pic:pic xmlns:pic="http://schemas.openxmlformats.org/drawingml/2006/picture">
                            <pic:nvPicPr>
                              <pic:cNvPr id="180482154" name="" descr=""/>
                              <pic:cNvPicPr/>
                              <pic:nvPr/>
                            </pic:nvPicPr>
                            <pic:blipFill rotWithShape="1">
                              <a:blip r:embed="rId19"/>
                              <a:stretch/>
                            </pic:blipFill>
                            <pic:spPr bwMode="auto">
                              <a:xfrm rot="0" flipH="0" flipV="0">
                                <a:off x="0" y="0"/>
                                <a:ext cx="3986476" cy="21357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13.90pt;height:168.17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205,6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24,19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19</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highlight w:val="yellow"/>
              </w:rPr>
            </w:pPr>
            <w:r>
              <w:rPr>
                <w:color w:val="000000" w:themeColor="text1"/>
                <w:sz w:val="22"/>
                <w:szCs w:val="22"/>
                <w:highlight w:val="yellow"/>
              </w:rPr>
            </w:r>
            <w:commentRangeStart w:id="5"/>
            <w:r>
              <w:rPr>
                <w:color w:val="000000" w:themeColor="text1"/>
                <w:sz w:val="22"/>
                <w:szCs w:val="22"/>
                <w:highlight w:val="yellow"/>
              </w:rPr>
              <w:t xml:space="preserve">Giá</w:t>
            </w:r>
            <w:commentRangeEnd w:id="5"/>
            <w:r>
              <w:commentReference w:id="5"/>
            </w:r>
            <w:r>
              <w:rPr>
                <w:color w:val="000000" w:themeColor="text1"/>
                <w:sz w:val="22"/>
                <w:szCs w:val="22"/>
                <w:highlight w:val="yellow"/>
              </w:rPr>
              <w:t xml:space="preserve"> rao (đồng)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5.522.500.000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6.816.000.000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7.200.000.000</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20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Giá thương lượng/bán (đồng)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4.694.125.000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5.452.800.000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5.760.000.000</w:t>
            </w:r>
            <w:r>
              <w:rPr>
                <w:color w:val="000000"/>
                <w:sz w:val="22"/>
                <w:szCs w:val="22"/>
                <w:highlight w:val="yellow"/>
              </w:rPr>
            </w:r>
            <w:r>
              <w:rPr>
                <w:color w:val="000000"/>
                <w:sz w:val="22"/>
                <w:szCs w:val="22"/>
                <w:highlight w:val="yellow"/>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yellow"/>
              </w:rPr>
              <w:t xml:space="preserve">-</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highlight w:val="yellow"/>
              </w:rPr>
            </w:pPr>
            <w:r>
              <w:rPr>
                <w:color w:val="000000"/>
                <w:sz w:val="22"/>
                <w:szCs w:val="22"/>
                <w:highlight w:val="yellow"/>
              </w:rPr>
              <w:t xml:space="preserve">Số tầng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yellow"/>
              </w:rPr>
            </w:pPr>
            <w:r>
              <w:rPr>
                <w:color w:val="000000"/>
                <w:sz w:val="22"/>
                <w:szCs w:val="22"/>
                <w:highlight w:val="yellow"/>
              </w:rPr>
              <w:t xml:space="preserve"> </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1</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0</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yellow"/>
              </w:rPr>
              <w:t xml:space="preserve">-</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highlight w:val="yellow"/>
              </w:rPr>
            </w:pPr>
            <w:r>
              <w:rPr>
                <w:color w:val="000000"/>
                <w:sz w:val="22"/>
                <w:szCs w:val="22"/>
                <w:highlight w:val="yellow"/>
              </w:rPr>
              <w:t xml:space="preserve">Diện tích sàn sử dụng (m²)</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yellow"/>
              </w:rPr>
            </w:pPr>
            <w:r>
              <w:rPr>
                <w:color w:val="000000"/>
                <w:sz w:val="22"/>
                <w:szCs w:val="22"/>
                <w:highlight w:val="yellow"/>
              </w:rPr>
              <w:t xml:space="preserve"> </w:t>
            </w:r>
            <w:r>
              <w:rPr>
                <w:color w:val="000000" w:themeColor="text1"/>
                <w:sz w:val="22"/>
                <w:szCs w:val="22"/>
                <w:highlight w:val="yellow"/>
              </w:rPr>
              <w:t xml:space="preserve"> </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76,8</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0</w:t>
            </w:r>
            <w:r>
              <w:rPr>
                <w:color w:val="000000"/>
                <w:sz w:val="22"/>
                <w:szCs w:val="22"/>
                <w:highlight w:val="yellow"/>
              </w:rPr>
            </w:r>
            <w:r>
              <w:rPr>
                <w:color w:val="000000"/>
                <w:sz w:val="22"/>
                <w:szCs w:val="22"/>
                <w:highlight w:val="yellow"/>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yellow"/>
              </w:rPr>
              <w:t xml:space="preserve">21</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highlight w:val="yellow"/>
              </w:rPr>
            </w:pPr>
            <w:r>
              <w:rPr>
                <w:color w:val="000000"/>
                <w:sz w:val="22"/>
                <w:szCs w:val="22"/>
                <w:highlight w:val="yellow"/>
              </w:rPr>
              <w:t xml:space="preserve">Giá rao (đồng)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yellow"/>
              </w:rPr>
            </w:pPr>
            <w:r>
              <w:rPr>
                <w:color w:val="000000"/>
                <w:sz w:val="22"/>
                <w:szCs w:val="22"/>
                <w:highlight w:val="yellow"/>
              </w:rPr>
              <w:t xml:space="preserve"> </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5.522.500.000</w:t>
            </w:r>
            <w:r>
              <w:rPr>
                <w:color w:val="000000"/>
                <w:sz w:val="22"/>
                <w:szCs w:val="22"/>
                <w:highlight w:val="yellow"/>
              </w:rPr>
            </w:r>
            <w:r>
              <w:rPr>
                <w:color w:val="000000"/>
                <w:sz w:val="22"/>
                <w:szCs w:val="22"/>
                <w:highlight w:val="yellow"/>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6.816.000.000</w:t>
            </w:r>
            <w:r>
              <w:rPr>
                <w:color w:val="000000"/>
                <w:sz w:val="22"/>
                <w:szCs w:val="22"/>
                <w:highlight w:val="yellow"/>
              </w:rPr>
            </w:r>
            <w:r>
              <w:rPr>
                <w:color w:val="000000"/>
                <w:sz w:val="22"/>
                <w:szCs w:val="22"/>
                <w:highlight w:val="yellow"/>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7.200.000.000</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yellow"/>
              </w:rPr>
              <w:t xml:space="preserve">22</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highlight w:val="yellow"/>
              </w:rPr>
            </w:pPr>
            <w:r>
              <w:rPr>
                <w:color w:val="000000"/>
                <w:sz w:val="22"/>
                <w:szCs w:val="22"/>
                <w:highlight w:val="yellow"/>
              </w:rPr>
              <w:t xml:space="preserve">Giá thương lượng/bán (đồng)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highlight w:val="yellow"/>
              </w:rPr>
            </w:pPr>
            <w:r>
              <w:rPr>
                <w:color w:val="000000"/>
                <w:sz w:val="22"/>
                <w:szCs w:val="22"/>
                <w:highlight w:val="yellow"/>
              </w:rPr>
              <w:t xml:space="preserve"> </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4.694.125.000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5.452.800.000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5.760.000.000</w:t>
            </w:r>
            <w:r>
              <w:rPr>
                <w:color w:val="000000"/>
                <w:sz w:val="22"/>
                <w:szCs w:val="22"/>
                <w:highlight w:val="yellow"/>
              </w:rPr>
            </w:r>
            <w:r>
              <w:rPr>
                <w:color w:val="000000"/>
                <w:sz w:val="22"/>
                <w:szCs w:val="22"/>
                <w:highlight w:val="yellow"/>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171.540.480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34" w:type="dxa"/>
            <w:vAlign w:val="center"/>
            <w:vMerge w:val="restart"/>
            <w:textDirection w:val="lrTb"/>
            <w:noWrap w:val="false"/>
          </w:tcPr>
          <w:p>
            <w:pPr>
              <w:pBdr/>
              <w:spacing/>
              <w:ind/>
              <w:rPr>
                <w:b/>
                <w:bCs/>
                <w:color w:val="000000"/>
                <w:sz w:val="22"/>
                <w:szCs w:val="22"/>
              </w:rPr>
            </w:pPr>
            <w:r>
              <w:rPr>
                <w:b/>
                <w:bCs/>
                <w:color w:val="000000"/>
                <w:sz w:val="22"/>
                <w:szCs w:val="22"/>
              </w:rPr>
              <w:t xml:space="preserve">Đơn giá xây dựng theo Quyết định số 425/QĐ-BXD ngày 30/03/2026 của Bộ Xây Dựng (đồng/m2)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51"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14:ligatures w14:val="none"/>
              </w:rPr>
            </w:pPr>
            <w:r>
              <w:rPr>
                <w:color w:val="000000"/>
                <w:sz w:val="22"/>
                <w:szCs w:val="22"/>
              </w:rPr>
              <w:t xml:space="preserve">0</w:t>
            </w:r>
            <w:r>
              <w:rPr>
                <w:color w:val="000000"/>
                <w:sz w:val="22"/>
                <w:szCs w:val="22"/>
                <w14:ligatures w14:val="none"/>
              </w:rPr>
            </w:r>
            <w:r>
              <w:rPr>
                <w:color w:val="000000"/>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14:ligatures w14:val="none"/>
              </w:rPr>
            </w:pPr>
            <w:r>
              <w:rPr>
                <w:color w:val="000000"/>
                <w:sz w:val="22"/>
                <w:szCs w:val="22"/>
              </w:rPr>
            </w:r>
            <w:r>
              <w:rPr>
                <w:color w:val="000000"/>
                <w:sz w:val="22"/>
                <w:szCs w:val="22"/>
              </w:rPr>
              <w:t xml:space="preserve">5.584.000</w:t>
            </w:r>
            <w:r>
              <w:rPr>
                <w:color w:val="000000"/>
                <w:sz w:val="22"/>
                <w:szCs w:val="22"/>
                <w14:ligatures w14:val="none"/>
              </w:rPr>
            </w:r>
            <w:r>
              <w:rPr>
                <w:color w:val="000000"/>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34" w:type="dxa"/>
            <w:vAlign w:val="center"/>
            <w:vMerge w:val="restart"/>
            <w:textDirection w:val="lrTb"/>
            <w:noWrap w:val="false"/>
          </w:tcPr>
          <w:p>
            <w:pPr>
              <w:pBdr/>
              <w:spacing/>
              <w:ind/>
              <w:rPr>
                <w:b/>
                <w:bCs/>
                <w:color w:val="000000"/>
                <w:sz w:val="22"/>
                <w:szCs w:val="22"/>
              </w:rPr>
            </w:pPr>
            <w:r>
              <w:rPr>
                <w:b/>
                <w:bCs/>
                <w:color w:val="000000"/>
                <w:sz w:val="22"/>
                <w:szCs w:val="22"/>
              </w:rPr>
              <w:t xml:space="preserve">Tỷ lệ hao mòn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51"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4.694.125.000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5.452.800.000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5.760.000.000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49.411.842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55.013.120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48.000.000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4.694.125.000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5.281.259.520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5.760.000.000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49.411.842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55.013.120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49.411.842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58.563.120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49.411.842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58.563.120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49.411.842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58.563.120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Khu dân cư xã Tây Phương, Thành phố Hà Nội, khoảng cách </w:t>
            </w:r>
            <w:r>
              <w:rPr>
                <w:color w:val="000000" w:themeColor="text1"/>
                <w:sz w:val="22"/>
                <w:szCs w:val="22"/>
                <w:highlight w:val="white"/>
              </w:rPr>
              <w:t xml:space="preserve">ra đường chính 60m ra Đường Chăn Nuôi</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ài sản tại: Khu dân cư xã Tây Phương, Thành phố Hà Nội</w:t>
            </w:r>
            <w:r>
              <w:rPr>
                <w:color w:val="000000" w:themeColor="text1"/>
                <w:sz w:val="22"/>
                <w:szCs w:val="22"/>
                <w:highlight w:val="white"/>
              </w:rPr>
              <w:t xml:space="preserve"> Cách trục chính Chàng Sơn khoảng 100m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ài sản tại: Khu dân cư xã Tây Phương, Thành phố Hà Nội</w:t>
            </w:r>
            <w:r>
              <w:rPr>
                <w:color w:val="000000" w:themeColor="text1"/>
                <w:sz w:val="22"/>
                <w:szCs w:val="22"/>
                <w:highlight w:val="white"/>
              </w:rPr>
              <w:t xml:space="preserve"> Cách trục chính Chàng Sơn khoảng 40m</w:t>
            </w:r>
            <w:r>
              <w:rPr>
                <w:color w:val="000000"/>
                <w:sz w:val="22"/>
                <w:szCs w:val="22"/>
                <w:highlight w:val="white"/>
              </w:rPr>
            </w:r>
            <w:r>
              <w:rPr>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ài sản tại: Khu dân cư xã Tây Phương, Thành phố Hà Nội</w:t>
            </w:r>
            <w:r>
              <w:rPr>
                <w:color w:val="000000" w:themeColor="text1"/>
                <w:sz w:val="22"/>
                <w:szCs w:val="22"/>
                <w:highlight w:val="white"/>
              </w:rPr>
              <w:t xml:space="preserve"> Cách trục chính Chàng Sơn khoảng 60m</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49.411.842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58.563.120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49.411.842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58.563.120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2.470.592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51.882.434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58.563.120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-7.411.776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-8.251.968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44.470.658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46.761.152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45.900.000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-2.470.592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42.000.066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46.761.152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44.460.000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2.470.592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44.470.658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46.761.152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46.860.000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r>
            <w:commentRangeStart w:id="6"/>
            <w:r>
              <w:rPr>
                <w:color w:val="000000" w:themeColor="text1"/>
                <w:sz w:val="22"/>
                <w:szCs w:val="22"/>
                <w:highlight w:val="yellow"/>
              </w:rPr>
              <w:t xml:space="preserve">Tương đối vuông vức</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Tương đối vuông vức</w:t>
            </w:r>
            <w:r>
              <w:rPr>
                <w:b/>
                <w:bCs/>
                <w:color w:val="000000"/>
                <w:sz w:val="22"/>
                <w:szCs w:val="22"/>
                <w:highlight w:val="yellow"/>
              </w:rPr>
            </w:r>
            <w:r>
              <w:rPr>
                <w:b/>
                <w:bCs/>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-5%</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-15%</w:t>
            </w:r>
            <w:r>
              <w:rPr>
                <w:color w:val="000000"/>
                <w:sz w:val="22"/>
                <w:szCs w:val="22"/>
                <w:highlight w:val="yellow"/>
              </w:rPr>
            </w:r>
            <w:commentRangeEnd w:id="6"/>
            <w:r>
              <w:commentReference w:id="6"/>
            </w:r>
            <w:r>
              <w:rPr>
                <w:color w:val="000000"/>
                <w:sz w:val="22"/>
                <w:szCs w:val="22"/>
                <w:highlight w:val="yellow"/>
              </w:rPr>
            </w:r>
            <w:r>
              <w:rPr>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-2.750.656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44.470.658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44.010.496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38.760.000</w:t>
            </w:r>
            <w:r>
              <w:rPr>
                <w:color w:val="000000"/>
                <w:sz w:val="22"/>
                <w:szCs w:val="22"/>
              </w:rPr>
            </w:r>
            <w:r>
              <w:rPr>
                <w:color w:val="000000"/>
                <w:sz w:val="22"/>
                <w:szCs w:val="22"/>
              </w:rPr>
            </w:r>
          </w:p>
        </w:tc>
      </w:tr>
      <w:tr>
        <w:trPr>
          <w:trHeight w:val="1521"/>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bị đường đâm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Đất gần khu vực tâm linh (Miếu thờ cúng tâm linh, đình, đền, chùa…)&lt;=30m</w:t>
            </w:r>
            <w:r>
              <w:rPr>
                <w:b/>
                <w:bCs/>
                <w:color w:val="000000"/>
                <w:sz w:val="22"/>
                <w:szCs w:val="22"/>
                <w:highlight w:val="yellow"/>
              </w:rPr>
            </w:r>
            <w:r>
              <w:rPr>
                <w:b/>
                <w:bCs/>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-2.470.592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-2.750.656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42.000.066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41.259.840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41.160.000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42.000.066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41.259.840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41.160.000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41.473.302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-0,51%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-0,76%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17.294.144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13.753.280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21.840.000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7.411.776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13.753.280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6.840.000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-0,76</w:t>
      </w:r>
      <w:r>
        <w:t xml:space="preserve">% đến</w:t>
      </w:r>
      <w:r>
        <w:t xml:space="preserve"> </w:t>
      </w:r>
      <w:r>
        <w:t xml:space="preserve"> </w:t>
      </w:r>
      <w:r>
        <w:t xml:space="preserve">1,27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42.000.066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14.002.822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41.259.840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13.751.905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41.160.000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13.718.628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41.473.355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41.000.000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41.000.000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154, tờ bản đồ số: 20, có địa chỉ: Thôn 1, xã Tây Phương, thàn</w:t>
            </w:r>
            <w:r>
              <w:rPr>
                <w:color w:val="000000"/>
              </w:rPr>
              <w:t xml:space="preserve">h phố Hà Nội theo Giấy chứng nhận quyền sử dụng đất, quyền sở hữu tài sản gắn liền với đất số: AA 06010189, Số vào sổ cấp GCN: CN1895 do Chi nhánh văn phòng đăng ký đất đai Hà Nội - Huyện Thạch Thất cấp ngày 06/03/2026; chủ sử dụng đất là Ông Phan Văn Toàn</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90"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69" w:type="dxa"/>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205,6</w:t>
            </w:r>
            <w:r>
              <w:rPr>
                <w:b w:val="0"/>
                <w:bCs w:val="0"/>
                <w:color w:val="000000"/>
              </w:rPr>
            </w:r>
            <w:r>
              <w:rPr>
                <w:b w:val="0"/>
                <w:bCs w:val="0"/>
                <w:color w:val="000000"/>
              </w:rPr>
            </w:r>
          </w:p>
        </w:tc>
        <w:tc>
          <w:tcPr>
            <w:shd w:val="clear" w:color="000000" w:fill="ffffff"/>
            <w:tcBorders/>
            <w:tcW w:w="2646" w:type="dxa"/>
            <w:vAlign w:val="center"/>
            <w:textDirection w:val="lrTb"/>
            <w:noWrap w:val="false"/>
          </w:tcPr>
          <w:p>
            <w:pPr>
              <w:pBdr/>
              <w:spacing w:after="40" w:before="40" w:line="288" w:lineRule="auto"/>
              <w:ind/>
              <w:jc w:val="center"/>
              <w:rPr>
                <w:b w:val="0"/>
                <w:bCs w:val="0"/>
              </w:rPr>
            </w:pPr>
            <w:r>
              <w:rPr>
                <w:b w:val="0"/>
                <w:bCs w:val="0"/>
                <w:color w:val="000000" w:themeColor="text1"/>
              </w:rPr>
            </w:r>
            <w:r>
              <w:rPr>
                <w:b w:val="0"/>
                <w:bCs w:val="0"/>
                <w:color w:val="000000" w:themeColor="text1"/>
                <w:lang w:val="vi-VN"/>
              </w:rPr>
              <w:t xml:space="preserve">41.000.000</w:t>
            </w:r>
            <w:r>
              <w:rPr>
                <w:b w:val="0"/>
                <w:bCs w:val="0"/>
              </w:rPr>
            </w:r>
            <w:r>
              <w:rPr>
                <w:b w:val="0"/>
                <w:bCs w:val="0"/>
              </w:rP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8.429.600.000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rPr>
            </w:pPr>
            <w:r>
              <w:rPr>
                <w:b/>
                <w:bCs/>
                <w:color w:val="000000" w:themeColor="text1"/>
              </w:rPr>
              <w:t xml:space="preserve">8.429.600.000</w:t>
            </w:r>
            <w:r>
              <w:rPr>
                <w:b/>
                <w:bCs/>
              </w:rPr>
            </w:r>
            <w:r>
              <w:rPr>
                <w:b/>
                <w:bCs/>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w:t>
            </w:r>
            <w:r>
              <w:rPr>
                <w:b/>
                <w:bCs/>
                <w:i/>
                <w:iCs/>
                <w:color w:val="000000"/>
                <w:highlight w:val="yellow"/>
              </w:rPr>
              <w:t xml:space="preserve">triệu, bốn</w:t>
            </w:r>
            <w:r>
              <w:rPr>
                <w:b/>
                <w:bCs/>
                <w:i/>
                <w:iCs/>
                <w:color w:val="000000"/>
              </w:rPr>
              <w:t xml:space="preserve"> trăm hai mươi chín triệu, sáu trăm nghìn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41"/>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cấp 4, tổng diện tích xây dựng khoảng 102,8m2, xây dựng từ năm 2000, Công trình chưa được công nhận trên GCN QSDĐ số: AA </w:t>
      </w:r>
      <w:r>
        <w:rPr>
          <w:color w:val="000000"/>
        </w:rPr>
        <w:t xml:space="preserve">06010189. </w:t>
      </w:r>
      <w:r>
        <w:rPr>
          <w:rFonts w:ascii="Times New Roman" w:hAnsi="Times New Roman" w:eastAsia="Times New Roman" w:cs="Times New Roman"/>
          <w:color w:val="000000"/>
          <w:spacing w:val="-2"/>
          <w:sz w:val="24"/>
          <w:highlight w:val="white"/>
        </w:rPr>
        <w:t xml:space="preserve"> Đồng thời, Tổ thẩm định cũng không nhận được bất kỳ giấy tờ pháp lý nào liên quan đến chủ tài sản. Theo đề nghị của Khách hàng/ Ngân hàng, Tổ thẩm định không xác định giá trị CTXD nhưng vẫn coi đó là phần không thể thiếu của tài sản thẩm định.</w:t>
      </w:r>
      <w:r>
        <w:rPr>
          <w:spacing w:val="-2"/>
          <w:lang w:val="pt-BR"/>
        </w:rPr>
      </w:r>
      <w:r>
        <w:rPr>
          <w:spacing w:val="-2"/>
          <w:lang w:val="pt-BR"/>
        </w:rPr>
      </w:r>
    </w:p>
    <w:p>
      <w:pPr>
        <w:pStyle w:val="1031"/>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Bdr/>
        <w:shd w:val="nil" w:color="auto"/>
        <w:spacing/>
        <w:ind/>
        <w:rPr>
          <w:lang w:val="pt-BR"/>
        </w:rPr>
      </w:pPr>
      <w:r>
        <w:rPr>
          <w:lang w:val="pt-BR"/>
        </w:rPr>
        <w:br w:type="page" w:clear="all"/>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275/2026/1498/VFI-CT.44.A</w:t>
      </w:r>
      <w:r>
        <w:rPr>
          <w:color w:val="ff0000"/>
          <w:lang w:val="vi-VN"/>
        </w:rPr>
        <w:t xml:space="preserve"> </w:t>
      </w:r>
      <w:r>
        <w:rPr>
          <w:color w:val="000000" w:themeColor="text1"/>
        </w:rPr>
        <w:t xml:space="preserve">ngày 23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w:t>
      </w:r>
      <w:commentRangeStart w:id="7"/>
      <w:r>
        <w:rPr>
          <w:b/>
          <w:lang w:val="pt-BR"/>
        </w:rPr>
        <w:t xml:space="preserve">HÁP LÝ </w:t>
      </w:r>
      <w:r>
        <w:rPr>
          <w:b/>
          <w:lang w:val="pt-BR"/>
        </w:rPr>
        <w:t xml:space="preserve">CỦA T</w:t>
      </w:r>
      <w:commentRangeEnd w:id="7"/>
      <w:r>
        <w:commentReference w:id="7"/>
      </w:r>
      <w:r>
        <w:rPr>
          <w:b/>
          <w:lang w:val="pt-BR"/>
        </w:rPr>
        <w:t xml:space="preserve">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275/2026/1498/VFI-BC.</w:t>
      </w:r>
      <w:r>
        <w:rPr>
          <w:i/>
          <w:highlight w:val="yellow"/>
        </w:rPr>
        <w:t xml:space="preserve">44.A</w:t>
      </w:r>
      <w:r>
        <w:rPr>
          <w:i/>
          <w:highlight w:val="yellow"/>
          <w:lang w:val="pt-BR"/>
        </w:rPr>
        <w:t xml:space="preserve"> ngày </w:t>
      </w:r>
      <w:r>
        <w:rPr>
          <w:i/>
          <w:highlight w:val="yellow"/>
          <w:lang w:val="pt-BR"/>
        </w:rPr>
        <w:t xml:space="preserve">23 tháng </w:t>
      </w:r>
      <w:r>
        <w:rPr>
          <w:i/>
          <w:lang w:val="pt-BR"/>
        </w:rPr>
        <w:t xml:space="preserve">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95678" cy="280620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73908" name=""/>
                              <pic:cNvPicPr>
                                <a:picLocks noChangeAspect="1"/>
                              </pic:cNvPicPr>
                              <pic:nvPr/>
                            </pic:nvPicPr>
                            <pic:blipFill rotWithShape="1">
                              <a:blip r:embed="rId20"/>
                              <a:stretch/>
                            </pic:blipFill>
                            <pic:spPr bwMode="auto">
                              <a:xfrm flipH="0" flipV="0">
                                <a:off x="0" y="0"/>
                                <a:ext cx="1295678" cy="28062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02.02pt;height:220.9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7478" cy="206060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20119" name=""/>
                              <pic:cNvPicPr>
                                <a:picLocks noChangeAspect="1"/>
                              </pic:cNvPicPr>
                              <pic:nvPr/>
                            </pic:nvPicPr>
                            <pic:blipFill rotWithShape="1">
                              <a:blip r:embed="rId21"/>
                              <a:stretch/>
                            </pic:blipFill>
                            <pic:spPr bwMode="auto">
                              <a:xfrm flipH="0" flipV="0">
                                <a:off x="0" y="0"/>
                                <a:ext cx="2747477" cy="20606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6.34pt;height:162.2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9674" cy="209756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29521" name=""/>
                              <pic:cNvPicPr>
                                <a:picLocks noChangeAspect="1"/>
                              </pic:cNvPicPr>
                              <pic:nvPr/>
                            </pic:nvPicPr>
                            <pic:blipFill rotWithShape="1">
                              <a:blip r:embed="rId22"/>
                              <a:stretch/>
                            </pic:blipFill>
                            <pic:spPr bwMode="auto">
                              <a:xfrm flipH="0" flipV="0">
                                <a:off x="0" y="0"/>
                                <a:ext cx="2799674" cy="20975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45pt;height:165.1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3216" cy="206491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94166" name=""/>
                              <pic:cNvPicPr>
                                <a:picLocks noChangeAspect="1"/>
                              </pic:cNvPicPr>
                              <pic:nvPr/>
                            </pic:nvPicPr>
                            <pic:blipFill rotWithShape="1">
                              <a:blip r:embed="rId23"/>
                              <a:stretch/>
                            </pic:blipFill>
                            <pic:spPr bwMode="auto">
                              <a:xfrm flipH="0" flipV="0">
                                <a:off x="0" y="0"/>
                                <a:ext cx="2753216" cy="20649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6.79pt;height:162.5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4261" cy="211069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36897" name=""/>
                              <pic:cNvPicPr>
                                <a:picLocks noChangeAspect="1"/>
                              </pic:cNvPicPr>
                              <pic:nvPr/>
                            </pic:nvPicPr>
                            <pic:blipFill rotWithShape="1">
                              <a:blip r:embed="rId24"/>
                              <a:stretch/>
                            </pic:blipFill>
                            <pic:spPr bwMode="auto">
                              <a:xfrm flipH="0" flipV="0">
                                <a:off x="0" y="0"/>
                                <a:ext cx="2814261" cy="21106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1.60pt;height:166.2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08686" cy="217923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29519" name=""/>
                              <pic:cNvPicPr>
                                <a:picLocks noChangeAspect="1"/>
                              </pic:cNvPicPr>
                              <pic:nvPr/>
                            </pic:nvPicPr>
                            <pic:blipFill rotWithShape="1">
                              <a:blip r:embed="rId25"/>
                              <a:stretch/>
                            </pic:blipFill>
                            <pic:spPr bwMode="auto">
                              <a:xfrm flipH="0" flipV="0">
                                <a:off x="0" y="0"/>
                                <a:ext cx="2908685" cy="2179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9.03pt;height:171.59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highlight w:val="none"/>
        </w:rPr>
      </w:pP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64478"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05691"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7" o:title=""/>
                <o:lock v:ext="edit" rotation="t"/>
              </v:shape>
            </w:pict>
          </mc:Fallback>
        </mc:AlternateContent>
      </w:r>
      <w:r>
        <w:rPr>
          <w:highlight w:val="none"/>
        </w:rPr>
      </w:r>
      <w:r>
        <w:rPr>
          <w:highlight w:val="none"/>
        </w:rPr>
      </w:r>
    </w:p>
    <w:p>
      <w:pPr>
        <w:pBdr/>
        <w:spacing/>
        <w:ind/>
        <w:rPr/>
      </w:pPr>
      <w:r>
        <w:rPr>
          <w:highlight w:val="none"/>
        </w:rPr>
      </w:r>
      <w:r>
        <mc:AlternateContent>
          <mc:Choice Requires="wpg">
            <w:drawing>
              <wp:inline xmlns:wp="http://schemas.openxmlformats.org/drawingml/2006/wordprocessingDrawing" distT="0" distB="0" distL="0" distR="0">
                <wp:extent cx="5204579" cy="925258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55445" name=""/>
                        <pic:cNvPicPr>
                          <a:picLocks noChangeAspect="1"/>
                        </pic:cNvPicPr>
                        <pic:nvPr/>
                      </pic:nvPicPr>
                      <pic:blipFill rotWithShape="1">
                        <a:blip r:embed="rId28"/>
                        <a:stretch/>
                      </pic:blipFill>
                      <pic:spPr bwMode="auto">
                        <a:xfrm>
                          <a:off x="0" y="0"/>
                          <a:ext cx="520457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9.81pt;height:728.55pt;mso-wrap-distance-left:0.00pt;mso-wrap-distance-top:0.00pt;mso-wrap-distance-right:0.00pt;mso-wrap-distance-bottom:0.00pt;z-index:1;" stroked="false">
                <v:imagedata r:id="rId28"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w:t>
      </w:r>
      <w:commentRangeStart w:id="8"/>
      <w:r>
        <w:rPr>
          <w:b/>
          <w:lang w:val="vi-VN"/>
        </w:rPr>
        <w:t xml:space="preserve">HẬP THỊ TR</w:t>
      </w:r>
      <w:commentRangeEnd w:id="8"/>
      <w:r>
        <w:commentReference w:id="8"/>
      </w:r>
      <w:r>
        <w:rPr>
          <w:b/>
          <w:lang w:val="vi-VN"/>
        </w:rPr>
        <w:t xml:space="preserve">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275/2026/1498/VFI-BC.4</w:t>
      </w:r>
      <w:r>
        <w:rPr>
          <w:i/>
          <w:highlight w:val="yellow"/>
        </w:rPr>
        <w:t xml:space="preserve">4.A</w:t>
      </w:r>
      <w:r>
        <w:rPr>
          <w:i/>
          <w:highlight w:val="yellow"/>
          <w:lang w:val="pt-BR"/>
        </w:rPr>
        <w:t xml:space="preserve"> </w:t>
      </w:r>
      <w:r>
        <w:rPr>
          <w:i/>
          <w:highlight w:val="yellow"/>
          <w:lang w:val="pt-BR"/>
        </w:rPr>
        <w:t xml:space="preserve">ngày 23 tháng 9 n</w:t>
      </w:r>
      <w:r>
        <w:rPr>
          <w:i/>
          <w:lang w:val="pt-BR"/>
        </w:rPr>
        <w:t xml:space="preserve">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https://www.facebook.com/share/p/17tFFd18nx/</w:t>
            </w:r>
            <w:r>
              <w:rPr>
                <w:color w:val="000000" w:themeColor="text1"/>
                <w:sz w:val="22"/>
                <w:szCs w:val="22"/>
              </w:rPr>
              <w:br/>
              <w:t xml:space="preserve">SĐT: 0943701936 </w:t>
            </w:r>
            <w:r>
              <w:rPr>
                <w:sz w:val="22"/>
                <w:szCs w:val="22"/>
              </w:rPr>
              <w:t xml:space="preserve">(Phương Nhi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5.522.500.000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4.694.125.000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yellow"/>
              </w:rPr>
            </w:pPr>
            <w:r>
              <w:rPr>
                <w:color w:val="000000" w:themeColor="text1"/>
                <w:sz w:val="22"/>
                <w:szCs w:val="22"/>
              </w:rPr>
              <w:t xml:space="preserve">Tài s</w:t>
            </w:r>
            <w:r>
              <w:rPr>
                <w:color w:val="000000" w:themeColor="text1"/>
                <w:sz w:val="22"/>
                <w:szCs w:val="22"/>
              </w:rPr>
              <w:t xml:space="preserve">ản tại: </w:t>
            </w:r>
            <w:r>
              <w:rPr>
                <w:color w:val="000000" w:themeColor="text1"/>
                <w:sz w:val="22"/>
                <w:szCs w:val="22"/>
                <w:highlight w:val="yellow"/>
              </w:rPr>
              <w:t xml:space="preserve">T</w:t>
            </w:r>
            <w:r>
              <w:rPr>
                <w:color w:val="000000" w:themeColor="text1"/>
                <w:sz w:val="22"/>
                <w:szCs w:val="22"/>
                <w:highlight w:val="yellow"/>
              </w:rPr>
              <w:t xml:space="preserve">ài sản tại: Khu dân cư xã Tây Phương, Thành phố Hà Nội</w:t>
            </w:r>
            <w:r>
              <w:rPr>
                <w:color w:val="000000" w:themeColor="text1"/>
                <w:sz w:val="22"/>
                <w:szCs w:val="22"/>
                <w:highlight w:val="yellow"/>
              </w:rPr>
              <w:t xml:space="preserve"> Cách trục chính Chàng Sơn khoảng 100m</w:t>
            </w:r>
            <w:r>
              <w:rPr>
                <w:color w:val="000000" w:themeColor="text1"/>
                <w:sz w:val="22"/>
                <w:szCs w:val="22"/>
              </w:rPr>
              <w:t xml:space="preserve">, độ rộng đường trước mặt tài sản 3,2m</w:t>
            </w:r>
            <w:r>
              <w:rPr>
                <w:color w:val="000000"/>
                <w:sz w:val="22"/>
                <w:szCs w:val="22"/>
                <w:highlight w:val="yellow"/>
              </w:rPr>
            </w:r>
            <w:r>
              <w:rPr>
                <w:color w:val="000000"/>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15,81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bất lợi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bl>
    <w:p>
      <w:pPr>
        <w:pBdr/>
        <w:spacing/>
        <w:ind/>
        <w:rPr/>
      </w:pPr>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3683345" cy="3414939"/>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56765" name=""/>
                              <pic:cNvPicPr>
                                <a:picLocks noChangeAspect="1"/>
                              </pic:cNvPicPr>
                              <pic:nvPr/>
                            </pic:nvPicPr>
                            <pic:blipFill rotWithShape="1">
                              <a:blip r:embed="rId29"/>
                              <a:stretch/>
                            </pic:blipFill>
                            <pic:spPr bwMode="auto">
                              <a:xfrm flipH="0" flipV="0">
                                <a:off x="0" y="0"/>
                                <a:ext cx="3683344" cy="34149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90.03pt;height:268.89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SĐT: 0963607662</w:t>
            </w:r>
            <w:r>
              <w:rPr>
                <w:sz w:val="22"/>
                <w:szCs w:val="22"/>
              </w:rPr>
              <w:t xml:space="preserve"> </w:t>
            </w:r>
            <w:r>
              <w:rPr>
                <w:sz w:val="22"/>
                <w:szCs w:val="22"/>
              </w:rPr>
              <w:t xml:space="preserve">(Cấn Loan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6.816.000.000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5.452.800.000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yellow"/>
              </w:rPr>
            </w:pPr>
            <w:r>
              <w:rPr>
                <w:color w:val="000000" w:themeColor="text1"/>
                <w:sz w:val="22"/>
                <w:szCs w:val="22"/>
              </w:rPr>
              <w:t xml:space="preserve">Tài s</w:t>
            </w:r>
            <w:r>
              <w:rPr>
                <w:color w:val="000000" w:themeColor="text1"/>
                <w:sz w:val="22"/>
                <w:szCs w:val="22"/>
              </w:rPr>
              <w:t xml:space="preserve">ản tại: </w:t>
            </w:r>
            <w:r>
              <w:rPr>
                <w:color w:val="000000" w:themeColor="text1"/>
                <w:sz w:val="22"/>
                <w:szCs w:val="22"/>
                <w:highlight w:val="yellow"/>
              </w:rPr>
              <w:t xml:space="preserve">T</w:t>
            </w:r>
            <w:r>
              <w:rPr>
                <w:color w:val="000000" w:themeColor="text1"/>
                <w:sz w:val="22"/>
                <w:szCs w:val="22"/>
                <w:highlight w:val="yellow"/>
              </w:rPr>
              <w:t xml:space="preserve">ài sản tại: Khu dân cư xã Tây Phương, Thành phố Hà Nội</w:t>
            </w:r>
            <w:r>
              <w:rPr>
                <w:color w:val="000000" w:themeColor="text1"/>
                <w:sz w:val="22"/>
                <w:szCs w:val="22"/>
                <w:highlight w:val="yellow"/>
              </w:rPr>
              <w:t xml:space="preserve"> Cách trục chính Chàng Sơn khoảng 40m</w:t>
            </w:r>
            <w:r>
              <w:rPr>
                <w:color w:val="000000" w:themeColor="text1"/>
                <w:sz w:val="22"/>
                <w:szCs w:val="22"/>
              </w:rPr>
              <w:t xml:space="preserve">, độ rộng đường trước mặt tài sản 3,2m</w:t>
            </w:r>
            <w:r>
              <w:rPr>
                <w:color w:val="000000"/>
                <w:sz w:val="22"/>
                <w:szCs w:val="22"/>
                <w:highlight w:val="yellow"/>
              </w:rPr>
            </w:r>
            <w:r>
              <w:rPr>
                <w:color w:val="000000"/>
                <w:sz w:val="22"/>
                <w:szCs w:val="22"/>
                <w:highlight w:val="yellow"/>
              </w:rPr>
            </w:r>
          </w:p>
          <w:p>
            <w:pPr>
              <w:pBdr/>
              <w:spacing w:line="276" w:lineRule="auto"/>
              <w:ind/>
              <w:jc w:val="center"/>
              <w:rPr>
                <w:sz w:val="22"/>
                <w:szCs w:val="22"/>
              </w:rPr>
            </w:pPr>
            <w:r>
              <w:rPr>
                <w:color w:val="000000" w:themeColor="text1"/>
                <w:sz w:val="22"/>
                <w:szCs w:val="22"/>
              </w:rPr>
              <w:t xml:space="preserve">, khoảng cách ra đường chính 40m, độ rộng đường trước mặt tài sản 4m, mặt tiền 9.1m, 21.036682427954254, 105.60315379193244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bất lợi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03754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0375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17.9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9214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4921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53.7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09211"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35092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76.32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64165" cy="2993485"/>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664164" cy="2993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9.78pt;height:235.71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57979"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661585920" name="" descr=""/>
                              <pic:cNvPicPr/>
                              <pic:nvPr/>
                            </pic:nvPicPr>
                            <pic:blipFill rotWithShape="1">
                              <a:blip r:embed="rId34"/>
                              <a:stretch/>
                            </pic:blipFill>
                            <pic:spPr bwMode="auto">
                              <a:xfrm>
                                <a:off x="0" y="0"/>
                                <a:ext cx="255797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1.4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0963607662</w:t>
            </w:r>
            <w:r>
              <w:rPr>
                <w:sz w:val="22"/>
                <w:szCs w:val="22"/>
              </w:rPr>
              <w:t xml:space="preserve"> </w:t>
            </w:r>
            <w:r>
              <w:rPr>
                <w:sz w:val="22"/>
                <w:szCs w:val="22"/>
              </w:rPr>
              <w:t xml:space="preserve">(Cấn Loan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yellow"/>
              </w:rPr>
            </w:pPr>
            <w:r>
              <w:rPr>
                <w:color w:val="000000" w:themeColor="text1"/>
                <w:sz w:val="22"/>
                <w:szCs w:val="22"/>
              </w:rPr>
              <w:t xml:space="preserve">Tài sản tại: </w:t>
            </w:r>
            <w:r>
              <w:rPr>
                <w:color w:val="000000" w:themeColor="text1"/>
                <w:sz w:val="22"/>
                <w:szCs w:val="22"/>
                <w:highlight w:val="yellow"/>
              </w:rPr>
              <w:t xml:space="preserve">T</w:t>
            </w:r>
            <w:r>
              <w:rPr>
                <w:color w:val="000000" w:themeColor="text1"/>
                <w:sz w:val="22"/>
                <w:szCs w:val="22"/>
                <w:highlight w:val="yellow"/>
              </w:rPr>
              <w:t xml:space="preserve">ài sản tại: Khu dân cư xã Tây Phương, Thành phố Hà Nội</w:t>
            </w:r>
            <w:r>
              <w:rPr>
                <w:color w:val="000000" w:themeColor="text1"/>
                <w:sz w:val="22"/>
                <w:szCs w:val="22"/>
                <w:highlight w:val="yellow"/>
              </w:rPr>
              <w:t xml:space="preserve"> Cách trục chính Chàng Sơn khoảng 60m</w:t>
            </w:r>
            <w:r>
              <w:rPr>
                <w:color w:val="000000" w:themeColor="text1"/>
                <w:sz w:val="22"/>
                <w:szCs w:val="22"/>
              </w:rPr>
              <w:t xml:space="preserve">, độ rộng đường trước mặt tài sản 3m</w:t>
            </w:r>
            <w:r>
              <w:rPr>
                <w:color w:val="000000"/>
                <w:sz w:val="22"/>
                <w:szCs w:val="22"/>
                <w:highlight w:val="yellow"/>
              </w:rPr>
            </w:r>
            <w:r>
              <w:rPr>
                <w:color w:val="000000"/>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gần khu vực tâm linh (Miếu thờ cúng tâm linh, đình, đền, chùa…)&lt;=30m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07486"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34074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68.31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051432"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05143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19.01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96672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39667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12.34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692987"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36929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90.79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5957"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4659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15.43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27237"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19272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51.75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Lê Đình Duy</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 w:author="Nguyễn Thị Thùy Dương" w:date="2026-09-24T15:06:57Z" w:initials="NTTD">
    <w:p w14:paraId="00000001" w14:textId="00000001">
      <w:pPr>
        <w:spacing w:line="240" w:after="0" w:lineRule="auto" w:before="0"/>
        <w:ind w:firstLine="0" w:left="0" w:right="0"/>
        <w:jc w:val="left"/>
      </w:pPr>
      <w:r>
        <w:rPr>
          <w:rFonts w:eastAsia="Arial" w:ascii="Arial" w:hAnsi="Arial" w:cs="Arial"/>
          <w:sz w:val="22"/>
        </w:rPr>
        <w:t xml:space="preserve">Bổ sung mô tat công trình</w:t>
      </w:r>
    </w:p>
  </w:comment>
  <w:comment w:id="7" w:author="Nguyễn Thị Thùy Dương" w:date="2026-09-24T15:03:28Z" w:initials="NTTD">
    <w:p w14:paraId="00000002" w14:textId="00000002">
      <w:pPr>
        <w:spacing w:line="240" w:after="0" w:lineRule="auto" w:before="0"/>
        <w:ind w:firstLine="0" w:left="0" w:right="0"/>
        <w:jc w:val="left"/>
      </w:pPr>
      <w:r>
        <w:rPr>
          <w:rFonts w:eastAsia="Arial" w:ascii="Arial" w:hAnsi="Arial" w:cs="Arial"/>
          <w:sz w:val="22"/>
        </w:rPr>
        <w:t xml:space="preserve">Bổ sung hình ảnh thể hiện đường đâm</w:t>
      </w:r>
    </w:p>
  </w:comment>
  <w:comment w:id="6" w:author="Nguyễn Thị Thùy Dương" w:date="2026-09-24T15:01:19Z" w:initials="NTTD">
    <w:p w14:paraId="00000003" w14:textId="00000003">
      <w:pPr>
        <w:spacing w:line="240" w:after="0" w:lineRule="auto" w:before="0"/>
        <w:ind w:firstLine="0" w:left="0" w:right="0"/>
        <w:jc w:val="left"/>
      </w:pPr>
      <w:r>
        <w:rPr>
          <w:rFonts w:eastAsia="Arial" w:ascii="Arial" w:hAnsi="Arial" w:cs="Arial"/>
          <w:sz w:val="22"/>
        </w:rPr>
        <w:t xml:space="preserve">Xem lại điều chỉnh</w:t>
      </w:r>
    </w:p>
  </w:comment>
  <w:comment w:id="5" w:author="Nguyễn Thị Thùy Dương" w:date="2026-09-24T15:01:55Z" w:initials="NTTD">
    <w:p w14:paraId="00000004" w14:textId="00000004">
      <w:pPr>
        <w:spacing w:line="240" w:after="0" w:lineRule="auto" w:before="0"/>
        <w:ind w:firstLine="0" w:left="0" w:right="0"/>
        <w:jc w:val="left"/>
      </w:pPr>
      <w:r>
        <w:rPr>
          <w:rFonts w:eastAsia="Arial" w:ascii="Arial" w:hAnsi="Arial" w:cs="Arial"/>
          <w:sz w:val="22"/>
        </w:rPr>
        <w:t xml:space="preserve">Thiếu cong trình, bất lợi</w:t>
      </w:r>
    </w:p>
  </w:comment>
  <w:comment w:id="4" w:author="Nguyễn Thị Thùy Dương" w:date="2026-09-24T15:04:38Z" w:initials="NTTD">
    <w:p w14:paraId="00000005" w14:textId="00000005">
      <w:pPr>
        <w:spacing w:line="240" w:after="0" w:lineRule="auto" w:before="0"/>
        <w:ind w:firstLine="0" w:left="0" w:right="0"/>
        <w:jc w:val="left"/>
      </w:pPr>
      <w:r>
        <w:rPr>
          <w:rFonts w:eastAsia="Arial" w:ascii="Arial" w:hAnsi="Arial" w:cs="Arial"/>
          <w:sz w:val="22"/>
        </w:rPr>
        <w:t xml:space="preserve">Mô tả hết chưa</w:t>
      </w:r>
    </w:p>
  </w:comment>
  <w:comment w:id="3" w:author="Nguyễn Thị Thùy Dương" w:date="2026-09-24T15:05:39Z" w:initials="NTTD">
    <w:p w14:paraId="00000006" w14:textId="00000006">
      <w:pPr>
        <w:spacing w:line="240" w:after="0" w:lineRule="auto" w:before="0"/>
        <w:ind w:firstLine="0" w:left="0" w:right="0"/>
        <w:jc w:val="left"/>
      </w:pPr>
      <w:r>
        <w:rPr>
          <w:rFonts w:eastAsia="Arial" w:ascii="Arial" w:hAnsi="Arial" w:cs="Arial"/>
          <w:sz w:val="22"/>
        </w:rPr>
        <w:t xml:space="preserve">Định vị sai lệch</w:t>
      </w:r>
    </w:p>
  </w:comment>
  <w:comment w:id="2" w:author="Nguyễn Thị Thùy Dương" w:date="2026-09-24T14:56:26Z" w:initials="NTTD">
    <w:p w14:paraId="00000007" w14:textId="00000007">
      <w:pPr>
        <w:spacing w:line="240" w:after="0" w:lineRule="auto" w:before="0"/>
        <w:ind w:firstLine="0" w:left="0" w:right="0"/>
        <w:jc w:val="left"/>
      </w:pPr>
      <w:r>
        <w:rPr>
          <w:rFonts w:eastAsia="Arial" w:ascii="Arial" w:hAnsi="Arial" w:cs="Arial"/>
          <w:sz w:val="22"/>
        </w:rPr>
        <w:t xml:space="preserve">?</w:t>
      </w:r>
    </w:p>
  </w:comment>
  <w:comment w:id="1" w:author="Nguyễn Thị Thùy Dương" w:date="2026-09-24T14:54:28Z" w:initials="NTTD">
    <w:p w14:paraId="00000008" w14:textId="00000008">
      <w:pPr>
        <w:spacing w:line="240" w:after="0" w:lineRule="auto" w:before="0"/>
        <w:ind w:firstLine="0" w:left="0" w:right="0"/>
        <w:jc w:val="left"/>
      </w:pPr>
      <w:r>
        <w:rPr>
          <w:rFonts w:eastAsia="Arial" w:ascii="Arial" w:hAnsi="Arial" w:cs="Arial"/>
          <w:sz w:val="22"/>
        </w:rPr>
        <w:t xml:space="preserve">Ngày. Kiểm tra lại ngày</w:t>
      </w:r>
    </w:p>
  </w:comment>
  <w:comment w:id="0" w:author="Nguyễn Thị Thùy Dương" w:date="2026-09-24T15:06:02Z" w:initials="NTTD">
    <w:p w14:paraId="00000009" w14:textId="00000009">
      <w:pPr>
        <w:spacing w:line="240" w:after="0" w:lineRule="auto" w:before="0"/>
        <w:ind w:firstLine="0" w:left="0" w:right="0"/>
        <w:jc w:val="left"/>
      </w:pPr>
      <w:r>
        <w:rPr>
          <w:rFonts w:eastAsia="Arial" w:ascii="Arial" w:hAnsi="Arial" w:cs="Arial"/>
          <w:sz w:val="22"/>
        </w:rPr>
        <w:t xml:space="preserve">Định vị sai lệch</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5" w15:done="0"/>
  <w15:commentEx w15:paraId="00000006" w15:done="0"/>
  <w15:commentEx w15:paraId="00000007" w15:done="0"/>
  <w15:commentEx w15:paraId="00000008" w15:done="0"/>
  <w15:commentEx w15:paraId="000000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EDC0D49" w16cex:dateUtc="2026-09-24T08:06:57Z"/>
  <w16cex:commentExtensible w16cex:durableId="0EDAF2CB" w16cex:dateUtc="2026-09-24T08:03:28Z"/>
  <w16cex:commentExtensible w16cex:durableId="0489588E" w16cex:dateUtc="2026-09-24T08:01:19Z"/>
  <w16cex:commentExtensible w16cex:durableId="57E1055F" w16cex:dateUtc="2026-09-24T08:01:55Z"/>
  <w16cex:commentExtensible w16cex:durableId="0CC14574" w16cex:dateUtc="2026-09-24T08:04:38Z"/>
  <w16cex:commentExtensible w16cex:durableId="1FEF4374" w16cex:dateUtc="2026-09-24T08:05:39Z"/>
  <w16cex:commentExtensible w16cex:durableId="4DF1C14D" w16cex:dateUtc="2026-09-24T07:56:26Z"/>
  <w16cex:commentExtensible w16cex:durableId="133B4CB8" w16cex:dateUtc="2026-09-24T07:54:28Z"/>
  <w16cex:commentExtensible w16cex:durableId="58AD281C" w16cex:dateUtc="2026-09-24T08:06:0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EDC0D49"/>
  <w16cid:commentId w16cid:paraId="00000002" w16cid:durableId="0EDAF2CB"/>
  <w16cid:commentId w16cid:paraId="00000003" w16cid:durableId="0489588E"/>
  <w16cid:commentId w16cid:paraId="00000004" w16cid:durableId="57E1055F"/>
  <w16cid:commentId w16cid:paraId="00000005" w16cid:durableId="0CC14574"/>
  <w16cid:commentId w16cid:paraId="00000006" w16cid:durableId="1FEF4374"/>
  <w16cid:commentId w16cid:paraId="00000007" w16cid:durableId="4DF1C14D"/>
  <w16cid:commentId w16cid:paraId="00000008" w16cid:durableId="133B4CB8"/>
  <w16cid:commentId w16cid:paraId="00000009" w16cid:durableId="58AD281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01EC63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934505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comments" Target="comments.xml" /><Relationship Id="rId42" Type="http://schemas.microsoft.com/office/2011/relationships/commentsExtended" Target="commentsExtended.xml" /><Relationship Id="rId43" Type="http://schemas.microsoft.com/office/2018/08/relationships/commentsExtensible" Target="commentsExtensible.xml" /><Relationship Id="rId44" Type="http://schemas.microsoft.com/office/2016/09/relationships/commentsIds" Target="commentsIds.xml" /><Relationship Id="rId45"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285</cp:revision>
  <dcterms:created xsi:type="dcterms:W3CDTF">2025-09-15T09:58:00Z</dcterms:created>
  <dcterms:modified xsi:type="dcterms:W3CDTF">2026-09-24T08:23:11Z</dcterms:modified>
</cp:coreProperties>
</file>