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highlight w:val="white"/>
        </w:rPr>
      </w:pPr>
      <w:r>
        <w:rPr>
          <w:b/>
          <w:sz w:val="28"/>
          <w:highlight w:val="white"/>
          <w:lang w:val="vi-VN"/>
        </w:rPr>
      </w:r>
      <w:r>
        <w:rPr>
          <w:b/>
          <w:sz w:val="28"/>
          <w:highlight w:val="white"/>
          <w:lang w:val="vi-VN"/>
        </w:rPr>
      </w:r>
      <w:r>
        <w:rPr>
          <w:b/>
          <w:sz w:val="28"/>
          <w:highlight w:val="white"/>
          <w:lang w:val="vi-VN"/>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spacing w:val="16"/>
          <w:sz w:val="21"/>
          <w:szCs w:val="21"/>
          <w:highlight w:val="white"/>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7921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7921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rPr>
                            </w:pPr>
                            <w:r>
                              <w:rPr>
                                <w:b/>
                                <w:color w:val="000000" w:themeColor="text1"/>
                              </w:rPr>
                              <w:t xml:space="preserve">Số: </w:t>
                            </w:r>
                            <w:r>
                              <w:rPr>
                                <w:b/>
                                <w:color w:val="000000" w:themeColor="text1"/>
                              </w:rPr>
                              <w:t xml:space="preserve">275/2026/</w:t>
                            </w:r>
                            <w:r>
                              <w:rPr>
                                <w:b/>
                                <w:color w:val="000000" w:themeColor="text1"/>
                              </w:rPr>
                              <w:t xml:space="preserve">1480/VFI-CT.44.A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Phan Văn Toàn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444, tờ bản đồ số: 7, có địa chỉ: Khu Đầu Cầu Dưới, thôn Thái Hòa, xã Phú Bình, huyện Thạch Thất (nay là  xã Tây Phương), thà</w:t>
                            </w:r>
                            <w:r>
                              <w:rPr>
                                <w:color w:val="000000"/>
                              </w:rPr>
                              <w:t xml:space="preserve">nh phố Hà Nội theo Giấy chứng nhận quyền sử dụng đất, quyền sở hữu nhà ở và tài sản khác gắn liền với đất số: DM 355265, Số vào sổ cấp GCN: CH 00137 do UBND huyện Thạch Thất cấp ngày 20/03/2024; chủ sử dụng đất là Ông Phan Văn Toàn và Bà Nguyễn Huyền Trang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98.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rPr>
                      </w:pPr>
                      <w:r>
                        <w:rPr>
                          <w:b/>
                          <w:color w:val="000000" w:themeColor="text1"/>
                        </w:rPr>
                        <w:t xml:space="preserve">Số: </w:t>
                      </w:r>
                      <w:r>
                        <w:rPr>
                          <w:b/>
                          <w:color w:val="000000" w:themeColor="text1"/>
                        </w:rPr>
                        <w:t xml:space="preserve">275/2026/</w:t>
                      </w:r>
                      <w:r>
                        <w:rPr>
                          <w:b/>
                          <w:color w:val="000000" w:themeColor="text1"/>
                        </w:rPr>
                        <w:t xml:space="preserve">1480/VFI-CT.44.A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Phan Văn Toàn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444, tờ bản đồ số: 7, có địa chỉ: Khu Đầu Cầu Dưới, thôn Thái Hòa, xã Phú Bình, huyện Thạch Thất (nay là  xã Tây Phương), thà</w:t>
                      </w:r>
                      <w:r>
                        <w:rPr>
                          <w:color w:val="000000"/>
                        </w:rPr>
                        <w:t xml:space="preserve">nh phố Hà Nội theo Giấy chứng nhận quyền sử dụng đất, quyền sở hữu nhà ở và tài sản khác gắn liền với đất số: DM 355265, Số vào sổ cấp GCN: CH 00137 do UBND huyện Thạch Thất cấp ngày 20/03/2024; chủ sử dụng đất là Ông Phan Văn Toàn và Bà Nguyễn Huyền Trang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highlight w:val="white"/>
        </w:rPr>
      </w:r>
      <w:r>
        <w:rPr>
          <w:b/>
          <w:sz w:val="28"/>
          <w:highlight w:val="white"/>
        </w:rPr>
      </w:r>
      <w:r>
        <w:rPr>
          <w:b/>
          <w:sz w:val="28"/>
          <w:highlight w:val="white"/>
        </w:rPr>
      </w:r>
    </w:p>
    <w:p>
      <w:pPr>
        <w:pBdr/>
        <w:spacing/>
        <w:ind w:right="-1"/>
        <w:jc w:val="center"/>
        <w:rPr>
          <w:sz w:val="28"/>
          <w:highlight w:val="white"/>
        </w:rPr>
      </w:pPr>
      <w:r>
        <w:rPr>
          <w:b/>
          <w:sz w:val="28"/>
          <w:highlight w:val="white"/>
        </w:rPr>
        <w:t xml:space="preserve">MỤC LỤC</w:t>
      </w:r>
      <w:r>
        <w:rPr>
          <w:sz w:val="28"/>
          <w:highlight w:val="white"/>
        </w:rPr>
      </w:r>
      <w:r>
        <w:rPr>
          <w:sz w:val="28"/>
          <w:highlight w:val="white"/>
        </w:rPr>
      </w:r>
    </w:p>
    <w:p>
      <w:pPr>
        <w:pBdr/>
        <w:spacing/>
        <w:ind/>
        <w:rPr>
          <w:highlight w:val="white"/>
        </w:rPr>
      </w:pPr>
      <w:r>
        <w:rPr>
          <w:highlight w:val="white"/>
        </w:rPr>
      </w:r>
      <w:r>
        <w:rPr>
          <w:highlight w:val="whit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white"/>
                <w:u w:val="single"/>
              </w:rPr>
            </w:pPr>
            <w:r>
              <w:rPr>
                <w:rFonts w:eastAsia="Calibri"/>
                <w:b/>
                <w:highlight w:val="white"/>
                <w:u w:val="single"/>
              </w:rPr>
              <w:t xml:space="preserve">NỘI DUNG</w:t>
            </w:r>
            <w:r>
              <w:rPr>
                <w:rFonts w:eastAsia="Calibri"/>
                <w:b/>
                <w:highlight w:val="white"/>
                <w:u w:val="single"/>
              </w:rPr>
            </w:r>
            <w:r>
              <w:rPr>
                <w:rFonts w:eastAsia="Calibri"/>
                <w:b/>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u w:val="single"/>
              </w:rPr>
            </w:pPr>
            <w:r>
              <w:rPr>
                <w:b/>
                <w:highlight w:val="white"/>
                <w:u w:val="single"/>
              </w:rPr>
              <w:t xml:space="preserve">TRANG</w:t>
            </w:r>
            <w:r>
              <w:rPr>
                <w:b/>
                <w:highlight w:val="white"/>
                <w:u w:val="single"/>
              </w:rPr>
            </w:r>
            <w:r>
              <w:rPr>
                <w:b/>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highlight w:val="white"/>
              </w:rPr>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Chứng thư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Báo cáo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4-21</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Các phụ lục chi tiết kèm theo</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white"/>
              </w:rPr>
            </w:pPr>
            <w:r>
              <w:rPr>
                <w:b/>
                <w:bCs/>
                <w:highlight w:val="white"/>
              </w:rPr>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highlight w:val="white"/>
              </w:rPr>
            </w:pPr>
            <w:r>
              <w:rPr>
                <w:bCs/>
                <w:highlight w:val="white"/>
                <w:lang w:val="pt-BR"/>
              </w:rPr>
              <w:t xml:space="preserve">Phụ lục 1: Thông tin hiện trạng + Pháp lý + BBKS</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22 - 24</w:t>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highlight w:val="white"/>
              </w:rPr>
            </w:pPr>
            <w:r>
              <w:rPr>
                <w:bCs/>
                <w:highlight w:val="white"/>
                <w:lang w:val="pt-BR"/>
              </w:rPr>
              <w:t xml:space="preserve">Phụ lục 2: Thông tin thu thập thị trường</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25 </w:t>
            </w:r>
            <w:r>
              <w:rPr>
                <w:b/>
                <w:bCs/>
                <w:highlight w:val="white"/>
              </w:rPr>
              <w:t xml:space="preserve">- 30</w:t>
            </w:r>
            <w:r>
              <w:rPr>
                <w:b/>
                <w:bCs/>
                <w:highlight w:val="white"/>
              </w:rPr>
            </w:r>
            <w:r>
              <w:rPr>
                <w:b/>
                <w:bCs/>
                <w:highlight w:val="white"/>
              </w:rPr>
            </w:r>
          </w:p>
        </w:tc>
      </w:tr>
    </w:tbl>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6"/>
        <w:pBdr/>
        <w:tabs>
          <w:tab w:val="left" w:leader="none" w:pos="5103"/>
        </w:tabs>
        <w:spacing w:line="360" w:lineRule="auto"/>
        <w:ind/>
        <w:rPr>
          <w:b/>
          <w:sz w:val="22"/>
          <w:szCs w:val="22"/>
          <w:highlight w:val="white"/>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highlight w:val="white"/>
          <w:lang w:val="vi-VN"/>
        </w:rPr>
      </w:r>
      <w:r>
        <w:rPr>
          <w:b/>
          <w:sz w:val="22"/>
          <w:szCs w:val="22"/>
          <w:highlight w:val="white"/>
          <w:lang w:val="vi-VN"/>
        </w:rPr>
      </w:r>
      <w:r>
        <w:rPr>
          <w:b/>
          <w:sz w:val="22"/>
          <w:szCs w:val="22"/>
          <w:highlight w:val="white"/>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highlight w:val="white"/>
              </w:rPr>
            </w:pPr>
            <w:r>
              <w:rPr>
                <w:i/>
                <w:szCs w:val="26"/>
                <w:highlight w:val="white"/>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highlight w:val="white"/>
                <w:lang w:eastAsia="zh-CN"/>
              </w:rPr>
            </w:r>
            <w:r>
              <w:rPr>
                <w:i/>
                <w:szCs w:val="26"/>
                <w:highlight w:val="white"/>
                <w:lang w:eastAsia="zh-CN"/>
              </w:rPr>
            </w:r>
          </w:p>
        </w:tc>
        <w:tc>
          <w:tcPr>
            <w:gridSpan w:val="3"/>
            <w:tcBorders/>
            <w:tcW w:w="8241" w:type="dxa"/>
            <w:textDirection w:val="lrTb"/>
            <w:noWrap w:val="false"/>
          </w:tcPr>
          <w:p>
            <w:pPr>
              <w:pBdr/>
              <w:spacing w:line="312" w:lineRule="auto"/>
              <w:ind/>
              <w:jc w:val="both"/>
              <w:rPr>
                <w:b/>
                <w:highlight w:val="white"/>
              </w:rPr>
            </w:pPr>
            <w:r>
              <w:rPr>
                <w:b/>
                <w:highlight w:val="white"/>
                <w:lang w:val="da-DK"/>
              </w:rPr>
              <w:t xml:space="preserve">CÔNG TY CỔ PHẦN THẨM ĐỊNH VÀ ĐẦU TƯ TÀI CHÍNH HOA SEN</w:t>
            </w:r>
            <w:r>
              <w:rPr>
                <w:b/>
                <w:highlight w:val="white"/>
                <w:lang w:val="da-DK"/>
              </w:rPr>
            </w:r>
            <w:r>
              <w:rPr>
                <w:b/>
                <w:highlight w:val="white"/>
                <w:lang w:val="da-DK"/>
              </w:rPr>
            </w:r>
          </w:p>
          <w:p>
            <w:pPr>
              <w:pBdr/>
              <w:spacing w:line="312" w:lineRule="auto"/>
              <w:ind/>
              <w:jc w:val="both"/>
              <w:rPr>
                <w:highlight w:val="white"/>
              </w:rPr>
            </w:pPr>
            <w:r>
              <w:rPr>
                <w:highlight w:val="white"/>
                <w:lang w:val="da-DK"/>
              </w:rPr>
              <w:t xml:space="preserve">Trụ sở: BT5 </w:t>
            </w:r>
            <w:r>
              <w:rPr>
                <w:highlight w:val="white"/>
                <w:lang w:val="da-DK"/>
              </w:rPr>
              <w:t xml:space="preserve">-</w:t>
            </w:r>
            <w:r>
              <w:rPr>
                <w:highlight w:val="white"/>
                <w:lang w:val="da-DK"/>
              </w:rPr>
              <w:t xml:space="preserve"> 23, Khu đô thị mới Văn Phú, Phường Kiến Hưng, </w:t>
            </w:r>
            <w:r>
              <w:rPr>
                <w:highlight w:val="white"/>
                <w:lang w:val="da-DK"/>
              </w:rPr>
              <w:t xml:space="preserve">T</w:t>
            </w:r>
            <w:r>
              <w:rPr>
                <w:highlight w:val="white"/>
                <w:lang w:val="da-DK"/>
              </w:rPr>
              <w:t xml:space="preserve">hành phố Hà Nội</w:t>
            </w:r>
            <w:r>
              <w:rPr>
                <w:highlight w:val="white"/>
                <w:lang w:val="da-DK"/>
              </w:rPr>
            </w:r>
            <w:r>
              <w:rPr>
                <w:highlight w:val="white"/>
                <w:lang w:val="da-DK"/>
              </w:rPr>
            </w:r>
          </w:p>
          <w:p>
            <w:pPr>
              <w:pBdr/>
              <w:spacing w:line="312" w:lineRule="auto"/>
              <w:ind/>
              <w:jc w:val="both"/>
              <w:rPr>
                <w:highlight w:val="white"/>
              </w:rPr>
            </w:pPr>
            <w:r>
              <w:rPr>
                <w:highlight w:val="white"/>
                <w:lang w:val="da-DK"/>
              </w:rPr>
              <w:t xml:space="preserve">Điện thoại:  085 329 3333/ 024 2264 4333</w:t>
            </w:r>
            <w:r>
              <w:rPr>
                <w:highlight w:val="white"/>
                <w:lang w:val="da-DK"/>
              </w:rPr>
            </w:r>
            <w:r>
              <w:rPr>
                <w:highlight w:val="white"/>
                <w:lang w:val="da-DK"/>
              </w:rPr>
            </w:r>
          </w:p>
          <w:p>
            <w:pPr>
              <w:pBdr/>
              <w:spacing w:line="276" w:lineRule="auto"/>
              <w:ind/>
              <w:jc w:val="both"/>
              <w:rPr>
                <w:highlight w:val="white"/>
              </w:rPr>
            </w:pPr>
            <w:r>
              <w:rPr>
                <w:highlight w:val="white"/>
                <w:lang w:val="da-DK"/>
              </w:rPr>
              <w:t xml:space="preserve">Email: </w:t>
            </w:r>
            <w:r>
              <w:rPr>
                <w:highlight w:val="white"/>
                <w:lang w:val="da-DK"/>
              </w:rPr>
              <w:tab/>
            </w:r>
            <w:hyperlink r:id="rId15" w:tooltip="mailto:ilotus.contact@gmail.com" w:history="1">
              <w:r>
                <w:rPr>
                  <w:rStyle w:val="1017"/>
                  <w:rFonts w:eastAsiaTheme="majorEastAsia"/>
                  <w:color w:val="auto"/>
                  <w:highlight w:val="white"/>
                  <w:lang w:val="fr-FR"/>
                </w:rPr>
                <w:t xml:space="preserve">ilotus.contact@gmail.com</w:t>
              </w:r>
            </w:hyperlink>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da-DK"/>
              </w:rPr>
              <w:t xml:space="preserve">Website: ilotus.com.vn</w:t>
            </w:r>
            <w:r>
              <w:rPr>
                <w:highlight w:val="white"/>
                <w:lang w:val="da-DK"/>
              </w:rPr>
            </w:r>
            <w:r>
              <w:rPr>
                <w:highlight w:val="white"/>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26"/>
              <w:pBdr/>
              <w:spacing w:after="60"/>
              <w:ind/>
              <w:rPr>
                <w:color w:val="000000" w:themeColor="text1"/>
                <w:sz w:val="24"/>
                <w:szCs w:val="24"/>
                <w:highlight w:val="white"/>
              </w:rPr>
            </w:pPr>
            <w:r>
              <w:rPr>
                <w:rStyle w:val="1025"/>
                <w:rFonts w:ascii="Times New Roman" w:hAnsi="Times New Roman"/>
                <w:color w:val="000000" w:themeColor="text1"/>
                <w:highlight w:val="white"/>
                <w:lang w:val="pt-BR"/>
              </w:rPr>
              <w:t xml:space="preserve">Số: </w:t>
            </w:r>
            <w:r>
              <w:rPr>
                <w:rStyle w:val="1025"/>
                <w:rFonts w:ascii="Times New Roman" w:hAnsi="Times New Roman"/>
                <w:color w:val="000000" w:themeColor="text1"/>
                <w:highlight w:val="white"/>
                <w:lang w:val="pt-BR"/>
              </w:rPr>
              <w:t xml:space="preserve">275/2026/1480/VFI-CT.44.A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5536" w:type="dxa"/>
            <w:textDirection w:val="lrTb"/>
            <w:noWrap w:val="false"/>
          </w:tcPr>
          <w:p>
            <w:pPr>
              <w:pStyle w:val="1026"/>
              <w:pBdr/>
              <w:spacing w:after="60"/>
              <w:ind w:right="-56"/>
              <w:jc w:val="right"/>
              <w:rPr>
                <w:color w:val="000000" w:themeColor="text1"/>
                <w:sz w:val="24"/>
                <w:szCs w:val="24"/>
                <w:highlight w:val="white"/>
              </w:rPr>
            </w:pPr>
            <w:r>
              <w:rPr>
                <w:rStyle w:val="1025"/>
                <w:rFonts w:ascii="Times New Roman" w:hAnsi="Times New Roman"/>
                <w:i/>
                <w:color w:val="auto"/>
                <w:highlight w:val="white"/>
              </w:rPr>
              <w:t xml:space="preserve">TP. Hà Nội</w:t>
            </w:r>
            <w:r>
              <w:rPr>
                <w:rStyle w:val="1025"/>
                <w:rFonts w:ascii="Times New Roman" w:hAnsi="Times New Roman"/>
                <w:i/>
                <w:color w:val="auto"/>
                <w:highlight w:val="white"/>
                <w:lang w:val="vi-VN"/>
              </w:rPr>
              <w:t xml:space="preserve">, </w:t>
            </w:r>
            <w:r>
              <w:rPr>
                <w:rStyle w:val="1025"/>
                <w:rFonts w:ascii="Times New Roman" w:hAnsi="Times New Roman"/>
                <w:i/>
                <w:color w:val="000000" w:themeColor="text1"/>
                <w:highlight w:val="white"/>
                <w:lang w:val="vi-VN"/>
              </w:rPr>
              <w:t xml:space="preserve">ngày 21 tháng 9 năm 2026</w:t>
            </w:r>
            <w:r>
              <w:rPr>
                <w:color w:val="000000" w:themeColor="text1"/>
                <w:sz w:val="24"/>
                <w:szCs w:val="24"/>
                <w:highlight w:val="white"/>
                <w:lang w:val="vi-VN"/>
              </w:rPr>
            </w:r>
            <w:r>
              <w:rPr>
                <w:color w:val="000000" w:themeColor="text1"/>
                <w:sz w:val="24"/>
                <w:szCs w:val="24"/>
                <w:highlight w:val="white"/>
                <w:lang w:val="vi-VN"/>
              </w:rPr>
            </w:r>
          </w:p>
        </w:tc>
      </w:tr>
    </w:tbl>
    <w:p>
      <w:pPr>
        <w:pStyle w:val="1026"/>
        <w:pBdr/>
        <w:spacing w:after="120" w:before="200" w:line="288" w:lineRule="auto"/>
        <w:ind/>
        <w:jc w:val="center"/>
        <w:rPr>
          <w:rStyle w:val="1025"/>
          <w:rFonts w:ascii="Times New Roman" w:hAnsi="Times New Roman"/>
          <w:b/>
          <w:bCs/>
          <w:color w:val="auto"/>
          <w:sz w:val="30"/>
          <w:szCs w:val="30"/>
          <w:highlight w:val="white"/>
        </w:rPr>
      </w:pPr>
      <w:r>
        <w:rPr>
          <w:rStyle w:val="1025"/>
          <w:rFonts w:ascii="Times New Roman" w:hAnsi="Times New Roman"/>
          <w:b/>
          <w:bCs/>
          <w:color w:val="auto"/>
          <w:sz w:val="30"/>
          <w:szCs w:val="30"/>
          <w:highlight w:val="white"/>
          <w:lang w:val="vi-VN"/>
        </w:rPr>
        <w:t xml:space="preserve">CHỨNG THƯ THẨM ĐỊNH GIÁ</w:t>
      </w:r>
      <w:r>
        <w:rPr>
          <w:rStyle w:val="1025"/>
          <w:rFonts w:ascii="Times New Roman" w:hAnsi="Times New Roman"/>
          <w:b/>
          <w:bCs/>
          <w:color w:val="auto"/>
          <w:sz w:val="30"/>
          <w:szCs w:val="30"/>
          <w:highlight w:val="white"/>
          <w:lang w:val="vi-VN"/>
        </w:rPr>
      </w:r>
      <w:r>
        <w:rPr>
          <w:rStyle w:val="1025"/>
          <w:rFonts w:ascii="Times New Roman" w:hAnsi="Times New Roman"/>
          <w:b/>
          <w:bCs/>
          <w:color w:val="auto"/>
          <w:sz w:val="30"/>
          <w:szCs w:val="30"/>
          <w:highlight w:val="white"/>
          <w:lang w:val="vi-VN"/>
        </w:rPr>
      </w:r>
    </w:p>
    <w:p>
      <w:pPr>
        <w:pBdr/>
        <w:spacing w:line="276" w:lineRule="auto"/>
        <w:ind/>
        <w:jc w:val="center"/>
        <w:rPr>
          <w:rFonts w:ascii="Times New Roman Bold" w:hAnsi="Times New Roman Bold"/>
          <w:b/>
          <w:highlight w:val="white"/>
        </w:rPr>
      </w:pPr>
      <w:r>
        <w:rPr>
          <w:b/>
          <w:highlight w:val="white"/>
          <w:u w:val="single"/>
          <w:lang w:val="pt-BR"/>
        </w:rPr>
        <w:t xml:space="preserve">Kính gửi</w:t>
      </w:r>
      <w:r>
        <w:rPr>
          <w:b/>
          <w:highlight w:val="white"/>
          <w:lang w:val="pt-BR"/>
        </w:rPr>
        <w:t xml:space="preserve">:</w:t>
      </w:r>
      <w:r>
        <w:rPr>
          <w:b/>
          <w:highlight w:val="white"/>
          <w:lang w:val="pt-BR"/>
        </w:rPr>
        <w:t xml:space="preserve"> </w:t>
      </w:r>
      <w:r>
        <w:rPr>
          <w:rFonts w:ascii="Times New Roman Bold" w:hAnsi="Times New Roman Bold"/>
          <w:b/>
          <w:color w:val="000000" w:themeColor="text1"/>
          <w:highlight w:val="white"/>
          <w:lang w:val="pt-BR"/>
        </w:rPr>
        <w:t xml:space="preserve">Ông Phan Văn Toàn</w:t>
      </w:r>
      <w:r>
        <w:rPr>
          <w:rFonts w:ascii="Times New Roman Bold" w:hAnsi="Times New Roman Bold"/>
          <w:b/>
          <w:highlight w:val="white"/>
          <w:lang w:val="pt-BR"/>
        </w:rPr>
      </w:r>
      <w:r>
        <w:rPr>
          <w:rFonts w:ascii="Times New Roman Bold" w:hAnsi="Times New Roman Bold"/>
          <w:b/>
          <w:highlight w:val="white"/>
          <w:lang w:val="pt-BR"/>
        </w:rPr>
      </w:r>
    </w:p>
    <w:p>
      <w:pPr>
        <w:pBdr/>
        <w:tabs>
          <w:tab w:val="left" w:leader="none" w:pos="450"/>
        </w:tabs>
        <w:spacing w:after="120" w:before="120" w:line="288" w:lineRule="auto"/>
        <w:ind w:left="-72"/>
        <w:jc w:val="both"/>
        <w:rPr>
          <w:spacing w:val="-4"/>
          <w:highlight w:val="white"/>
        </w:rPr>
      </w:pPr>
      <w:r>
        <w:rPr>
          <w:spacing w:val="-4"/>
          <w:highlight w:val="white"/>
          <w:lang w:val="vi-VN"/>
        </w:rPr>
        <w:tab/>
      </w:r>
      <w:r>
        <w:rPr>
          <w:spacing w:val="-4"/>
          <w:highlight w:val="white"/>
          <w:lang w:val="vi-VN"/>
        </w:rPr>
        <w:t xml:space="preserve">Căn cứ </w:t>
      </w:r>
      <w:r>
        <w:rPr>
          <w:spacing w:val="-4"/>
          <w:highlight w:val="white"/>
          <w:lang w:val="vi-VN"/>
        </w:rPr>
        <w:t xml:space="preserve">Hợp đồng</w:t>
      </w:r>
      <w:r>
        <w:rPr>
          <w:spacing w:val="-4"/>
          <w:highlight w:val="white"/>
        </w:rPr>
        <w:t xml:space="preserve"> dịch vụ</w:t>
      </w:r>
      <w:r>
        <w:rPr>
          <w:spacing w:val="-4"/>
          <w:highlight w:val="white"/>
          <w:lang w:val="vi-VN"/>
        </w:rPr>
        <w:t xml:space="preserve"> thẩm định giá số</w:t>
      </w:r>
      <w:r>
        <w:rPr>
          <w:spacing w:val="-4"/>
          <w:highlight w:val="white"/>
        </w:rPr>
        <w:t xml:space="preserve">:</w:t>
      </w:r>
      <w:r>
        <w:rPr>
          <w:spacing w:val="-4"/>
          <w:highlight w:val="white"/>
          <w:lang w:val="vi-VN"/>
        </w:rPr>
        <w:t xml:space="preserve"> </w:t>
      </w:r>
      <w:r>
        <w:rPr>
          <w:color w:val="000000" w:themeColor="text1"/>
          <w:spacing w:val="-4"/>
          <w:highlight w:val="white"/>
          <w:lang w:val="vi-VN"/>
        </w:rPr>
        <w:t xml:space="preserve">275/2026/1480/VFI-HĐTĐ.44.A</w:t>
      </w:r>
      <w:r>
        <w:rPr>
          <w:spacing w:val="-4"/>
          <w:highlight w:val="white"/>
          <w:lang w:val="vi-VN"/>
        </w:rPr>
        <w:t xml:space="preserve"> ký ngày </w:t>
      </w:r>
      <w:r>
        <w:rPr>
          <w:color w:val="000000" w:themeColor="text1"/>
          <w:spacing w:val="-4"/>
          <w:highlight w:val="white"/>
        </w:rPr>
        <w:t xml:space="preserve">15 tháng 9 năm 2026</w:t>
      </w:r>
      <w:r>
        <w:rPr>
          <w:spacing w:val="-4"/>
          <w:highlight w:val="white"/>
          <w:lang w:val="vi-VN"/>
        </w:rPr>
        <w:t xml:space="preserve"> </w:t>
      </w:r>
      <w:r>
        <w:rPr>
          <w:spacing w:val="-4"/>
          <w:highlight w:val="white"/>
          <w:lang w:val="vi-VN"/>
        </w:rPr>
        <w:t xml:space="preserve">giữa </w:t>
      </w:r>
      <w:r>
        <w:rPr>
          <w:color w:val="000000" w:themeColor="text1"/>
          <w:spacing w:val="-4"/>
          <w:highlight w:val="white"/>
        </w:rPr>
        <w:t xml:space="preserve">Ông Phan Văn Toàn</w:t>
      </w:r>
      <w:r>
        <w:rPr>
          <w:bCs/>
          <w:highlight w:val="white"/>
        </w:rPr>
        <w:t xml:space="preserve"> </w:t>
      </w:r>
      <w:r>
        <w:rPr>
          <w:spacing w:val="-6"/>
          <w:highlight w:val="white"/>
        </w:rPr>
        <w:t xml:space="preserve">v</w:t>
      </w:r>
      <w:r>
        <w:rPr>
          <w:spacing w:val="-6"/>
          <w:highlight w:val="white"/>
        </w:rPr>
        <w:t xml:space="preserve">ới</w:t>
      </w:r>
      <w:r>
        <w:rPr>
          <w:spacing w:val="-6"/>
          <w:highlight w:val="white"/>
        </w:rPr>
        <w:t xml:space="preserve"> </w:t>
      </w:r>
      <w:r>
        <w:rPr>
          <w:color w:val="000000" w:themeColor="text1"/>
          <w:spacing w:val="-4"/>
          <w:highlight w:val="white"/>
          <w:lang w:val="vi-VN"/>
        </w:rPr>
        <w:t xml:space="preserve">Công ty Cổ phần Thẩm định và Đầu tư Tài chính Hoa Sen</w:t>
      </w:r>
      <w:r>
        <w:rPr>
          <w:spacing w:val="-4"/>
          <w:highlight w:val="white"/>
        </w:rPr>
        <w:t xml:space="preserve">;</w:t>
      </w:r>
      <w:r>
        <w:rPr>
          <w:spacing w:val="-4"/>
          <w:highlight w:val="white"/>
        </w:rPr>
      </w:r>
      <w:r>
        <w:rPr>
          <w:spacing w:val="-4"/>
          <w:highlight w:val="white"/>
        </w:rPr>
      </w:r>
    </w:p>
    <w:p>
      <w:pPr>
        <w:pBdr/>
        <w:spacing w:after="120" w:before="120" w:line="288" w:lineRule="auto"/>
        <w:ind w:firstLine="432"/>
        <w:jc w:val="both"/>
        <w:rPr>
          <w:spacing w:val="-2"/>
          <w:highlight w:val="white"/>
        </w:rPr>
      </w:pPr>
      <w:r>
        <w:rPr>
          <w:spacing w:val="-2"/>
          <w:highlight w:val="white"/>
          <w:lang w:val="pt-BR"/>
        </w:rPr>
        <w:t xml:space="preserve">Căn cứ Báo cáo thẩm định giá số</w:t>
      </w:r>
      <w:r>
        <w:rPr>
          <w:spacing w:val="-2"/>
          <w:highlight w:val="white"/>
          <w:lang w:val="vi-VN"/>
        </w:rPr>
        <w:t xml:space="preserve"> </w:t>
      </w:r>
      <w:r>
        <w:rPr>
          <w:color w:val="000000" w:themeColor="text1"/>
          <w:spacing w:val="-2"/>
          <w:highlight w:val="white"/>
          <w:lang w:val="pt-BR"/>
        </w:rPr>
        <w:t xml:space="preserve">275/2026/1480/VFI-BC.44.A</w:t>
      </w:r>
      <w:r>
        <w:rPr>
          <w:spacing w:val="-2"/>
          <w:highlight w:val="white"/>
          <w:lang w:val="pt-BR"/>
        </w:rPr>
        <w:t xml:space="preserve"> </w:t>
      </w:r>
      <w:r>
        <w:rPr>
          <w:spacing w:val="-2"/>
          <w:highlight w:val="white"/>
          <w:lang w:val="pt-BR"/>
        </w:rPr>
        <w:t xml:space="preserve">ngày</w:t>
      </w:r>
      <w:r>
        <w:rPr>
          <w:spacing w:val="-2"/>
          <w:highlight w:val="white"/>
          <w:lang w:val="vi-VN"/>
        </w:rPr>
        <w:t xml:space="preserve"> </w:t>
      </w:r>
      <w:r>
        <w:rPr>
          <w:color w:val="000000" w:themeColor="text1"/>
          <w:spacing w:val="-2"/>
          <w:highlight w:val="white"/>
        </w:rPr>
        <w:t xml:space="preserve">21 tháng 9 năm 2026</w:t>
      </w:r>
      <w:r>
        <w:rPr>
          <w:spacing w:val="-2"/>
          <w:highlight w:val="white"/>
          <w:lang w:val="vi-VN"/>
        </w:rPr>
        <w:t xml:space="preserve"> </w:t>
      </w:r>
      <w:r>
        <w:rPr>
          <w:spacing w:val="-2"/>
          <w:highlight w:val="white"/>
          <w:lang w:val="pt-BR"/>
        </w:rPr>
        <w:t xml:space="preserve">của </w:t>
      </w:r>
      <w:r>
        <w:rPr>
          <w:color w:val="000000" w:themeColor="text1"/>
          <w:spacing w:val="-2"/>
          <w:highlight w:val="white"/>
          <w:lang w:val="pt-BR"/>
        </w:rPr>
        <w:t xml:space="preserve">Công ty Cổ phần Thẩm định và Đầu tư Tài chính Hoa Sen</w:t>
      </w:r>
      <w:r>
        <w:rPr>
          <w:spacing w:val="-2"/>
          <w:highlight w:val="white"/>
          <w:lang w:val="pt-BR"/>
        </w:rPr>
        <w:t xml:space="preserve">;</w:t>
      </w:r>
      <w:r>
        <w:rPr>
          <w:spacing w:val="-2"/>
          <w:highlight w:val="white"/>
        </w:rPr>
      </w:r>
      <w:r>
        <w:rPr>
          <w:spacing w:val="-2"/>
          <w:highlight w:val="white"/>
        </w:rPr>
      </w:r>
    </w:p>
    <w:p>
      <w:pPr>
        <w:pBdr/>
        <w:spacing w:after="120" w:before="120" w:line="288" w:lineRule="auto"/>
        <w:ind w:firstLine="432"/>
        <w:jc w:val="both"/>
        <w:rPr>
          <w:highlight w:val="white"/>
        </w:rPr>
      </w:pPr>
      <w:r>
        <w:rPr>
          <w:color w:val="000000" w:themeColor="text1"/>
          <w:highlight w:val="white"/>
          <w:lang w:val="pt-BR"/>
        </w:rPr>
        <w:t xml:space="preserve">Công ty Cổ phần Thẩm định và Đầu tư Tài chính Hoa Sen</w:t>
      </w:r>
      <w:r>
        <w:rPr>
          <w:color w:val="000000" w:themeColor="text1"/>
          <w:highlight w:val="white"/>
          <w:lang w:val="pt-BR"/>
        </w:rPr>
        <w:t xml:space="preserve"> </w:t>
      </w:r>
      <w:r>
        <w:rPr>
          <w:highlight w:val="white"/>
          <w:lang w:val="pt-BR"/>
        </w:rPr>
        <w:t xml:space="preserve">cung cấp Chứng thư thẩm định giá tài sản với nội dung sau:</w:t>
      </w:r>
      <w:r>
        <w:rPr>
          <w:highlight w:val="white"/>
        </w:rPr>
      </w:r>
    </w:p>
    <w:p>
      <w:pPr>
        <w:pBdr/>
        <w:tabs>
          <w:tab w:val="left" w:leader="none" w:pos="851"/>
        </w:tabs>
        <w:spacing w:after="120" w:before="120" w:line="288" w:lineRule="auto"/>
        <w:ind/>
        <w:jc w:val="both"/>
        <w:rPr>
          <w:b/>
          <w:bCs/>
          <w:highlight w:val="white"/>
        </w:rPr>
      </w:pPr>
      <w:r>
        <w:rPr>
          <w:b/>
          <w:bCs/>
          <w:highlight w:val="white"/>
        </w:rPr>
        <w:t xml:space="preserve">1. </w:t>
      </w:r>
      <w:r>
        <w:rPr>
          <w:b/>
          <w:bCs/>
          <w:highlight w:val="white"/>
          <w:lang w:val="vi-VN"/>
        </w:rPr>
        <w:t xml:space="preserve">Khách hàng yêu cầu </w:t>
      </w:r>
      <w:r>
        <w:rPr>
          <w:b/>
          <w:bCs/>
          <w:highlight w:val="white"/>
          <w:lang w:val="pt-BR"/>
        </w:rPr>
        <w:t xml:space="preserve">t</w:t>
      </w:r>
      <w:r>
        <w:rPr>
          <w:b/>
          <w:bCs/>
          <w:highlight w:val="white"/>
          <w:lang w:val="vi-VN"/>
        </w:rPr>
        <w:t xml:space="preserve">hẩm định giá:</w:t>
      </w:r>
      <w:r>
        <w:rPr>
          <w:b/>
          <w:bCs/>
          <w:highlight w:val="white"/>
        </w:rPr>
      </w:r>
      <w:r>
        <w:rPr>
          <w:b/>
          <w:bCs/>
          <w:highlight w:val="white"/>
        </w:rPr>
      </w:r>
    </w:p>
    <w:tbl>
      <w:tblPr>
        <w:tblW w:w="4964" w:type="pct"/>
        <w:tblBorders/>
        <w:tblLayout w:type="fixed"/>
        <w:tblLook w:val="04A0" w:firstRow="1" w:lastRow="0" w:firstColumn="1" w:lastColumn="0" w:noHBand="0" w:noVBand="1"/>
      </w:tblPr>
      <w:tblGrid>
        <w:gridCol w:w="2234"/>
        <w:gridCol w:w="283"/>
        <w:gridCol w:w="6940"/>
      </w:tblGrid>
      <w:tr>
        <w:trPr>
          <w:trHeight w:val="20"/>
        </w:trPr>
        <w:tc>
          <w:tcPr>
            <w:shd w:val="clear" w:color="auto" w:fill="auto"/>
            <w:tcBorders/>
            <w:tcW w:w="2234"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lang w:val="pt-BR"/>
              </w:rPr>
            </w:r>
            <w:r>
              <w:rPr>
                <w:bCs/>
                <w:color w:val="000000" w:themeColor="text1"/>
                <w:highlight w:val="white"/>
                <w:lang w:val="pt-BR"/>
              </w:rPr>
            </w:r>
          </w:p>
        </w:tc>
        <w:tc>
          <w:tcPr>
            <w:shd w:val="clear" w:color="auto" w:fill="auto"/>
            <w:tcBorders/>
            <w:tcW w:w="283"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0" w:type="dxa"/>
            <w:vAlign w:val="center"/>
            <w:textDirection w:val="lrTb"/>
            <w:noWrap w:val="false"/>
          </w:tcPr>
          <w:p>
            <w:pPr>
              <w:pBdr/>
              <w:tabs>
                <w:tab w:val="center" w:leader="none" w:pos="3209"/>
              </w:tabs>
              <w:spacing/>
              <w:ind/>
              <w:rPr>
                <w:highlight w:val="white"/>
              </w:rPr>
            </w:pPr>
            <w:r>
              <w:rPr>
                <w:highlight w:val="white"/>
              </w:rPr>
              <w:t xml:space="preserve">Ông Phan Văn Toàn</w:t>
              <w:tab/>
            </w:r>
            <w:r>
              <w:rPr>
                <w:highlight w:val="white"/>
              </w:rPr>
            </w:r>
          </w:p>
        </w:tc>
      </w:tr>
      <w:tr>
        <w:trPr>
          <w:trHeight w:val="20"/>
        </w:trPr>
        <w:tc>
          <w:tcPr>
            <w:shd w:val="clear" w:color="auto" w:fill="auto"/>
            <w:tcBorders/>
            <w:tcW w:w="2234"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lang w:val="pt-BR"/>
              </w:rPr>
            </w:r>
            <w:r>
              <w:rPr>
                <w:bCs/>
                <w:color w:val="000000" w:themeColor="text1"/>
                <w:highlight w:val="white"/>
                <w:lang w:val="pt-BR"/>
              </w:rPr>
            </w:r>
          </w:p>
        </w:tc>
        <w:tc>
          <w:tcPr>
            <w:shd w:val="clear" w:color="auto" w:fill="auto"/>
            <w:tcBorders/>
            <w:tcW w:w="283"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0"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0</w:t>
            </w:r>
            <w:r>
              <w:rPr>
                <w:highlight w:val="white"/>
              </w:rPr>
              <w:t xml:space="preserve">01095009365</w:t>
            </w:r>
            <w:r>
              <w:rPr>
                <w:color w:val="ff0000"/>
                <w:highlight w:val="white"/>
                <w:lang w:val="pt-BR"/>
              </w:rPr>
            </w:r>
            <w:r>
              <w:rPr>
                <w:color w:val="ff0000"/>
                <w:highlight w:val="white"/>
                <w:lang w:val="pt-BR"/>
              </w:rPr>
            </w:r>
          </w:p>
        </w:tc>
      </w:tr>
      <w:tr>
        <w:trPr>
          <w:trHeight w:val="20"/>
        </w:trPr>
        <w:tc>
          <w:tcPr>
            <w:shd w:val="clear" w:color="auto" w:fill="auto"/>
            <w:tcBorders/>
            <w:tcW w:w="2234"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lang w:val="pt-BR"/>
              </w:rPr>
            </w:r>
            <w:r>
              <w:rPr>
                <w:bCs/>
                <w:color w:val="000000" w:themeColor="text1"/>
                <w:highlight w:val="white"/>
                <w:lang w:val="pt-BR"/>
              </w:rPr>
            </w:r>
          </w:p>
        </w:tc>
        <w:tc>
          <w:tcPr>
            <w:shd w:val="clear" w:color="auto" w:fill="auto"/>
            <w:tcBorders/>
            <w:tcW w:w="283"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0"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Xã Tây Phương, thành phố Hà Nội</w:t>
            </w:r>
            <w:r>
              <w:rPr>
                <w:color w:val="ff0000"/>
                <w:highlight w:val="white"/>
                <w:lang w:val="pt-BR"/>
              </w:rPr>
            </w:r>
            <w:r>
              <w:rPr>
                <w:color w:val="ff0000"/>
                <w:highlight w:val="white"/>
                <w:lang w:val="pt-BR"/>
              </w:rPr>
            </w:r>
          </w:p>
        </w:tc>
      </w:tr>
    </w:tbl>
    <w:p>
      <w:pPr>
        <w:pBdr/>
        <w:spacing w:after="120" w:before="120" w:line="276" w:lineRule="auto"/>
        <w:ind/>
        <w:jc w:val="both"/>
        <w:rPr>
          <w:b/>
          <w:bCs/>
          <w:highlight w:val="white"/>
        </w:rPr>
      </w:pPr>
      <w:r>
        <w:rPr>
          <w:b/>
          <w:bCs/>
          <w:highlight w:val="white"/>
        </w:rPr>
        <w:t xml:space="preserve">2. </w:t>
      </w:r>
      <w:r>
        <w:rPr>
          <w:b/>
          <w:bCs/>
          <w:highlight w:val="white"/>
        </w:rPr>
        <w:t xml:space="preserve">Thông tin về doanh nghiệp thẩm định giá:</w:t>
      </w:r>
      <w:r>
        <w:rPr>
          <w:b/>
          <w:bCs/>
          <w:highlight w:val="white"/>
        </w:rPr>
      </w:r>
      <w:r>
        <w:rPr>
          <w:b/>
          <w:bCs/>
          <w:highlight w:val="white"/>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lang w:val="pt-BR"/>
              </w:rPr>
              <w:t xml:space="preserve">Đơn vị thẩm định</w:t>
            </w:r>
            <w:r>
              <w:rPr>
                <w:bCs/>
                <w:highlight w:val="white"/>
                <w:lang w:val="pt-BR"/>
              </w:rPr>
            </w:r>
            <w:r>
              <w:rPr>
                <w:bCs/>
                <w:highlight w:val="white"/>
                <w:lang w:val="pt-BR"/>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highlight w:val="white"/>
              </w:rPr>
            </w:pPr>
            <w:r>
              <w:rPr>
                <w:b/>
                <w:bCs/>
                <w:color w:val="000000" w:themeColor="text1"/>
                <w:spacing w:val="-4"/>
                <w:highlight w:val="white"/>
                <w:lang w:val="pt-BR"/>
              </w:rPr>
              <w:t xml:space="preserve">CÔNG TY CỔ PHẦN THẨM ĐỊNH VÀ ĐẦU TƯ TÀI CHÍNH HOA SEN</w:t>
            </w:r>
            <w:r>
              <w:rPr>
                <w:rFonts w:ascii="Times New Roman Bold" w:hAnsi="Times New Roman Bold"/>
                <w:b/>
                <w:bCs/>
                <w:spacing w:val="-16"/>
                <w:highlight w:val="white"/>
                <w:lang w:val="pt-BR"/>
              </w:rPr>
            </w:r>
            <w:r>
              <w:rPr>
                <w:rFonts w:ascii="Times New Roman Bold" w:hAnsi="Times New Roman Bold"/>
                <w:b/>
                <w:bCs/>
                <w:spacing w:val="-16"/>
                <w:highlight w:val="white"/>
                <w:lang w:val="pt-BR"/>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Địa chỉ trụ sở</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7115" w:type="dxa"/>
            <w:vAlign w:val="center"/>
            <w:textDirection w:val="lrTb"/>
            <w:noWrap w:val="false"/>
          </w:tcPr>
          <w:p>
            <w:pPr>
              <w:pBdr/>
              <w:spacing w:after="40" w:before="40" w:line="276" w:lineRule="auto"/>
              <w:ind/>
              <w:rPr>
                <w:spacing w:val="-6"/>
                <w:highlight w:val="white"/>
              </w:rPr>
            </w:pPr>
            <w:r>
              <w:rPr>
                <w:color w:val="000000" w:themeColor="text1"/>
                <w:spacing w:val="-2"/>
                <w:highlight w:val="white"/>
              </w:rPr>
              <w:t xml:space="preserve">BT5 - 23, Khu đô thị mới Văn Phú, Phường Kiến Hưng, Thành phố Hà Nội</w:t>
            </w:r>
            <w:r>
              <w:rPr>
                <w:spacing w:val="-6"/>
                <w:highlight w:val="white"/>
                <w:lang w:val="pt-BR"/>
              </w:rPr>
            </w:r>
            <w:r>
              <w:rPr>
                <w:spacing w:val="-6"/>
                <w:highlight w:val="white"/>
                <w:lang w:val="pt-BR"/>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lang w:val="pt-BR"/>
              </w:rPr>
              <w:t xml:space="preserve">Điện thoại</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 </w:t>
            </w:r>
            <w:r>
              <w:rPr>
                <w:bCs/>
                <w:highlight w:val="white"/>
                <w:lang w:val="pt-BR"/>
              </w:rPr>
            </w:r>
            <w:r>
              <w:rPr>
                <w:bCs/>
                <w:highlight w:val="white"/>
                <w:lang w:val="pt-BR"/>
              </w:rPr>
            </w:r>
          </w:p>
        </w:tc>
        <w:tc>
          <w:tcPr>
            <w:tcBorders/>
            <w:tcW w:w="7115" w:type="dxa"/>
            <w:vAlign w:val="center"/>
            <w:textDirection w:val="lrTb"/>
            <w:noWrap w:val="false"/>
          </w:tcPr>
          <w:p>
            <w:pPr>
              <w:pBdr/>
              <w:tabs>
                <w:tab w:val="left" w:leader="none" w:pos="3382"/>
              </w:tabs>
              <w:spacing w:after="40" w:before="40" w:line="276" w:lineRule="auto"/>
              <w:ind/>
              <w:rPr>
                <w:iCs/>
                <w:highlight w:val="white"/>
              </w:rPr>
            </w:pPr>
            <w:r>
              <w:rPr>
                <w:iCs/>
                <w:color w:val="000000" w:themeColor="text1"/>
                <w:highlight w:val="white"/>
              </w:rPr>
              <w:t xml:space="preserve">024 2264 4333</w:t>
            </w:r>
            <w:r>
              <w:rPr>
                <w:iCs/>
                <w:highlight w:val="white"/>
              </w:rPr>
            </w:r>
            <w:r>
              <w:rPr>
                <w:iCs/>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highlight w:val="white"/>
              </w:rPr>
              <w:t xml:space="preserve">Mã số thuế</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7115" w:type="dxa"/>
            <w:vAlign w:val="center"/>
            <w:textDirection w:val="lrTb"/>
            <w:noWrap w:val="false"/>
          </w:tcPr>
          <w:p>
            <w:pPr>
              <w:pBdr/>
              <w:spacing w:after="40" w:before="40" w:line="276" w:lineRule="auto"/>
              <w:ind/>
              <w:rPr>
                <w:bCs/>
                <w:highlight w:val="white"/>
              </w:rPr>
            </w:pPr>
            <w:r>
              <w:rPr>
                <w:bCs/>
                <w:color w:val="000000" w:themeColor="text1"/>
                <w:highlight w:val="white"/>
              </w:rPr>
              <w:t xml:space="preserve">0102708994</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jc w:val="both"/>
              <w:rPr>
                <w:highlight w:val="white"/>
              </w:rPr>
            </w:pPr>
            <w:r>
              <w:rPr>
                <w:highlight w:val="white"/>
              </w:rPr>
              <w:t xml:space="preserve">GCN</w:t>
            </w:r>
            <w:r>
              <w:rPr>
                <w:highlight w:val="white"/>
              </w:rPr>
              <w:t xml:space="preserve"> đủ điều kiện hành nghề</w:t>
            </w:r>
            <w:r>
              <w:rPr>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7115" w:type="dxa"/>
            <w:vAlign w:val="center"/>
            <w:textDirection w:val="lrTb"/>
            <w:noWrap w:val="false"/>
          </w:tcPr>
          <w:p>
            <w:pPr>
              <w:pBdr/>
              <w:spacing w:after="40" w:before="40" w:line="276" w:lineRule="auto"/>
              <w:ind/>
              <w:rPr>
                <w:bCs/>
                <w:highlight w:val="white"/>
              </w:rPr>
            </w:pPr>
            <w:r>
              <w:rPr>
                <w:bCs/>
                <w:highlight w:val="white"/>
              </w:rPr>
              <w:t xml:space="preserve">275/TĐG</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jc w:val="both"/>
              <w:rPr>
                <w:highlight w:val="white"/>
              </w:rPr>
            </w:pPr>
            <w:r>
              <w:rPr>
                <w:highlight w:val="white"/>
              </w:rPr>
              <w:t xml:space="preserve">Thông báo</w:t>
            </w:r>
            <w:r>
              <w:rPr>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7115" w:type="dxa"/>
            <w:vAlign w:val="center"/>
            <w:textDirection w:val="lrTb"/>
            <w:noWrap w:val="false"/>
          </w:tcPr>
          <w:p>
            <w:pPr>
              <w:pBdr/>
              <w:spacing w:after="40" w:before="40" w:line="276" w:lineRule="auto"/>
              <w:ind/>
              <w:jc w:val="both"/>
              <w:rPr>
                <w:bCs/>
                <w:highlight w:val="white"/>
              </w:rPr>
            </w:pPr>
            <w:r>
              <w:rPr>
                <w:color w:val="292a2e"/>
                <w:highlight w:val="white"/>
              </w:rPr>
              <w:t xml:space="preserve">Số 1294/TB-BTC ngày 25/12/2025</w:t>
            </w:r>
            <w:r>
              <w:rPr>
                <w:rFonts w:ascii="Segoe UI" w:hAnsi="Segoe UI" w:cs="Segoe UI"/>
                <w:color w:val="292a2e"/>
                <w:sz w:val="21"/>
                <w:szCs w:val="21"/>
                <w:highlight w:val="white"/>
              </w:rPr>
              <w:t xml:space="preserve"> </w:t>
            </w:r>
            <w:r>
              <w:rPr>
                <w:bCs/>
                <w:highlight w:val="white"/>
              </w:rPr>
              <w:t xml:space="preserve">về việc doanh nghiệp đủ điều kiện kinh doanh Dịch vụ thẩm định giá.</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Tài khoản số</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rPr>
              <w:t xml:space="preserve">:</w:t>
            </w:r>
            <w:r>
              <w:rPr>
                <w:bCs/>
                <w:highlight w:val="white"/>
              </w:rPr>
            </w:r>
            <w:r>
              <w:rPr>
                <w:bCs/>
                <w:highlight w:val="white"/>
              </w:rPr>
            </w:r>
          </w:p>
        </w:tc>
        <w:tc>
          <w:tcPr>
            <w:tcBorders/>
            <w:tcW w:w="7115" w:type="dxa"/>
            <w:vAlign w:val="center"/>
            <w:textDirection w:val="lrTb"/>
            <w:noWrap w:val="false"/>
          </w:tcPr>
          <w:p>
            <w:pPr>
              <w:pBdr/>
              <w:spacing w:after="40" w:before="40" w:line="276" w:lineRule="auto"/>
              <w:ind/>
              <w:rPr>
                <w:spacing w:val="-4"/>
                <w:highlight w:val="white"/>
              </w:rPr>
            </w:pPr>
            <w:r>
              <w:rPr>
                <w:color w:val="000000" w:themeColor="text1"/>
                <w:spacing w:val="-4"/>
                <w:highlight w:val="white"/>
              </w:rPr>
              <w:t xml:space="preserve">1505112366666 tại Agribank Chi nhánh Hà Nội II</w:t>
            </w:r>
            <w:r>
              <w:rPr>
                <w:spacing w:val="-4"/>
                <w:highlight w:val="white"/>
              </w:rPr>
            </w:r>
            <w:r>
              <w:rPr>
                <w:spacing w:val="-4"/>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Đại diện</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rPr>
              <w:t xml:space="preserve">:</w:t>
            </w:r>
            <w:r>
              <w:rPr>
                <w:bCs/>
                <w:highlight w:val="white"/>
              </w:rPr>
            </w:r>
            <w:r>
              <w:rPr>
                <w:bCs/>
                <w:highlight w:val="white"/>
              </w:rPr>
            </w:r>
          </w:p>
        </w:tc>
        <w:tc>
          <w:tcPr>
            <w:tcBorders/>
            <w:tcW w:w="7115" w:type="dxa"/>
            <w:vAlign w:val="center"/>
            <w:textDirection w:val="lrTb"/>
            <w:noWrap w:val="false"/>
          </w:tcPr>
          <w:p>
            <w:pPr>
              <w:pBdr/>
              <w:spacing w:after="40" w:before="40" w:line="276" w:lineRule="auto"/>
              <w:ind/>
              <w:rPr>
                <w:b/>
                <w:bCs/>
                <w:highlight w:val="white"/>
              </w:rPr>
            </w:pPr>
            <w:r>
              <w:rPr>
                <w:b/>
                <w:bCs/>
                <w:highlight w:val="white"/>
                <w:lang w:val="vi-VN"/>
              </w:rPr>
              <w:t xml:space="preserve">Ông</w:t>
            </w:r>
            <w:r>
              <w:rPr>
                <w:b/>
                <w:bCs/>
                <w:highlight w:val="white"/>
              </w:rPr>
              <w:t xml:space="preserve"> Vũ Văn Quân</w:t>
            </w:r>
            <w:r>
              <w:rPr>
                <w:b/>
                <w:bCs/>
                <w:highlight w:val="white"/>
                <w:lang w:val="vi-VN"/>
              </w:rPr>
              <w:tab/>
            </w:r>
            <w:r>
              <w:rPr>
                <w:b/>
                <w:bCs/>
                <w:highlight w:val="white"/>
              </w:rPr>
              <w:t xml:space="preserve">        </w:t>
            </w:r>
            <w:r>
              <w:rPr>
                <w:b/>
                <w:bCs/>
                <w:highlight w:val="white"/>
                <w:lang w:val="vi-VN"/>
              </w:rPr>
              <w:t xml:space="preserve">Chức vụ: </w:t>
            </w:r>
            <w:r>
              <w:rPr>
                <w:b/>
                <w:bCs/>
                <w:highlight w:val="white"/>
              </w:rPr>
              <w:t xml:space="preserve">Chủ tịch HĐQT kiêm Tổng Giám Đốc</w:t>
            </w:r>
            <w:r>
              <w:rPr>
                <w:b/>
                <w:bCs/>
                <w:highlight w:val="white"/>
                <w:lang w:val="vi-VN"/>
              </w:rPr>
            </w:r>
            <w:r>
              <w:rPr>
                <w:b/>
                <w:bCs/>
                <w:highlight w:val="white"/>
                <w:lang w:val="vi-VN"/>
              </w:rPr>
            </w:r>
          </w:p>
        </w:tc>
      </w:tr>
    </w:tbl>
    <w:p>
      <w:pPr>
        <w:pBdr/>
        <w:spacing w:after="120" w:before="120" w:line="312" w:lineRule="auto"/>
        <w:ind/>
        <w:jc w:val="both"/>
        <w:rPr>
          <w:b/>
          <w:bCs/>
          <w:highlight w:val="white"/>
        </w:rPr>
      </w:pPr>
      <w:r>
        <w:rPr>
          <w:b/>
          <w:bCs/>
          <w:highlight w:val="white"/>
        </w:rPr>
        <w:t xml:space="preserve">3</w:t>
      </w:r>
      <w:r>
        <w:rPr>
          <w:b/>
          <w:bCs/>
          <w:highlight w:val="white"/>
          <w:lang w:val="vi-VN"/>
        </w:rPr>
        <w:t xml:space="preserve">. </w:t>
      </w:r>
      <w:r>
        <w:rPr>
          <w:b/>
          <w:bCs/>
          <w:highlight w:val="white"/>
        </w:rPr>
        <w:t xml:space="preserve">Tài sản thẩm định</w:t>
      </w:r>
      <w:r>
        <w:rPr>
          <w:b/>
          <w:bCs/>
          <w:highlight w:val="white"/>
          <w:lang w:val="vi-VN"/>
        </w:rPr>
        <w:t xml:space="preserve">:</w:t>
      </w:r>
      <w:r>
        <w:rPr>
          <w:color w:val="000000" w:themeColor="text1"/>
          <w:highlight w:val="white"/>
        </w:rPr>
        <w:t xml:space="preserve"> </w:t>
      </w:r>
      <w:r>
        <w:rPr>
          <w:color w:val="000000" w:themeColor="text1"/>
          <w:highlight w:val="white"/>
        </w:rPr>
        <w:t xml:space="preserve">Quyền sử dụng đất tại thửa đất số: 444, tờ bản đồ số: 7, có địa chỉ: Khu Đầu Cầu Dưới, thôn Thái Hòa, xã Phú Bình, huyện Thạch Thất (nay là  xã Tây Phương), thà</w:t>
      </w:r>
      <w:r>
        <w:rPr>
          <w:color w:val="000000" w:themeColor="text1"/>
          <w:highlight w:val="white"/>
        </w:rPr>
        <w:t xml:space="preserve">nh phố Hà Nội theo Giấy chứng nhận quyền sử dụng đất, quyền sở hữu nhà ở và tài sản khác gắn liền với đất số: DM 355265, Số vào sổ cấp GCN: CH 00137 do UBND huyện Thạch Thất cấp ngày 20/03/2024; chủ sử dụng đất là Ông Phan Văn Toàn và Bà Nguyễn Huyền Trang</w:t>
      </w:r>
      <w:r>
        <w:rPr>
          <w:i/>
          <w:iCs/>
          <w:highlight w:val="white"/>
        </w:rPr>
        <w:t xml:space="preserve">.</w:t>
      </w:r>
      <w:r>
        <w:rPr>
          <w:b/>
          <w:bCs/>
          <w:highlight w:val="white"/>
        </w:rPr>
      </w:r>
      <w:r>
        <w:rPr>
          <w:b/>
          <w:bCs/>
          <w:highlight w:val="white"/>
        </w:rPr>
      </w:r>
    </w:p>
    <w:p>
      <w:pPr>
        <w:pBdr/>
        <w:spacing w:after="120" w:before="120" w:line="312" w:lineRule="auto"/>
        <w:ind/>
        <w:jc w:val="both"/>
        <w:rPr>
          <w:b/>
          <w:bCs/>
          <w:highlight w:val="white"/>
        </w:rPr>
      </w:pPr>
      <w:r>
        <w:rPr>
          <w:b/>
          <w:bCs/>
          <w:highlight w:val="white"/>
          <w:lang w:val="nl-NL"/>
        </w:rPr>
        <w:t xml:space="preserve">4</w:t>
      </w:r>
      <w:r>
        <w:rPr>
          <w:b/>
          <w:bCs/>
          <w:highlight w:val="white"/>
          <w:lang w:val="nl-NL"/>
        </w:rPr>
        <w:t xml:space="preserve">. Thời điểm thẩm định giá:</w:t>
      </w:r>
      <w:r>
        <w:rPr>
          <w:bCs/>
          <w:color w:val="000000" w:themeColor="text1"/>
          <w:highlight w:val="white"/>
          <w:lang w:val="nl-NL"/>
        </w:rPr>
        <w:t xml:space="preserve"> </w:t>
      </w:r>
      <w:r>
        <w:rPr>
          <w:bCs/>
          <w:color w:val="000000" w:themeColor="text1"/>
          <w:highlight w:val="white"/>
          <w:lang w:val="nl-NL"/>
        </w:rPr>
        <w:t xml:space="preserve">Tháng 09/2026</w:t>
      </w:r>
      <w:r>
        <w:rPr>
          <w:bCs/>
          <w:highlight w:val="white"/>
          <w:lang w:val="nl-NL"/>
        </w:rPr>
        <w:t xml:space="preserve">.</w:t>
      </w:r>
      <w:r>
        <w:rPr>
          <w:b/>
          <w:bCs/>
          <w:highlight w:val="white"/>
        </w:rPr>
      </w:r>
      <w:r>
        <w:rPr>
          <w:b/>
          <w:bCs/>
          <w:highlight w:val="white"/>
        </w:rPr>
      </w:r>
    </w:p>
    <w:p>
      <w:pPr>
        <w:pBdr/>
        <w:tabs>
          <w:tab w:val="left" w:leader="none" w:pos="851"/>
        </w:tabs>
        <w:spacing w:after="120" w:before="120" w:line="312" w:lineRule="auto"/>
        <w:ind/>
        <w:jc w:val="both"/>
        <w:rPr>
          <w:bCs/>
          <w:highlight w:val="white"/>
        </w:rPr>
      </w:pPr>
      <w:r>
        <w:rPr>
          <w:b/>
          <w:bCs/>
          <w:highlight w:val="white"/>
        </w:rPr>
        <w:t xml:space="preserve">5</w:t>
      </w:r>
      <w:r>
        <w:rPr>
          <w:b/>
          <w:bCs/>
          <w:highlight w:val="white"/>
          <w:lang w:val="pt-BR"/>
        </w:rPr>
        <w:t xml:space="preserve">. </w:t>
      </w:r>
      <w:r>
        <w:rPr>
          <w:b/>
          <w:bCs/>
          <w:highlight w:val="white"/>
          <w:lang w:val="vi-VN"/>
        </w:rPr>
        <w:t xml:space="preserve">Mục đích thẩm định giá:</w:t>
      </w:r>
      <w:bookmarkStart w:id="0" w:name="_Toc150933756"/>
      <w:r>
        <w:rPr>
          <w:highlight w:val="white"/>
        </w:rPr>
      </w:r>
      <w:bookmarkStart w:id="1" w:name="_Toc150933962"/>
      <w:r>
        <w:rPr>
          <w:highlight w:val="white"/>
        </w:rPr>
      </w:r>
      <w:bookmarkStart w:id="2" w:name="_Toc150934860"/>
      <w:r>
        <w:rPr>
          <w:b/>
          <w:bCs/>
          <w:highlight w:val="white"/>
          <w:lang w:val="vi-VN"/>
        </w:rPr>
        <w:t xml:space="preserve"> </w:t>
      </w:r>
      <w:r>
        <w:rPr>
          <w:bCs/>
          <w:color w:val="000000" w:themeColor="text1"/>
          <w:spacing w:val="-4"/>
          <w:highlight w:val="white"/>
        </w:rPr>
        <w:t xml:space="preserve">Kết quả thẩm định giá để khách hàng tham khảo giá trị tài sản phục vụ công tác  vay vốn tại tổ chức tín dụng</w:t>
      </w:r>
      <w:r>
        <w:rPr>
          <w:bCs/>
          <w:highlight w:val="white"/>
          <w:lang w:val="vi-VN"/>
        </w:rPr>
        <w:t xml:space="preserve">.</w:t>
      </w:r>
      <w:r>
        <w:rPr>
          <w:bCs/>
          <w:highlight w:val="white"/>
        </w:rPr>
      </w:r>
      <w:r>
        <w:rPr>
          <w:bCs/>
          <w:highlight w:val="white"/>
        </w:rPr>
      </w:r>
    </w:p>
    <w:p>
      <w:pPr>
        <w:pBdr/>
        <w:tabs>
          <w:tab w:val="left" w:leader="none" w:pos="851"/>
        </w:tabs>
        <w:spacing w:after="120" w:before="120" w:line="312" w:lineRule="auto"/>
        <w:ind/>
        <w:jc w:val="both"/>
        <w:rPr>
          <w:b/>
          <w:highlight w:val="white"/>
        </w:rPr>
      </w:pPr>
      <w:r>
        <w:rPr>
          <w:b/>
          <w:highlight w:val="white"/>
        </w:rPr>
        <w:t xml:space="preserve">6</w:t>
      </w:r>
      <w:r>
        <w:rPr>
          <w:b/>
          <w:highlight w:val="white"/>
          <w:lang w:val="pt-BR"/>
        </w:rPr>
        <w:t xml:space="preserve">. </w:t>
      </w:r>
      <w:r>
        <w:rPr>
          <w:b/>
          <w:highlight w:val="white"/>
          <w:lang w:val="pt-BR"/>
        </w:rPr>
        <w:t xml:space="preserve">Cơ sở giá trị của tài sản thẩm định giá</w:t>
      </w:r>
      <w:r>
        <w:rPr>
          <w:b/>
          <w:highlight w:val="white"/>
          <w:lang w:val="pt-BR"/>
        </w:rPr>
        <w:t xml:space="preserve">:</w:t>
      </w:r>
      <w:r>
        <w:rPr>
          <w:b/>
          <w:highlight w:val="white"/>
          <w:lang w:val="vi-VN"/>
        </w:rPr>
      </w:r>
      <w:r>
        <w:rPr>
          <w:b/>
          <w:highlight w:val="white"/>
          <w:lang w:val="vi-VN"/>
        </w:rPr>
      </w:r>
    </w:p>
    <w:p>
      <w:pPr>
        <w:pBdr/>
        <w:tabs>
          <w:tab w:val="left" w:leader="none" w:pos="5202"/>
        </w:tabs>
        <w:spacing w:after="120" w:before="120" w:line="312" w:lineRule="auto"/>
        <w:ind w:firstLine="432"/>
        <w:jc w:val="both"/>
        <w:rPr>
          <w:highlight w:val="white"/>
        </w:rPr>
      </w:pPr>
      <w:r>
        <w:rPr>
          <w:bCs/>
          <w:i/>
          <w:highlight w:val="white"/>
          <w:lang w:val="pt-BR"/>
        </w:rPr>
        <w:t xml:space="preserve">Chi tiết như Báo cáo kèm theo</w:t>
      </w:r>
      <w:r>
        <w:rPr>
          <w:bCs/>
          <w:i/>
          <w:highlight w:val="white"/>
          <w:lang w:val="pt-BR"/>
        </w:rPr>
        <w:t xml:space="preserve"> </w:t>
      </w:r>
      <w:r>
        <w:rPr>
          <w:highlight w:val="white"/>
          <w:lang w:val="pt-BR"/>
        </w:rPr>
      </w:r>
      <w:r>
        <w:rPr>
          <w:highlight w:val="white"/>
          <w:lang w:val="pt-BR"/>
        </w:rPr>
      </w:r>
    </w:p>
    <w:p>
      <w:pPr>
        <w:pBdr/>
        <w:tabs>
          <w:tab w:val="left" w:leader="none" w:pos="2430"/>
          <w:tab w:val="left" w:leader="none" w:pos="5130"/>
        </w:tabs>
        <w:spacing w:after="120" w:before="120" w:line="312" w:lineRule="auto"/>
        <w:ind/>
        <w:jc w:val="both"/>
        <w:rPr>
          <w:b/>
          <w:bCs/>
          <w:highlight w:val="white"/>
        </w:rPr>
      </w:pPr>
      <w:r>
        <w:rPr>
          <w:b/>
          <w:bCs/>
          <w:highlight w:val="white"/>
        </w:rPr>
        <w:t xml:space="preserve">7</w:t>
      </w:r>
      <w:r>
        <w:rPr>
          <w:b/>
          <w:bCs/>
          <w:highlight w:val="white"/>
          <w:lang w:val="pt-BR"/>
        </w:rPr>
        <w:t xml:space="preserve">. </w:t>
      </w:r>
      <w:r>
        <w:rPr>
          <w:b/>
          <w:bCs/>
          <w:highlight w:val="white"/>
          <w:lang w:val="pt-BR"/>
        </w:rPr>
        <w:t xml:space="preserve">Giả thiết và giả thiết đặc biệt</w:t>
      </w:r>
      <w:r>
        <w:rPr>
          <w:b/>
          <w:bCs/>
          <w:highlight w:val="white"/>
          <w:lang w:val="pt-BR"/>
        </w:rPr>
        <w:t xml:space="preserve">:</w:t>
      </w:r>
      <w:r>
        <w:rPr>
          <w:b/>
          <w:bCs/>
          <w:highlight w:val="white"/>
          <w:lang w:val="pt-BR"/>
        </w:rPr>
      </w:r>
      <w:r>
        <w:rPr>
          <w:b/>
          <w:bCs/>
          <w:highlight w:val="white"/>
          <w:lang w:val="pt-BR"/>
        </w:rPr>
      </w:r>
    </w:p>
    <w:p>
      <w:pPr>
        <w:pBdr/>
        <w:tabs>
          <w:tab w:val="left" w:leader="none" w:pos="5202"/>
        </w:tabs>
        <w:spacing w:after="120" w:before="120" w:line="312" w:lineRule="auto"/>
        <w:ind w:firstLine="432"/>
        <w:jc w:val="both"/>
        <w:rPr>
          <w:b/>
          <w:bCs/>
          <w:highlight w:val="white"/>
        </w:rPr>
      </w:pPr>
      <w:r>
        <w:rPr>
          <w:bCs/>
          <w:i/>
          <w:highlight w:val="white"/>
          <w:lang w:val="pt-BR"/>
        </w:rPr>
        <w:t xml:space="preserve">Chi tiết như Báo cáo kèm theo</w:t>
      </w:r>
      <w:r>
        <w:rPr>
          <w:b/>
          <w:bCs/>
          <w:highlight w:val="white"/>
          <w:lang w:val="pt-BR"/>
        </w:rPr>
      </w:r>
      <w:r>
        <w:rPr>
          <w:b/>
          <w:bCs/>
          <w:highlight w:val="white"/>
          <w:lang w:val="pt-BR"/>
        </w:rPr>
      </w:r>
    </w:p>
    <w:p>
      <w:pPr>
        <w:pBdr/>
        <w:tabs>
          <w:tab w:val="left" w:leader="none" w:pos="2430"/>
          <w:tab w:val="left" w:leader="none" w:pos="5130"/>
        </w:tabs>
        <w:spacing w:after="120" w:before="120" w:line="312" w:lineRule="auto"/>
        <w:ind/>
        <w:jc w:val="both"/>
        <w:rPr>
          <w:b/>
          <w:bCs/>
          <w:highlight w:val="white"/>
        </w:rPr>
      </w:pPr>
      <w:r>
        <w:rPr>
          <w:b/>
          <w:highlight w:val="white"/>
        </w:rPr>
        <w:t xml:space="preserve">8</w:t>
      </w:r>
      <w:r>
        <w:rPr>
          <w:b/>
          <w:highlight w:val="white"/>
          <w:lang w:val="pt-BR"/>
        </w:rPr>
        <w:t xml:space="preserve">. </w:t>
      </w:r>
      <w:r>
        <w:rPr>
          <w:b/>
          <w:highlight w:val="white"/>
          <w:lang w:val="pt-BR"/>
        </w:rPr>
        <w:t xml:space="preserve">Cách tiếp cận và phương pháp thẩm định giá</w:t>
      </w:r>
      <w:r>
        <w:rPr>
          <w:b/>
          <w:bCs/>
          <w:highlight w:val="white"/>
          <w:lang w:val="pt-BR"/>
        </w:rPr>
        <w:t xml:space="preserve">:</w:t>
      </w:r>
      <w:r>
        <w:rPr>
          <w:b/>
          <w:bCs/>
          <w:highlight w:val="white"/>
          <w:lang w:val="pt-BR"/>
        </w:rPr>
      </w:r>
      <w:r>
        <w:rPr>
          <w:b/>
          <w:bCs/>
          <w:highlight w:val="white"/>
          <w:lang w:val="pt-BR"/>
        </w:rPr>
      </w:r>
    </w:p>
    <w:p>
      <w:pPr>
        <w:pBdr/>
        <w:tabs>
          <w:tab w:val="left" w:leader="none" w:pos="5202"/>
        </w:tabs>
        <w:spacing w:after="120" w:before="120" w:line="312" w:lineRule="auto"/>
        <w:ind w:firstLine="432"/>
        <w:jc w:val="both"/>
        <w:rPr>
          <w:b/>
          <w:bCs/>
          <w:highlight w:val="white"/>
        </w:rPr>
      </w:pPr>
      <w:r>
        <w:rPr>
          <w:bCs/>
          <w:i/>
          <w:highlight w:val="white"/>
          <w:lang w:val="pt-BR"/>
        </w:rPr>
        <w:t xml:space="preserve">Chi tiết như Báo cáo kèm theo</w:t>
      </w:r>
      <w:r>
        <w:rPr>
          <w:b/>
          <w:bCs/>
          <w:highlight w:val="white"/>
          <w:lang w:val="pt-BR"/>
        </w:rPr>
      </w:r>
      <w:r>
        <w:rPr>
          <w:b/>
          <w:bCs/>
          <w:highlight w:val="white"/>
          <w:lang w:val="pt-BR"/>
        </w:rPr>
      </w:r>
    </w:p>
    <w:p>
      <w:pPr>
        <w:pBdr/>
        <w:tabs>
          <w:tab w:val="left" w:leader="none" w:pos="2430"/>
          <w:tab w:val="left" w:leader="none" w:pos="5130"/>
        </w:tabs>
        <w:spacing w:after="120" w:before="120" w:line="312" w:lineRule="auto"/>
        <w:ind/>
        <w:jc w:val="both"/>
        <w:rPr>
          <w:b/>
          <w:bCs/>
          <w:highlight w:val="white"/>
        </w:rPr>
      </w:pPr>
      <w:r>
        <w:rPr>
          <w:b/>
          <w:highlight w:val="white"/>
          <w:lang w:val="pt-BR"/>
        </w:rPr>
        <w:t xml:space="preserve">9</w:t>
      </w:r>
      <w:r>
        <w:rPr>
          <w:b/>
          <w:highlight w:val="white"/>
          <w:lang w:val="pt-BR"/>
        </w:rPr>
        <w:t xml:space="preserve">. </w:t>
      </w:r>
      <w:r>
        <w:rPr>
          <w:b/>
          <w:highlight w:val="white"/>
        </w:rPr>
        <w:t xml:space="preserve">Giá trị tài sản thẩm định giá</w:t>
      </w:r>
      <w:r>
        <w:rPr>
          <w:b/>
          <w:bCs/>
          <w:highlight w:val="white"/>
          <w:lang w:val="pt-BR"/>
        </w:rPr>
        <w:t xml:space="preserve">:</w:t>
      </w:r>
      <w:bookmarkEnd w:id="0"/>
      <w:r>
        <w:rPr>
          <w:highlight w:val="white"/>
        </w:rPr>
      </w:r>
      <w:bookmarkEnd w:id="1"/>
      <w:r>
        <w:rPr>
          <w:highlight w:val="white"/>
        </w:rPr>
      </w:r>
      <w:bookmarkEnd w:id="2"/>
      <w:r>
        <w:rPr>
          <w:b/>
          <w:bCs/>
          <w:highlight w:val="white"/>
          <w:lang w:val="pt-BR"/>
        </w:rPr>
      </w:r>
      <w:r>
        <w:rPr>
          <w:b/>
          <w:bCs/>
          <w:highlight w:val="white"/>
          <w:lang w:val="pt-BR"/>
        </w:rPr>
      </w:r>
    </w:p>
    <w:p>
      <w:pPr>
        <w:pBdr/>
        <w:spacing w:after="120" w:before="120" w:line="312" w:lineRule="auto"/>
        <w:ind/>
        <w:jc w:val="both"/>
        <w:rPr>
          <w:highlight w:val="white"/>
        </w:rPr>
      </w:pPr>
      <w:r>
        <w:rPr>
          <w:highlight w:val="white"/>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highlight w:val="white"/>
          <w:lang w:val="vi-VN"/>
        </w:rPr>
        <w:t xml:space="preserve">Công ty Cổ phần Thẩm định và Đầu tư Tài chính Hoa Sen </w:t>
      </w:r>
      <w:r>
        <w:rPr>
          <w:highlight w:val="white"/>
          <w:lang w:val="vi-VN"/>
        </w:rPr>
        <w:t xml:space="preserve">thông báo </w:t>
      </w:r>
      <w:r>
        <w:rPr>
          <w:highlight w:val="white"/>
          <w:lang w:val="nl-NL"/>
        </w:rPr>
        <w:t xml:space="preserve">giá trị </w:t>
      </w:r>
      <w:r>
        <w:rPr>
          <w:highlight w:val="white"/>
          <w:lang w:val="de-DE"/>
        </w:rPr>
        <w:t xml:space="preserve">tài sản chưa bao gồm các loại thuế, phí và lệ phí liên quan đến việc chuyển nhượng tài sản của </w:t>
      </w:r>
      <w:r>
        <w:rPr>
          <w:highlight w:val="white"/>
          <w:lang w:val="vi-VN"/>
        </w:rPr>
        <w:t xml:space="preserve">Quý</w:t>
      </w:r>
      <w:r>
        <w:rPr>
          <w:highlight w:val="white"/>
          <w:lang w:val="vi-VN"/>
        </w:rPr>
        <w:t xml:space="preserve"> khách hàng tại thời điểm </w:t>
      </w:r>
      <w:r>
        <w:rPr>
          <w:bCs/>
          <w:color w:val="000000" w:themeColor="text1"/>
          <w:highlight w:val="white"/>
          <w:lang w:val="nl-NL"/>
        </w:rPr>
        <w:t xml:space="preserve">tháng 09/2026</w:t>
      </w:r>
      <w:r>
        <w:rPr>
          <w:highlight w:val="white"/>
          <w:lang w:val="vi-VN"/>
        </w:rPr>
        <w:t xml:space="preserve"> ước tính</w:t>
      </w:r>
      <w:r>
        <w:rPr>
          <w:highlight w:val="white"/>
        </w:rPr>
        <w:t xml:space="preserve"> </w:t>
      </w:r>
      <w:r>
        <w:rPr>
          <w:highlight w:val="white"/>
          <w:lang w:val="vi-VN"/>
        </w:rPr>
        <w:t xml:space="preserve">như sau:</w:t>
      </w:r>
      <w:r>
        <w:rPr>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highlight w:val="white"/>
              </w:rPr>
            </w:pPr>
            <w:r>
              <w:rPr>
                <w:b/>
                <w:bCs/>
                <w:highlight w:val="white"/>
              </w:rPr>
              <w:t xml:space="preserve">TT</w:t>
            </w:r>
            <w:r>
              <w:rPr>
                <w:b/>
                <w:bCs/>
                <w:highlight w:val="white"/>
              </w:rPr>
            </w:r>
            <w:r>
              <w:rPr>
                <w:b/>
                <w:bCs/>
                <w:highlight w:val="white"/>
              </w:rPr>
            </w:r>
          </w:p>
        </w:tc>
        <w:tc>
          <w:tcPr>
            <w:shd w:val="clear" w:color="000000" w:fill="ffffff"/>
            <w:tcBorders/>
            <w:tcW w:w="2025" w:type="dxa"/>
            <w:vAlign w:val="center"/>
            <w:textDirection w:val="lrTb"/>
            <w:noWrap w:val="false"/>
          </w:tcPr>
          <w:p>
            <w:pPr>
              <w:pBdr/>
              <w:spacing w:after="40" w:before="40" w:line="288" w:lineRule="auto"/>
              <w:ind/>
              <w:jc w:val="center"/>
              <w:rPr>
                <w:b/>
                <w:bCs/>
                <w:highlight w:val="white"/>
              </w:rPr>
            </w:pPr>
            <w:r>
              <w:rPr>
                <w:b/>
                <w:bCs/>
                <w:highlight w:val="white"/>
              </w:rPr>
              <w:t xml:space="preserve">Tài sản</w:t>
            </w:r>
            <w:r>
              <w:rPr>
                <w:b/>
                <w:bCs/>
                <w:highlight w:val="white"/>
              </w:rPr>
            </w:r>
            <w:r>
              <w:rPr>
                <w:b/>
                <w:bCs/>
                <w:highlight w:val="white"/>
              </w:rPr>
            </w:r>
          </w:p>
        </w:tc>
        <w:tc>
          <w:tcPr>
            <w:shd w:val="clear" w:color="000000" w:fill="ffffff"/>
            <w:tcBorders/>
            <w:tcW w:w="1802" w:type="dxa"/>
            <w:vAlign w:val="center"/>
            <w:textDirection w:val="lrTb"/>
            <w:noWrap w:val="false"/>
          </w:tcPr>
          <w:p>
            <w:pPr>
              <w:pBdr/>
              <w:spacing w:after="40" w:before="40" w:line="288" w:lineRule="auto"/>
              <w:ind/>
              <w:jc w:val="center"/>
              <w:rPr>
                <w:b/>
                <w:bCs/>
                <w:highlight w:val="white"/>
              </w:rPr>
            </w:pPr>
            <w:r>
              <w:rPr>
                <w:b/>
                <w:bCs/>
                <w:highlight w:val="white"/>
              </w:rPr>
              <w:t xml:space="preserve">Diện tích (m²)</w:t>
            </w:r>
            <w:r>
              <w:rPr>
                <w:b/>
                <w:bCs/>
                <w:highlight w:val="white"/>
              </w:rPr>
            </w:r>
            <w:r>
              <w:rPr>
                <w:b/>
                <w:bCs/>
                <w:highlight w:val="white"/>
              </w:rPr>
            </w:r>
          </w:p>
        </w:tc>
        <w:tc>
          <w:tcPr>
            <w:shd w:val="clear" w:color="000000" w:fill="ffffff"/>
            <w:tcBorders/>
            <w:tcW w:w="2581" w:type="dxa"/>
            <w:vAlign w:val="center"/>
            <w:textDirection w:val="lrTb"/>
            <w:noWrap w:val="false"/>
          </w:tcPr>
          <w:p>
            <w:pPr>
              <w:pBdr/>
              <w:spacing w:after="40" w:before="40" w:line="288" w:lineRule="auto"/>
              <w:ind/>
              <w:jc w:val="center"/>
              <w:rPr>
                <w:b/>
                <w:bCs/>
                <w:highlight w:val="white"/>
              </w:rPr>
            </w:pPr>
            <w:r>
              <w:rPr>
                <w:b/>
                <w:bCs/>
                <w:highlight w:val="white"/>
              </w:rPr>
              <w:t xml:space="preserve">Đơn giá (đồng/m²)</w:t>
            </w:r>
            <w:r>
              <w:rPr>
                <w:b/>
                <w:bCs/>
                <w:highlight w:val="white"/>
              </w:rPr>
            </w:r>
            <w:r>
              <w:rPr>
                <w:b/>
                <w:bCs/>
                <w:highlight w:val="white"/>
              </w:rPr>
            </w:r>
          </w:p>
        </w:tc>
        <w:tc>
          <w:tcPr>
            <w:shd w:val="clear" w:color="000000" w:fill="ffffff"/>
            <w:tcBorders/>
            <w:tcW w:w="2164" w:type="dxa"/>
            <w:vAlign w:val="center"/>
            <w:textDirection w:val="lrTb"/>
            <w:noWrap w:val="false"/>
          </w:tcPr>
          <w:p>
            <w:pPr>
              <w:pBdr/>
              <w:spacing w:after="40" w:before="40" w:line="288" w:lineRule="auto"/>
              <w:ind/>
              <w:jc w:val="center"/>
              <w:rPr>
                <w:b/>
                <w:bCs/>
                <w:highlight w:val="white"/>
              </w:rPr>
            </w:pPr>
            <w:r>
              <w:rPr>
                <w:b/>
                <w:bCs/>
                <w:highlight w:val="white"/>
              </w:rPr>
              <w:t xml:space="preserve">Thành tiền (đồng)</w:t>
            </w:r>
            <w:r>
              <w:rPr>
                <w:b/>
                <w:bCs/>
                <w:highlight w:val="white"/>
              </w:rPr>
            </w:r>
            <w:r>
              <w:rPr>
                <w:b/>
                <w:bCs/>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highlight w:val="white"/>
              </w:rPr>
            </w:pPr>
            <w:r>
              <w:rPr>
                <w:b/>
                <w:bCs/>
                <w:highlight w:val="white"/>
              </w:rPr>
              <w:t xml:space="preserve"> </w:t>
            </w:r>
            <w:r>
              <w:rPr>
                <w:b/>
                <w:bCs/>
                <w:highlight w:val="white"/>
              </w:rPr>
            </w:r>
            <w:r>
              <w:rPr>
                <w:b/>
                <w:bCs/>
                <w:highlight w:val="white"/>
              </w:rPr>
            </w:r>
          </w:p>
        </w:tc>
        <w:tc>
          <w:tcPr>
            <w:gridSpan w:val="3"/>
            <w:shd w:val="clear" w:color="000000" w:fill="ffffff"/>
            <w:tcBorders/>
            <w:tcW w:w="6408" w:type="dxa"/>
            <w:vAlign w:val="center"/>
            <w:textDirection w:val="lrTb"/>
            <w:noWrap w:val="false"/>
          </w:tcPr>
          <w:p>
            <w:pPr>
              <w:pBdr/>
              <w:spacing w:after="40" w:before="40" w:line="288" w:lineRule="auto"/>
              <w:ind/>
              <w:jc w:val="both"/>
              <w:rPr>
                <w:b/>
                <w:bCs/>
                <w:highlight w:val="white"/>
              </w:rPr>
            </w:pPr>
            <w:r>
              <w:rPr>
                <w:color w:val="000000"/>
                <w:highlight w:val="white"/>
              </w:rPr>
              <w:t xml:space="preserve">Quyền sử dụng đất tại thửa đất số: 444, tờ bản đồ số: 7, có địa chỉ: Khu Đầu Cầu Dưới, thôn Thái Hòa, xã Phú Bình, huyện Thạch Thất (nay là  xã Tây Phương), thà</w:t>
            </w:r>
            <w:r>
              <w:rPr>
                <w:color w:val="000000"/>
                <w:highlight w:val="white"/>
              </w:rPr>
              <w:t xml:space="preserve">nh phố Hà Nội theo Giấy chứng nhận quyền sử dụng đất, quyền sở hữu nhà ở và tài sản khác gắn liền với đất số: DM 355265, Số vào sổ cấp GCN: CH 00137 do UBND huyện Thạch Thất cấp ngày 20/03/2024; chủ sử dụng đất là Ông Phan Văn Toàn và Bà Nguyễn Huyền Trang</w:t>
            </w:r>
            <w:r>
              <w:rPr>
                <w:b/>
                <w:bCs/>
                <w:highlight w:val="white"/>
              </w:rPr>
              <w:t xml:space="preserve">.</w:t>
            </w:r>
            <w:r>
              <w:rPr>
                <w:b/>
                <w:bCs/>
                <w:highlight w:val="white"/>
              </w:rPr>
            </w:r>
            <w:r>
              <w:rPr>
                <w:b/>
                <w:bCs/>
                <w:highlight w:val="white"/>
              </w:rPr>
            </w:r>
          </w:p>
        </w:tc>
        <w:tc>
          <w:tcPr>
            <w:shd w:val="clear" w:color="000000" w:fill="ffffff"/>
            <w:tcBorders/>
            <w:tcW w:w="2164" w:type="dxa"/>
            <w:vAlign w:val="center"/>
            <w:textDirection w:val="lrTb"/>
            <w:noWrap w:val="false"/>
          </w:tcPr>
          <w:p>
            <w:pPr>
              <w:pBdr/>
              <w:spacing w:after="40" w:before="40" w:line="288" w:lineRule="auto"/>
              <w:ind/>
              <w:jc w:val="right"/>
              <w:rPr>
                <w:b/>
                <w:bCs/>
                <w:highlight w:val="white"/>
              </w:rPr>
            </w:pPr>
            <w:r>
              <w:rPr>
                <w:b/>
                <w:bCs/>
                <w:highlight w:val="white"/>
              </w:rPr>
              <w:t xml:space="preserve"> </w:t>
            </w:r>
            <w:r>
              <w:rPr>
                <w:b/>
                <w:bCs/>
                <w:highlight w:val="white"/>
              </w:rPr>
            </w:r>
            <w:r>
              <w:rPr>
                <w:b/>
                <w:bCs/>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highlight w:val="white"/>
              </w:rPr>
            </w:pPr>
            <w:r>
              <w:rPr>
                <w:b w:val="0"/>
                <w:bCs w:val="0"/>
                <w:highlight w:val="white"/>
              </w:rPr>
              <w:t xml:space="preserve">1</w:t>
            </w:r>
            <w:r>
              <w:rPr>
                <w:b w:val="0"/>
                <w:bCs w:val="0"/>
                <w:highlight w:val="white"/>
              </w:rPr>
            </w:r>
          </w:p>
        </w:tc>
        <w:tc>
          <w:tcPr>
            <w:shd w:val="clear" w:color="000000" w:fill="ffffff"/>
            <w:tcBorders/>
            <w:tcW w:w="2025" w:type="dxa"/>
            <w:vAlign w:val="center"/>
            <w:textDirection w:val="lrTb"/>
            <w:noWrap w:val="false"/>
          </w:tcPr>
          <w:p>
            <w:pPr>
              <w:pBdr/>
              <w:spacing w:after="40" w:before="40" w:line="288" w:lineRule="auto"/>
              <w:ind/>
              <w:rPr>
                <w:b w:val="0"/>
                <w:bCs w:val="0"/>
                <w:highlight w:val="white"/>
              </w:rPr>
            </w:pPr>
            <w:r>
              <w:rPr>
                <w:b w:val="0"/>
                <w:bCs w:val="0"/>
                <w:highlight w:val="white"/>
              </w:rPr>
              <w:t xml:space="preserve">Đất ở nông thôn</w:t>
            </w:r>
            <w:r>
              <w:rPr>
                <w:b w:val="0"/>
                <w:bCs w:val="0"/>
                <w:highlight w:val="white"/>
              </w:rPr>
            </w:r>
          </w:p>
        </w:tc>
        <w:tc>
          <w:tcPr>
            <w:tcBorders/>
            <w:tcW w:w="1802" w:type="dxa"/>
            <w:vAlign w:val="center"/>
            <w:textDirection w:val="lrTb"/>
            <w:noWrap/>
          </w:tcPr>
          <w:p>
            <w:pPr>
              <w:pBdr/>
              <w:spacing w:after="40" w:before="40" w:line="288" w:lineRule="auto"/>
              <w:ind/>
              <w:jc w:val="center"/>
              <w:rPr>
                <w:color w:val="000000"/>
                <w:highlight w:val="white"/>
              </w:rPr>
            </w:pPr>
            <w:r>
              <w:rPr>
                <w:color w:val="000000" w:themeColor="text1"/>
                <w:highlight w:val="white"/>
              </w:rPr>
              <w:t xml:space="preserve">144</w:t>
            </w:r>
            <w:r>
              <w:rPr>
                <w:color w:val="000000"/>
                <w:highlight w:val="white"/>
              </w:rPr>
            </w:r>
            <w:r>
              <w:rPr>
                <w:color w:val="000000"/>
                <w:highlight w:val="white"/>
              </w:rPr>
            </w:r>
          </w:p>
        </w:tc>
        <w:tc>
          <w:tcPr>
            <w:shd w:val="clear" w:color="000000" w:fill="ffffff"/>
            <w:tcBorders/>
            <w:tcW w:w="2581" w:type="dxa"/>
            <w:vAlign w:val="center"/>
            <w:textDirection w:val="lrTb"/>
            <w:noWrap w:val="false"/>
          </w:tcPr>
          <w:p>
            <w:pPr>
              <w:pBdr/>
              <w:spacing w:after="40" w:before="40" w:line="288" w:lineRule="auto"/>
              <w:ind/>
              <w:jc w:val="center"/>
              <w:rPr>
                <w:highlight w:val="white"/>
              </w:rPr>
            </w:pPr>
            <w:r>
              <w:rPr>
                <w:color w:val="000000" w:themeColor="text1"/>
                <w:highlight w:val="white"/>
              </w:rPr>
              <w:t xml:space="preserve">75.000.000</w:t>
            </w:r>
            <w:r>
              <w:rPr>
                <w:highlight w:val="white"/>
              </w:rPr>
            </w:r>
          </w:p>
        </w:tc>
        <w:tc>
          <w:tcPr>
            <w:shd w:val="clear" w:color="000000" w:fill="ffffff"/>
            <w:tcBorders/>
            <w:tcW w:w="2164" w:type="dxa"/>
            <w:vAlign w:val="center"/>
            <w:textDirection w:val="lrTb"/>
            <w:noWrap w:val="false"/>
          </w:tcPr>
          <w:p>
            <w:pPr>
              <w:pBdr/>
              <w:spacing w:after="40" w:before="40" w:line="288" w:lineRule="auto"/>
              <w:ind/>
              <w:jc w:val="center"/>
              <w:rPr>
                <w:highlight w:val="white"/>
              </w:rPr>
            </w:pPr>
            <w:r>
              <w:rPr>
                <w:color w:val="000000" w:themeColor="text1"/>
                <w:highlight w:val="white"/>
              </w:rPr>
              <w:t xml:space="preserve">10.800.000.000</w:t>
            </w:r>
            <w:r>
              <w:rPr>
                <w:highlight w:val="white"/>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TỔNG CỘNG:</w:t>
            </w:r>
            <w:r>
              <w:rPr>
                <w:b/>
                <w:bCs/>
                <w:color w:val="000000"/>
                <w:highlight w:val="white"/>
              </w:rPr>
            </w:r>
            <w:r>
              <w:rPr>
                <w:b/>
                <w:bCs/>
                <w:color w:val="000000"/>
                <w:highlight w:val="white"/>
              </w:rPr>
            </w:r>
          </w:p>
        </w:tc>
        <w:tc>
          <w:tcPr>
            <w:tcBorders/>
            <w:tcW w:w="2164" w:type="dxa"/>
            <w:vAlign w:val="center"/>
            <w:textDirection w:val="lrTb"/>
            <w:noWrap/>
          </w:tcPr>
          <w:p>
            <w:pPr>
              <w:pBdr/>
              <w:spacing w:after="40" w:before="40" w:line="288" w:lineRule="auto"/>
              <w:ind/>
              <w:jc w:val="center"/>
              <w:rPr>
                <w:b/>
                <w:bCs/>
                <w:highlight w:val="white"/>
              </w:rPr>
            </w:pPr>
            <w:r>
              <w:rPr>
                <w:b/>
                <w:bCs/>
                <w:color w:val="000000" w:themeColor="text1"/>
                <w:highlight w:val="white"/>
              </w:rPr>
              <w:t xml:space="preserve">10.800.000.000</w:t>
            </w:r>
            <w:r>
              <w:rPr>
                <w:b/>
                <w:bCs/>
                <w:highlight w:val="white"/>
              </w:rPr>
            </w:r>
            <w:r>
              <w:rPr>
                <w:b/>
                <w:bCs/>
                <w:highlight w:val="white"/>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highlight w:val="white"/>
              </w:rPr>
            </w:pPr>
            <w:r>
              <w:rPr>
                <w:b/>
                <w:bCs/>
                <w:i/>
                <w:iCs/>
                <w:color w:val="000000"/>
                <w:highlight w:val="white"/>
              </w:rPr>
              <w:t xml:space="preserve">(Bằng chữ: </w:t>
            </w:r>
            <w:r>
              <w:rPr>
                <w:b/>
                <w:bCs/>
                <w:i/>
                <w:iCs/>
                <w:color w:val="000000"/>
                <w:highlight w:val="white"/>
              </w:rPr>
              <w:t xml:space="preserve">Mười tỷ tám trăm triệu đồng</w:t>
            </w:r>
            <w:r>
              <w:rPr>
                <w:b/>
                <w:bCs/>
                <w:i/>
                <w:iCs/>
                <w:color w:val="000000"/>
                <w:highlight w:val="white"/>
              </w:rPr>
              <w:t xml:space="preserve">./.)</w:t>
            </w:r>
            <w:r>
              <w:rPr>
                <w:b/>
                <w:bCs/>
                <w:i/>
                <w:iCs/>
                <w:color w:val="000000"/>
                <w:highlight w:val="white"/>
              </w:rPr>
            </w:r>
            <w:r>
              <w:rPr>
                <w:b/>
                <w:bCs/>
                <w:i/>
                <w:iCs/>
                <w:color w:val="000000"/>
                <w:highlight w:val="white"/>
              </w:rPr>
            </w:r>
          </w:p>
        </w:tc>
      </w:tr>
    </w:tbl>
    <w:p>
      <w:pPr>
        <w:pBdr/>
        <w:spacing w:after="120" w:before="120" w:line="312" w:lineRule="auto"/>
        <w:ind/>
        <w:jc w:val="both"/>
        <w:rPr>
          <w:b/>
          <w:bCs/>
          <w:highlight w:val="white"/>
        </w:rPr>
      </w:pPr>
      <w:r>
        <w:rPr>
          <w:b/>
          <w:bCs/>
          <w:highlight w:val="white"/>
          <w:lang w:val="vi-VN"/>
        </w:rPr>
        <w:t xml:space="preserve">10. Thời hạn hiệu lực của kết quả thẩm định giá:</w:t>
      </w:r>
      <w:r>
        <w:rPr>
          <w:b/>
          <w:bCs/>
          <w:highlight w:val="white"/>
        </w:rPr>
      </w:r>
      <w:r>
        <w:rPr>
          <w:b/>
          <w:bCs/>
          <w:highlight w:val="white"/>
        </w:rPr>
      </w:r>
    </w:p>
    <w:p>
      <w:pPr>
        <w:pBdr/>
        <w:spacing w:after="120" w:before="120" w:line="312" w:lineRule="auto"/>
        <w:ind w:firstLine="360"/>
        <w:jc w:val="both"/>
        <w:rPr>
          <w:highlight w:val="white"/>
        </w:rPr>
      </w:pPr>
      <w:r>
        <w:rPr>
          <w:highlight w:val="white"/>
          <w:lang w:val="pt-BR"/>
        </w:rPr>
        <w:t xml:space="preserve">- Tối đa 06 (sáu) tháng tính từ ngày ký đối với tài sản là Bất động sản.</w:t>
      </w:r>
      <w:r>
        <w:rPr>
          <w:highlight w:val="white"/>
          <w:lang w:val="pt-BR"/>
        </w:rPr>
      </w:r>
      <w:r>
        <w:rPr>
          <w:highlight w:val="white"/>
          <w:lang w:val="pt-BR"/>
        </w:rPr>
      </w:r>
    </w:p>
    <w:p>
      <w:pPr>
        <w:pBdr/>
        <w:spacing w:after="120" w:before="120" w:line="312" w:lineRule="auto"/>
        <w:ind/>
        <w:rPr>
          <w:highlight w:val="white"/>
        </w:rPr>
      </w:pPr>
      <w:r>
        <w:rPr>
          <w:b/>
          <w:bCs/>
          <w:highlight w:val="white"/>
          <w:lang w:val="vi-VN"/>
        </w:rPr>
        <w:t xml:space="preserve">11. Những điều khoản loại trừ và hạn chế của kết quả thẩm định giá:</w:t>
      </w:r>
      <w:r>
        <w:rPr>
          <w:highlight w:val="white"/>
        </w:rPr>
      </w:r>
    </w:p>
    <w:p>
      <w:pPr>
        <w:pBdr/>
        <w:spacing w:after="120" w:before="120" w:line="312" w:lineRule="auto"/>
        <w:ind w:firstLine="360"/>
        <w:rPr>
          <w:highlight w:val="white"/>
        </w:rPr>
      </w:pPr>
      <w:r>
        <w:rPr>
          <w:highlight w:val="white"/>
          <w:lang w:val="pt-BR"/>
        </w:rPr>
        <w:t xml:space="preserve">- </w:t>
      </w:r>
      <w:r>
        <w:rPr>
          <w:highlight w:val="white"/>
          <w:lang w:val="pt-BR"/>
        </w:rPr>
        <w:t xml:space="preserve">Chi tiết như Báo cáo kèm theo.</w:t>
      </w:r>
      <w:r>
        <w:rPr>
          <w:rFonts w:eastAsia="Calibri"/>
          <w:b/>
          <w:spacing w:val="-4"/>
          <w:highlight w:val="white"/>
          <w:lang w:val="pt-BR"/>
        </w:rPr>
        <w:br w:type="page" w:clear="all"/>
      </w:r>
      <w:r>
        <w:rPr>
          <w:rFonts w:eastAsia="Calibri"/>
          <w:b/>
          <w:spacing w:val="-4"/>
          <w:highlight w:val="white"/>
          <w:lang w:val="pt-BR"/>
        </w:rPr>
        <w:t xml:space="preserve">12</w:t>
      </w:r>
      <w:r>
        <w:rPr>
          <w:rFonts w:eastAsia="Calibri"/>
          <w:b/>
          <w:spacing w:val="-4"/>
          <w:highlight w:val="white"/>
          <w:lang w:val="vi-VN"/>
        </w:rPr>
        <w:t xml:space="preserve">. Các tài liệu kèm theo:</w:t>
      </w:r>
      <w:r>
        <w:rPr>
          <w:highlight w:val="white"/>
          <w:lang w:val="pt-BR"/>
        </w:rPr>
      </w:r>
      <w:r>
        <w:rPr>
          <w:highlight w:val="white"/>
          <w:lang w:val="pt-BR"/>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Báo cáo kết quả thẩm định giá.</w:t>
      </w:r>
      <w:r>
        <w:rPr>
          <w:spacing w:val="-6"/>
          <w:highlight w:val="white"/>
          <w:lang w:val="vi-VN"/>
        </w:rPr>
      </w:r>
      <w:r>
        <w:rPr>
          <w:spacing w:val="-6"/>
          <w:highlight w:val="white"/>
          <w:lang w:val="vi-VN"/>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Các phụ lục chi tiết kèm theo.</w:t>
      </w:r>
      <w:r>
        <w:rPr>
          <w:spacing w:val="-6"/>
          <w:highlight w:val="white"/>
          <w:lang w:val="vi-VN"/>
        </w:rPr>
      </w:r>
      <w:r>
        <w:rPr>
          <w:spacing w:val="-6"/>
          <w:highlight w:val="white"/>
          <w:lang w:val="vi-VN"/>
        </w:rPr>
      </w:r>
    </w:p>
    <w:p>
      <w:pPr>
        <w:pBdr/>
        <w:tabs>
          <w:tab w:val="left" w:leader="none" w:pos="5202"/>
        </w:tabs>
        <w:spacing w:after="120" w:before="120" w:line="276" w:lineRule="auto"/>
        <w:ind w:firstLine="431"/>
        <w:jc w:val="both"/>
        <w:rPr>
          <w:spacing w:val="-6"/>
          <w:highlight w:val="white"/>
        </w:rPr>
      </w:pPr>
      <w:r>
        <w:rPr>
          <w:spacing w:val="-6"/>
          <w:highlight w:val="white"/>
        </w:rPr>
        <w:t xml:space="preserve">- </w:t>
      </w:r>
      <w:r>
        <w:rPr>
          <w:spacing w:val="-6"/>
          <w:highlight w:val="white"/>
          <w:lang w:val="vi-VN"/>
        </w:rPr>
        <w:t xml:space="preserve">Chứng thư </w:t>
      </w:r>
      <w:r>
        <w:rPr>
          <w:spacing w:val="-6"/>
          <w:highlight w:val="white"/>
          <w:lang w:val="vi-VN"/>
        </w:rPr>
        <w:t xml:space="preserve">thẩm định giá</w:t>
      </w:r>
      <w:r>
        <w:rPr>
          <w:spacing w:val="-6"/>
          <w:highlight w:val="white"/>
          <w:lang w:val="vi-VN"/>
        </w:rPr>
        <w:t xml:space="preserve"> được phát hành 0</w:t>
      </w:r>
      <w:r>
        <w:rPr>
          <w:spacing w:val="-6"/>
          <w:highlight w:val="white"/>
          <w:lang w:val="vi-VN"/>
        </w:rPr>
        <w:t xml:space="preserve">3</w:t>
      </w:r>
      <w:r>
        <w:rPr>
          <w:spacing w:val="-6"/>
          <w:highlight w:val="white"/>
          <w:lang w:val="vi-VN"/>
        </w:rPr>
        <w:t xml:space="preserve"> (</w:t>
      </w:r>
      <w:r>
        <w:rPr>
          <w:spacing w:val="-6"/>
          <w:highlight w:val="white"/>
          <w:lang w:val="vi-VN"/>
        </w:rPr>
        <w:t xml:space="preserve">ba</w:t>
      </w:r>
      <w:r>
        <w:rPr>
          <w:spacing w:val="-6"/>
          <w:highlight w:val="white"/>
          <w:lang w:val="vi-VN"/>
        </w:rPr>
        <w:t xml:space="preserve">) bản chính bằng tiếng Việt, cấp cho quý khách hàng 0</w:t>
      </w:r>
      <w:r>
        <w:rPr>
          <w:spacing w:val="-6"/>
          <w:highlight w:val="white"/>
          <w:lang w:val="vi-VN"/>
        </w:rPr>
        <w:t xml:space="preserve">2</w:t>
      </w:r>
      <w:r>
        <w:rPr>
          <w:spacing w:val="-6"/>
          <w:highlight w:val="white"/>
          <w:lang w:val="vi-VN"/>
        </w:rPr>
        <w:t xml:space="preserve"> (</w:t>
      </w:r>
      <w:r>
        <w:rPr>
          <w:spacing w:val="-6"/>
          <w:highlight w:val="white"/>
          <w:lang w:val="vi-VN"/>
        </w:rPr>
        <w:t xml:space="preserve">hai</w:t>
      </w:r>
      <w:r>
        <w:rPr>
          <w:spacing w:val="-6"/>
          <w:highlight w:val="white"/>
          <w:lang w:val="vi-VN"/>
        </w:rPr>
        <w:t xml:space="preserve">) bản, lưu lại </w:t>
      </w:r>
      <w:r>
        <w:rPr>
          <w:spacing w:val="-6"/>
          <w:highlight w:val="white"/>
          <w:lang w:val="vi-VN"/>
        </w:rPr>
        <w:t xml:space="preserve">Công ty Cổ phần Thẩm định và Đầu tư Tài chính Hoa Sen</w:t>
      </w:r>
      <w:r>
        <w:rPr>
          <w:spacing w:val="-6"/>
          <w:highlight w:val="white"/>
          <w:lang w:val="vi-VN"/>
        </w:rPr>
        <w:t xml:space="preserve"> 01 (một) </w:t>
      </w:r>
      <w:r>
        <w:rPr>
          <w:spacing w:val="-6"/>
          <w:highlight w:val="white"/>
          <w:lang w:val="vi-VN"/>
        </w:rPr>
        <w:t xml:space="preserve">bản </w:t>
      </w:r>
      <w:r>
        <w:rPr>
          <w:spacing w:val="-6"/>
          <w:highlight w:val="white"/>
          <w:lang w:val="vi-VN"/>
        </w:rPr>
        <w:t xml:space="preserve">có giá trị pháp lý như nhau.</w:t>
      </w:r>
      <w:r>
        <w:rPr>
          <w:spacing w:val="-6"/>
          <w:highlight w:val="white"/>
          <w:lang w:val="vi-VN"/>
        </w:rPr>
      </w:r>
      <w:r>
        <w:rPr>
          <w:spacing w:val="-6"/>
          <w:highlight w:val="white"/>
          <w:lang w:val="vi-VN"/>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w:t>
      </w:r>
      <w:r>
        <w:rPr>
          <w:spacing w:val="-6"/>
          <w:highlight w:val="white"/>
          <w:lang w:val="vi-VN"/>
        </w:rPr>
        <w:t xml:space="preserve">- Mọi hình thức sao chép báo cáo và chứng thư thẩm định giá không có sự đồng ý bằng văn bản của </w:t>
      </w:r>
      <w:r>
        <w:rPr>
          <w:spacing w:val="-6"/>
          <w:highlight w:val="white"/>
          <w:lang w:val="vi-VN"/>
        </w:rPr>
        <w:t xml:space="preserve">Công ty Cổ phần Thẩm định và Đầu tư Tài chính Hoa Sen </w:t>
      </w:r>
      <w:r>
        <w:rPr>
          <w:spacing w:val="-6"/>
          <w:highlight w:val="white"/>
          <w:lang w:val="vi-VN"/>
        </w:rPr>
        <w:t xml:space="preserve">đều là hành vi vi phạm pháp luật.</w:t>
      </w:r>
      <w:r>
        <w:rPr>
          <w:spacing w:val="-6"/>
          <w:highlight w:val="white"/>
          <w:lang w:val="vi-VN"/>
        </w:rPr>
      </w:r>
      <w:r>
        <w:rPr>
          <w:spacing w:val="-6"/>
          <w:highlight w:val="whit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THẨM ĐỊNH VIÊN VỀ GIÁ</w:t>
            </w:r>
            <w:r>
              <w:rPr>
                <w:rFonts w:eastAsia="Calibri"/>
                <w:b/>
                <w:highlight w:val="white"/>
                <w:lang w:val="pt-BR"/>
              </w:rPr>
            </w:r>
            <w:r>
              <w:rPr>
                <w:rFonts w:eastAsia="Calibri"/>
                <w:b/>
                <w:highlight w:val="white"/>
                <w:lang w:val="pt-BR"/>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lang w:val="pt-BR"/>
              </w:rPr>
            </w:r>
            <w:r>
              <w:rPr>
                <w:rFonts w:eastAsia="Calibri"/>
                <w:b/>
                <w:color w:val="000000" w:themeColor="text1"/>
                <w:highlight w:val="white"/>
                <w:lang w:val="pt-BR"/>
              </w:rPr>
            </w:r>
          </w:p>
          <w:p>
            <w:pPr>
              <w:pBdr/>
              <w:spacing w:line="276" w:lineRule="auto"/>
              <w:ind/>
              <w:jc w:val="center"/>
              <w:rPr>
                <w:rFonts w:eastAsia="Calibri"/>
                <w:b/>
                <w:highlight w:val="white"/>
              </w:rPr>
            </w:pPr>
            <w:r>
              <w:rPr>
                <w:rFonts w:eastAsia="Calibri"/>
                <w:b/>
                <w:highlight w:val="white"/>
                <w:lang w:val="pt-BR"/>
              </w:rPr>
              <w:t xml:space="preserve">CHỦ TỊCH HĐQT KIÊM TỔNG GIÁM ĐỐC</w:t>
            </w:r>
            <w:r>
              <w:rPr>
                <w:rFonts w:eastAsia="Calibri"/>
                <w:b/>
                <w:highlight w:val="white"/>
                <w:lang w:val="pt-BR"/>
              </w:rPr>
            </w:r>
            <w:r>
              <w:rPr>
                <w:rFonts w:eastAsia="Calibri"/>
                <w:b/>
                <w:highlight w:val="white"/>
                <w:lang w:val="pt-BR"/>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lang w:val="vi-VN"/>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bCs/>
                <w:highlight w:val="white"/>
              </w:rPr>
            </w:pPr>
            <w:r>
              <w:rPr>
                <w:rFonts w:eastAsia="Calibri"/>
                <w:b/>
                <w:bCs/>
                <w:color w:val="000000" w:themeColor="text1"/>
                <w:highlight w:val="white"/>
                <w:lang w:val="pt-BR"/>
              </w:rPr>
              <w:t xml:space="preserve">Nguyễn Thị Thùy Dương</w:t>
            </w:r>
            <w:r>
              <w:rPr>
                <w:rFonts w:eastAsia="Calibri"/>
                <w:b/>
                <w:bCs/>
                <w:highlight w:val="white"/>
                <w:lang w:val="vi-VN"/>
              </w:rPr>
            </w:r>
            <w:r>
              <w:rPr>
                <w:rFonts w:eastAsia="Calibri"/>
                <w:b/>
                <w:bCs/>
                <w:highlight w:val="white"/>
                <w:lang w:val="vi-VN"/>
              </w:rPr>
            </w:r>
          </w:p>
          <w:p>
            <w:pPr>
              <w:pBdr/>
              <w:spacing w:line="240" w:lineRule="atLeast"/>
              <w:ind/>
              <w:jc w:val="center"/>
              <w:rPr>
                <w:rFonts w:eastAsia="Calibri"/>
                <w:bCs/>
                <w:highlight w:val="white"/>
              </w:rPr>
            </w:pPr>
            <w:r>
              <w:rPr>
                <w:rFonts w:eastAsia="Calibri"/>
                <w:bCs/>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highlight w:val="white"/>
                <w:lang w:val="pt-BR"/>
              </w:rPr>
            </w:r>
            <w:r>
              <w:rPr>
                <w:rFonts w:eastAsia="Calibri"/>
                <w:bCs/>
                <w:highlight w:val="white"/>
                <w:lang w:val="pt-BR"/>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Vũ Văn Quân</w:t>
            </w:r>
            <w:r>
              <w:rPr>
                <w:rFonts w:eastAsia="Calibri"/>
                <w:b/>
                <w:highlight w:val="white"/>
              </w:rPr>
            </w:r>
            <w:r>
              <w:rPr>
                <w:rFonts w:eastAsia="Calibri"/>
                <w:b/>
                <w:highlight w:val="white"/>
              </w:rPr>
            </w:r>
          </w:p>
          <w:p>
            <w:pPr>
              <w:pBdr/>
              <w:spacing w:line="276" w:lineRule="auto"/>
              <w:ind/>
              <w:jc w:val="center"/>
              <w:rPr>
                <w:rFonts w:eastAsia="Calibri"/>
                <w:b/>
                <w:highlight w:val="white"/>
              </w:rPr>
            </w:pPr>
            <w:r>
              <w:rPr>
                <w:rFonts w:eastAsia="Calibri"/>
                <w:highlight w:val="white"/>
                <w:lang w:val="pt-BR"/>
              </w:rPr>
              <w:t xml:space="preserve">Số thẻ thẩm định viên về giá:</w:t>
            </w:r>
            <w:r>
              <w:rPr>
                <w:rFonts w:eastAsia="Calibri"/>
                <w:highlight w:val="white"/>
                <w:lang w:val="pt-BR"/>
              </w:rPr>
              <w:t xml:space="preserve"> XII17.1825</w:t>
            </w:r>
            <w:r>
              <w:rPr>
                <w:rFonts w:eastAsia="Calibri"/>
                <w:b/>
                <w:highlight w:val="white"/>
                <w:lang w:val="pt-BR"/>
              </w:rPr>
            </w:r>
            <w:r>
              <w:rPr>
                <w:rFonts w:eastAsia="Calibri"/>
                <w:b/>
                <w:highlight w:val="white"/>
                <w:lang w:val="pt-BR"/>
              </w:rPr>
            </w:r>
          </w:p>
        </w:tc>
      </w:tr>
    </w:tbl>
    <w:p>
      <w:pPr>
        <w:pBdr/>
        <w:spacing w:after="200" w:line="276" w:lineRule="auto"/>
        <w:ind/>
        <w:rPr>
          <w:highlight w:val="white"/>
        </w:rPr>
      </w:pPr>
      <w:r>
        <w:rPr>
          <w:highlight w:val="white"/>
        </w:rPr>
        <w:br w:type="page" w:clear="all"/>
      </w:r>
      <w:r>
        <w:rPr>
          <w:highlight w:val="white"/>
        </w:rP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highlight w:val="white"/>
              </w:rPr>
            </w:pPr>
            <w:r>
              <w:rPr>
                <w:i/>
                <w:szCs w:val="26"/>
                <w:highlight w:val="whit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highlight w:val="white"/>
                <w:lang w:eastAsia="zh-CN"/>
              </w:rPr>
            </w:r>
            <w:r>
              <w:rPr>
                <w:i/>
                <w:szCs w:val="26"/>
                <w:highlight w:val="white"/>
                <w:lang w:eastAsia="zh-CN"/>
              </w:rPr>
            </w:r>
          </w:p>
        </w:tc>
        <w:tc>
          <w:tcPr>
            <w:gridSpan w:val="3"/>
            <w:tcBorders/>
            <w:tcW w:w="8057" w:type="dxa"/>
            <w:textDirection w:val="lrTb"/>
            <w:noWrap w:val="false"/>
          </w:tcPr>
          <w:p>
            <w:pPr>
              <w:pBdr/>
              <w:spacing w:line="312" w:lineRule="auto"/>
              <w:ind/>
              <w:jc w:val="both"/>
              <w:rPr>
                <w:b/>
                <w:highlight w:val="white"/>
              </w:rPr>
            </w:pPr>
            <w:r>
              <w:rPr>
                <w:b/>
                <w:highlight w:val="white"/>
                <w:lang w:val="da-DK"/>
              </w:rPr>
              <w:t xml:space="preserve">CÔNG TY CỔ PHẦN THẨM ĐỊNH VÀ ĐẦU TƯ TÀI CHÍNH HOA SEN</w:t>
            </w:r>
            <w:r>
              <w:rPr>
                <w:b/>
                <w:highlight w:val="white"/>
                <w:lang w:val="da-DK"/>
              </w:rPr>
            </w:r>
            <w:r>
              <w:rPr>
                <w:b/>
                <w:highlight w:val="white"/>
                <w:lang w:val="da-DK"/>
              </w:rPr>
            </w:r>
          </w:p>
          <w:p>
            <w:pPr>
              <w:pBdr/>
              <w:spacing w:line="312" w:lineRule="auto"/>
              <w:ind/>
              <w:jc w:val="both"/>
              <w:rPr>
                <w:highlight w:val="white"/>
              </w:rPr>
            </w:pPr>
            <w:r>
              <w:rPr>
                <w:highlight w:val="white"/>
                <w:lang w:val="da-DK"/>
              </w:rPr>
              <w:t xml:space="preserve">Trụ sở: BT5 </w:t>
            </w:r>
            <w:r>
              <w:rPr>
                <w:highlight w:val="white"/>
                <w:lang w:val="da-DK"/>
              </w:rPr>
              <w:t xml:space="preserve">-</w:t>
            </w:r>
            <w:r>
              <w:rPr>
                <w:highlight w:val="white"/>
                <w:lang w:val="da-DK"/>
              </w:rPr>
              <w:t xml:space="preserve"> 23, Khu đô thị mới Văn Phú, Phường Kiến Hưng, </w:t>
            </w:r>
            <w:r>
              <w:rPr>
                <w:highlight w:val="white"/>
                <w:lang w:val="da-DK"/>
              </w:rPr>
              <w:t xml:space="preserve">T</w:t>
            </w:r>
            <w:r>
              <w:rPr>
                <w:highlight w:val="white"/>
                <w:lang w:val="da-DK"/>
              </w:rPr>
              <w:t xml:space="preserve">hành phố Hà Nội</w:t>
            </w:r>
            <w:r>
              <w:rPr>
                <w:highlight w:val="white"/>
                <w:lang w:val="da-DK"/>
              </w:rPr>
            </w:r>
            <w:r>
              <w:rPr>
                <w:highlight w:val="white"/>
                <w:lang w:val="da-DK"/>
              </w:rPr>
            </w:r>
          </w:p>
          <w:p>
            <w:pPr>
              <w:pBdr/>
              <w:spacing w:line="312" w:lineRule="auto"/>
              <w:ind/>
              <w:jc w:val="both"/>
              <w:rPr>
                <w:highlight w:val="white"/>
              </w:rPr>
            </w:pPr>
            <w:r>
              <w:rPr>
                <w:highlight w:val="white"/>
                <w:lang w:val="da-DK"/>
              </w:rPr>
              <w:t xml:space="preserve">Điện thoại:  085 329 3333/ 024 2264 4333</w:t>
            </w:r>
            <w:r>
              <w:rPr>
                <w:highlight w:val="white"/>
                <w:lang w:val="da-DK"/>
              </w:rPr>
            </w:r>
            <w:r>
              <w:rPr>
                <w:highlight w:val="white"/>
                <w:lang w:val="da-DK"/>
              </w:rPr>
            </w:r>
          </w:p>
          <w:p>
            <w:pPr>
              <w:pBdr/>
              <w:spacing w:line="276" w:lineRule="auto"/>
              <w:ind/>
              <w:jc w:val="both"/>
              <w:rPr>
                <w:highlight w:val="white"/>
              </w:rPr>
            </w:pPr>
            <w:r>
              <w:rPr>
                <w:highlight w:val="white"/>
                <w:lang w:val="da-DK"/>
              </w:rPr>
              <w:t xml:space="preserve">Email: </w:t>
            </w:r>
            <w:r>
              <w:rPr>
                <w:highlight w:val="white"/>
                <w:lang w:val="da-DK"/>
              </w:rPr>
              <w:tab/>
            </w:r>
            <w:hyperlink r:id="rId16" w:tooltip="mailto:ilotus.contact@gmail.com" w:history="1">
              <w:r>
                <w:rPr>
                  <w:rStyle w:val="1017"/>
                  <w:rFonts w:eastAsiaTheme="majorEastAsia"/>
                  <w:color w:val="auto"/>
                  <w:highlight w:val="white"/>
                  <w:lang w:val="fr-FR"/>
                </w:rPr>
                <w:t xml:space="preserve">ilotus.contact@gmail.com</w:t>
              </w:r>
            </w:hyperlink>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da-DK"/>
              </w:rPr>
              <w:t xml:space="preserve">Website: ilotus.com.vn</w:t>
            </w:r>
            <w:r>
              <w:rPr>
                <w:highlight w:val="white"/>
                <w:lang w:val="da-DK"/>
              </w:rPr>
            </w:r>
            <w:r>
              <w:rPr>
                <w:highlight w:val="white"/>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6"/>
              <w:pBdr/>
              <w:spacing w:after="60"/>
              <w:ind/>
              <w:rPr>
                <w:color w:val="000000" w:themeColor="text1"/>
                <w:sz w:val="24"/>
                <w:szCs w:val="24"/>
                <w:highlight w:val="white"/>
              </w:rPr>
            </w:pPr>
            <w:r>
              <w:rPr>
                <w:rStyle w:val="1025"/>
                <w:rFonts w:ascii="Times New Roman" w:hAnsi="Times New Roman"/>
                <w:color w:val="000000" w:themeColor="text1"/>
                <w:highlight w:val="white"/>
                <w:lang w:val="pt-BR"/>
              </w:rPr>
              <w:t xml:space="preserve">Số: </w:t>
            </w:r>
            <w:r>
              <w:rPr>
                <w:rStyle w:val="1025"/>
                <w:rFonts w:ascii="Times New Roman" w:hAnsi="Times New Roman"/>
                <w:color w:val="000000" w:themeColor="text1"/>
                <w:highlight w:val="white"/>
                <w:lang w:val="pt-BR"/>
              </w:rPr>
              <w:t xml:space="preserve">275/2026/14</w:t>
            </w:r>
            <w:r>
              <w:rPr>
                <w:rStyle w:val="1025"/>
                <w:rFonts w:ascii="Times New Roman" w:hAnsi="Times New Roman"/>
                <w:color w:val="000000" w:themeColor="text1"/>
                <w:highlight w:val="white"/>
                <w:lang w:val="pt-BR"/>
              </w:rPr>
              <w:t xml:space="preserve">80/VFI-BC.44.A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5412" w:type="dxa"/>
            <w:textDirection w:val="lrTb"/>
            <w:noWrap w:val="false"/>
          </w:tcPr>
          <w:p>
            <w:pPr>
              <w:pStyle w:val="1026"/>
              <w:pBdr/>
              <w:spacing w:after="60"/>
              <w:ind w:right="-56"/>
              <w:jc w:val="right"/>
              <w:rPr>
                <w:color w:val="000000" w:themeColor="text1"/>
                <w:sz w:val="24"/>
                <w:szCs w:val="24"/>
                <w:highlight w:val="white"/>
              </w:rPr>
            </w:pPr>
            <w:r>
              <w:rPr>
                <w:rStyle w:val="1025"/>
                <w:rFonts w:ascii="Times New Roman" w:hAnsi="Times New Roman"/>
                <w:i/>
                <w:color w:val="auto"/>
                <w:highlight w:val="white"/>
              </w:rPr>
              <w:t xml:space="preserve">TP. Hà Nội</w:t>
            </w:r>
            <w:r>
              <w:rPr>
                <w:rStyle w:val="1025"/>
                <w:rFonts w:ascii="Times New Roman" w:hAnsi="Times New Roman"/>
                <w:i/>
                <w:color w:val="auto"/>
                <w:highlight w:val="white"/>
                <w:lang w:val="vi-VN"/>
              </w:rPr>
              <w:t xml:space="preserve">, </w:t>
            </w:r>
            <w:r>
              <w:rPr>
                <w:rStyle w:val="1025"/>
                <w:rFonts w:ascii="Times New Roman" w:hAnsi="Times New Roman"/>
                <w:i/>
                <w:color w:val="000000" w:themeColor="text1"/>
                <w:highlight w:val="white"/>
                <w:lang w:val="vi-VN"/>
              </w:rPr>
              <w:t xml:space="preserve">ngày 21 tháng 9 năm 2026</w:t>
            </w:r>
            <w:r>
              <w:rPr>
                <w:color w:val="000000" w:themeColor="text1"/>
                <w:sz w:val="24"/>
                <w:szCs w:val="24"/>
                <w:highlight w:val="white"/>
                <w:lang w:val="vi-VN"/>
              </w:rPr>
            </w:r>
            <w:r>
              <w:rPr>
                <w:color w:val="000000" w:themeColor="text1"/>
                <w:sz w:val="24"/>
                <w:szCs w:val="24"/>
                <w:highlight w:val="white"/>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6"/>
              <w:pBdr/>
              <w:spacing w:after="60"/>
              <w:ind/>
              <w:rPr>
                <w:rStyle w:val="1025"/>
                <w:rFonts w:ascii="Times New Roman" w:hAnsi="Times New Roman"/>
                <w:color w:val="000000" w:themeColor="text1"/>
                <w:highlight w:val="white"/>
              </w:rPr>
            </w:pPr>
            <w:r>
              <w:rPr>
                <w:rStyle w:val="1025"/>
                <w:rFonts w:ascii="Times New Roman" w:hAnsi="Times New Roman"/>
                <w:color w:val="000000" w:themeColor="text1"/>
                <w:highlight w:val="white"/>
                <w:lang w:val="pt-BR"/>
              </w:rPr>
            </w:r>
            <w:r>
              <w:rPr>
                <w:rStyle w:val="1025"/>
                <w:rFonts w:ascii="Times New Roman" w:hAnsi="Times New Roman"/>
                <w:color w:val="000000" w:themeColor="text1"/>
                <w:highlight w:val="white"/>
                <w:lang w:val="pt-BR"/>
              </w:rPr>
            </w:r>
            <w:r>
              <w:rPr>
                <w:rStyle w:val="1025"/>
                <w:rFonts w:ascii="Times New Roman" w:hAnsi="Times New Roman"/>
                <w:color w:val="000000" w:themeColor="text1"/>
                <w:highlight w:val="white"/>
                <w:lang w:val="pt-BR"/>
              </w:rPr>
            </w:r>
          </w:p>
        </w:tc>
        <w:tc>
          <w:tcPr>
            <w:shd w:val="clear" w:color="auto" w:fill="auto"/>
            <w:tcBorders/>
            <w:tcMar>
              <w:left w:w="108" w:type="dxa"/>
              <w:top w:w="0" w:type="dxa"/>
              <w:right w:w="108" w:type="dxa"/>
              <w:bottom w:w="0" w:type="dxa"/>
            </w:tcMar>
            <w:tcW w:w="5412" w:type="dxa"/>
            <w:textDirection w:val="lrTb"/>
            <w:noWrap w:val="false"/>
          </w:tcPr>
          <w:p>
            <w:pPr>
              <w:pStyle w:val="1026"/>
              <w:pBdr/>
              <w:spacing w:after="60"/>
              <w:ind w:right="-56"/>
              <w:rPr>
                <w:rStyle w:val="1025"/>
                <w:rFonts w:ascii="Times New Roman" w:hAnsi="Times New Roman"/>
                <w:i/>
                <w:color w:val="auto"/>
                <w:highlight w:val="white"/>
              </w:rPr>
            </w:pPr>
            <w:r>
              <w:rPr>
                <w:rFonts w:ascii="Times New Roman" w:hAnsi="Times New Roman"/>
                <w:i/>
                <w:color w:val="auto"/>
                <w:highlight w:val="white"/>
              </w:rPr>
            </w:r>
            <w:r>
              <w:rPr>
                <w:rStyle w:val="1025"/>
                <w:rFonts w:ascii="Times New Roman" w:hAnsi="Times New Roman"/>
                <w:i/>
                <w:color w:val="auto"/>
                <w:highlight w:val="white"/>
              </w:rPr>
            </w:r>
            <w:r>
              <w:rPr>
                <w:rStyle w:val="1025"/>
                <w:rFonts w:ascii="Times New Roman" w:hAnsi="Times New Roman"/>
                <w:i/>
                <w:color w:val="auto"/>
                <w:highlight w:val="white"/>
              </w:rPr>
            </w:r>
          </w:p>
        </w:tc>
      </w:tr>
    </w:tbl>
    <w:p>
      <w:pPr>
        <w:pStyle w:val="1026"/>
        <w:pBdr/>
        <w:tabs>
          <w:tab w:val="left" w:leader="none" w:pos="5103"/>
        </w:tabs>
        <w:spacing w:before="200" w:line="340" w:lineRule="atLeast"/>
        <w:ind/>
        <w:jc w:val="center"/>
        <w:rPr>
          <w:i/>
          <w:iCs/>
          <w:sz w:val="30"/>
          <w:szCs w:val="30"/>
          <w:highlight w:val="white"/>
        </w:rPr>
      </w:pPr>
      <w:r>
        <w:rPr>
          <w:b/>
          <w:sz w:val="30"/>
          <w:szCs w:val="30"/>
          <w:highlight w:val="white"/>
          <w:lang w:val="pt-BR"/>
        </w:rPr>
        <w:t xml:space="preserve">BÁO CÁO KẾT QUẢ THẨM ĐỊNH GIÁ</w:t>
      </w:r>
      <w:r>
        <w:rPr>
          <w:i/>
          <w:iCs/>
          <w:sz w:val="30"/>
          <w:szCs w:val="30"/>
          <w:highlight w:val="white"/>
          <w:lang w:val="pt-BR"/>
        </w:rPr>
      </w:r>
      <w:r>
        <w:rPr>
          <w:i/>
          <w:iCs/>
          <w:sz w:val="30"/>
          <w:szCs w:val="30"/>
          <w:highlight w:val="white"/>
          <w:lang w:val="pt-BR"/>
        </w:rPr>
      </w:r>
    </w:p>
    <w:p>
      <w:pPr>
        <w:pStyle w:val="1006"/>
        <w:pBdr/>
        <w:tabs>
          <w:tab w:val="left" w:leader="none" w:pos="0"/>
          <w:tab w:val="left" w:leader="none" w:pos="4820"/>
        </w:tabs>
        <w:spacing w:after="200" w:before="100" w:line="340" w:lineRule="atLeast"/>
        <w:ind w:hanging="180"/>
        <w:rPr>
          <w:b w:val="0"/>
          <w:i/>
          <w:spacing w:val="-6"/>
          <w:sz w:val="24"/>
          <w:szCs w:val="24"/>
          <w:highlight w:val="white"/>
        </w:rPr>
      </w:pPr>
      <w:r>
        <w:rPr>
          <w:b w:val="0"/>
          <w:i/>
          <w:spacing w:val="-6"/>
          <w:sz w:val="24"/>
          <w:szCs w:val="24"/>
          <w:highlight w:val="white"/>
          <w:lang w:val="pt-BR"/>
        </w:rPr>
        <w:t xml:space="preserve">(Kèm t</w:t>
      </w:r>
      <w:r>
        <w:rPr>
          <w:b w:val="0"/>
          <w:i/>
          <w:spacing w:val="-6"/>
          <w:sz w:val="24"/>
          <w:szCs w:val="24"/>
          <w:highlight w:val="white"/>
          <w:lang w:val="pt-BR"/>
        </w:rPr>
        <w:t xml:space="preserve">heo Chứng thư thẩm định giá số:</w:t>
      </w:r>
      <w:r>
        <w:rPr>
          <w:b w:val="0"/>
          <w:i/>
          <w:spacing w:val="-6"/>
          <w:sz w:val="24"/>
          <w:szCs w:val="24"/>
          <w:highlight w:val="white"/>
          <w:lang w:val="pt-BR"/>
        </w:rPr>
        <w:t xml:space="preserve"> </w:t>
      </w:r>
      <w:r>
        <w:rPr>
          <w:b w:val="0"/>
          <w:i/>
          <w:color w:val="000000" w:themeColor="text1"/>
          <w:spacing w:val="-6"/>
          <w:sz w:val="24"/>
          <w:szCs w:val="24"/>
          <w:highlight w:val="white"/>
          <w:lang w:val="pt-BR"/>
        </w:rPr>
        <w:t xml:space="preserve">275/2026/1480/VFI-CT.44.A</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ngày 21 tháng 9 năm 2026</w:t>
      </w:r>
      <w:r>
        <w:rPr>
          <w:b w:val="0"/>
          <w:i/>
          <w:spacing w:val="-6"/>
          <w:sz w:val="24"/>
          <w:szCs w:val="24"/>
          <w:highlight w:val="white"/>
          <w:lang w:val="pt-BR"/>
        </w:rPr>
        <w:t xml:space="preserve">)</w:t>
      </w:r>
      <w:r>
        <w:rPr>
          <w:b w:val="0"/>
          <w:i/>
          <w:spacing w:val="-6"/>
          <w:sz w:val="24"/>
          <w:szCs w:val="24"/>
          <w:highlight w:val="white"/>
          <w:lang w:val="pt-BR"/>
        </w:rPr>
      </w:r>
      <w:r>
        <w:rPr>
          <w:b w:val="0"/>
          <w:i/>
          <w:spacing w:val="-6"/>
          <w:sz w:val="24"/>
          <w:szCs w:val="24"/>
          <w:highlight w:val="white"/>
          <w:lang w:val="pt-BR"/>
        </w:rPr>
      </w:r>
    </w:p>
    <w:p>
      <w:pPr>
        <w:pStyle w:val="1006"/>
        <w:pBdr/>
        <w:tabs>
          <w:tab w:val="left" w:leader="none" w:pos="4820"/>
        </w:tabs>
        <w:spacing w:after="200" w:before="0" w:line="340" w:lineRule="atLeast"/>
        <w:ind/>
        <w:jc w:val="both"/>
        <w:rPr>
          <w:b w:val="0"/>
          <w:i/>
          <w:spacing w:val="-6"/>
          <w:sz w:val="24"/>
          <w:szCs w:val="24"/>
          <w:highlight w:val="white"/>
        </w:rPr>
      </w:pPr>
      <w:r>
        <w:rPr>
          <w:sz w:val="24"/>
          <w:szCs w:val="24"/>
          <w:highlight w:val="white"/>
          <w:lang w:val="pt-BR"/>
        </w:rPr>
        <w:t xml:space="preserve">I. </w:t>
      </w:r>
      <w:r>
        <w:rPr>
          <w:sz w:val="24"/>
          <w:szCs w:val="24"/>
          <w:highlight w:val="white"/>
          <w:lang w:val="pt-BR"/>
        </w:rPr>
        <w:t xml:space="preserve">THÔNG TIN </w:t>
      </w:r>
      <w:r>
        <w:rPr>
          <w:sz w:val="24"/>
          <w:szCs w:val="24"/>
          <w:highlight w:val="white"/>
          <w:lang w:val="pt-BR"/>
        </w:rPr>
        <w:t xml:space="preserve">VỀ DOANH NGHIỆP THẨM ĐỊNH GIÁ </w:t>
      </w:r>
      <w:r>
        <w:rPr>
          <w:b w:val="0"/>
          <w:i/>
          <w:spacing w:val="-6"/>
          <w:sz w:val="24"/>
          <w:szCs w:val="24"/>
          <w:highlight w:val="white"/>
          <w:lang w:val="pt-BR"/>
        </w:rPr>
      </w:r>
      <w:r>
        <w:rPr>
          <w:b w:val="0"/>
          <w:i/>
          <w:spacing w:val="-6"/>
          <w:sz w:val="24"/>
          <w:szCs w:val="24"/>
          <w:highlight w:val="white"/>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lang w:val="pt-BR"/>
              </w:rPr>
              <w:t xml:space="preserve">Đơn vị thẩm định</w:t>
            </w:r>
            <w:r>
              <w:rPr>
                <w:bCs/>
                <w:highlight w:val="white"/>
                <w:lang w:val="pt-BR"/>
              </w:rPr>
            </w:r>
            <w:r>
              <w:rPr>
                <w:bCs/>
                <w:highlight w:val="white"/>
                <w:lang w:val="pt-BR"/>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6940" w:type="dxa"/>
            <w:vAlign w:val="center"/>
            <w:textDirection w:val="lrTb"/>
            <w:noWrap w:val="false"/>
          </w:tcPr>
          <w:p>
            <w:pPr>
              <w:pBdr/>
              <w:spacing w:after="60" w:before="60" w:line="276" w:lineRule="auto"/>
              <w:ind/>
              <w:jc w:val="both"/>
              <w:rPr>
                <w:b/>
                <w:bCs/>
                <w:spacing w:val="-4"/>
                <w:highlight w:val="white"/>
              </w:rPr>
            </w:pPr>
            <w:r>
              <w:rPr>
                <w:b/>
                <w:bCs/>
                <w:color w:val="000000" w:themeColor="text1"/>
                <w:spacing w:val="-4"/>
                <w:highlight w:val="white"/>
                <w:lang w:val="pt-BR"/>
              </w:rPr>
              <w:t xml:space="preserve">CÔNG TY CỔ PHẦN THẨM ĐỊNH VÀ ĐẦU TƯ TÀI CHÍNH HOA SEN</w:t>
            </w:r>
            <w:r>
              <w:rPr>
                <w:b/>
                <w:bCs/>
                <w:spacing w:val="-4"/>
                <w:highlight w:val="white"/>
                <w:lang w:val="pt-BR"/>
              </w:rPr>
            </w:r>
            <w:r>
              <w:rPr>
                <w:b/>
                <w:bCs/>
                <w:spacing w:val="-4"/>
                <w:highlight w:val="white"/>
                <w:lang w:val="pt-BR"/>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Địa chỉ trụ sở</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6940" w:type="dxa"/>
            <w:vAlign w:val="center"/>
            <w:textDirection w:val="lrTb"/>
            <w:noWrap w:val="false"/>
          </w:tcPr>
          <w:p>
            <w:pPr>
              <w:pBdr/>
              <w:spacing w:after="60" w:before="60" w:line="276" w:lineRule="auto"/>
              <w:ind/>
              <w:jc w:val="both"/>
              <w:rPr>
                <w:spacing w:val="-6"/>
                <w:highlight w:val="white"/>
              </w:rPr>
            </w:pPr>
            <w:r>
              <w:rPr>
                <w:color w:val="000000" w:themeColor="text1"/>
                <w:spacing w:val="-2"/>
                <w:highlight w:val="white"/>
              </w:rPr>
              <w:t xml:space="preserve">BT5 - 23, Khu đô thị mới Văn Phú, Phường Kiến Hưng, Thành phố Hà Nội</w:t>
            </w:r>
            <w:r>
              <w:rPr>
                <w:spacing w:val="-6"/>
                <w:highlight w:val="white"/>
                <w:lang w:val="pt-BR"/>
              </w:rPr>
            </w:r>
            <w:r>
              <w:rPr>
                <w:spacing w:val="-6"/>
                <w:highlight w:val="white"/>
                <w:lang w:val="pt-BR"/>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lang w:val="pt-BR"/>
              </w:rPr>
              <w:t xml:space="preserve">Điện thoại</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 </w:t>
            </w:r>
            <w:r>
              <w:rPr>
                <w:bCs/>
                <w:highlight w:val="white"/>
                <w:lang w:val="pt-BR"/>
              </w:rPr>
            </w:r>
            <w:r>
              <w:rPr>
                <w:bCs/>
                <w:highlight w:val="white"/>
                <w:lang w:val="pt-BR"/>
              </w:rPr>
            </w:r>
          </w:p>
        </w:tc>
        <w:tc>
          <w:tcPr>
            <w:tcBorders/>
            <w:tcW w:w="6940" w:type="dxa"/>
            <w:vAlign w:val="center"/>
            <w:textDirection w:val="lrTb"/>
            <w:noWrap w:val="false"/>
          </w:tcPr>
          <w:p>
            <w:pPr>
              <w:pBdr/>
              <w:tabs>
                <w:tab w:val="left" w:leader="none" w:pos="3382"/>
              </w:tabs>
              <w:spacing w:after="60" w:before="60" w:line="276" w:lineRule="auto"/>
              <w:ind/>
              <w:rPr>
                <w:iCs/>
                <w:highlight w:val="white"/>
              </w:rPr>
            </w:pPr>
            <w:r>
              <w:rPr>
                <w:iCs/>
                <w:color w:val="000000" w:themeColor="text1"/>
                <w:highlight w:val="white"/>
              </w:rPr>
              <w:t xml:space="preserve">024 2264 4333</w:t>
            </w:r>
            <w:r>
              <w:rPr>
                <w:iCs/>
                <w:highlight w:val="white"/>
              </w:rPr>
            </w:r>
            <w:r>
              <w:rPr>
                <w:iCs/>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highlight w:val="white"/>
              </w:rPr>
              <w:t xml:space="preserve">Mã số thuế</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6940" w:type="dxa"/>
            <w:vAlign w:val="center"/>
            <w:textDirection w:val="lrTb"/>
            <w:noWrap w:val="false"/>
          </w:tcPr>
          <w:p>
            <w:pPr>
              <w:pBdr/>
              <w:spacing w:after="60" w:before="60" w:line="276" w:lineRule="auto"/>
              <w:ind/>
              <w:rPr>
                <w:bCs/>
                <w:highlight w:val="white"/>
              </w:rPr>
            </w:pPr>
            <w:r>
              <w:rPr>
                <w:bCs/>
                <w:color w:val="000000" w:themeColor="text1"/>
                <w:highlight w:val="white"/>
              </w:rPr>
              <w:t xml:space="preserve">0102708994</w:t>
            </w:r>
            <w:r>
              <w:rPr>
                <w:bCs/>
                <w:highlight w:val="white"/>
              </w:rPr>
            </w:r>
            <w:r>
              <w:rPr>
                <w:bCs/>
                <w:highlight w:val="white"/>
              </w:rPr>
            </w:r>
          </w:p>
        </w:tc>
      </w:tr>
      <w:tr>
        <w:trPr>
          <w:trHeight w:val="20"/>
        </w:trPr>
        <w:tc>
          <w:tcPr>
            <w:tcBorders/>
            <w:tcW w:w="2552" w:type="dxa"/>
            <w:vAlign w:val="center"/>
            <w:textDirection w:val="lrTb"/>
            <w:noWrap w:val="false"/>
          </w:tcPr>
          <w:p>
            <w:pPr>
              <w:pBdr/>
              <w:spacing w:after="60" w:before="60" w:line="276" w:lineRule="auto"/>
              <w:ind/>
              <w:rPr>
                <w:highlight w:val="white"/>
              </w:rPr>
            </w:pPr>
            <w:r>
              <w:rPr>
                <w:highlight w:val="white"/>
              </w:rPr>
              <w:t xml:space="preserve">GCN</w:t>
            </w:r>
            <w:r>
              <w:rPr>
                <w:highlight w:val="white"/>
              </w:rPr>
              <w:t xml:space="preserve"> đủ điều kiện hành nghề</w:t>
            </w:r>
            <w:r>
              <w:rPr>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6940" w:type="dxa"/>
            <w:vAlign w:val="center"/>
            <w:textDirection w:val="lrTb"/>
            <w:noWrap w:val="false"/>
          </w:tcPr>
          <w:p>
            <w:pPr>
              <w:pBdr/>
              <w:spacing w:after="60" w:before="60" w:line="276" w:lineRule="auto"/>
              <w:ind/>
              <w:rPr>
                <w:bCs/>
                <w:highlight w:val="white"/>
              </w:rPr>
            </w:pPr>
            <w:r>
              <w:rPr>
                <w:bCs/>
                <w:highlight w:val="white"/>
              </w:rPr>
              <w:t xml:space="preserve">275/TĐG</w:t>
            </w:r>
            <w:r>
              <w:rPr>
                <w:bCs/>
                <w:highlight w:val="white"/>
              </w:rPr>
            </w:r>
            <w:r>
              <w:rPr>
                <w:bCs/>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Tài khoản số</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rPr>
              <w:t xml:space="preserve">:</w:t>
            </w:r>
            <w:r>
              <w:rPr>
                <w:bCs/>
                <w:highlight w:val="white"/>
              </w:rPr>
            </w:r>
            <w:r>
              <w:rPr>
                <w:bCs/>
                <w:highlight w:val="white"/>
              </w:rPr>
            </w:r>
          </w:p>
        </w:tc>
        <w:tc>
          <w:tcPr>
            <w:tcBorders/>
            <w:tcW w:w="6940" w:type="dxa"/>
            <w:vAlign w:val="center"/>
            <w:textDirection w:val="lrTb"/>
            <w:noWrap w:val="false"/>
          </w:tcPr>
          <w:p>
            <w:pPr>
              <w:pBdr/>
              <w:spacing w:after="60" w:before="60" w:line="276" w:lineRule="auto"/>
              <w:ind/>
              <w:rPr>
                <w:spacing w:val="-4"/>
                <w:highlight w:val="white"/>
              </w:rPr>
            </w:pPr>
            <w:r>
              <w:rPr>
                <w:color w:val="000000" w:themeColor="text1"/>
                <w:spacing w:val="-4"/>
                <w:highlight w:val="white"/>
              </w:rPr>
              <w:t xml:space="preserve">1505112366666 tại Agribank Chi nhánh Hà Nội II</w:t>
            </w:r>
            <w:r>
              <w:rPr>
                <w:spacing w:val="-4"/>
                <w:highlight w:val="white"/>
              </w:rPr>
            </w:r>
            <w:r>
              <w:rPr>
                <w:spacing w:val="-4"/>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Đại diện</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rPr>
              <w:t xml:space="preserve">:</w:t>
            </w:r>
            <w:r>
              <w:rPr>
                <w:bCs/>
                <w:highlight w:val="white"/>
              </w:rPr>
            </w:r>
            <w:r>
              <w:rPr>
                <w:bCs/>
                <w:highlight w:val="white"/>
              </w:rPr>
            </w:r>
          </w:p>
        </w:tc>
        <w:tc>
          <w:tcPr>
            <w:tcBorders/>
            <w:tcW w:w="6940" w:type="dxa"/>
            <w:vAlign w:val="center"/>
            <w:textDirection w:val="lrTb"/>
            <w:noWrap w:val="false"/>
          </w:tcPr>
          <w:p>
            <w:pPr>
              <w:pBdr/>
              <w:spacing w:after="60" w:before="60" w:line="276" w:lineRule="auto"/>
              <w:ind/>
              <w:rPr>
                <w:b/>
                <w:bCs/>
                <w:highlight w:val="white"/>
              </w:rPr>
            </w:pPr>
            <w:r>
              <w:rPr>
                <w:b/>
                <w:bCs/>
                <w:highlight w:val="white"/>
                <w:lang w:val="vi-VN"/>
              </w:rPr>
              <w:t xml:space="preserve">Ông</w:t>
            </w:r>
            <w:r>
              <w:rPr>
                <w:b/>
                <w:bCs/>
                <w:highlight w:val="white"/>
              </w:rPr>
              <w:t xml:space="preserve"> Vũ Văn Quân </w:t>
            </w:r>
            <w:r>
              <w:rPr>
                <w:b/>
                <w:bCs/>
                <w:highlight w:val="white"/>
                <w:lang w:val="vi-VN"/>
              </w:rPr>
              <w:tab/>
              <w:t xml:space="preserve">Chức vụ: </w:t>
            </w:r>
            <w:r>
              <w:rPr>
                <w:b/>
                <w:bCs/>
                <w:highlight w:val="white"/>
              </w:rPr>
              <w:t xml:space="preserve">Chủ tịch HĐQT kiêm Tổng Giám Đốc</w:t>
            </w:r>
            <w:r>
              <w:rPr>
                <w:b/>
                <w:bCs/>
                <w:highlight w:val="white"/>
                <w:lang w:val="vi-VN"/>
              </w:rPr>
            </w:r>
            <w:r>
              <w:rPr>
                <w:b/>
                <w:bCs/>
                <w:highlight w:val="white"/>
                <w:lang w:val="vi-VN"/>
              </w:rPr>
            </w:r>
          </w:p>
        </w:tc>
      </w:tr>
    </w:tbl>
    <w:p>
      <w:pPr>
        <w:pStyle w:val="1027"/>
        <w:pBdr/>
        <w:tabs>
          <w:tab w:val="left" w:leader="none" w:pos="284"/>
        </w:tabs>
        <w:spacing w:after="120" w:line="320" w:lineRule="atLeast"/>
        <w:ind w:left="0"/>
        <w:jc w:val="both"/>
        <w:rPr>
          <w:b/>
          <w:bCs/>
          <w:highlight w:val="white"/>
        </w:rPr>
      </w:pPr>
      <w:r>
        <w:rPr>
          <w:b/>
          <w:bCs/>
          <w:highlight w:val="white"/>
          <w:lang w:val="pt-BR"/>
        </w:rPr>
        <w:t xml:space="preserve">II. </w:t>
      </w:r>
      <w:r>
        <w:rPr>
          <w:b/>
          <w:bCs/>
          <w:highlight w:val="white"/>
          <w:lang w:val="pt-BR"/>
        </w:rPr>
        <w:t xml:space="preserve">T</w:t>
      </w:r>
      <w:r>
        <w:rPr>
          <w:b/>
          <w:bCs/>
          <w:highlight w:val="white"/>
          <w:lang w:val="pt-BR"/>
        </w:rPr>
        <w:t xml:space="preserve">HÔNG TIN CƠ BẢN VỀ CUỘC THẨM ĐỊNH GIÁ</w:t>
      </w:r>
      <w:r>
        <w:rPr>
          <w:b/>
          <w:bCs/>
          <w:highlight w:val="white"/>
          <w:lang w:val="pt-BR"/>
        </w:rPr>
      </w:r>
      <w:r>
        <w:rPr>
          <w:b/>
          <w:bCs/>
          <w:highlight w:val="white"/>
          <w:lang w:val="pt-BR"/>
        </w:rPr>
      </w:r>
    </w:p>
    <w:p>
      <w:pPr>
        <w:pBdr/>
        <w:tabs>
          <w:tab w:val="left" w:leader="none" w:pos="284"/>
        </w:tabs>
        <w:spacing w:after="120" w:before="120" w:line="320" w:lineRule="atLeast"/>
        <w:ind/>
        <w:jc w:val="both"/>
        <w:rPr>
          <w:b/>
          <w:bCs/>
          <w:highlight w:val="white"/>
        </w:rPr>
      </w:pPr>
      <w:r>
        <w:rPr>
          <w:b/>
          <w:bCs/>
          <w:highlight w:val="white"/>
          <w:lang w:val="pt-BR"/>
        </w:rPr>
        <w:t xml:space="preserve">1</w:t>
      </w:r>
      <w:r>
        <w:rPr>
          <w:b/>
          <w:bCs/>
          <w:highlight w:val="white"/>
          <w:lang w:val="pt-BR"/>
        </w:rPr>
        <w:t xml:space="preserve">. Thông tin cơ bản về cuộc thẩm định giá:</w:t>
      </w:r>
      <w:r>
        <w:rPr>
          <w:b/>
          <w:bCs/>
          <w:highlight w:val="white"/>
          <w:lang w:val="pt-BR"/>
        </w:rPr>
      </w:r>
      <w:r>
        <w:rPr>
          <w:b/>
          <w:bCs/>
          <w:highlight w:val="white"/>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lang w:val="pt-BR"/>
              </w:rPr>
            </w:r>
            <w:r>
              <w:rPr>
                <w:bCs/>
                <w:color w:val="000000" w:themeColor="text1"/>
                <w:highlight w:val="white"/>
                <w:lang w:val="pt-BR"/>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5" w:type="dxa"/>
            <w:vAlign w:val="center"/>
            <w:textDirection w:val="lrTb"/>
            <w:noWrap w:val="false"/>
          </w:tcPr>
          <w:p>
            <w:pPr>
              <w:pBdr/>
              <w:tabs>
                <w:tab w:val="center" w:leader="none" w:pos="3209"/>
              </w:tabs>
              <w:spacing/>
              <w:ind/>
              <w:rPr>
                <w:highlight w:val="white"/>
              </w:rPr>
            </w:pPr>
            <w:r>
              <w:rPr>
                <w:highlight w:val="white"/>
              </w:rPr>
              <w:t xml:space="preserve">Ông Phan Văn Toàn</w:t>
              <w:tab/>
            </w:r>
            <w:r>
              <w:rPr>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lang w:val="pt-BR"/>
              </w:rPr>
            </w:r>
            <w:r>
              <w:rPr>
                <w:bCs/>
                <w:color w:val="000000" w:themeColor="text1"/>
                <w:highlight w:val="white"/>
                <w:lang w:val="pt-BR"/>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5"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0</w:t>
            </w:r>
            <w:r>
              <w:rPr>
                <w:highlight w:val="white"/>
              </w:rPr>
              <w:t xml:space="preserve">01095009365</w:t>
            </w:r>
            <w:r>
              <w:rPr>
                <w:color w:val="ff0000"/>
                <w:highlight w:val="white"/>
                <w:lang w:val="pt-BR"/>
              </w:rPr>
            </w:r>
            <w:r>
              <w:rPr>
                <w:color w:val="ff0000"/>
                <w:highlight w:val="white"/>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lang w:val="pt-BR"/>
              </w:rPr>
            </w:r>
            <w:r>
              <w:rPr>
                <w:bCs/>
                <w:color w:val="000000" w:themeColor="text1"/>
                <w:highlight w:val="white"/>
                <w:lang w:val="pt-BR"/>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5"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Xã Tây Phương, thành phố Hà Nội</w:t>
            </w:r>
            <w:r>
              <w:rPr>
                <w:color w:val="ff0000"/>
                <w:highlight w:val="white"/>
                <w:lang w:val="pt-BR"/>
              </w:rPr>
            </w:r>
            <w:r>
              <w:rPr>
                <w:color w:val="ff0000"/>
                <w:highlight w:val="white"/>
                <w:lang w:val="pt-BR"/>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highlight w:val="white"/>
                <w:lang w:val="pt-BR"/>
              </w:rPr>
              <w:t xml:space="preserve">Tài sản thẩm định giá</w:t>
            </w:r>
            <w:r>
              <w:rPr>
                <w:bCs/>
                <w:highlight w:val="white"/>
                <w:lang w:val="pt-BR"/>
              </w:rPr>
            </w:r>
            <w:r>
              <w:rPr>
                <w:bCs/>
                <w:highlight w:val="white"/>
                <w:lang w:val="pt-BR"/>
              </w:rPr>
            </w:r>
          </w:p>
        </w:tc>
        <w:tc>
          <w:tcPr>
            <w:tcBorders/>
            <w:tcW w:w="284" w:type="dxa"/>
            <w:vAlign w:val="center"/>
            <w:textDirection w:val="lrTb"/>
            <w:noWrap w:val="false"/>
          </w:tcPr>
          <w:p>
            <w:pPr>
              <w:pStyle w:val="1027"/>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spacing w:after="60" w:before="60" w:line="276" w:lineRule="auto"/>
              <w:ind/>
              <w:jc w:val="both"/>
              <w:rPr>
                <w:b/>
                <w:bCs/>
                <w:spacing w:val="2"/>
                <w:highlight w:val="white"/>
              </w:rPr>
            </w:pPr>
            <w:r>
              <w:rPr>
                <w:bCs/>
                <w:color w:val="000000" w:themeColor="text1"/>
                <w:highlight w:val="white"/>
                <w:lang w:val="pt-BR"/>
              </w:rPr>
              <w:t xml:space="preserve">Quyền sử dụng đất tại thửa đất số: 444, tờ bản đồ số: 7, có địa chỉ: Khu Đầu Cầu Dưới, thôn Thái Hòa, xã Phú Bình, huyện Thạch Thất (nay là  xã Tây Phương), thà</w:t>
            </w:r>
            <w:r>
              <w:rPr>
                <w:bCs/>
                <w:color w:val="000000" w:themeColor="text1"/>
                <w:highlight w:val="white"/>
                <w:lang w:val="pt-BR"/>
              </w:rPr>
              <w:t xml:space="preserve">nh phố Hà Nội theo Giấy chứng nhận quyền sử dụng đất, quyền sở hữu nhà ở và tài sản khác gắn liền với đất số: DM 355265, Số vào sổ cấp GCN: CH 00137 do UBND huyện Thạch Thất cấp ngày 20/03/2024; chủ sử dụng đất là Ông Phan Văn Toàn và Bà Nguyễn Huyền Trang</w:t>
            </w:r>
            <w:r>
              <w:rPr>
                <w:bCs/>
                <w:spacing w:val="2"/>
                <w:highlight w:val="white"/>
              </w:rPr>
              <w:t xml:space="preserve">.</w:t>
            </w:r>
            <w:r>
              <w:rPr>
                <w:b/>
                <w:bCs/>
                <w:spacing w:val="2"/>
                <w:highlight w:val="white"/>
                <w:lang w:val="vi-VN"/>
              </w:rPr>
            </w:r>
            <w:r>
              <w:rPr>
                <w:b/>
                <w:bCs/>
                <w:spacing w:val="2"/>
                <w:highlight w:val="white"/>
                <w:lang w:val="vi-VN"/>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highlight w:val="white"/>
                <w:lang w:val="pt-BR"/>
              </w:rPr>
              <w:t xml:space="preserve">Mục đích thẩm định giá</w:t>
            </w:r>
            <w:r>
              <w:rPr>
                <w:bCs/>
                <w:highlight w:val="white"/>
                <w:lang w:val="pt-BR"/>
              </w:rPr>
            </w:r>
            <w:r>
              <w:rPr>
                <w:bCs/>
                <w:highlight w:val="white"/>
                <w:lang w:val="pt-BR"/>
              </w:rPr>
            </w:r>
          </w:p>
        </w:tc>
        <w:tc>
          <w:tcPr>
            <w:tcBorders/>
            <w:tcW w:w="284" w:type="dxa"/>
            <w:vAlign w:val="center"/>
            <w:textDirection w:val="lrTb"/>
            <w:noWrap w:val="false"/>
          </w:tcPr>
          <w:p>
            <w:pPr>
              <w:pStyle w:val="1027"/>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white"/>
              </w:rPr>
            </w:pPr>
            <w:r>
              <w:rPr>
                <w:bCs/>
                <w:color w:val="000000" w:themeColor="text1"/>
                <w:spacing w:val="-4"/>
                <w:highlight w:val="white"/>
              </w:rPr>
              <w:t xml:space="preserve">Kết quả thẩm định giá để khách hàng tham khảo giá trị tài sản phục vụ công tác vay vốn tại tổ chức tín dụng</w:t>
            </w:r>
            <w:r>
              <w:rPr>
                <w:bCs/>
                <w:spacing w:val="-4"/>
                <w:highlight w:val="white"/>
              </w:rPr>
              <w:t xml:space="preserve">.</w:t>
            </w:r>
            <w:r>
              <w:rPr>
                <w:bCs/>
                <w:spacing w:val="-4"/>
                <w:highlight w:val="white"/>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12"/>
                <w:highlight w:val="white"/>
              </w:rPr>
            </w:pPr>
            <w:r>
              <w:rPr>
                <w:bCs/>
                <w:spacing w:val="-12"/>
                <w:highlight w:val="white"/>
                <w:lang w:val="pt-BR"/>
              </w:rPr>
              <w:t xml:space="preserve">Cơ sở giá trị thẩm định giá</w:t>
            </w:r>
            <w:r>
              <w:rPr>
                <w:bCs/>
                <w:spacing w:val="-12"/>
                <w:highlight w:val="white"/>
                <w:lang w:val="pt-BR"/>
              </w:rPr>
            </w:r>
            <w:r>
              <w:rPr>
                <w:bCs/>
                <w:spacing w:val="-12"/>
                <w:highlight w:val="white"/>
                <w:lang w:val="pt-BR"/>
              </w:rPr>
            </w:r>
          </w:p>
        </w:tc>
        <w:tc>
          <w:tcPr>
            <w:tcBorders/>
            <w:tcW w:w="284" w:type="dxa"/>
            <w:vAlign w:val="center"/>
            <w:textDirection w:val="lrTb"/>
            <w:noWrap w:val="false"/>
          </w:tcPr>
          <w:p>
            <w:pPr>
              <w:pStyle w:val="1027"/>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white"/>
              </w:rPr>
            </w:pPr>
            <w:r>
              <w:rPr>
                <w:bCs/>
                <w:spacing w:val="-4"/>
                <w:highlight w:val="white"/>
                <w:lang w:val="vi-VN"/>
              </w:rPr>
              <w:t xml:space="preserve">Giá trị thị trường</w:t>
            </w:r>
            <w:r>
              <w:rPr>
                <w:bCs/>
                <w:spacing w:val="-4"/>
                <w:highlight w:val="white"/>
              </w:rPr>
              <w:t xml:space="preserve">.</w:t>
            </w:r>
            <w:r>
              <w:rPr>
                <w:bCs/>
                <w:spacing w:val="-4"/>
                <w:highlight w:val="white"/>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Thời điểm thẩm định giá</w:t>
            </w:r>
            <w:r>
              <w:rPr>
                <w:bCs/>
                <w:spacing w:val="-6"/>
                <w:highlight w:val="white"/>
                <w:lang w:val="pt-BR"/>
              </w:rPr>
            </w:r>
            <w:r>
              <w:rPr>
                <w:bCs/>
                <w:spacing w:val="-6"/>
                <w:highlight w:val="white"/>
                <w:lang w:val="pt-BR"/>
              </w:rPr>
            </w:r>
          </w:p>
        </w:tc>
        <w:tc>
          <w:tcPr>
            <w:tcBorders/>
            <w:tcW w:w="284" w:type="dxa"/>
            <w:vAlign w:val="center"/>
            <w:textDirection w:val="lrTb"/>
            <w:noWrap w:val="false"/>
          </w:tcPr>
          <w:p>
            <w:pPr>
              <w:pStyle w:val="1027"/>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spacing w:after="60" w:before="60" w:line="276" w:lineRule="auto"/>
              <w:ind/>
              <w:jc w:val="both"/>
              <w:rPr>
                <w:bCs/>
                <w:spacing w:val="-4"/>
                <w:highlight w:val="white"/>
              </w:rPr>
            </w:pPr>
            <w:r>
              <w:rPr>
                <w:color w:val="000000" w:themeColor="text1"/>
                <w:highlight w:val="white"/>
                <w:lang w:val="pt-BR"/>
              </w:rPr>
              <w:t xml:space="preserve">Tháng 09/2026</w:t>
            </w:r>
            <w:r>
              <w:rPr>
                <w:highlight w:val="white"/>
                <w:lang w:val="pt-BR"/>
              </w:rPr>
              <w:t xml:space="preserve">.</w:t>
            </w:r>
            <w:r>
              <w:rPr>
                <w:bCs/>
                <w:spacing w:val="-4"/>
                <w:highlight w:val="white"/>
                <w:lang w:val="pt-BR"/>
              </w:rPr>
            </w:r>
            <w:r>
              <w:rPr>
                <w:bCs/>
                <w:spacing w:val="-4"/>
                <w:highlight w:val="white"/>
                <w:lang w:val="pt-BR"/>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Địa điểm thẩm định giá</w:t>
            </w:r>
            <w:r>
              <w:rPr>
                <w:bCs/>
                <w:spacing w:val="-6"/>
                <w:highlight w:val="white"/>
                <w:lang w:val="pt-BR"/>
              </w:rPr>
            </w:r>
            <w:r>
              <w:rPr>
                <w:bCs/>
                <w:spacing w:val="-6"/>
                <w:highlight w:val="white"/>
                <w:lang w:val="pt-BR"/>
              </w:rPr>
            </w:r>
          </w:p>
        </w:tc>
        <w:tc>
          <w:tcPr>
            <w:tcBorders/>
            <w:tcW w:w="284" w:type="dxa"/>
            <w:vAlign w:val="center"/>
            <w:textDirection w:val="lrTb"/>
            <w:noWrap w:val="false"/>
          </w:tcPr>
          <w:p>
            <w:pPr>
              <w:pStyle w:val="1027"/>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spacing w:after="60" w:before="60" w:line="276" w:lineRule="auto"/>
              <w:ind/>
              <w:jc w:val="both"/>
              <w:rPr>
                <w:color w:val="ee0000"/>
                <w:highlight w:val="white"/>
              </w:rPr>
            </w:pPr>
            <w:r>
              <w:rPr>
                <w:color w:val="000000" w:themeColor="text1"/>
                <w:highlight w:val="white"/>
                <w:lang w:val="pt-BR"/>
              </w:rPr>
              <w:t xml:space="preserve">Xã Tây Phương, Thành phố Hà Nội</w:t>
            </w:r>
            <w:r>
              <w:rPr>
                <w:color w:val="ee0000"/>
                <w:highlight w:val="white"/>
                <w:lang w:val="pt-BR"/>
              </w:rPr>
            </w:r>
            <w:r>
              <w:rPr>
                <w:color w:val="ee0000"/>
                <w:highlight w:val="white"/>
                <w:lang w:val="pt-BR"/>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Vị trí tài sản thẩm định </w:t>
            </w:r>
            <w:r>
              <w:rPr>
                <w:bCs/>
                <w:spacing w:val="-6"/>
                <w:highlight w:val="white"/>
                <w:lang w:val="pt-BR"/>
              </w:rPr>
            </w:r>
            <w:r>
              <w:rPr>
                <w:bCs/>
                <w:spacing w:val="-6"/>
                <w:highlight w:val="white"/>
                <w:lang w:val="pt-BR"/>
              </w:rPr>
            </w:r>
          </w:p>
        </w:tc>
        <w:tc>
          <w:tcPr>
            <w:tcBorders/>
            <w:tcW w:w="284" w:type="dxa"/>
            <w:vAlign w:val="center"/>
            <w:textDirection w:val="lrTb"/>
            <w:noWrap w:val="false"/>
          </w:tcPr>
          <w:p>
            <w:pPr>
              <w:pStyle w:val="1027"/>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Style w:val="1007"/>
              <w:pBdr/>
              <w:spacing w:before="60"/>
              <w:ind/>
              <w:rPr>
                <w:rFonts w:ascii="Times New Roman" w:hAnsi="Times New Roman" w:cs="Times New Roman"/>
                <w:color w:val="auto"/>
                <w:sz w:val="24"/>
                <w:szCs w:val="24"/>
                <w:highlight w:val="white"/>
              </w:rPr>
            </w:pPr>
            <w:r>
              <w:rPr>
                <w:rFonts w:ascii="Times New Roman" w:hAnsi="Times New Roman" w:cs="Times New Roman"/>
                <w:color w:val="auto"/>
                <w:sz w:val="24"/>
                <w:szCs w:val="24"/>
                <w:highlight w:val="white"/>
              </w:rPr>
              <w:t xml:space="preserve">(</w:t>
            </w:r>
            <w:r>
              <w:rPr>
                <w:rFonts w:ascii="Times New Roman" w:hAnsi="Times New Roman" w:cs="Times New Roman"/>
                <w:color w:val="000000"/>
                <w:sz w:val="24"/>
                <w:szCs w:val="24"/>
                <w:highlight w:val="white"/>
              </w:rPr>
              <w:t xml:space="preserve">21.026222222222, 105.60952777778</w:t>
            </w:r>
            <w:r>
              <w:rPr>
                <w:rFonts w:ascii="Times New Roman" w:hAnsi="Times New Roman" w:cs="Times New Roman"/>
                <w:color w:val="auto"/>
                <w:sz w:val="24"/>
                <w:szCs w:val="24"/>
                <w:highlight w:val="white"/>
              </w:rPr>
              <w:t xml:space="preserve">)</w:t>
            </w:r>
            <w:r>
              <w:rPr>
                <w:rFonts w:ascii="Times New Roman" w:hAnsi="Times New Roman" w:cs="Times New Roman"/>
                <w:color w:val="auto"/>
                <w:sz w:val="24"/>
                <w:szCs w:val="24"/>
                <w:highlight w:val="white"/>
              </w:rPr>
            </w:r>
            <w:r>
              <w:rPr>
                <w:rFonts w:ascii="Times New Roman" w:hAnsi="Times New Roman" w:cs="Times New Roman"/>
                <w:color w:val="auto"/>
                <w:sz w:val="24"/>
                <w:szCs w:val="2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Thời điểm khảo sát</w:t>
            </w:r>
            <w:r>
              <w:rPr>
                <w:bCs/>
                <w:spacing w:val="-6"/>
                <w:highlight w:val="white"/>
                <w:lang w:val="pt-BR"/>
              </w:rPr>
            </w:r>
            <w:r>
              <w:rPr>
                <w:bCs/>
                <w:spacing w:val="-6"/>
                <w:highlight w:val="white"/>
                <w:lang w:val="pt-BR"/>
              </w:rPr>
            </w:r>
          </w:p>
        </w:tc>
        <w:tc>
          <w:tcPr>
            <w:tcBorders/>
            <w:tcW w:w="284" w:type="dxa"/>
            <w:vAlign w:val="center"/>
            <w:textDirection w:val="lrTb"/>
            <w:noWrap w:val="false"/>
          </w:tcPr>
          <w:p>
            <w:pPr>
              <w:pStyle w:val="1027"/>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spacing w:after="60" w:before="60" w:line="276" w:lineRule="auto"/>
              <w:ind/>
              <w:jc w:val="both"/>
              <w:rPr>
                <w:highlight w:val="white"/>
              </w:rPr>
            </w:pPr>
            <w:r>
              <w:rPr>
                <w:highlight w:val="white"/>
                <w:lang w:val="pt-BR"/>
              </w:rPr>
            </w:r>
            <w:r>
              <w:rPr>
                <w:highlight w:val="white"/>
                <w:lang w:val="pt-BR"/>
              </w:rPr>
              <w:t xml:space="preserve">Ngày 16/ 09/2026</w:t>
            </w:r>
            <w:r>
              <w:rPr>
                <w:highlight w:val="white"/>
                <w:lang w:val="pt-BR"/>
              </w:rPr>
              <w:t xml:space="preserve">.</w:t>
            </w:r>
            <w:r>
              <w:rPr>
                <w:highlight w:val="white"/>
                <w:lang w:val="pt-BR"/>
              </w:rPr>
            </w:r>
            <w:r>
              <w:rPr>
                <w:highlight w:val="white"/>
              </w:rPr>
            </w:r>
            <w:r>
              <w:rPr>
                <w:highlight w:val="white"/>
                <w:lang w:val="pt-BR"/>
              </w:rPr>
            </w:r>
          </w:p>
        </w:tc>
      </w:tr>
    </w:tbl>
    <w:p>
      <w:pPr>
        <w:pBdr/>
        <w:spacing w:after="120" w:before="120" w:line="276" w:lineRule="auto"/>
        <w:ind/>
        <w:rPr>
          <w:b/>
          <w:bCs/>
          <w:spacing w:val="-6"/>
          <w:highlight w:val="white"/>
        </w:rPr>
      </w:pPr>
      <w:r>
        <w:rPr>
          <w:b/>
          <w:bCs/>
          <w:spacing w:val="-6"/>
          <w:highlight w:val="white"/>
          <w:lang w:val="pt-BR"/>
        </w:rPr>
        <w:t xml:space="preserve">2</w:t>
      </w:r>
      <w:r>
        <w:rPr>
          <w:b/>
          <w:bCs/>
          <w:spacing w:val="-6"/>
          <w:highlight w:val="white"/>
          <w:lang w:val="pt-BR"/>
        </w:rPr>
        <w:t xml:space="preserve">. </w:t>
      </w:r>
      <w:r>
        <w:rPr>
          <w:b/>
          <w:bCs/>
          <w:spacing w:val="-6"/>
          <w:highlight w:val="white"/>
          <w:lang w:val="pt-BR"/>
        </w:rPr>
        <w:t xml:space="preserve">Các nguồn thông tin được sử dụng trong quá trình thẩm định giá</w:t>
      </w:r>
      <w:r>
        <w:rPr>
          <w:b/>
          <w:bCs/>
          <w:spacing w:val="-6"/>
          <w:highlight w:val="white"/>
          <w:lang w:val="pt-BR"/>
        </w:rPr>
        <w:t xml:space="preserve"> và xem xét đánh giá</w:t>
      </w:r>
      <w:r>
        <w:rPr>
          <w:b/>
          <w:bCs/>
          <w:spacing w:val="-6"/>
          <w:highlight w:val="white"/>
          <w:lang w:val="pt-BR"/>
        </w:rPr>
        <w:t xml:space="preserve"> các thông tin thu thập</w:t>
      </w:r>
      <w:r>
        <w:rPr>
          <w:b/>
          <w:bCs/>
          <w:spacing w:val="-6"/>
          <w:highlight w:val="white"/>
          <w:lang w:val="pt-BR"/>
        </w:rPr>
      </w:r>
      <w:r>
        <w:rPr>
          <w:b/>
          <w:bCs/>
          <w:spacing w:val="-6"/>
          <w:highlight w:val="white"/>
          <w:lang w:val="pt-BR"/>
        </w:rPr>
      </w:r>
    </w:p>
    <w:p>
      <w:pPr>
        <w:pStyle w:val="1027"/>
        <w:numPr>
          <w:ilvl w:val="0"/>
          <w:numId w:val="1"/>
        </w:numPr>
        <w:pBdr/>
        <w:tabs>
          <w:tab w:val="left" w:leader="none" w:pos="993"/>
        </w:tabs>
        <w:spacing w:after="120" w:before="120" w:line="276" w:lineRule="auto"/>
        <w:ind/>
        <w:jc w:val="both"/>
        <w:rPr>
          <w:highlight w:val="white"/>
        </w:rPr>
      </w:pPr>
      <w:r>
        <w:rPr>
          <w:spacing w:val="-6"/>
          <w:highlight w:val="white"/>
          <w:lang w:val="pt-BR"/>
        </w:rPr>
        <w:t xml:space="preserve">Tham khảo nguồn thông tin từ các trang giao bán bất động sản qua mạng Internet</w:t>
      </w:r>
      <w:r>
        <w:rPr>
          <w:spacing w:val="-6"/>
          <w:highlight w:val="white"/>
          <w:lang w:val="pt-BR"/>
        </w:rPr>
        <w:t xml:space="preserve">, gọi điện trực tiếp</w:t>
      </w:r>
      <w:r>
        <w:rPr>
          <w:highlight w:val="white"/>
          <w:lang w:val="pt-BR"/>
        </w:rPr>
        <w:t xml:space="preserve">.</w:t>
      </w:r>
      <w:r>
        <w:rPr>
          <w:highlight w:val="white"/>
          <w:lang w:val="pt-BR"/>
        </w:rPr>
      </w:r>
      <w:r>
        <w:rPr>
          <w:highlight w:val="white"/>
          <w:lang w:val="pt-BR"/>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Tham khảo nguồn thông tin trực tiếp từ </w:t>
      </w:r>
      <w:r>
        <w:rPr>
          <w:highlight w:val="white"/>
          <w:lang w:val="pt-BR"/>
        </w:rPr>
        <w:t xml:space="preserve">những</w:t>
      </w:r>
      <w:r>
        <w:rPr>
          <w:highlight w:val="white"/>
          <w:lang w:val="vi-VN"/>
        </w:rPr>
        <w:t xml:space="preserve"> người </w:t>
      </w:r>
      <w:r>
        <w:rPr>
          <w:highlight w:val="white"/>
          <w:lang w:val="pt-BR"/>
        </w:rPr>
        <w:t xml:space="preserve">dân </w:t>
      </w:r>
      <w:r>
        <w:rPr>
          <w:highlight w:val="white"/>
          <w:lang w:val="pt-BR"/>
        </w:rPr>
        <w:t xml:space="preserve">sinh</w:t>
      </w:r>
      <w:r>
        <w:rPr>
          <w:highlight w:val="white"/>
          <w:lang w:val="vi-VN"/>
        </w:rPr>
        <w:t xml:space="preserve"> s</w:t>
      </w:r>
      <w:r>
        <w:rPr>
          <w:highlight w:val="white"/>
          <w:lang w:val="pt-BR"/>
        </w:rPr>
        <w:t xml:space="preserve">ống </w:t>
      </w:r>
      <w:r>
        <w:rPr>
          <w:highlight w:val="white"/>
          <w:lang w:val="pt-BR"/>
        </w:rPr>
        <w:t xml:space="preserve">xung quanh </w:t>
      </w:r>
      <w:r>
        <w:rPr>
          <w:highlight w:val="white"/>
          <w:lang w:val="pt-BR"/>
        </w:rPr>
        <w:t xml:space="preserve">trên địa bàn.</w:t>
      </w:r>
      <w:r>
        <w:rPr>
          <w:highlight w:val="white"/>
          <w:lang w:val="pt-BR"/>
        </w:rPr>
      </w:r>
      <w:r>
        <w:rPr>
          <w:highlight w:val="white"/>
          <w:lang w:val="pt-BR"/>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Đánh giá nguồn thông tin thu thập: Nguồn thông tin thu thập khách quan</w:t>
      </w:r>
      <w:r>
        <w:rPr>
          <w:highlight w:val="white"/>
          <w:lang w:val="pt-BR"/>
        </w:rPr>
        <w:t xml:space="preserve"> và phổ biến trên thị trường.</w:t>
      </w:r>
      <w:r>
        <w:rPr>
          <w:highlight w:val="white"/>
          <w:lang w:val="pt-BR"/>
        </w:rPr>
      </w:r>
      <w:r>
        <w:rPr>
          <w:highlight w:val="white"/>
          <w:lang w:val="pt-BR"/>
        </w:rPr>
      </w:r>
    </w:p>
    <w:p>
      <w:pPr>
        <w:pStyle w:val="1027"/>
        <w:pBdr/>
        <w:tabs>
          <w:tab w:val="left" w:leader="none" w:pos="993"/>
        </w:tabs>
        <w:spacing w:after="120" w:before="120" w:line="276" w:lineRule="auto"/>
        <w:ind w:left="0"/>
        <w:jc w:val="both"/>
        <w:rPr>
          <w:b/>
          <w:bCs/>
          <w:highlight w:val="white"/>
        </w:rPr>
      </w:pPr>
      <w:r>
        <w:rPr>
          <w:b/>
          <w:bCs/>
          <w:highlight w:val="white"/>
          <w:lang w:val="pt-BR"/>
        </w:rPr>
        <w:t xml:space="preserve">3</w:t>
      </w:r>
      <w:r>
        <w:rPr>
          <w:b/>
          <w:bCs/>
          <w:highlight w:val="white"/>
          <w:lang w:val="pt-BR"/>
        </w:rPr>
        <w:t xml:space="preserve">. </w:t>
      </w:r>
      <w:r>
        <w:rPr>
          <w:b/>
          <w:bCs/>
          <w:highlight w:val="white"/>
          <w:lang w:val="pt-BR"/>
        </w:rPr>
        <w:t xml:space="preserve">Căn cứ pháp lý</w:t>
      </w:r>
      <w:r>
        <w:rPr>
          <w:b/>
          <w:bCs/>
          <w:highlight w:val="white"/>
          <w:lang w:val="vi-VN"/>
        </w:rPr>
      </w:r>
      <w:r>
        <w:rPr>
          <w:b/>
          <w:bCs/>
          <w:highlight w:val="white"/>
          <w:lang w:val="vi-VN"/>
        </w:rPr>
      </w:r>
    </w:p>
    <w:p>
      <w:pPr>
        <w:pStyle w:val="1027"/>
        <w:pBdr/>
        <w:tabs>
          <w:tab w:val="left" w:leader="none" w:pos="993"/>
        </w:tabs>
        <w:spacing w:after="120" w:before="120" w:line="276" w:lineRule="auto"/>
        <w:ind w:left="0"/>
        <w:jc w:val="both"/>
        <w:rPr>
          <w:b/>
          <w:highlight w:val="white"/>
        </w:rPr>
      </w:pPr>
      <w:r>
        <w:rPr>
          <w:b/>
          <w:highlight w:val="white"/>
          <w:lang w:val="pt-BR"/>
        </w:rPr>
        <w:t xml:space="preserve">3.1</w:t>
      </w:r>
      <w:r>
        <w:rPr>
          <w:b/>
          <w:highlight w:val="white"/>
          <w:lang w:val="pt-BR"/>
        </w:rPr>
        <w:t xml:space="preserve">. Văn bản </w:t>
      </w:r>
      <w:r>
        <w:rPr>
          <w:b/>
          <w:highlight w:val="white"/>
          <w:lang w:val="pt-BR"/>
        </w:rPr>
        <w:t xml:space="preserve">quy phạm pháp luật</w:t>
      </w:r>
      <w:r>
        <w:rPr>
          <w:b/>
          <w:highlight w:val="white"/>
          <w:lang w:val="pt-BR"/>
        </w:rPr>
        <w:t xml:space="preserve">:</w:t>
      </w:r>
      <w:r>
        <w:rPr>
          <w:b/>
          <w:highlight w:val="white"/>
          <w:lang w:val="pt-BR"/>
        </w:rPr>
      </w:r>
      <w:r>
        <w:rPr>
          <w:b/>
          <w:highlight w:val="white"/>
          <w:lang w:val="pt-BR"/>
        </w:rPr>
      </w:r>
    </w:p>
    <w:p>
      <w:pPr>
        <w:pStyle w:val="1027"/>
        <w:pBdr/>
        <w:tabs>
          <w:tab w:val="left" w:leader="none" w:pos="993"/>
        </w:tabs>
        <w:spacing w:after="120" w:before="120" w:line="276" w:lineRule="auto"/>
        <w:ind w:left="0"/>
        <w:jc w:val="both"/>
        <w:rPr>
          <w:highlight w:val="white"/>
        </w:rPr>
      </w:pPr>
      <w:r>
        <w:rPr>
          <w:bCs/>
          <w:color w:val="000000" w:themeColor="text1"/>
          <w:highlight w:val="white"/>
          <w:lang w:val="pt-BR"/>
        </w:rPr>
        <w:t xml:space="preserve">- </w:t>
      </w:r>
      <w:r>
        <w:rPr>
          <w:bCs/>
          <w:color w:val="000000" w:themeColor="text1"/>
          <w:highlight w:val="white"/>
          <w:lang w:val="pt-BR"/>
        </w:rPr>
        <w:t xml:space="preserve">   </w:t>
      </w:r>
      <w:r>
        <w:rPr>
          <w:highlight w:val="white"/>
          <w:lang w:val="pt-BR"/>
        </w:rPr>
        <w:t xml:space="preserve">Luật Giá số 16/2023/QH15 ngày 19/6/2023;</w:t>
      </w:r>
      <w:r>
        <w:rPr>
          <w:highlight w:val="white"/>
          <w:lang w:val="pt-BR"/>
        </w:rPr>
      </w:r>
      <w:r>
        <w:rPr>
          <w:highlight w:val="white"/>
          <w:lang w:val="pt-BR"/>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Luật Đất đai số 31/2024/QH15 đã được Quốc hội nước Cộng hòa xã hội chủ nghĩa Việt Nam khóa XV, kỳ họp bất thường lần thứ 5 thông qua ngày 18 tháng 01 năm 2024;</w:t>
      </w:r>
      <w:r>
        <w:rPr>
          <w:highlight w:val="white"/>
          <w:lang w:val="pt-BR"/>
        </w:rPr>
      </w:r>
      <w:r>
        <w:rPr>
          <w:highlight w:val="white"/>
          <w:lang w:val="pt-BR"/>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Luật Xây dựng số 50/2014/QH13 đã được Quốc hội nước Cộng hòa xã hội chủ nghĩa Việt Nam khóa XIII, kỳ họp thứ 7 thông qua ngày 18 tháng 6 năm 2014;</w:t>
      </w:r>
      <w:r>
        <w:rPr>
          <w:highlight w:val="white"/>
          <w:lang w:val="pt-BR"/>
        </w:rPr>
      </w:r>
      <w:r>
        <w:rPr>
          <w:highlight w:val="white"/>
          <w:lang w:val="pt-BR"/>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highlight w:val="white"/>
          <w:lang w:val="pt-BR"/>
        </w:rPr>
        <w:t xml:space="preserve">d</w:t>
      </w:r>
      <w:r>
        <w:rPr>
          <w:highlight w:val="white"/>
          <w:lang w:val="pt-BR"/>
        </w:rPr>
        <w:t xml:space="preserve">ựng;</w:t>
      </w:r>
      <w:r>
        <w:rPr>
          <w:highlight w:val="white"/>
          <w:lang w:val="pt-BR"/>
        </w:rPr>
      </w:r>
      <w:r>
        <w:rPr>
          <w:highlight w:val="white"/>
          <w:lang w:val="pt-BR"/>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Luật Nhà ở số 27/2023/QH15 đã được Quốc hội nước Cộng hòa xã hội chủ nghĩa Việt Nam khóa XV, kỳ họp thứ 6 thông qua ngày 27 tháng 11 năm 2023;</w:t>
      </w:r>
      <w:r>
        <w:rPr>
          <w:highlight w:val="white"/>
          <w:lang w:val="pt-BR"/>
        </w:rPr>
      </w:r>
      <w:r>
        <w:rPr>
          <w:highlight w:val="white"/>
          <w:lang w:val="pt-BR"/>
        </w:rPr>
      </w:r>
    </w:p>
    <w:p>
      <w:pPr>
        <w:pStyle w:val="1027"/>
        <w:numPr>
          <w:ilvl w:val="0"/>
          <w:numId w:val="1"/>
        </w:numPr>
        <w:pBdr/>
        <w:spacing w:after="120" w:before="120" w:line="276" w:lineRule="auto"/>
        <w:ind/>
        <w:rPr>
          <w:highlight w:val="white"/>
        </w:rPr>
      </w:pPr>
      <w:r>
        <w:rPr>
          <w:highlight w:val="white"/>
          <w:lang w:val="pt-BR"/>
        </w:rPr>
        <w:t xml:space="preserve">Nghị định số 71/2024/NĐ-CP ngày 27/6/2024 của Chính phủ Quy định về giá đất.</w:t>
      </w:r>
      <w:r>
        <w:rPr>
          <w:highlight w:val="white"/>
          <w:lang w:val="pt-BR"/>
        </w:rPr>
      </w:r>
      <w:r>
        <w:rPr>
          <w:highlight w:val="white"/>
          <w:lang w:val="pt-BR"/>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Nghị định số 103/2024/NĐ-CP ngày 30/7/2024 của Chính phủ quy định về thu tiền sử dụng đất, tiền thuê đất;</w:t>
      </w:r>
      <w:r>
        <w:rPr>
          <w:highlight w:val="white"/>
          <w:lang w:val="pt-BR"/>
        </w:rPr>
      </w:r>
      <w:r>
        <w:rPr>
          <w:highlight w:val="white"/>
          <w:lang w:val="pt-BR"/>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28/2024/TT-BTC ngày 16/5/2024 của Bộ Tài </w:t>
      </w:r>
      <w:r>
        <w:rPr>
          <w:highlight w:val="white"/>
          <w:lang w:val="pt-BR"/>
        </w:rPr>
        <w:t xml:space="preserve">c</w:t>
      </w:r>
      <w:r>
        <w:rPr>
          <w:highlight w:val="white"/>
          <w:lang w:val="pt-BR"/>
        </w:rPr>
        <w:t xml:space="preserve">hính Quy định về trình tự, thủ tục kiểm tra việc chấp hành pháp luật về giá, thẩm định giá do Bộ trưởng Bộ Tài chính ban hành;</w:t>
      </w:r>
      <w:r>
        <w:rPr>
          <w:highlight w:val="white"/>
          <w:lang w:val="pt-BR"/>
        </w:rPr>
      </w:r>
      <w:r>
        <w:rPr>
          <w:highlight w:val="white"/>
          <w:lang w:val="pt-BR"/>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30/2024/TT-BTC ngày 16/5/2024 </w:t>
      </w:r>
      <w:r>
        <w:rPr>
          <w:highlight w:val="white"/>
          <w:lang w:val="pt-BR"/>
        </w:rPr>
        <w:t xml:space="preserve">của Bộ Tài chính </w:t>
      </w:r>
      <w:r>
        <w:rPr>
          <w:highlight w:val="white"/>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highlight w:val="white"/>
          <w:lang w:val="pt-BR"/>
        </w:rPr>
      </w:r>
      <w:r>
        <w:rPr>
          <w:highlight w:val="white"/>
          <w:lang w:val="pt-BR"/>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31/2024/TT-BTC ngày 16/5/2024 </w:t>
      </w:r>
      <w:r>
        <w:rPr>
          <w:highlight w:val="white"/>
          <w:lang w:val="pt-BR"/>
        </w:rPr>
        <w:t xml:space="preserve">của Bộ Tài chính </w:t>
      </w:r>
      <w:r>
        <w:rPr>
          <w:highlight w:val="white"/>
          <w:lang w:val="pt-BR"/>
        </w:rPr>
        <w:t xml:space="preserve">ban hành chuẩn mực thẩm định giá Việt Nam về thu thập và phân tích thông tin về tài sản thẩm định giá;</w:t>
      </w:r>
      <w:r>
        <w:rPr>
          <w:highlight w:val="white"/>
          <w:lang w:val="pt-BR"/>
        </w:rPr>
      </w:r>
      <w:r>
        <w:rPr>
          <w:highlight w:val="white"/>
          <w:lang w:val="pt-BR"/>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32/2024/TT-BTC ngày 16/5/2024 </w:t>
      </w:r>
      <w:r>
        <w:rPr>
          <w:highlight w:val="white"/>
          <w:lang w:val="pt-BR"/>
        </w:rPr>
        <w:t xml:space="preserve">của Bộ Tài chính </w:t>
      </w:r>
      <w:r>
        <w:rPr>
          <w:highlight w:val="white"/>
          <w:lang w:val="pt-BR"/>
        </w:rPr>
        <w:t xml:space="preserve">ban hành</w:t>
      </w:r>
      <w:r>
        <w:rPr>
          <w:highlight w:val="white"/>
        </w:rPr>
        <w:t xml:space="preserve"> </w:t>
      </w:r>
      <w:r>
        <w:rPr>
          <w:highlight w:val="white"/>
          <w:lang w:val="pt-BR"/>
        </w:rPr>
        <w:t xml:space="preserve">các chuẩn mực thẩm định giá Việt Nam về cách tiếp cận từ thị trường, cách tiếp cận từ chi phí, cách tiếp cận từ thu nhập;</w:t>
      </w:r>
      <w:r>
        <w:rPr>
          <w:highlight w:val="white"/>
          <w:lang w:val="pt-BR"/>
        </w:rPr>
      </w:r>
      <w:r>
        <w:rPr>
          <w:highlight w:val="white"/>
          <w:lang w:val="pt-BR"/>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36/2024/TT-BTC ngày 16/5/2024</w:t>
      </w:r>
      <w:r>
        <w:rPr>
          <w:highlight w:val="white"/>
          <w:lang w:val="pt-BR"/>
        </w:rPr>
        <w:t xml:space="preserve"> của Bộ Tài chính</w:t>
      </w:r>
      <w:r>
        <w:rPr>
          <w:highlight w:val="white"/>
          <w:lang w:val="pt-BR"/>
        </w:rPr>
        <w:t xml:space="preserve"> ban hành chuẩn mực thẩm định giá Việt Nam về thẩm định giá doanh nghiệp;</w:t>
      </w:r>
      <w:r>
        <w:rPr>
          <w:highlight w:val="white"/>
          <w:lang w:val="pt-BR"/>
        </w:rPr>
      </w:r>
      <w:r>
        <w:rPr>
          <w:highlight w:val="white"/>
          <w:lang w:val="pt-BR"/>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37/2024/TT-BTC ngày 16/5/2024 </w:t>
      </w:r>
      <w:r>
        <w:rPr>
          <w:highlight w:val="white"/>
          <w:lang w:val="pt-BR"/>
        </w:rPr>
        <w:t xml:space="preserve">của Bộ Tài chính </w:t>
      </w:r>
      <w:r>
        <w:rPr>
          <w:highlight w:val="white"/>
          <w:lang w:val="pt-BR"/>
        </w:rPr>
        <w:t xml:space="preserve">ban hành chuẩn mực thẩm định giá Việt Nam về thẩm định giá tài sản vô hình;</w:t>
      </w:r>
      <w:r>
        <w:rPr>
          <w:highlight w:val="white"/>
          <w:lang w:val="pt-BR"/>
        </w:rPr>
      </w:r>
      <w:r>
        <w:rPr>
          <w:highlight w:val="white"/>
          <w:lang w:val="pt-BR"/>
        </w:rPr>
      </w:r>
    </w:p>
    <w:p>
      <w:pPr>
        <w:pStyle w:val="1027"/>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42/2024/TT-BTC ngày 20/6/2024 </w:t>
      </w:r>
      <w:r>
        <w:rPr>
          <w:highlight w:val="white"/>
          <w:lang w:val="pt-BR"/>
        </w:rPr>
        <w:t xml:space="preserve">của Bộ Tài chính </w:t>
      </w:r>
      <w:r>
        <w:rPr>
          <w:highlight w:val="white"/>
          <w:lang w:val="pt-BR"/>
        </w:rPr>
        <w:t xml:space="preserve">ban hành chuẩn mực thẩm định giá Việt Nam về thẩm định giá bất động sản</w:t>
      </w:r>
      <w:r>
        <w:rPr>
          <w:highlight w:val="white"/>
          <w:lang w:val="pt-BR"/>
        </w:rPr>
        <w:t xml:space="preserve">;</w:t>
      </w:r>
      <w:r>
        <w:rPr>
          <w:highlight w:val="white"/>
          <w:lang w:val="pt-BR"/>
        </w:rPr>
      </w:r>
      <w:r>
        <w:rPr>
          <w:highlight w:val="white"/>
          <w:lang w:val="pt-BR"/>
        </w:rPr>
      </w:r>
    </w:p>
    <w:p>
      <w:pPr>
        <w:pStyle w:val="1027"/>
        <w:numPr>
          <w:ilvl w:val="0"/>
          <w:numId w:val="1"/>
        </w:numPr>
        <w:pBdr/>
        <w:tabs>
          <w:tab w:val="left" w:leader="none" w:pos="993"/>
        </w:tabs>
        <w:spacing w:after="120" w:before="120" w:line="276" w:lineRule="auto"/>
        <w:ind/>
        <w:jc w:val="both"/>
        <w:rPr>
          <w:b/>
          <w:highlight w:val="white"/>
        </w:rPr>
      </w:pPr>
      <w:r>
        <w:rPr>
          <w:highlight w:val="white"/>
          <w:lang w:val="pt-BR"/>
        </w:rPr>
        <w:t xml:space="preserve">Thông tư số 45/2013/TT-BTC ngày 24/5/2013 của Bộ Tài chính về việc hướng dẫn chế độ quản lý, sử dụng và trích khấu hao tài sản cố định;</w:t>
      </w:r>
      <w:r>
        <w:rPr>
          <w:b/>
          <w:highlight w:val="white"/>
          <w:lang w:val="pt-BR"/>
        </w:rPr>
      </w:r>
      <w:r>
        <w:rPr>
          <w:b/>
          <w:highlight w:val="white"/>
          <w:lang w:val="pt-BR"/>
        </w:rPr>
      </w:r>
    </w:p>
    <w:p>
      <w:pPr>
        <w:pStyle w:val="1027"/>
        <w:numPr>
          <w:ilvl w:val="0"/>
          <w:numId w:val="1"/>
        </w:numPr>
        <w:pBdr/>
        <w:tabs>
          <w:tab w:val="left" w:leader="none" w:pos="993"/>
        </w:tabs>
        <w:spacing w:after="120" w:before="120" w:line="276" w:lineRule="auto"/>
        <w:ind/>
        <w:jc w:val="both"/>
        <w:rPr>
          <w:b/>
          <w:highlight w:val="white"/>
        </w:rPr>
      </w:pPr>
      <w:r>
        <w:rPr>
          <w:highlight w:val="white"/>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highlight w:val="white"/>
          <w:lang w:val="pt-BR"/>
        </w:rPr>
      </w:r>
      <w:r>
        <w:rPr>
          <w:b/>
          <w:highlight w:val="white"/>
          <w:lang w:val="pt-BR"/>
        </w:rPr>
      </w:r>
    </w:p>
    <w:p>
      <w:pPr>
        <w:pStyle w:val="1027"/>
        <w:numPr>
          <w:ilvl w:val="0"/>
          <w:numId w:val="1"/>
        </w:numPr>
        <w:pBdr/>
        <w:tabs>
          <w:tab w:val="left" w:leader="none" w:pos="993"/>
        </w:tabs>
        <w:spacing w:after="120" w:before="120" w:line="276" w:lineRule="auto"/>
        <w:ind/>
        <w:jc w:val="both"/>
        <w:rPr>
          <w:spacing w:val="-4"/>
          <w:highlight w:val="white"/>
        </w:rPr>
      </w:pPr>
      <w:r>
        <w:rPr>
          <w:spacing w:val="-4"/>
          <w:highlight w:val="white"/>
          <w:lang w:val="pt-BR"/>
        </w:rPr>
        <w:t xml:space="preserve">Thông tư số 28/</w:t>
      </w:r>
      <w:r>
        <w:rPr>
          <w:spacing w:val="-4"/>
          <w:highlight w:val="white"/>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highlight w:val="white"/>
          <w:lang w:val="pt-BR"/>
        </w:rPr>
      </w:r>
      <w:r>
        <w:rPr>
          <w:spacing w:val="-4"/>
          <w:highlight w:val="white"/>
          <w:lang w:val="pt-BR"/>
        </w:rPr>
      </w:r>
    </w:p>
    <w:p>
      <w:pPr>
        <w:pStyle w:val="1027"/>
        <w:numPr>
          <w:ilvl w:val="0"/>
          <w:numId w:val="9"/>
        </w:numPr>
        <w:pBdr/>
        <w:tabs>
          <w:tab w:val="left" w:leader="none" w:pos="993"/>
        </w:tabs>
        <w:spacing w:after="120" w:before="120" w:line="276" w:lineRule="auto"/>
        <w:ind/>
        <w:jc w:val="both"/>
        <w:rPr>
          <w:b/>
          <w:highlight w:val="white"/>
        </w:rPr>
      </w:pPr>
      <w:r>
        <w:rPr>
          <w:highlight w:val="white"/>
          <w:lang w:val="pt-BR"/>
        </w:rPr>
        <w:t xml:space="preserve">Và các văn bản pháp luật có liên quan khác.</w:t>
      </w:r>
      <w:r>
        <w:rPr>
          <w:b/>
          <w:highlight w:val="white"/>
          <w:lang w:val="pt-BR"/>
        </w:rPr>
      </w:r>
      <w:r>
        <w:rPr>
          <w:b/>
          <w:highlight w:val="white"/>
          <w:lang w:val="pt-BR"/>
        </w:rPr>
      </w:r>
    </w:p>
    <w:p>
      <w:pPr>
        <w:pStyle w:val="1027"/>
        <w:pBdr/>
        <w:tabs>
          <w:tab w:val="left" w:leader="none" w:pos="993"/>
        </w:tabs>
        <w:spacing w:after="120" w:before="120" w:line="276" w:lineRule="auto"/>
        <w:ind w:left="0"/>
        <w:jc w:val="both"/>
        <w:rPr>
          <w:b/>
          <w:highlight w:val="white"/>
        </w:rPr>
      </w:pPr>
      <w:r>
        <w:rPr>
          <w:b/>
          <w:highlight w:val="white"/>
          <w:lang w:val="pt-BR"/>
        </w:rPr>
        <w:t xml:space="preserve">3.</w:t>
      </w:r>
      <w:r>
        <w:rPr>
          <w:b/>
          <w:highlight w:val="white"/>
          <w:lang w:val="pt-BR"/>
        </w:rPr>
        <w:t xml:space="preserve">2</w:t>
      </w:r>
      <w:r>
        <w:rPr>
          <w:b/>
          <w:highlight w:val="white"/>
          <w:lang w:val="pt-BR"/>
        </w:rPr>
        <w:t xml:space="preserve">. Các văn bản liên quan khác:</w:t>
      </w:r>
      <w:r>
        <w:rPr>
          <w:b/>
          <w:highlight w:val="white"/>
          <w:lang w:val="pt-BR"/>
        </w:rPr>
      </w:r>
      <w:r>
        <w:rPr>
          <w:b/>
          <w:highlight w:val="white"/>
          <w:lang w:val="pt-BR"/>
        </w:rPr>
      </w:r>
    </w:p>
    <w:p>
      <w:pPr>
        <w:pStyle w:val="1027"/>
        <w:pBdr/>
        <w:tabs>
          <w:tab w:val="left" w:leader="none" w:pos="993"/>
        </w:tabs>
        <w:spacing w:after="120" w:before="120" w:line="276" w:lineRule="auto"/>
        <w:ind w:left="0"/>
        <w:jc w:val="both"/>
        <w:rPr>
          <w:b/>
          <w:highlight w:val="white"/>
        </w:rPr>
      </w:pPr>
      <w:r>
        <w:rPr>
          <w:b/>
          <w:highlight w:val="white"/>
          <w:lang w:val="pt-BR"/>
        </w:rPr>
        <w:t xml:space="preserve">a. </w:t>
      </w:r>
      <w:r>
        <w:rPr>
          <w:b/>
          <w:highlight w:val="white"/>
          <w:lang w:val="pt-BR"/>
        </w:rPr>
        <w:t xml:space="preserve">Hồ sơ pháp lý của tài sản</w:t>
      </w:r>
      <w:r>
        <w:rPr>
          <w:b/>
          <w:highlight w:val="white"/>
          <w:lang w:val="pt-BR"/>
        </w:rPr>
        <w:t xml:space="preserve">: </w:t>
      </w:r>
      <w:r>
        <w:rPr>
          <w:b/>
          <w:highlight w:val="white"/>
          <w:lang w:val="pt-BR"/>
        </w:rPr>
      </w:r>
      <w:r>
        <w:rPr>
          <w:b/>
          <w:highlight w:val="white"/>
          <w:lang w:val="pt-BR"/>
        </w:rPr>
      </w:r>
    </w:p>
    <w:p>
      <w:pPr>
        <w:pStyle w:val="1027"/>
        <w:numPr>
          <w:ilvl w:val="0"/>
          <w:numId w:val="2"/>
        </w:numPr>
        <w:pBdr/>
        <w:tabs>
          <w:tab w:val="left" w:leader="none" w:pos="993"/>
        </w:tabs>
        <w:spacing w:after="120" w:before="120" w:line="276" w:lineRule="auto"/>
        <w:ind/>
        <w:jc w:val="both"/>
        <w:rPr>
          <w:i/>
          <w:iCs/>
          <w:highlight w:val="white"/>
        </w:rPr>
      </w:pPr>
      <w:r>
        <w:rPr>
          <w:bCs/>
          <w:color w:val="000000" w:themeColor="text1"/>
          <w:highlight w:val="white"/>
          <w:lang w:val="pt-BR"/>
        </w:rPr>
        <w:t xml:space="preserve">Giấy chứng nhận quyền sử dụng đất, quyền sở hữu nhà ở và tài sản khác gắn liền với đất số: DM 355265, Số vào sổ cấp GCN: CH 00137 do UBND huyện Thạch Thất cấp ngày 20/03/2024; chủ sử dụng đất là Ông Phan Văn Toàn và Bà Nguyễn Huyền Trang</w:t>
      </w:r>
      <w:r>
        <w:rPr>
          <w:highlight w:val="white"/>
          <w:lang w:val="pt-BR"/>
        </w:rPr>
        <w:t xml:space="preserve">.</w:t>
      </w:r>
      <w:r>
        <w:rPr>
          <w:i/>
          <w:iCs/>
          <w:highlight w:val="white"/>
          <w:lang w:val="pt-BR"/>
        </w:rPr>
      </w:r>
      <w:r>
        <w:rPr>
          <w:i/>
          <w:iCs/>
          <w:highlight w:val="white"/>
          <w:lang w:val="pt-BR"/>
        </w:rPr>
      </w:r>
    </w:p>
    <w:p>
      <w:pPr>
        <w:pBdr/>
        <w:spacing w:after="120" w:before="120" w:line="276" w:lineRule="auto"/>
        <w:ind/>
        <w:jc w:val="both"/>
        <w:rPr>
          <w:b/>
          <w:highlight w:val="white"/>
        </w:rPr>
      </w:pPr>
      <w:r>
        <w:rPr>
          <w:b/>
          <w:highlight w:val="white"/>
          <w:lang w:val="pt-BR"/>
        </w:rPr>
        <w:t xml:space="preserve">b. Hồ sơ khác</w:t>
      </w:r>
      <w:r>
        <w:rPr>
          <w:b/>
          <w:highlight w:val="white"/>
          <w:lang w:val="vi-VN"/>
        </w:rPr>
        <w:t xml:space="preserve">:</w:t>
      </w:r>
      <w:r>
        <w:rPr>
          <w:b/>
          <w:highlight w:val="white"/>
        </w:rPr>
      </w:r>
      <w:r>
        <w:rPr>
          <w:b/>
          <w:highlight w:val="white"/>
        </w:rPr>
      </w:r>
    </w:p>
    <w:p>
      <w:pPr>
        <w:pStyle w:val="1027"/>
        <w:numPr>
          <w:ilvl w:val="0"/>
          <w:numId w:val="2"/>
        </w:numPr>
        <w:pBdr/>
        <w:tabs>
          <w:tab w:val="left" w:leader="none" w:pos="993"/>
        </w:tabs>
        <w:spacing w:after="120" w:before="120" w:line="276" w:lineRule="auto"/>
        <w:ind/>
        <w:jc w:val="both"/>
        <w:rPr>
          <w:b/>
          <w:highlight w:val="white"/>
        </w:rPr>
      </w:pPr>
      <w:r>
        <w:rPr>
          <w:color w:val="000000" w:themeColor="text1"/>
          <w:highlight w:val="white"/>
          <w:lang w:val="pt-BR"/>
        </w:rPr>
        <w:t xml:space="preserve">Hợp đồng số 275/2026/1480/VFI-HĐTĐ.44.A ngày </w:t>
      </w:r>
      <w:r>
        <w:rPr>
          <w:color w:val="000000" w:themeColor="text1"/>
          <w:highlight w:val="white"/>
          <w:lang w:val="pt-BR"/>
        </w:rPr>
        <w:t xml:space="preserve">15</w:t>
      </w:r>
      <w:r>
        <w:rPr>
          <w:color w:val="000000" w:themeColor="text1"/>
          <w:highlight w:val="white"/>
          <w:lang w:val="pt-BR"/>
        </w:rPr>
        <w:t xml:space="preserve">/09/2026 </w:t>
      </w:r>
      <w:r>
        <w:rPr>
          <w:color w:val="000000" w:themeColor="text1"/>
          <w:highlight w:val="white"/>
          <w:lang w:val="pt-BR"/>
        </w:rPr>
        <w:t xml:space="preserve">giữa Ông Phan Văn Toàn với Công ty Cổ phần Thẩm định và Đầu tư Tài chính Hoa Sen.</w:t>
      </w:r>
      <w:r>
        <w:rPr>
          <w:b/>
          <w:highlight w:val="white"/>
          <w:lang w:val="pt-BR"/>
        </w:rPr>
      </w:r>
      <w:r>
        <w:rPr>
          <w:b/>
          <w:highlight w:val="white"/>
          <w:lang w:val="pt-BR"/>
        </w:rPr>
      </w:r>
    </w:p>
    <w:p>
      <w:pPr>
        <w:pStyle w:val="1027"/>
        <w:numPr>
          <w:ilvl w:val="0"/>
          <w:numId w:val="2"/>
        </w:numPr>
        <w:pBdr/>
        <w:tabs>
          <w:tab w:val="left" w:leader="none" w:pos="993"/>
        </w:tabs>
        <w:spacing w:after="120" w:before="120" w:line="276" w:lineRule="auto"/>
        <w:ind/>
        <w:jc w:val="both"/>
        <w:rPr>
          <w:b/>
          <w:highlight w:val="white"/>
        </w:rPr>
      </w:pPr>
      <w:r>
        <w:rPr>
          <w:highlight w:val="white"/>
          <w:lang w:val="pt-BR"/>
        </w:rPr>
        <w:t xml:space="preserve">Hồ sơ, tài liệu, chứng từ liên quan đến tài sản thẩm định giá.</w:t>
      </w:r>
      <w:r>
        <w:rPr>
          <w:b/>
          <w:highlight w:val="white"/>
          <w:lang w:val="pt-BR"/>
        </w:rPr>
      </w:r>
      <w:r>
        <w:rPr>
          <w:b/>
          <w:highlight w:val="white"/>
          <w:lang w:val="pt-BR"/>
        </w:rPr>
      </w:r>
    </w:p>
    <w:p>
      <w:pPr>
        <w:pBdr/>
        <w:tabs>
          <w:tab w:val="left" w:leader="none" w:pos="993"/>
        </w:tabs>
        <w:spacing w:after="120" w:before="120" w:line="380" w:lineRule="atLeast"/>
        <w:ind/>
        <w:jc w:val="both"/>
        <w:rPr>
          <w:b/>
          <w:bCs/>
          <w:highlight w:val="white"/>
        </w:rPr>
      </w:pPr>
      <w:r>
        <w:rPr>
          <w:b/>
          <w:bCs/>
          <w:highlight w:val="white"/>
          <w:lang w:val="pt-BR"/>
        </w:rPr>
        <w:t xml:space="preserve">III</w:t>
      </w:r>
      <w:r>
        <w:rPr>
          <w:b/>
          <w:bCs/>
          <w:highlight w:val="white"/>
          <w:lang w:val="pt-BR"/>
        </w:rPr>
        <w:t xml:space="preserve">. TỔNG QUAN VỀ THỊ TRƯỜNG CỦA TÀI SẢN THẨM ĐỊNH GIÁ</w:t>
      </w:r>
      <w:r>
        <w:rPr>
          <w:b/>
          <w:bCs/>
          <w:highlight w:val="white"/>
          <w:lang w:val="pt-BR"/>
        </w:rPr>
      </w:r>
      <w:r>
        <w:rPr>
          <w:b/>
          <w:bCs/>
          <w:highlight w:val="white"/>
          <w:lang w:val="pt-BR"/>
        </w:rPr>
      </w:r>
    </w:p>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360" w:left="0"/>
        <w:jc w:val="both"/>
        <w:rPr>
          <w:highlight w:val="white"/>
        </w:rPr>
      </w:pPr>
      <w:r>
        <w:rPr>
          <w:highlight w:val="white"/>
          <w:lang w:val="pt-BR"/>
        </w:rPr>
        <w:tab/>
      </w:r>
      <w:r>
        <w:rPr>
          <w:rFonts w:ascii="Times New Roman" w:hAnsi="Times New Roman" w:eastAsia="Times New Roman" w:cs="Times New Roman"/>
          <w:color w:val="0d0d0d"/>
          <w:sz w:val="24"/>
          <w:highlight w:val="white"/>
        </w:rPr>
        <w:t xml:space="preserve">Thị trường bất động sản Hà Nội trong năm 2026 đang bước vào giai đoạn phục hồi nhưng có sự sàng lọc rõ rệt. Nguồn cung mới đã tăng trở lại, đặc biệt ở phân khúc căn hộ, tuy nhiên người mua không còn xuống tiền nhanh như giai đoạn 2024–2025. Lãi suất cho va</w:t>
      </w:r>
      <w:r>
        <w:rPr>
          <w:rFonts w:ascii="Times New Roman" w:hAnsi="Times New Roman" w:eastAsia="Times New Roman" w:cs="Times New Roman"/>
          <w:color w:val="0d0d0d"/>
          <w:sz w:val="24"/>
          <w:highlight w:val="white"/>
        </w:rPr>
        <w:t xml:space="preserve">y cao hơn và mặt bằng giá nhà tăng mạnh khiến người mua quan tâm nhiều hơn đến giá trị thực, pháp lý và khả năng khai thác của bất động sản.</w:t>
      </w:r>
      <w:r>
        <w:rPr>
          <w:highlight w:val="white"/>
        </w:rPr>
      </w:r>
    </w:p>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360" w:left="0"/>
        <w:jc w:val="both"/>
        <w:rPr>
          <w:highlight w:val="white"/>
        </w:rPr>
      </w:pPr>
      <w:r>
        <w:rPr>
          <w:rFonts w:ascii="Times New Roman" w:hAnsi="Times New Roman" w:eastAsia="Times New Roman" w:cs="Times New Roman"/>
          <w:color w:val="0d0d0d"/>
          <w:sz w:val="24"/>
          <w:highlight w:val="white"/>
        </w:rPr>
        <w:t xml:space="preserve">Về giá bán, căn hộ sơ cấp tại Hà Nội tiếp tục duy trì ở mức cao. Trong quý II/2026, giá bán sơ cấp trung bình đạt khoảng 95 triệu đồng/m², tăng 12% so với quý trước và 21% so với cùng kỳ năm 2025. Ngược lại, giá căn hộ trên thị trường thứ cấp đã bắt đầu đi</w:t>
      </w:r>
      <w:r>
        <w:rPr>
          <w:rFonts w:ascii="Times New Roman" w:hAnsi="Times New Roman" w:eastAsia="Times New Roman" w:cs="Times New Roman"/>
          <w:color w:val="0d0d0d"/>
          <w:sz w:val="24"/>
          <w:highlight w:val="white"/>
        </w:rPr>
        <w:t xml:space="preserve">ều chỉnh, xuống khoảng 60 triệu đồng/m², giảm gần 3% so với quý trước. Điều này cho thấy thị trường đang có sự phân hóa rõ giữa sản phẩm mới và sản phẩm chuyển nhượng. Thanh khoản cũng là vấn đề đáng chú ý. Trong quý II/2026, lượng căn hộ bán được đạt hơn </w:t>
      </w:r>
      <w:r>
        <w:rPr>
          <w:rFonts w:ascii="Times New Roman" w:hAnsi="Times New Roman" w:eastAsia="Times New Roman" w:cs="Times New Roman"/>
          <w:color w:val="0d0d0d"/>
          <w:sz w:val="24"/>
          <w:highlight w:val="white"/>
        </w:rPr>
        <w:t xml:space="preserve">5.800 căn, tương đương khoảng 68% nguồn cung mở bán mới. Tỷ lệ này thấp hơn đáng kể so với giai đoạn 2024–2025, khi tỷ lệ hấp thụ thường xuyên trên 90%. Người mua hiện có xu hướng cân nhắc kỹ về dòng tiền và khả năng trả nợ trước khi quyết định mua. </w:t>
      </w:r>
      <w:r>
        <w:rPr>
          <w:highlight w:val="white"/>
        </w:rPr>
      </w:r>
    </w:p>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360" w:left="0"/>
        <w:jc w:val="both"/>
        <w:rPr>
          <w:highlight w:val="white"/>
        </w:rPr>
      </w:pPr>
      <w:r>
        <w:rPr>
          <w:rFonts w:ascii="Times New Roman" w:hAnsi="Times New Roman" w:eastAsia="Times New Roman" w:cs="Times New Roman"/>
          <w:color w:val="0d0d0d"/>
          <w:sz w:val="24"/>
          <w:highlight w:val="white"/>
        </w:rPr>
        <w:t xml:space="preserve">Về khu vực phát triển, nguồn cung đang có xu hướng dịch chuyển từ khu vực lõi trung tâm sang các khu vực rìa trung tâm và ngoại thành. Các khu vực phía Tây, phía Đông và một số huyện ngoại thành tiếp tục được hưởng lợi từ quỹ đất lớn, tốc độ đô thị hóa và </w:t>
      </w:r>
      <w:r>
        <w:rPr>
          <w:rFonts w:ascii="Times New Roman" w:hAnsi="Times New Roman" w:eastAsia="Times New Roman" w:cs="Times New Roman"/>
          <w:color w:val="0d0d0d"/>
          <w:sz w:val="24"/>
          <w:highlight w:val="white"/>
        </w:rPr>
        <w:t xml:space="preserve">đầu tư hạ tầng. Cushman &amp; Wakefield nhận định nguồn cung nhà ở trong thời gian tới sẽ tiếp tục dịch chuyển ra ngoài trung tâm, phù hợp với xu hướng phát triển đô thị đa cực của Hà Nội. </w:t>
      </w:r>
      <w:r>
        <w:rPr>
          <w:highlight w:val="white"/>
        </w:rPr>
      </w:r>
    </w:p>
    <w:p>
      <w:pPr>
        <w:pBdr>
          <w:top w:val="none" w:color="000000" w:sz="4" w:space="0"/>
          <w:left w:val="none" w:color="000000" w:sz="4" w:space="0"/>
          <w:bottom w:val="none" w:color="000000" w:sz="4" w:space="0"/>
          <w:right w:val="none" w:color="000000" w:sz="4" w:space="0"/>
        </w:pBdr>
        <w:shd w:val="clear" w:color="ffffff" w:fill="ffffff"/>
        <w:spacing w:line="264" w:lineRule="auto"/>
        <w:ind w:right="0" w:firstLine="360" w:left="0"/>
        <w:jc w:val="both"/>
        <w:rPr>
          <w:highlight w:val="white"/>
        </w:rPr>
      </w:pPr>
      <w:r>
        <w:rPr>
          <w:rFonts w:ascii="Times New Roman" w:hAnsi="Times New Roman" w:eastAsia="Times New Roman" w:cs="Times New Roman"/>
          <w:color w:val="0d0d0d"/>
          <w:sz w:val="24"/>
          <w:highlight w:val="white"/>
        </w:rPr>
        <w:t xml:space="preserve">Đối với nhà liền thổ và đất nền, thị trường cũng đang có xu hướng mở rộng ra vùng ven. Những khu vực như Đông Anh, Gia Lâm, Hoài Đức, Thường Tín, Đan Phượng và một số khu vực phía Tây Hà Nội được chú ý nhờ quỹ đất và sự phát triển của hệ thống giao thông. </w:t>
      </w:r>
      <w:r>
        <w:rPr>
          <w:rFonts w:ascii="Times New Roman" w:hAnsi="Times New Roman" w:eastAsia="Times New Roman" w:cs="Times New Roman"/>
          <w:color w:val="0d0d0d"/>
          <w:sz w:val="24"/>
          <w:highlight w:val="white"/>
        </w:rPr>
        <w:t xml:space="preserve">Tuy nhiên, giá đất tại từng khu vực có sự khác biệt lớn và nhà đầu tư cần đặc biệt quan tâm đến quy hoạch, pháp lý và khả năng hình thành nhu cầu ở thực.</w:t>
      </w:r>
      <w:r>
        <w:rPr>
          <w:highlight w:val="white"/>
        </w:rPr>
      </w:r>
    </w:p>
    <w:p>
      <w:pPr>
        <w:pBdr/>
        <w:tabs>
          <w:tab w:val="left" w:leader="none" w:pos="426"/>
        </w:tabs>
        <w:spacing w:after="120" w:before="120" w:line="276" w:lineRule="auto"/>
        <w:ind/>
        <w:rPr>
          <w:bCs/>
          <w:i/>
          <w:highlight w:val="white"/>
        </w:rPr>
      </w:pPr>
      <w:r>
        <w:rPr>
          <w:rFonts w:ascii="Times New Roman" w:hAnsi="Times New Roman" w:eastAsia="Times New Roman" w:cs="Times New Roman"/>
          <w:color w:val="0d0d0d"/>
          <w:sz w:val="24"/>
          <w:highlight w:val="white"/>
        </w:rPr>
        <w:t xml:space="preserve">Nhìn chung, thị trường bất động sản Hà Nội hiện không còn là thị trường tăng giá đồng loạt. Cơ hội đang tập trung nhiều hơn vào những dự án có vị trí tốt, pháp lý rõ ràng, hạ tầng hoàn thiện và mức giá phù hợp với khả năng tài chính của người mua. Trong tr</w:t>
      </w:r>
      <w:r>
        <w:rPr>
          <w:rFonts w:ascii="Times New Roman" w:hAnsi="Times New Roman" w:eastAsia="Times New Roman" w:cs="Times New Roman"/>
          <w:color w:val="0d0d0d"/>
          <w:sz w:val="24"/>
          <w:highlight w:val="white"/>
        </w:rPr>
        <w:t xml:space="preserve">ung và dài hạn, hạ tầng giao thông, quá trình mở rộng đô thị và sự dịch chuyển dân cư ra các khu vực phía Đông, phía Tây và vùng ven sẽ tiếp tục là những yếu tố quan trọng ảnh hưởng đến giá trị bất động sản</w:t>
      </w:r>
      <w:r>
        <w:rPr>
          <w:i/>
          <w:iCs/>
          <w:highlight w:val="white"/>
          <w:lang w:val="pt-BR"/>
        </w:rPr>
      </w:r>
      <w:r>
        <w:rPr>
          <w:bCs/>
          <w:i/>
          <w:highlight w:val="white"/>
          <w:lang w:val="pt-BR"/>
        </w:rPr>
      </w:r>
    </w:p>
    <w:p>
      <w:pPr>
        <w:pStyle w:val="1027"/>
        <w:pBdr/>
        <w:tabs>
          <w:tab w:val="left" w:leader="none" w:pos="993"/>
        </w:tabs>
        <w:spacing w:after="120" w:before="120" w:line="276" w:lineRule="auto"/>
        <w:ind w:left="0"/>
        <w:jc w:val="both"/>
        <w:rPr>
          <w:b/>
          <w:bCs/>
          <w:highlight w:val="white"/>
        </w:rPr>
      </w:pPr>
      <w:r>
        <w:rPr>
          <w:b/>
          <w:bCs/>
          <w:highlight w:val="white"/>
          <w:lang w:val="pt-BR"/>
        </w:rPr>
        <w:t xml:space="preserve">I</w:t>
      </w:r>
      <w:r>
        <w:rPr>
          <w:b/>
          <w:bCs/>
          <w:highlight w:val="white"/>
          <w:lang w:val="pt-BR"/>
        </w:rPr>
        <w:t xml:space="preserve">V</w:t>
      </w:r>
      <w:r>
        <w:rPr>
          <w:b/>
          <w:bCs/>
          <w:highlight w:val="white"/>
          <w:lang w:val="pt-BR"/>
        </w:rPr>
        <w:t xml:space="preserve">. </w:t>
      </w:r>
      <w:r>
        <w:rPr>
          <w:b/>
          <w:bCs/>
          <w:highlight w:val="white"/>
          <w:lang w:val="pt-BR"/>
        </w:rPr>
        <w:t xml:space="preserve">THÔNG TIN VỀ TÀI SẢN THẨM ĐỊNH GIÁ</w:t>
      </w:r>
      <w:r>
        <w:rPr>
          <w:b/>
          <w:bCs/>
          <w:highlight w:val="white"/>
          <w:lang w:val="pt-BR"/>
        </w:rPr>
      </w:r>
      <w:r>
        <w:rPr>
          <w:b/>
          <w:bCs/>
          <w:highlight w:val="white"/>
          <w:lang w:val="pt-BR"/>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09"/>
        <w:gridCol w:w="2139"/>
        <w:gridCol w:w="2241"/>
        <w:gridCol w:w="2175"/>
        <w:gridCol w:w="2572"/>
      </w:tblGrid>
      <w:tr>
        <w:trPr>
          <w:trHeight w:val="1888"/>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Tên tài sản</w:t>
            </w:r>
            <w:r>
              <w:rPr>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27" w:type="dxa"/>
            <w:vAlign w:val="center"/>
            <w:textDirection w:val="lrTb"/>
            <w:noWrap w:val="false"/>
          </w:tcPr>
          <w:p>
            <w:pPr>
              <w:pBdr/>
              <w:spacing w:after="0" w:before="0" w:line="240" w:lineRule="auto"/>
              <w:ind/>
              <w:jc w:val="both"/>
              <w:rPr>
                <w:highlight w:val="white"/>
              </w:rPr>
            </w:pPr>
            <w:r>
              <w:rPr>
                <w:rFonts w:ascii="Times New Roman" w:hAnsi="Times New Roman" w:eastAsia="Times New Roman" w:cs="Times New Roman"/>
                <w:b/>
                <w:color w:val="000000"/>
                <w:sz w:val="24"/>
                <w:highlight w:val="white"/>
              </w:rPr>
              <w:t xml:space="preserve"> Quyền sử dụng đất tại thửa đất số: 444, tờ bản đồ số: 7, có địa chỉ: Khu Đầu Cầu Dưới, thôn Thái Hòa, xã Phú Bình, huyện Thạch Thất (nay là  xã Tây Phương), thành phố Hà Nội theo Giấy chứng nhận quyền sử dụng đất, quyền sở hữu nhà ở và tài sản khác gắn li</w:t>
            </w:r>
            <w:r>
              <w:rPr>
                <w:rFonts w:ascii="Times New Roman" w:hAnsi="Times New Roman" w:eastAsia="Times New Roman" w:cs="Times New Roman"/>
                <w:b/>
                <w:color w:val="000000"/>
                <w:sz w:val="24"/>
                <w:highlight w:val="white"/>
              </w:rPr>
              <w:t xml:space="preserve">ền với đất số: DM 355265, Số vào sổ cấp GCN: CH 00137 do UBND huyện Thạch Thất cấp ngày 20/03/2024; chủ sử dụng đất là Ông Phan Văn Toàn và Bà Nguyễn Huyền Trang</w:t>
            </w:r>
            <w:r>
              <w:rPr>
                <w:highlight w:val="white"/>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1.</w:t>
            </w:r>
            <w:r>
              <w:rPr>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27"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Nội dung Thửa đất theo Hồ sơ pháp lý</w:t>
            </w:r>
            <w:r>
              <w:rPr>
                <w:highlight w:val="white"/>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1.1</w:t>
            </w:r>
            <w:r>
              <w:rPr>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27"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Thửa đất:</w:t>
            </w:r>
            <w:r>
              <w:rPr>
                <w:highlight w:val="white"/>
              </w:rP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13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Thửa đất số:</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4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444</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175"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Tờ bản đồ số:</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572"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7</w:t>
            </w:r>
            <w:r>
              <w:rPr>
                <w:highlight w:val="white"/>
              </w:rPr>
            </w:r>
          </w:p>
        </w:tc>
      </w:tr>
      <w:tr>
        <w:trPr>
          <w:trHeight w:val="615"/>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13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Địa chỉ:</w:t>
            </w:r>
            <w:r>
              <w:rPr>
                <w:highlight w:val="white"/>
              </w:rP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698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Khu Đầu Cầu Dưới, thôn Thái Hòa, xã Phú Bình, huyện Thạch Thất </w:t>
            </w:r>
            <w:r>
              <w:rPr>
                <w:rFonts w:ascii="Times New Roman" w:hAnsi="Times New Roman" w:eastAsia="Times New Roman" w:cs="Times New Roman"/>
                <w:i/>
                <w:color w:val="000000"/>
                <w:sz w:val="24"/>
                <w:highlight w:val="white"/>
              </w:rPr>
              <w:t xml:space="preserve">(nay là  xã Tây Phương)</w:t>
            </w:r>
            <w:r>
              <w:rPr>
                <w:rFonts w:ascii="Times New Roman" w:hAnsi="Times New Roman" w:eastAsia="Times New Roman" w:cs="Times New Roman"/>
                <w:color w:val="000000"/>
                <w:sz w:val="24"/>
                <w:highlight w:val="white"/>
              </w:rPr>
              <w:t xml:space="preserve">, thành phố Hà Nội</w:t>
            </w:r>
            <w:r>
              <w:rPr>
                <w:highlight w:val="white"/>
              </w:rP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13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Diện tích (m²):</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4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144,00</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175"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Hình thức sử dụng</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57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Sử dụng riêng</w:t>
            </w:r>
            <w:r>
              <w:rPr>
                <w:highlight w:val="white"/>
              </w:rP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13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Mục đích sử dụng:</w:t>
            </w:r>
            <w:r>
              <w:rPr>
                <w:highlight w:val="white"/>
              </w:rPr>
            </w:r>
          </w:p>
        </w:tc>
        <w:tc>
          <w:tcPr>
            <w:shd w:val="clear" w:color="ffffff" w:fill="ffffff"/>
            <w:tcBorders/>
            <w:tcMar>
              <w:left w:w="0" w:type="dxa"/>
              <w:top w:w="0" w:type="dxa"/>
              <w:right w:w="0" w:type="dxa"/>
              <w:bottom w:w="0" w:type="dxa"/>
            </w:tcMar>
            <w:tcW w:w="2241" w:type="dxa"/>
            <w:vAlign w:val="bottom"/>
            <w:textDirection w:val="lrTb"/>
            <w:noWrap/>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Đất ở tại nông thôn</w:t>
            </w:r>
            <w:r>
              <w:rPr>
                <w:highlight w:val="white"/>
              </w:rPr>
            </w:r>
          </w:p>
        </w:tc>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2175"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Thời hạn sử dụng:</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57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Lâu dài</w:t>
            </w:r>
            <w:r>
              <w:rPr>
                <w:highlight w:val="white"/>
              </w:rPr>
            </w:r>
          </w:p>
        </w:tc>
      </w:tr>
      <w:tr>
        <w:trPr>
          <w:trHeight w:val="27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13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Nguồn gốc sử dụng đất:</w:t>
            </w:r>
            <w:r>
              <w:rPr>
                <w:highlight w:val="white"/>
              </w:rP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98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Nhà nước giao đất có thu tiền sử dụng đất</w:t>
            </w:r>
            <w:r>
              <w:rPr>
                <w:highlight w:val="white"/>
              </w:rPr>
            </w:r>
          </w:p>
        </w:tc>
      </w:tr>
      <w:tr>
        <w:trPr>
          <w:trHeight w:val="555"/>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1.2</w:t>
            </w:r>
            <w:r>
              <w:rPr>
                <w:highlight w:val="white"/>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127"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Ghi chú:</w:t>
            </w:r>
            <w:r>
              <w:rPr>
                <w:highlight w:val="white"/>
              </w:rPr>
            </w:r>
          </w:p>
        </w:tc>
      </w:tr>
      <w:tr>
        <w:trPr>
          <w:trHeight w:val="404"/>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w:t>
            </w:r>
            <w:r>
              <w:rPr>
                <w:highlight w:val="white"/>
              </w:rP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127"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Số tờ, số thửa được xác định theo bản đồ đo đạc dự án tổng thể năm 2018.</w:t>
            </w:r>
            <w:r>
              <w:rPr>
                <w:highlight w:val="white"/>
              </w:rPr>
            </w:r>
          </w:p>
        </w:tc>
      </w:tr>
      <w:tr>
        <w:trPr>
          <w:trHeight w:val="78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w:t>
            </w:r>
            <w:r>
              <w:rPr>
                <w:highlight w:val="white"/>
              </w:rP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127"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Thửa đất này được giao theo quyết định số 7987/QĐ-UBND ngày 28/11/2023 của</w:t>
              <w:br/>
              <w:t xml:space="preserve">UBND huyện Thạch Thất.</w:t>
            </w:r>
            <w:r>
              <w:rPr>
                <w:highlight w:val="white"/>
              </w:rPr>
            </w:r>
          </w:p>
        </w:tc>
      </w:tr>
      <w:tr>
        <w:trPr>
          <w:trHeight w:val="36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1.3.</w:t>
            </w:r>
            <w:r>
              <w:rPr>
                <w:highlight w:val="white"/>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127"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Thông tin quy hoạch:</w:t>
            </w:r>
            <w:r>
              <w:rPr>
                <w:highlight w:val="white"/>
              </w:rPr>
            </w:r>
          </w:p>
        </w:tc>
      </w:tr>
      <w:tr>
        <w:trPr>
          <w:trHeight w:val="60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w:t>
            </w:r>
            <w:r>
              <w:rPr>
                <w:highlight w:val="white"/>
              </w:rP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127" w:type="dxa"/>
            <w:vAlign w:val="center"/>
            <w:textDirection w:val="lrTb"/>
            <w:noWrap w:val="false"/>
          </w:tcPr>
          <w:p>
            <w:pPr>
              <w:pBdr/>
              <w:spacing w:after="0" w:before="0" w:line="240" w:lineRule="auto"/>
              <w:ind/>
              <w:jc w:val="both"/>
              <w:rPr>
                <w:rFonts w:ascii="Times New Roman" w:hAnsi="Times New Roman" w:cs="Times New Roman"/>
                <w:highlight w:val="white"/>
              </w:rPr>
            </w:pPr>
            <w:r>
              <w:rPr>
                <w:rFonts w:ascii="Times New Roman" w:hAnsi="Times New Roman" w:eastAsia="Times New Roman" w:cs="Times New Roman"/>
                <w:color w:val="000000"/>
                <w:sz w:val="24"/>
                <w:highlight w:val="white"/>
              </w:rPr>
            </w:r>
            <w:r>
              <w:rPr>
                <w:rFonts w:ascii="Times New Roman" w:hAnsi="Times New Roman" w:eastAsia="Times New Roman" w:cs="Times New Roman"/>
                <w:color w:val="ee0000"/>
                <w:sz w:val="24"/>
                <w:highlight w:val="white"/>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ee0000"/>
                <w:sz w:val="24"/>
                <w:highlight w:val="white"/>
              </w:rPr>
              <w:t xml:space="preserve">định vị trí tài sản thuộc quy hoạch đất ở</w:t>
            </w:r>
            <w:r>
              <w:rPr>
                <w:rFonts w:ascii="Times New Roman" w:hAnsi="Times New Roman" w:eastAsia="Times New Roman" w:cs="Times New Roman"/>
                <w:highlight w:val="white"/>
              </w:rPr>
            </w:r>
            <w:r>
              <w:rPr>
                <w:rFonts w:ascii="Times New Roman" w:hAnsi="Times New Roman" w:cs="Times New Roman"/>
                <w:highlight w:val="white"/>
              </w:rPr>
            </w:r>
          </w:p>
        </w:tc>
      </w:tr>
      <w:tr>
        <w:trPr>
          <w:trHeight w:val="60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b/>
                <w:color w:val="000000"/>
                <w:sz w:val="24"/>
                <w:highlight w:val="white"/>
              </w:rPr>
            </w:pPr>
            <w:r>
              <w:rPr>
                <w:rFonts w:ascii="Times New Roman" w:hAnsi="Times New Roman" w:eastAsia="Times New Roman" w:cs="Times New Roman"/>
                <w:b/>
                <w:color w:val="000000"/>
                <w:sz w:val="24"/>
                <w:highlight w:val="white"/>
              </w:rPr>
            </w:r>
            <w:r>
              <w:rPr>
                <w:rFonts w:ascii="Times New Roman" w:hAnsi="Times New Roman" w:eastAsia="Times New Roman" w:cs="Times New Roman"/>
                <w:b/>
                <w:color w:val="000000"/>
                <w:sz w:val="24"/>
                <w:highlight w:val="white"/>
              </w:rPr>
            </w:r>
            <w:r>
              <w:rPr>
                <w:rFonts w:ascii="Times New Roman" w:hAnsi="Times New Roman" w:eastAsia="Times New Roman" w:cs="Times New Roman"/>
                <w:b/>
                <w:color w:val="000000"/>
                <w:sz w:val="24"/>
                <w:highlight w:val="white"/>
              </w:rP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127" w:type="dxa"/>
            <w:vAlign w:val="center"/>
            <w:vMerge w:val="restart"/>
            <w:textDirection w:val="lrTb"/>
            <w:noWrap w:val="false"/>
          </w:tcPr>
          <w:p>
            <w:pPr>
              <w:pBdr/>
              <w:spacing w:after="0" w:before="0" w:line="240" w:lineRule="auto"/>
              <w:ind/>
              <w:jc w:val="both"/>
              <w:rPr>
                <w:rFonts w:ascii="Times New Roman" w:hAnsi="Times New Roman" w:eastAsia="Times New Roman" w:cs="Times New Roman"/>
                <w:color w:val="000000"/>
                <w:sz w:val="24"/>
                <w:highlight w:val="white"/>
              </w:rPr>
            </w:pPr>
            <w:r>
              <w:rPr>
                <w:rFonts w:ascii="Times New Roman" w:hAnsi="Times New Roman" w:eastAsia="Times New Roman" w:cs="Times New Roman"/>
                <w:color w:val="000000"/>
                <w:sz w:val="24"/>
                <w:highlight w:val="white"/>
              </w:rPr>
            </w:r>
            <w:r>
              <w:rPr>
                <w:highlight w:val="white"/>
              </w:rPr>
              <mc:AlternateContent>
                <mc:Choice Requires="wpg">
                  <w:drawing>
                    <wp:inline xmlns:wp="http://schemas.openxmlformats.org/drawingml/2006/wordprocessingDrawing" distT="0" distB="0" distL="0" distR="0">
                      <wp:extent cx="6048375" cy="3173763"/>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849185" name=""/>
                              <pic:cNvPicPr>
                                <a:picLocks noChangeAspect="1"/>
                              </pic:cNvPicPr>
                              <pic:nvPr/>
                            </pic:nvPicPr>
                            <pic:blipFill rotWithShape="1">
                              <a:blip r:embed="rId17"/>
                              <a:stretch/>
                            </pic:blipFill>
                            <pic:spPr bwMode="auto">
                              <a:xfrm>
                                <a:off x="0" y="0"/>
                                <a:ext cx="6048374" cy="317376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76.25pt;height:249.90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color w:val="000000"/>
                <w:sz w:val="24"/>
                <w:highlight w:val="white"/>
              </w:rPr>
            </w:r>
            <w:r>
              <w:rPr>
                <w:rFonts w:ascii="Times New Roman" w:hAnsi="Times New Roman" w:eastAsia="Times New Roman" w:cs="Times New Roman"/>
                <w:color w:val="000000"/>
                <w:sz w:val="24"/>
                <w:highlight w:val="white"/>
              </w:rPr>
            </w:r>
          </w:p>
        </w:tc>
      </w:tr>
      <w:tr>
        <w:trPr>
          <w:trHeight w:val="63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2.</w:t>
            </w:r>
            <w:r>
              <w:rPr>
                <w:highlight w:val="white"/>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127"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Về đất:</w:t>
            </w:r>
            <w:r>
              <w:rPr>
                <w:highlight w:val="white"/>
              </w:rP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2.1</w:t>
            </w:r>
            <w:r>
              <w:rPr>
                <w:highlight w:val="white"/>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127"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Vị trí; Giao thông;</w:t>
            </w:r>
            <w:r>
              <w:rPr>
                <w:highlight w:val="white"/>
              </w:rPr>
            </w:r>
          </w:p>
        </w:tc>
      </w:tr>
      <w:tr>
        <w:trPr>
          <w:trHeight w:val="648"/>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13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Địa chỉ thực tế: </w:t>
            </w:r>
            <w:r>
              <w:rPr>
                <w:highlight w:val="white"/>
              </w:rP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698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Khu Đầu Cầu Dưới, thôn Thái Hòa,  xã Tây Phương, thành phố Hà Nội</w:t>
            </w:r>
            <w:r>
              <w:rPr>
                <w:highlight w:val="white"/>
              </w:rP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p>
        </w:tc>
        <w:tc>
          <w:tcPr>
            <w:shd w:val="clear" w:color="ffffff" w:fill="ffffff"/>
            <w:tcBorders>
              <w:right w:val="single" w:color="000000" w:sz="6" w:space="0"/>
            </w:tcBorders>
            <w:tcMar>
              <w:left w:w="0" w:type="dxa"/>
              <w:top w:w="0" w:type="dxa"/>
              <w:right w:w="0" w:type="dxa"/>
              <w:bottom w:w="0" w:type="dxa"/>
            </w:tcMar>
            <w:tcW w:w="213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Đường tiếp giáp chính:</w:t>
            </w:r>
            <w:r>
              <w:rPr>
                <w:highlight w:val="white"/>
              </w:rPr>
            </w:r>
          </w:p>
        </w:tc>
        <w:tc>
          <w:tcPr>
            <w:shd w:val="clear" w:color="ffffff" w:fill="ffffff"/>
            <w:tcBorders>
              <w:right w:val="single" w:color="000000" w:sz="6" w:space="0"/>
            </w:tcBorders>
            <w:tcMar>
              <w:left w:w="0" w:type="dxa"/>
              <w:top w:w="0" w:type="dxa"/>
              <w:right w:w="0" w:type="dxa"/>
              <w:bottom w:w="0" w:type="dxa"/>
            </w:tcMar>
            <w:tcW w:w="2241"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Đường nội xóm</w:t>
            </w:r>
            <w:r>
              <w:rPr>
                <w:highlight w:val="white"/>
              </w:rPr>
            </w:r>
          </w:p>
        </w:tc>
        <w:tc>
          <w:tcPr>
            <w:shd w:val="clear" w:color="ffffff" w:fill="ffffff"/>
            <w:tcBorders>
              <w:right w:val="single" w:color="000000" w:sz="6" w:space="0"/>
            </w:tcBorders>
            <w:tcMar>
              <w:left w:w="0" w:type="dxa"/>
              <w:top w:w="0" w:type="dxa"/>
              <w:right w:w="0" w:type="dxa"/>
              <w:bottom w:w="0" w:type="dxa"/>
            </w:tcMar>
            <w:tcW w:w="2175"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Số mặt tiền:</w:t>
            </w:r>
            <w:r>
              <w:rPr>
                <w:highlight w:val="white"/>
              </w:rPr>
            </w:r>
          </w:p>
        </w:tc>
        <w:tc>
          <w:tcPr>
            <w:shd w:val="clear" w:color="ffffff" w:fill="ffffff"/>
            <w:tcBorders>
              <w:right w:val="single" w:color="000000" w:sz="6" w:space="0"/>
            </w:tcBorders>
            <w:tcMar>
              <w:left w:w="0" w:type="dxa"/>
              <w:top w:w="0" w:type="dxa"/>
              <w:right w:w="0" w:type="dxa"/>
              <w:bottom w:w="0" w:type="dxa"/>
            </w:tcMar>
            <w:tcW w:w="2572"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1 mặt tiền</w:t>
            </w:r>
            <w:r>
              <w:rPr>
                <w:highlight w:val="white"/>
              </w:rPr>
            </w:r>
          </w:p>
        </w:tc>
      </w:tr>
      <w:tr>
        <w:trPr>
          <w:trHeight w:val="1470"/>
        </w:trPr>
        <w:tc>
          <w:tcPr>
            <w:shd w:val="clear" w:color="ffffff" w:fill="ffffff"/>
            <w:tcBorders>
              <w:left w:val="single" w:color="000000" w:sz="6" w:space="0"/>
              <w:bottom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139" w:type="dxa"/>
            <w:vAlign w:val="center"/>
            <w:textDirection w:val="lrTb"/>
            <w:noWrap w:val="false"/>
          </w:tcPr>
          <w:p>
            <w:pPr>
              <w:pBdr/>
              <w:spacing w:after="0" w:before="0" w:line="240" w:lineRule="auto"/>
              <w:ind/>
              <w:jc w:val="both"/>
              <w:rPr>
                <w:highlight w:val="white"/>
              </w:rPr>
            </w:pPr>
            <w:r>
              <w:rPr>
                <w:rFonts w:ascii="Times New Roman" w:hAnsi="Times New Roman" w:eastAsia="Times New Roman" w:cs="Times New Roman"/>
                <w:color w:val="000000"/>
                <w:sz w:val="24"/>
                <w:highlight w:val="white"/>
              </w:rPr>
              <w:t xml:space="preserve">Mặt cắt đường/ngõ nhỏ nhất từ đường chính dẫn đến tài sản thẩm định giá:</w:t>
            </w:r>
            <w:r>
              <w:rPr>
                <w:highlight w:val="white"/>
              </w:rP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24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7m</w:t>
            </w:r>
            <w:r>
              <w:rPr>
                <w:highlight w:val="white"/>
              </w:rP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175" w:type="dxa"/>
            <w:vAlign w:val="center"/>
            <w:textDirection w:val="lrTb"/>
            <w:noWrap w:val="false"/>
          </w:tcPr>
          <w:p>
            <w:pPr>
              <w:pBdr/>
              <w:spacing w:after="0" w:before="0" w:line="240" w:lineRule="auto"/>
              <w:ind/>
              <w:jc w:val="both"/>
              <w:rPr>
                <w:highlight w:val="white"/>
              </w:rPr>
            </w:pPr>
            <w:r>
              <w:rPr>
                <w:rFonts w:ascii="Times New Roman" w:hAnsi="Times New Roman" w:eastAsia="Times New Roman" w:cs="Times New Roman"/>
                <w:color w:val="000000"/>
                <w:sz w:val="24"/>
                <w:highlight w:val="white"/>
              </w:rPr>
              <w:t xml:space="preserve">Mặt cắt đường/ngõ trước mặt tài sản thẩm định giá:</w:t>
            </w:r>
            <w:r>
              <w:rPr>
                <w:highlight w:val="white"/>
              </w:rP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572"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7m</w:t>
            </w:r>
            <w:r>
              <w:rPr>
                <w:highlight w:val="white"/>
              </w:rPr>
            </w:r>
          </w:p>
        </w:tc>
      </w:tr>
      <w:tr>
        <w:trPr>
          <w:trHeight w:val="785"/>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p>
        </w:tc>
        <w:tc>
          <w:tcPr>
            <w:shd w:val="clear" w:color="ffffff" w:fill="ffffff"/>
            <w:tcBorders>
              <w:right w:val="single" w:color="000000" w:sz="6" w:space="0"/>
            </w:tcBorders>
            <w:tcMar>
              <w:left w:w="0" w:type="dxa"/>
              <w:top w:w="0" w:type="dxa"/>
              <w:right w:w="0" w:type="dxa"/>
              <w:bottom w:w="0" w:type="dxa"/>
            </w:tcMar>
            <w:tcW w:w="213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Khoảng cách đến trục đường chính:</w:t>
            </w:r>
            <w:r>
              <w:rPr>
                <w:highlight w:val="white"/>
              </w:rP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698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Cách đường Cống Cầu Tiên khoảng 120m</w:t>
            </w:r>
            <w:r>
              <w:rPr>
                <w:highlight w:val="white"/>
              </w:rPr>
            </w:r>
          </w:p>
        </w:tc>
      </w:tr>
      <w:tr>
        <w:trPr>
          <w:trHeight w:val="83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13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Các hướng tiếp giáp:</w:t>
            </w:r>
            <w:r>
              <w:rPr>
                <w:highlight w:val="white"/>
              </w:rP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698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Hướng Đông Bắc: Tiếp giáp đường giao thông;</w:t>
              <w:br/>
              <w:t xml:space="preserve">Các hướng còn lại tiếp giáp với thửa đất khác</w:t>
            </w:r>
            <w:r>
              <w:rPr>
                <w:highlight w:val="white"/>
              </w:rP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127"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Vị trí trên bản đồ vệ tinh: </w:t>
            </w:r>
            <w:r>
              <w:rPr>
                <w:highlight w:val="white"/>
              </w:rP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127"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 </w:t>
            </w:r>
            <w:r>
              <w:rPr>
                <w:highlight w:val="white"/>
              </w:rPr>
              <mc:AlternateContent>
                <mc:Choice Requires="wpg">
                  <w:drawing>
                    <wp:inline xmlns:wp="http://schemas.openxmlformats.org/drawingml/2006/wordprocessingDrawing" distT="0" distB="0" distL="0" distR="0">
                      <wp:extent cx="6048375" cy="2862851"/>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161638" name=""/>
                              <pic:cNvPicPr>
                                <a:picLocks noChangeAspect="1"/>
                              </pic:cNvPicPr>
                              <pic:nvPr/>
                            </pic:nvPicPr>
                            <pic:blipFill rotWithShape="1">
                              <a:blip r:embed="rId18"/>
                              <a:stretch/>
                            </pic:blipFill>
                            <pic:spPr bwMode="auto">
                              <a:xfrm>
                                <a:off x="0" y="0"/>
                                <a:ext cx="6048374" cy="28628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76.25pt;height:225.42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color w:val="000000"/>
                <w:sz w:val="24"/>
                <w:highlight w:val="white"/>
              </w:rPr>
            </w:r>
            <w:r>
              <w:rPr>
                <w:highlight w:val="white"/>
              </w:rPr>
            </w:r>
          </w:p>
        </w:tc>
      </w:tr>
      <w:tr>
        <w:trPr>
          <w:trHeight w:val="45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2.2.</w:t>
            </w:r>
            <w:r>
              <w:rPr>
                <w:highlight w:val="white"/>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127"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Diện tích; Kích thước; Hình dáng</w:t>
            </w:r>
            <w:r>
              <w:rPr>
                <w:highlight w:val="white"/>
              </w:rPr>
            </w:r>
          </w:p>
        </w:tc>
      </w:tr>
      <w:tr>
        <w:trPr>
          <w:trHeight w:val="73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13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Diện tích sử dụng riêng thực tế (m²):</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4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144,00</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175"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Diện tích sử dụng chung thực tế (m²):</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572"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0,00</w:t>
            </w:r>
            <w:r>
              <w:rPr>
                <w:highlight w:val="white"/>
              </w:rPr>
            </w:r>
          </w:p>
        </w:tc>
      </w:tr>
      <w:tr>
        <w:trPr>
          <w:trHeight w:val="9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13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KT mặt tiền (m):</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4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8,00</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175"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Chiều sâu (m): </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572"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18,00</w:t>
            </w:r>
            <w:r>
              <w:rPr>
                <w:highlight w:val="white"/>
              </w:rPr>
            </w:r>
          </w:p>
        </w:tc>
      </w:tr>
      <w:tr>
        <w:trPr>
          <w:trHeight w:val="615"/>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13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Hình dáng</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4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Hình chữ nhật</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175"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Hướng chính</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572"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Đông Bắc</w:t>
            </w:r>
            <w:r>
              <w:rPr>
                <w:highlight w:val="white"/>
              </w:rPr>
            </w:r>
          </w:p>
        </w:tc>
      </w:tr>
      <w:tr>
        <w:trPr>
          <w:trHeight w:val="6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2.3.</w:t>
            </w:r>
            <w:r>
              <w:rPr>
                <w:highlight w:val="white"/>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127"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Điều kiện kinh doanh; Hạ tầng nội bộ; Hạ tầng xung quanh</w:t>
            </w:r>
            <w:r>
              <w:rPr>
                <w:highlight w:val="white"/>
              </w:rPr>
            </w:r>
          </w:p>
        </w:tc>
      </w:tr>
      <w:tr>
        <w:trPr>
          <w:trHeight w:val="498"/>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13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Mật độ dân cư:</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4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Đông đúc</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175"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Đời sống dân cư:</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572"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Ổn định</w:t>
            </w:r>
            <w:r>
              <w:rPr>
                <w:highlight w:val="white"/>
              </w:rPr>
            </w:r>
          </w:p>
        </w:tc>
      </w:tr>
      <w:tr>
        <w:trPr>
          <w:trHeight w:val="90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13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Lợi thế kinh doanh:</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41" w:type="dxa"/>
            <w:vAlign w:val="center"/>
            <w:textDirection w:val="lrTb"/>
            <w:noWrap w:val="false"/>
          </w:tcPr>
          <w:p>
            <w:pPr>
              <w:pBdr/>
              <w:spacing w:after="0" w:before="0" w:line="240" w:lineRule="auto"/>
              <w:ind/>
              <w:jc w:val="center"/>
              <w:rPr>
                <w:color w:val="ff0000"/>
                <w:highlight w:val="white"/>
              </w:rPr>
            </w:pPr>
            <w:r>
              <w:rPr>
                <w:rFonts w:ascii="Times New Roman" w:hAnsi="Times New Roman" w:eastAsia="Times New Roman" w:cs="Times New Roman"/>
                <w:color w:val="000000"/>
                <w:sz w:val="24"/>
                <w:highlight w:val="white"/>
              </w:rPr>
              <w:t xml:space="preserve">Phù hợp để ở/</w:t>
            </w:r>
            <w:r>
              <w:rPr>
                <w:rFonts w:ascii="Times New Roman" w:hAnsi="Times New Roman" w:eastAsia="Times New Roman" w:cs="Times New Roman"/>
                <w:color w:val="ff0000"/>
                <w:sz w:val="24"/>
                <w:highlight w:val="white"/>
              </w:rPr>
              <w:t xml:space="preserve">Kinh doanh</w:t>
            </w:r>
            <w:r>
              <w:rPr>
                <w:color w:val="ff0000"/>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175"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Khả năng chuyển nhượng:</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572"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Tốt </w:t>
            </w:r>
            <w:r>
              <w:rPr>
                <w:highlight w:val="white"/>
              </w:rPr>
            </w:r>
          </w:p>
        </w:tc>
      </w:tr>
      <w:tr>
        <w:trPr>
          <w:trHeight w:val="1467"/>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13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Điều kiện cơ sở hạ tầng kỹ thuật:</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41" w:type="dxa"/>
            <w:vAlign w:val="center"/>
            <w:textDirection w:val="lrTb"/>
            <w:noWrap w:val="false"/>
          </w:tcPr>
          <w:p>
            <w:pPr>
              <w:pBdr/>
              <w:spacing w:after="0" w:before="0" w:line="240" w:lineRule="auto"/>
              <w:ind/>
              <w:jc w:val="both"/>
              <w:rPr>
                <w:highlight w:val="white"/>
              </w:rPr>
            </w:pPr>
            <w:r>
              <w:rPr>
                <w:rFonts w:ascii="Times New Roman" w:hAnsi="Times New Roman" w:eastAsia="Times New Roman" w:cs="Times New Roman"/>
                <w:color w:val="000000"/>
                <w:sz w:val="24"/>
                <w:highlight w:val="white"/>
              </w:rPr>
              <w:t xml:space="preserve">Hạ tầng dân cư thông thường: hệ thống cấp điện, cấp thoát nước đầy đủ</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175"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Điều kiện môi trường an ninh:</w:t>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572"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Tốt </w:t>
            </w:r>
            <w:r>
              <w:rPr>
                <w:highlight w:val="white"/>
              </w:rPr>
            </w:r>
          </w:p>
        </w:tc>
      </w:tr>
      <w:tr>
        <w:trPr>
          <w:trHeight w:val="315"/>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3.</w:t>
            </w:r>
            <w:r>
              <w:rPr>
                <w:highlight w:val="white"/>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127"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 Tài sản gắn liền với đất: </w:t>
            </w:r>
            <w:r>
              <w:rPr>
                <w:highlight w:val="white"/>
              </w:rPr>
            </w:r>
            <w:r>
              <w:rPr>
                <w:rFonts w:ascii="Times New Roman" w:hAnsi="Times New Roman" w:eastAsia="Times New Roman" w:cs="Times New Roman"/>
                <w:b/>
                <w:color w:val="000000"/>
                <w:sz w:val="24"/>
                <w:highlight w:val="white"/>
              </w:rPr>
            </w:r>
            <w:r>
              <w:rPr>
                <w:highlight w:val="white"/>
              </w:rPr>
            </w:r>
          </w:p>
        </w:tc>
      </w:tr>
      <w:tr>
        <w:trPr>
          <w:trHeight w:val="315"/>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09"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b/>
                <w:color w:val="000000"/>
                <w:sz w:val="24"/>
                <w:highlight w:val="white"/>
              </w:rPr>
            </w:pPr>
            <w:r>
              <w:rPr>
                <w:rFonts w:ascii="Times New Roman" w:hAnsi="Times New Roman" w:eastAsia="Times New Roman" w:cs="Times New Roman"/>
                <w:b/>
                <w:color w:val="000000"/>
                <w:sz w:val="24"/>
                <w:highlight w:val="white"/>
              </w:rPr>
            </w:r>
            <w:r>
              <w:rPr>
                <w:rFonts w:ascii="Times New Roman" w:hAnsi="Times New Roman" w:eastAsia="Times New Roman" w:cs="Times New Roman"/>
                <w:b/>
                <w:color w:val="000000"/>
                <w:sz w:val="24"/>
                <w:highlight w:val="white"/>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127" w:type="dxa"/>
            <w:vAlign w:val="center"/>
            <w:vMerge w:val="restart"/>
            <w:textDirection w:val="lrTb"/>
            <w:noWrap w:val="false"/>
          </w:tcPr>
          <w:p>
            <w:pPr>
              <w:pBdr/>
              <w:spacing w:after="0" w:before="0" w:line="240" w:lineRule="auto"/>
              <w:ind/>
              <w:rPr>
                <w:rFonts w:ascii="Times New Roman" w:hAnsi="Times New Roman" w:eastAsia="Times New Roman" w:cs="Times New Roman"/>
                <w:b w:val="0"/>
                <w:bCs w:val="0"/>
                <w:color w:val="000000"/>
                <w:sz w:val="24"/>
                <w:highlight w:val="white"/>
              </w:rPr>
            </w:pPr>
            <w:r>
              <w:rPr>
                <w:rFonts w:ascii="Times New Roman" w:hAnsi="Times New Roman" w:eastAsia="Times New Roman" w:cs="Times New Roman"/>
                <w:b w:val="0"/>
                <w:bCs w:val="0"/>
                <w:color w:val="000000"/>
                <w:sz w:val="24"/>
                <w:highlight w:val="white"/>
              </w:rPr>
              <w:t xml:space="preserve">Tại thời điểm khảo sát, dưới sự hướng dẫn của chủ tài sản, trên đất có CTXD: tường gạch bao quanh, nền đổ bê tông. Công trình chưa được công nhận trên GCN QSDĐ.</w:t>
            </w:r>
            <w:r>
              <w:rPr>
                <w:rFonts w:ascii="Times New Roman" w:hAnsi="Times New Roman" w:eastAsia="Times New Roman" w:cs="Times New Roman"/>
                <w:b w:val="0"/>
                <w:bCs w:val="0"/>
                <w:color w:val="000000"/>
                <w:sz w:val="24"/>
                <w:highlight w:val="white"/>
              </w:rPr>
            </w:r>
          </w:p>
        </w:tc>
      </w:tr>
    </w:tbl>
    <w:p>
      <w:pPr>
        <w:pBdr/>
        <w:spacing w:line="235" w:lineRule="auto"/>
        <w:ind w:left="284"/>
        <w:jc w:val="both"/>
        <w:rPr>
          <w:b/>
          <w:bCs/>
          <w:highlight w:val="white"/>
          <w:u w:val="single"/>
        </w:rPr>
      </w:pPr>
      <w:r>
        <w:rPr>
          <w:b/>
          <w:bCs/>
          <w:highlight w:val="white"/>
          <w:u w:val="single"/>
        </w:rPr>
        <w:t xml:space="preserve">Các</w:t>
      </w:r>
      <w:r>
        <w:rPr>
          <w:b/>
          <w:bCs/>
          <w:highlight w:val="white"/>
          <w:u w:val="single"/>
        </w:rPr>
        <w:t xml:space="preserve"> lợi thế thương mại </w:t>
      </w:r>
      <w:r>
        <w:rPr>
          <w:b/>
          <w:bCs/>
          <w:highlight w:val="white"/>
          <w:u w:val="single"/>
        </w:rPr>
        <w:t xml:space="preserve">của thửa đất:</w:t>
      </w:r>
      <w:r>
        <w:rPr>
          <w:b/>
          <w:bCs/>
          <w:highlight w:val="white"/>
          <w:u w:val="single"/>
        </w:rPr>
      </w:r>
      <w:r>
        <w:rPr>
          <w:b/>
          <w:bCs/>
          <w:highlight w:val="white"/>
          <w:u w:val="single"/>
        </w:rPr>
      </w:r>
    </w:p>
    <w:p>
      <w:pPr>
        <w:pBdr/>
        <w:spacing w:line="235" w:lineRule="auto"/>
        <w:ind w:left="284"/>
        <w:jc w:val="both"/>
        <w:rPr>
          <w:b/>
          <w:bCs/>
          <w:highlight w:val="white"/>
          <w:u w:val="single"/>
        </w:rPr>
      </w:pPr>
      <w:r>
        <w:rPr>
          <w:b/>
          <w:bCs/>
          <w:highlight w:val="white"/>
          <w:u w:val="single"/>
        </w:rPr>
      </w:r>
      <w:r>
        <w:rPr>
          <w:b/>
          <w:bCs/>
          <w:highlight w:val="white"/>
          <w:u w:val="single"/>
        </w:rPr>
      </w:r>
      <w:r>
        <w:rPr>
          <w:b/>
          <w:bCs/>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STT</w:t>
            </w:r>
            <w:r>
              <w:rPr>
                <w:b/>
                <w:bCs/>
                <w:highlight w:val="white"/>
                <w:lang w:eastAsia="ko-KR"/>
              </w:rPr>
            </w:r>
            <w:r>
              <w:rPr>
                <w:b/>
                <w:bCs/>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Nội dung</w:t>
            </w:r>
            <w:r>
              <w:rPr>
                <w:b/>
                <w:bCs/>
                <w:highlight w:val="white"/>
                <w:lang w:eastAsia="ko-KR"/>
              </w:rPr>
            </w:r>
            <w:r>
              <w:rPr>
                <w:b/>
                <w:bCs/>
                <w:highlight w:val="white"/>
                <w:lang w:eastAsia="ko-KR"/>
              </w:rPr>
            </w:r>
          </w:p>
        </w:tc>
        <w:tc>
          <w:tcPr>
            <w:tcBorders/>
            <w:tcW w:w="819" w:type="pct"/>
            <w:vAlign w:val="center"/>
            <w:textDirection w:val="lrTb"/>
            <w:noWrap w:val="false"/>
          </w:tcPr>
          <w:p>
            <w:pPr>
              <w:widowControl w:val="false"/>
              <w:pBdr/>
              <w:spacing w:line="235" w:lineRule="auto"/>
              <w:ind/>
              <w:jc w:val="center"/>
              <w:rPr>
                <w:b/>
                <w:bCs/>
                <w:highlight w:val="white"/>
              </w:rPr>
            </w:pPr>
            <w:r>
              <w:rPr>
                <w:b/>
                <w:bCs/>
                <w:highlight w:val="white"/>
                <w:lang w:eastAsia="ko-KR"/>
              </w:rPr>
            </w:r>
            <w:r>
              <w:rPr>
                <w:b/>
                <w:bCs/>
                <w:highlight w:val="white"/>
                <w:lang w:eastAsia="ko-KR"/>
              </w:rPr>
            </w:r>
            <w:r>
              <w:rPr>
                <w:b/>
                <w:bCs/>
                <w:highlight w:val="white"/>
                <w:lang w:eastAsia="ko-KR"/>
              </w:rPr>
            </w:r>
          </w:p>
        </w:tc>
        <w:tc>
          <w:tcPr>
            <w:tcBorders/>
            <w:tcW w:w="1874"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Ghi chú</w:t>
            </w:r>
            <w:r>
              <w:rPr>
                <w:b/>
                <w:bCs/>
                <w:highlight w:val="white"/>
                <w:lang w:eastAsia="ko-KR"/>
              </w:rPr>
            </w:r>
            <w:r>
              <w:rPr>
                <w:b/>
                <w:bCs/>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Đất/Tài sản bám biển</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bám hồ (Diện tích &gt;=5ha thì được coi là hồ)</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3</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Bám đầm, ao lớn thuộc sở hữu nhà nước (ao lớn - S=0.5ha)&lt;5ha</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4</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Thế đất tọa sơn hướng thủy 'hậu tựa núi, trước view sông, hồ, đầm', view thoáng, không bị che khuất, loại đất rất được ưa chuộng nghỉ dưỡng, nhà nghỉ cao cấp</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5</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View hồ sông, sông, suối, đầm, ao lớn (S=0.5ha), ruộng lúa, đồi núi xa, ngắm hoàng hôn, bình minh xa soi mặt nước, thơ mộng</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6</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Đường vào thoáng không đâm thẳng cửa chính 'Thế tránh tiễn khí'</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7</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Có yếu tố 'Linh' gắn với tiếng lành, tài lộc, đại danh, văn hóa, truyền thuyết được xem là khu địa linh nhân kiệt</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8</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Đất/tài sản liền kề, đối diện vườn hoa, khu thể thao, bể bơi (không đối diện nhà ở) để được xe hơi</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9</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view công viên, vườn hoa, khu thể thao, bể bơi</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bl>
    <w:p>
      <w:pPr>
        <w:pBdr/>
        <w:spacing w:line="235" w:lineRule="auto"/>
        <w:ind w:left="646"/>
        <w:jc w:val="both"/>
        <w:rPr>
          <w:highlight w:val="white"/>
          <w:u w:val="single"/>
        </w:rPr>
      </w:pPr>
      <w:r>
        <w:rPr>
          <w:highlight w:val="white"/>
          <w:u w:val="single"/>
        </w:rPr>
      </w:r>
      <w:r>
        <w:rPr>
          <w:highlight w:val="white"/>
          <w:u w:val="single"/>
        </w:rPr>
      </w:r>
      <w:r>
        <w:rPr>
          <w:highlight w:val="white"/>
          <w:u w:val="single"/>
        </w:rPr>
      </w:r>
    </w:p>
    <w:p>
      <w:pPr>
        <w:pBdr/>
        <w:spacing w:line="235" w:lineRule="auto"/>
        <w:ind w:left="284"/>
        <w:jc w:val="both"/>
        <w:rPr>
          <w:b/>
          <w:bCs/>
          <w:highlight w:val="white"/>
          <w:u w:val="single"/>
        </w:rPr>
      </w:pPr>
      <w:r>
        <w:rPr>
          <w:b/>
          <w:bCs/>
          <w:highlight w:val="white"/>
          <w:u w:val="single"/>
        </w:rPr>
        <w:t xml:space="preserve">Các </w:t>
      </w:r>
      <w:r>
        <w:rPr>
          <w:b/>
          <w:bCs/>
          <w:highlight w:val="white"/>
          <w:u w:val="single"/>
        </w:rPr>
        <w:t xml:space="preserve">bất lợi thương mại </w:t>
      </w:r>
      <w:r>
        <w:rPr>
          <w:b/>
          <w:bCs/>
          <w:highlight w:val="white"/>
          <w:u w:val="single"/>
        </w:rPr>
        <w:t xml:space="preserve">của thửa đất:</w:t>
      </w:r>
      <w:r>
        <w:rPr>
          <w:b/>
          <w:bCs/>
          <w:highlight w:val="white"/>
          <w:u w:val="single"/>
        </w:rPr>
      </w:r>
      <w:r>
        <w:rPr>
          <w:b/>
          <w:bCs/>
          <w:highlight w:val="white"/>
          <w:u w:val="single"/>
        </w:rPr>
      </w:r>
    </w:p>
    <w:p>
      <w:pPr>
        <w:pBdr/>
        <w:spacing w:line="235" w:lineRule="auto"/>
        <w:ind w:left="284"/>
        <w:jc w:val="both"/>
        <w:rPr>
          <w:b/>
          <w:bCs/>
          <w:highlight w:val="white"/>
          <w:u w:val="single"/>
        </w:rPr>
      </w:pPr>
      <w:r>
        <w:rPr>
          <w:b/>
          <w:bCs/>
          <w:highlight w:val="white"/>
          <w:u w:val="single"/>
        </w:rPr>
      </w:r>
      <w:r>
        <w:rPr>
          <w:b/>
          <w:bCs/>
          <w:highlight w:val="white"/>
          <w:u w:val="single"/>
        </w:rPr>
      </w:r>
      <w:r>
        <w:rPr>
          <w:b/>
          <w:bCs/>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STT</w:t>
            </w:r>
            <w:r>
              <w:rPr>
                <w:b/>
                <w:bCs/>
                <w:highlight w:val="white"/>
                <w:lang w:eastAsia="ko-KR"/>
              </w:rPr>
            </w:r>
            <w:r>
              <w:rPr>
                <w:b/>
                <w:bCs/>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Nội dung</w:t>
            </w:r>
            <w:r>
              <w:rPr>
                <w:b/>
                <w:bCs/>
                <w:highlight w:val="white"/>
                <w:lang w:eastAsia="ko-KR"/>
              </w:rPr>
            </w:r>
            <w:r>
              <w:rPr>
                <w:b/>
                <w:bCs/>
                <w:highlight w:val="white"/>
                <w:lang w:eastAsia="ko-KR"/>
              </w:rPr>
            </w:r>
          </w:p>
        </w:tc>
        <w:tc>
          <w:tcPr>
            <w:tcBorders/>
            <w:tcW w:w="819" w:type="pct"/>
            <w:vAlign w:val="center"/>
            <w:textDirection w:val="lrTb"/>
            <w:noWrap w:val="false"/>
          </w:tcPr>
          <w:p>
            <w:pPr>
              <w:widowControl w:val="false"/>
              <w:pBdr/>
              <w:spacing w:line="235" w:lineRule="auto"/>
              <w:ind/>
              <w:jc w:val="center"/>
              <w:rPr>
                <w:b/>
                <w:bCs/>
                <w:highlight w:val="white"/>
              </w:rPr>
            </w:pPr>
            <w:r>
              <w:rPr>
                <w:b/>
                <w:bCs/>
                <w:highlight w:val="white"/>
                <w:lang w:eastAsia="ko-KR"/>
              </w:rPr>
            </w:r>
            <w:r>
              <w:rPr>
                <w:b/>
                <w:bCs/>
                <w:highlight w:val="white"/>
                <w:lang w:eastAsia="ko-KR"/>
              </w:rPr>
            </w:r>
            <w:r>
              <w:rPr>
                <w:b/>
                <w:bCs/>
                <w:highlight w:val="white"/>
                <w:lang w:eastAsia="ko-KR"/>
              </w:rPr>
            </w:r>
          </w:p>
        </w:tc>
        <w:tc>
          <w:tcPr>
            <w:tcBorders/>
            <w:tcW w:w="1874"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Ghi chú</w:t>
            </w:r>
            <w:r>
              <w:rPr>
                <w:b/>
                <w:bCs/>
                <w:highlight w:val="white"/>
                <w:lang w:eastAsia="ko-KR"/>
              </w:rPr>
            </w:r>
            <w:r>
              <w:rPr>
                <w:b/>
                <w:bCs/>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50m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150m</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3</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150m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300m</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4</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300m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500m</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5</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(Miếu thờ cúng tâm linh, đình, đền, chùa…)</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30m</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6</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(Miếu thờ cúng tâm linh, đình, đền, chùa…) </w:t>
            </w:r>
            <w:r>
              <w:rPr>
                <w:highlight w:val="white"/>
                <w:lang w:eastAsia="ko-KR"/>
              </w:rPr>
              <w:t xml:space="preserve">(</w:t>
            </w:r>
            <w:r>
              <w:rPr>
                <w:highlight w:val="white"/>
                <w:lang w:eastAsia="ko-KR"/>
              </w:rPr>
              <w:t xml:space="preserve">30m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100m</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7</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w:t>
            </w:r>
            <w:r>
              <w:rPr>
                <w:highlight w:val="white"/>
                <w:lang w:eastAsia="ko-KR"/>
              </w:rPr>
              <w:t xml:space="preserve">từng</w:t>
            </w:r>
            <w:r>
              <w:rPr>
                <w:highlight w:val="white"/>
                <w:lang w:eastAsia="ko-KR"/>
              </w:rPr>
              <w:t xml:space="preserve"> là nghĩa trang, khu tâm linh cũ (đền, đình, chùa, miếu mạo…) đã được san lấp làm khu dân cư</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8</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Trên đất/Công trình có mộ không thể hoặc rất khó có khả năng di chuyển (Mộ tổ chi, tộc, mộ cổ, mộ tâm linh gắn với miếu mạo được nhân dân thờ cúng</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9</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Trên đất/ Công trình có mộ gia đình hoặc vô chủ có thể di chuyển</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10</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sát khu mộ phần hoặc liền kề mộ phần</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11</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Trên đất/ Công trình có điện thờ, nhà thợ họ dòng tộc</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12</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sát hoặc liền kề nhà thờ họ</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13</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gia tộc anh em, họ hàng sống xung quanh chung ngõ đi</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14</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 án mạng/ tại nạn... bị ảnh hưởng truyền thông Nhẹ </w:t>
            </w:r>
            <w:r>
              <w:rPr>
                <w:highlight w:val="white"/>
                <w:lang w:eastAsia="ko-KR"/>
              </w:rPr>
              <w:t xml:space="preserve">“</w:t>
            </w:r>
            <w:r>
              <w:rPr>
                <w:highlight w:val="white"/>
                <w:lang w:eastAsia="ko-KR"/>
              </w:rPr>
              <w:t xml:space="preserve">Một vụ tự sát cá biệt không ồn ào, không truyền thông, trong nhà riêng, người Mua/Bán đông ít quan tâm: thị trường ít phản ứng, nếu có phản ứng chỉ là tâm lý tạm thời.</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t xml:space="preserve">5</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Trung bình </w:t>
            </w:r>
            <w:r>
              <w:rPr>
                <w:highlight w:val="white"/>
                <w:lang w:eastAsia="ko-KR"/>
              </w:rPr>
              <w:t xml:space="preserve">“</w:t>
            </w:r>
            <w:r>
              <w:rPr>
                <w:highlight w:val="white"/>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highlight w:val="white"/>
                <w:lang w:eastAsia="ko-KR"/>
              </w:rPr>
              <w:t xml:space="preserve">”</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16</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Mạnh </w:t>
            </w:r>
            <w:r>
              <w:rPr>
                <w:highlight w:val="white"/>
                <w:lang w:eastAsia="ko-KR"/>
              </w:rPr>
              <w:t xml:space="preserve">“</w:t>
            </w:r>
            <w:r>
              <w:rPr>
                <w:highlight w:val="white"/>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highlight w:val="white"/>
                <w:lang w:eastAsia="ko-KR"/>
              </w:rPr>
              <w:t xml:space="preserve">”</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17</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Rất Mạnh </w:t>
            </w:r>
            <w:r>
              <w:rPr>
                <w:highlight w:val="white"/>
                <w:lang w:eastAsia="ko-KR"/>
              </w:rPr>
              <w:t xml:space="preserve">“</w:t>
            </w:r>
            <w:r>
              <w:rPr>
                <w:highlight w:val="white"/>
                <w:lang w:eastAsia="ko-KR"/>
              </w:rPr>
              <w:t xml:space="preserve">Vụ nổi tiếng, nhiều truyề</w:t>
            </w:r>
            <w:r>
              <w:rPr>
                <w:highlight w:val="white"/>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highlight w:val="white"/>
                <w:lang w:eastAsia="ko-KR"/>
              </w:rPr>
              <w:t xml:space="preserve">”</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18</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cây xăng</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19</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trạm thu phát </w:t>
            </w:r>
            <w:r>
              <w:rPr>
                <w:highlight w:val="white"/>
                <w:lang w:eastAsia="ko-KR"/>
              </w:rPr>
              <w:t xml:space="preserve">sóng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20</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đường dây truyền tải điện cao thế 500 KV</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21</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đường dây truyền tải điện 220 KV</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30m</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22</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Mặt tiền bị che chắn (có cột điện, trạm biến áp…)</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23</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đường sắt&lt;=50m</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24</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Đường vào thẳng tắp như mũi tên đâm thẳng cửa chính </w:t>
            </w:r>
            <w:r>
              <w:rPr>
                <w:highlight w:val="white"/>
                <w:lang w:eastAsia="ko-KR"/>
              </w:rPr>
              <w:t xml:space="preserve">“</w:t>
            </w:r>
            <w:r>
              <w:rPr>
                <w:highlight w:val="white"/>
                <w:lang w:eastAsia="ko-KR"/>
              </w:rPr>
              <w:t xml:space="preserve">Thế tiễn khí</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25</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nằm dưới chân cầu, đường dốc cao (Thế bị xung</w:t>
            </w:r>
            <w:r>
              <w:rPr>
                <w:highlight w:val="white"/>
                <w:lang w:eastAsia="ko-KR"/>
              </w:rPr>
              <w:t xml:space="preserve"> : </w:t>
            </w:r>
            <w:r>
              <w:rPr>
                <w:highlight w:val="white"/>
                <w:lang w:eastAsia="ko-KR"/>
              </w:rPr>
              <w:t xml:space="preserve">Hổ phục, Long phục) xe lao xuống, gió tạt thẳng sát khí, không tụ</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26</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Giao lộ Chữ </w:t>
            </w:r>
            <w:r>
              <w:rPr>
                <w:highlight w:val="white"/>
                <w:lang w:eastAsia="ko-KR"/>
              </w:rPr>
              <w:t xml:space="preserve">“</w:t>
            </w:r>
            <w:r>
              <w:rPr>
                <w:highlight w:val="white"/>
                <w:lang w:eastAsia="ko-KR"/>
              </w:rPr>
              <w:t xml:space="preserve">T</w:t>
            </w:r>
            <w:r>
              <w:rPr>
                <w:highlight w:val="white"/>
                <w:lang w:eastAsia="ko-KR"/>
              </w:rPr>
              <w:t xml:space="preserve">”</w:t>
            </w:r>
            <w:r>
              <w:rPr>
                <w:highlight w:val="white"/>
                <w:lang w:eastAsia="ko-KR"/>
              </w:rPr>
              <w:t xml:space="preserve">, bị đường đâm thẳng vào </w:t>
            </w:r>
            <w:r>
              <w:rPr>
                <w:highlight w:val="white"/>
                <w:lang w:eastAsia="ko-KR"/>
              </w:rPr>
              <w:t xml:space="preserve">“</w:t>
            </w:r>
            <w:r>
              <w:rPr>
                <w:highlight w:val="white"/>
                <w:lang w:eastAsia="ko-KR"/>
              </w:rPr>
              <w:t xml:space="preserve">Thế tiền đao sát</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bl>
    <w:p>
      <w:pPr>
        <w:pStyle w:val="1027"/>
        <w:pBdr/>
        <w:tabs>
          <w:tab w:val="left" w:leader="none" w:pos="993"/>
        </w:tabs>
        <w:spacing w:after="120" w:before="240" w:line="276" w:lineRule="auto"/>
        <w:ind w:left="0"/>
        <w:jc w:val="both"/>
        <w:rPr>
          <w:b/>
          <w:highlight w:val="white"/>
        </w:rPr>
      </w:pPr>
      <w:r>
        <w:rPr>
          <w:b/>
          <w:bCs/>
          <w:highlight w:val="white"/>
          <w:lang w:val="pt-BR"/>
        </w:rPr>
        <w:t xml:space="preserve">V. CÁC GIẢ THIẾT VÀ GIẢ THIẾT ĐẶC BIỆT</w:t>
      </w:r>
      <w:r>
        <w:rPr>
          <w:b/>
          <w:highlight w:val="white"/>
          <w:lang w:val="pt-BR"/>
        </w:rPr>
      </w:r>
      <w:r>
        <w:rPr>
          <w:b/>
          <w:highlight w:val="white"/>
          <w:lang w:val="pt-BR"/>
        </w:rPr>
      </w:r>
    </w:p>
    <w:p>
      <w:pPr>
        <w:pStyle w:val="1027"/>
        <w:numPr>
          <w:ilvl w:val="0"/>
          <w:numId w:val="3"/>
        </w:numPr>
        <w:pBdr/>
        <w:tabs>
          <w:tab w:val="left" w:leader="none" w:pos="993"/>
        </w:tabs>
        <w:spacing w:after="120" w:before="120" w:line="264" w:lineRule="auto"/>
        <w:ind/>
        <w:jc w:val="both"/>
        <w:rPr>
          <w:spacing w:val="-2"/>
          <w:highlight w:val="white"/>
        </w:rPr>
      </w:pPr>
      <w:r>
        <w:rPr>
          <w:spacing w:val="-2"/>
          <w:highlight w:val="white"/>
          <w:lang w:val="pt-BR"/>
        </w:rPr>
        <w:t xml:space="preserve">Chúng tôi giả định rằng tài sản thẩm </w:t>
      </w:r>
      <w:r>
        <w:rPr>
          <w:spacing w:val="-2"/>
          <w:highlight w:val="white"/>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highlight w:val="white"/>
          <w:lang w:val="pt-BR"/>
        </w:rPr>
        <w:t xml:space="preserve">đới (nếu có) trong trường hợp này.</w:t>
      </w:r>
      <w:r>
        <w:rPr>
          <w:spacing w:val="-2"/>
          <w:highlight w:val="white"/>
          <w:lang w:val="pt-BR"/>
        </w:rPr>
      </w:r>
      <w:r>
        <w:rPr>
          <w:spacing w:val="-2"/>
          <w:highlight w:val="white"/>
          <w:lang w:val="pt-BR"/>
        </w:rPr>
      </w:r>
    </w:p>
    <w:p>
      <w:pPr>
        <w:pStyle w:val="1027"/>
        <w:numPr>
          <w:ilvl w:val="0"/>
          <w:numId w:val="3"/>
        </w:numPr>
        <w:pBdr/>
        <w:spacing w:after="0" w:before="0" w:line="240" w:lineRule="auto"/>
        <w:ind/>
        <w:rPr>
          <w:rFonts w:ascii="Times New Roman" w:hAnsi="Times New Roman" w:eastAsia="Times New Roman" w:cs="Times New Roman"/>
          <w:b w:val="0"/>
          <w:bCs w:val="0"/>
          <w:color w:val="000000"/>
          <w:sz w:val="24"/>
          <w:highlight w:val="white"/>
        </w:rPr>
      </w:pPr>
      <w:r>
        <w:rPr>
          <w:rFonts w:ascii="Times New Roman" w:hAnsi="Times New Roman" w:eastAsia="Times New Roman" w:cs="Times New Roman"/>
          <w:b w:val="0"/>
          <w:bCs w:val="0"/>
          <w:color w:val="000000"/>
          <w:sz w:val="24"/>
          <w:highlight w:val="white"/>
        </w:rPr>
        <w:t xml:space="preserve">Tại thời điểm khảo sát, dưới sự hướng dẫn của chủ tài sản, trên đất có CTXD: tường gạch bao quanh, nền đổ bê tông. Công trình chưa được công nhận trên GCN QSDĐ.</w:t>
      </w:r>
      <w:r>
        <w:rPr>
          <w:rFonts w:ascii="Times New Roman" w:hAnsi="Times New Roman" w:eastAsia="Times New Roman" w:cs="Times New Roman"/>
          <w:b w:val="0"/>
          <w:bCs w:val="0"/>
          <w:color w:val="000000"/>
          <w:sz w:val="24"/>
          <w:highlight w:val="white"/>
        </w:rPr>
        <w:t xml:space="preserve"> Đồng thời, Tổ thẩm định không nhận được bất kỳ giấy tờ pháp lý nào liên quan đến CTXD trên. Theo đề nghị của Khách hàng/ Ngân hàng, Tổ thẩm định không xác định giá trị CTXD nhưng vẫn coi đó là phần không thể thiếu của tài sản thẩm định.</w:t>
      </w:r>
      <w:r>
        <w:rPr>
          <w:rFonts w:ascii="Times New Roman" w:hAnsi="Times New Roman" w:eastAsia="Times New Roman" w:cs="Times New Roman"/>
          <w:b w:val="0"/>
          <w:bCs w:val="0"/>
          <w:color w:val="000000"/>
          <w:sz w:val="24"/>
          <w:highlight w:val="white"/>
        </w:rPr>
      </w:r>
    </w:p>
    <w:p>
      <w:pPr>
        <w:pStyle w:val="1027"/>
        <w:numPr>
          <w:ilvl w:val="0"/>
          <w:numId w:val="3"/>
        </w:numPr>
        <w:pBdr/>
        <w:tabs>
          <w:tab w:val="left" w:leader="none" w:pos="993"/>
        </w:tabs>
        <w:spacing w:after="120" w:before="120" w:line="264" w:lineRule="auto"/>
        <w:ind/>
        <w:jc w:val="both"/>
        <w:rPr>
          <w:rFonts w:ascii="Times New Roman" w:hAnsi="Times New Roman" w:cs="Times New Roman"/>
          <w:spacing w:val="-2"/>
          <w:highlight w:val="white"/>
        </w:rPr>
      </w:pPr>
      <w:r>
        <w:rPr>
          <w:rFonts w:ascii="Times New Roman" w:hAnsi="Times New Roman" w:eastAsia="Times New Roman" w:cs="Times New Roman"/>
          <w:spacing w:val="-2"/>
          <w:highlight w:val="white"/>
          <w:lang w:val="pt-BR" w:bidi="pt-BR"/>
        </w:rPr>
      </w:r>
      <w:r>
        <w:rPr>
          <w:rFonts w:ascii="Times New Roman" w:hAnsi="Times New Roman" w:eastAsia="Times New Roman" w:cs="Times New Roman"/>
          <w:color w:val="ee0000"/>
          <w:sz w:val="24"/>
          <w:highlight w:val="white"/>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ee0000"/>
          <w:sz w:val="24"/>
          <w:highlight w:val="white"/>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ee0000"/>
          <w:sz w:val="24"/>
          <w:highlight w:val="white"/>
        </w:rPr>
        <w:t xml:space="preserve"> nhận rõ tình trạng quy hoạch thì kết quả thẩm định giá cần được xem xét, điều chỉnh phù hợp, đồng thời chúng tôi bảo lưu quyền xem xét lại kết quả thẩm định giá</w:t>
      </w:r>
      <w:r>
        <w:rPr>
          <w:rFonts w:ascii="Times New Roman" w:hAnsi="Times New Roman" w:eastAsia="Times New Roman" w:cs="Times New Roman"/>
          <w:spacing w:val="-2"/>
          <w:highlight w:val="white"/>
          <w:lang w:val="pt-BR" w:bidi="pt-BR"/>
        </w:rPr>
        <w:t xml:space="preserve">.</w:t>
      </w:r>
      <w:r>
        <w:rPr>
          <w:rFonts w:ascii="Times New Roman" w:hAnsi="Times New Roman" w:eastAsia="Times New Roman" w:cs="Times New Roman"/>
          <w:spacing w:val="-2"/>
          <w:highlight w:val="white"/>
          <w:lang w:val="pt-BR"/>
        </w:rPr>
      </w:r>
      <w:r>
        <w:rPr>
          <w:rFonts w:ascii="Times New Roman" w:hAnsi="Times New Roman" w:cs="Times New Roman"/>
          <w:spacing w:val="-2"/>
          <w:highlight w:val="white"/>
        </w:rPr>
      </w:r>
    </w:p>
    <w:p>
      <w:pPr>
        <w:pStyle w:val="1027"/>
        <w:numPr>
          <w:ilvl w:val="0"/>
          <w:numId w:val="3"/>
        </w:numPr>
        <w:pBdr/>
        <w:tabs>
          <w:tab w:val="left" w:leader="none" w:pos="993"/>
        </w:tabs>
        <w:spacing w:after="120" w:before="120" w:line="264" w:lineRule="auto"/>
        <w:ind/>
        <w:jc w:val="both"/>
        <w:rPr>
          <w:spacing w:val="-2"/>
          <w:highlight w:val="white"/>
        </w:rPr>
      </w:pPr>
      <w:r>
        <w:rPr>
          <w:highlight w:val="white"/>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highlight w:val="white"/>
          <w:lang w:val="pt-BR"/>
        </w:rPr>
      </w:r>
      <w:r>
        <w:rPr>
          <w:spacing w:val="-2"/>
          <w:highlight w:val="white"/>
          <w:lang w:val="pt-BR"/>
        </w:rPr>
      </w:r>
    </w:p>
    <w:p>
      <w:pPr>
        <w:pBdr/>
        <w:spacing w:after="120" w:before="120" w:line="276" w:lineRule="auto"/>
        <w:ind/>
        <w:rPr>
          <w:b/>
          <w:bCs/>
          <w:highlight w:val="white"/>
        </w:rPr>
      </w:pPr>
      <w:r>
        <w:rPr>
          <w:b/>
          <w:bCs/>
          <w:highlight w:val="white"/>
          <w:lang w:val="pt-BR"/>
        </w:rPr>
        <w:t xml:space="preserve">V</w:t>
      </w:r>
      <w:r>
        <w:rPr>
          <w:b/>
          <w:bCs/>
          <w:highlight w:val="white"/>
          <w:lang w:val="pt-BR"/>
        </w:rPr>
        <w:t xml:space="preserve">I</w:t>
      </w:r>
      <w:r>
        <w:rPr>
          <w:b/>
          <w:bCs/>
          <w:highlight w:val="white"/>
          <w:lang w:val="pt-BR"/>
        </w:rPr>
        <w:t xml:space="preserve">. CƠ SỞ GIÁ TRỊ</w:t>
      </w:r>
      <w:r>
        <w:rPr>
          <w:b/>
          <w:bCs/>
          <w:highlight w:val="white"/>
          <w:lang w:val="pt-BR"/>
        </w:rPr>
        <w:t xml:space="preserve"> THẨM ĐỊNH GIÁ</w:t>
      </w:r>
      <w:r>
        <w:rPr>
          <w:b/>
          <w:bCs/>
          <w:highlight w:val="white"/>
          <w:lang w:val="pt-BR"/>
        </w:rPr>
      </w:r>
      <w:r>
        <w:rPr>
          <w:b/>
          <w:bCs/>
          <w:highlight w:val="white"/>
          <w:lang w:val="pt-BR"/>
        </w:rPr>
      </w:r>
    </w:p>
    <w:p>
      <w:pPr>
        <w:pStyle w:val="1027"/>
        <w:numPr>
          <w:ilvl w:val="0"/>
          <w:numId w:val="3"/>
        </w:numPr>
        <w:pBdr/>
        <w:tabs>
          <w:tab w:val="left" w:leader="none" w:pos="993"/>
        </w:tabs>
        <w:spacing w:after="120" w:before="120" w:line="264" w:lineRule="auto"/>
        <w:ind/>
        <w:jc w:val="both"/>
        <w:rPr>
          <w:highlight w:val="white"/>
        </w:rPr>
      </w:pPr>
      <w:r>
        <w:rPr>
          <w:b/>
          <w:bCs/>
          <w:highlight w:val="white"/>
          <w:lang w:val="pt-BR"/>
        </w:rPr>
        <w:t xml:space="preserve">Giá trị thị trường</w:t>
      </w:r>
      <w:r>
        <w:rPr>
          <w:b/>
          <w:bCs/>
          <w:highlight w:val="white"/>
          <w:lang w:val="pt-BR"/>
        </w:rPr>
        <w:t xml:space="preserve">:</w:t>
      </w:r>
      <w:r>
        <w:rPr>
          <w:highlight w:val="white"/>
          <w:lang w:val="pt-BR"/>
        </w:rPr>
        <w:t xml:space="preserve"> Kết quả thẩm định giá trị tài sản được xác định dựa trên cơ sở giá trị thị trường tại thời điểm thẩm định theo </w:t>
      </w:r>
      <w:r>
        <w:rPr>
          <w:highlight w:val="white"/>
          <w:lang w:val="pt-BR"/>
        </w:rPr>
        <w:t xml:space="preserve">Chuẩn mực thẩm định giá Việt Nam về Cơ sở giá trị thẩm định giá</w:t>
      </w:r>
      <w:r>
        <w:rPr>
          <w:highlight w:val="white"/>
          <w:lang w:val="pt-BR"/>
        </w:rPr>
        <w:t xml:space="preserve">: </w:t>
      </w:r>
      <w:r>
        <w:rPr>
          <w:i/>
          <w:iCs/>
          <w:highlight w:val="white"/>
          <w:lang w:val="pt-BR"/>
        </w:rPr>
        <w:t xml:space="preserve">“</w:t>
      </w:r>
      <w:r>
        <w:rPr>
          <w:i/>
          <w:iCs/>
          <w:highlight w:val="white"/>
          <w:lang w:val="pt-BR"/>
        </w:rPr>
        <w:t xml:space="preserve">Giá trị thị trường là khoản tiền ước </w:t>
      </w:r>
      <w:r>
        <w:rPr>
          <w:i/>
          <w:iCs/>
          <w:highlight w:val="white"/>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highlight w:val="white"/>
          <w:lang w:val="pt-BR"/>
        </w:rPr>
        <w:t xml:space="preserve">”</w:t>
      </w:r>
      <w:r>
        <w:rPr>
          <w:highlight w:val="white"/>
          <w:lang w:val="pt-BR"/>
        </w:rPr>
        <w:t xml:space="preserve">. </w:t>
      </w:r>
      <w:r>
        <w:rPr>
          <w:highlight w:val="white"/>
          <w:lang w:val="pt-BR"/>
        </w:rPr>
      </w:r>
      <w:r>
        <w:rPr>
          <w:highlight w:val="white"/>
          <w:lang w:val="pt-BR"/>
        </w:rPr>
      </w:r>
    </w:p>
    <w:p>
      <w:pPr>
        <w:pBdr/>
        <w:spacing w:after="120" w:before="120" w:line="276" w:lineRule="auto"/>
        <w:ind/>
        <w:jc w:val="both"/>
        <w:rPr>
          <w:highlight w:val="white"/>
        </w:rPr>
      </w:pPr>
      <w:r>
        <w:rPr>
          <w:b/>
          <w:bCs/>
          <w:highlight w:val="white"/>
          <w:lang w:val="pt-BR"/>
        </w:rPr>
        <w:t xml:space="preserve">VII. CÁCH TIẾP CẬN, PHƯƠNG PHÁP THẨM ĐỊNH GIÁ</w:t>
      </w:r>
      <w:r>
        <w:rPr>
          <w:highlight w:val="white"/>
          <w:lang w:val="pt-BR"/>
        </w:rPr>
      </w:r>
      <w:r>
        <w:rPr>
          <w:highlight w:val="white"/>
          <w:lang w:val="pt-BR"/>
        </w:rPr>
      </w:r>
    </w:p>
    <w:p>
      <w:pPr>
        <w:pStyle w:val="1027"/>
        <w:numPr>
          <w:ilvl w:val="0"/>
          <w:numId w:val="24"/>
        </w:numPr>
        <w:pBdr/>
        <w:spacing w:after="120" w:before="120" w:line="276" w:lineRule="auto"/>
        <w:ind w:hanging="357" w:left="357"/>
        <w:jc w:val="both"/>
        <w:rPr>
          <w:b/>
          <w:highlight w:val="white"/>
        </w:rPr>
      </w:pPr>
      <w:r>
        <w:rPr>
          <w:b/>
          <w:highlight w:val="white"/>
          <w:lang w:val="pt-BR"/>
        </w:rPr>
        <w:t xml:space="preserve">Cách tiếp cận và phương pháp thẩm định:</w:t>
      </w:r>
      <w:r>
        <w:rPr>
          <w:b/>
          <w:highlight w:val="white"/>
          <w:lang w:val="pt-BR"/>
        </w:rPr>
      </w:r>
      <w:r>
        <w:rPr>
          <w:b/>
          <w:highlight w:val="white"/>
          <w:lang w:val="pt-BR"/>
        </w:rPr>
      </w:r>
    </w:p>
    <w:p>
      <w:pPr>
        <w:pStyle w:val="1027"/>
        <w:numPr>
          <w:ilvl w:val="0"/>
          <w:numId w:val="3"/>
        </w:numPr>
        <w:pBdr/>
        <w:tabs>
          <w:tab w:val="left" w:leader="none" w:pos="993"/>
        </w:tabs>
        <w:spacing w:after="120" w:before="120" w:line="276" w:lineRule="auto"/>
        <w:ind w:left="357"/>
        <w:jc w:val="both"/>
        <w:rPr>
          <w:bCs/>
          <w:highlight w:val="white"/>
        </w:rPr>
      </w:pPr>
      <w:r>
        <w:rPr>
          <w:bCs/>
          <w:i/>
          <w:iCs/>
          <w:highlight w:val="white"/>
          <w:lang w:val="pt-BR"/>
        </w:rPr>
        <w:t xml:space="preserve">Cách t</w:t>
      </w:r>
      <w:r>
        <w:rPr>
          <w:bCs/>
          <w:i/>
          <w:iCs/>
          <w:highlight w:val="white"/>
          <w:lang w:val="pt-BR"/>
        </w:rPr>
        <w:t xml:space="preserve">iếp cận từ thị trường:</w:t>
      </w:r>
      <w:r>
        <w:rPr>
          <w:bCs/>
          <w:i/>
          <w:iCs/>
          <w:highlight w:val="white"/>
          <w:lang w:val="pt-BR"/>
        </w:rPr>
        <w:t xml:space="preserve"> </w:t>
      </w:r>
      <w:r>
        <w:rPr>
          <w:bCs/>
          <w:highlight w:val="white"/>
          <w:lang w:val="pt-BR"/>
        </w:rPr>
        <w:t xml:space="preserve">X</w:t>
      </w:r>
      <w:r>
        <w:rPr>
          <w:bCs/>
          <w:highlight w:val="white"/>
          <w:lang w:val="pt-BR"/>
        </w:rPr>
        <w:t xml:space="preserve">ác định giá trị của tài sản thẩm định giá thông qua việc so sánh tài sản thẩm định giá với các tài sản so sánh đã có các thông tin về giá trên thị trường</w:t>
      </w:r>
      <w:r>
        <w:rPr>
          <w:bCs/>
          <w:highlight w:val="white"/>
          <w:lang w:val="pt-BR"/>
        </w:rPr>
        <w:t xml:space="preserve">.</w:t>
      </w:r>
      <w:r>
        <w:rPr>
          <w:bCs/>
          <w:highlight w:val="white"/>
          <w:lang w:val="pt-BR"/>
        </w:rPr>
      </w:r>
      <w:r>
        <w:rPr>
          <w:bCs/>
          <w:highlight w:val="white"/>
          <w:lang w:val="pt-BR"/>
        </w:rPr>
      </w:r>
    </w:p>
    <w:p>
      <w:pPr>
        <w:pStyle w:val="1027"/>
        <w:numPr>
          <w:ilvl w:val="0"/>
          <w:numId w:val="3"/>
        </w:numPr>
        <w:pBdr/>
        <w:tabs>
          <w:tab w:val="left" w:leader="none" w:pos="993"/>
        </w:tabs>
        <w:spacing w:after="120" w:before="120" w:line="276" w:lineRule="auto"/>
        <w:ind w:left="357"/>
        <w:jc w:val="both"/>
        <w:rPr>
          <w:bCs/>
          <w:highlight w:val="white"/>
        </w:rPr>
      </w:pPr>
      <w:r>
        <w:rPr>
          <w:bCs/>
          <w:i/>
          <w:iCs/>
          <w:highlight w:val="white"/>
          <w:lang w:val="pt-BR"/>
        </w:rPr>
        <w:t xml:space="preserve">Phương pháp so sánh:</w:t>
      </w:r>
      <w:r>
        <w:rPr>
          <w:bCs/>
          <w:highlight w:val="white"/>
          <w:lang w:val="pt-BR"/>
        </w:rPr>
        <w:t xml:space="preserve"> </w:t>
      </w:r>
      <w:r>
        <w:rPr>
          <w:bCs/>
          <w:highlight w:val="white"/>
          <w:lang w:val="pt-BR"/>
        </w:rPr>
        <w:t xml:space="preserve">X</w:t>
      </w:r>
      <w:r>
        <w:rPr>
          <w:bCs/>
          <w:highlight w:val="white"/>
          <w:lang w:val="pt-BR"/>
        </w:rPr>
        <w:t xml:space="preserve">ác đ</w:t>
      </w:r>
      <w:r>
        <w:rPr>
          <w:bCs/>
          <w:highlight w:val="white"/>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highlight w:val="white"/>
          <w:lang w:val="pt-BR"/>
        </w:rPr>
        <w:t xml:space="preserve">.</w:t>
      </w:r>
      <w:r>
        <w:rPr>
          <w:bCs/>
          <w:highlight w:val="white"/>
          <w:lang w:val="pt-BR"/>
        </w:rPr>
      </w:r>
      <w:r>
        <w:rPr>
          <w:bCs/>
          <w:highlight w:val="white"/>
          <w:lang w:val="pt-BR"/>
        </w:rPr>
      </w:r>
    </w:p>
    <w:p>
      <w:pPr>
        <w:pStyle w:val="1027"/>
        <w:numPr>
          <w:ilvl w:val="0"/>
          <w:numId w:val="24"/>
        </w:numPr>
        <w:pBdr/>
        <w:spacing w:after="120" w:before="120" w:line="276" w:lineRule="auto"/>
        <w:ind w:hanging="357" w:left="357"/>
        <w:jc w:val="both"/>
        <w:rPr>
          <w:b/>
          <w:highlight w:val="white"/>
        </w:rPr>
      </w:pPr>
      <w:r>
        <w:rPr>
          <w:b/>
          <w:highlight w:val="white"/>
          <w:lang w:val="pt-BR"/>
        </w:rPr>
        <w:t xml:space="preserve">Xác định cách tiếp cận và phương pháp đối với tài sản thẩm định giá</w:t>
      </w:r>
      <w:r>
        <w:rPr>
          <w:b/>
          <w:highlight w:val="white"/>
          <w:lang w:val="pt-BR"/>
        </w:rPr>
        <w:t xml:space="preserve">:</w:t>
      </w:r>
      <w:r>
        <w:rPr>
          <w:b/>
          <w:highlight w:val="white"/>
          <w:lang w:val="pt-BR"/>
        </w:rPr>
      </w:r>
      <w:r>
        <w:rPr>
          <w:b/>
          <w:highlight w:val="white"/>
          <w:lang w:val="pt-BR"/>
        </w:rPr>
      </w:r>
    </w:p>
    <w:p>
      <w:pPr>
        <w:pStyle w:val="1027"/>
        <w:numPr>
          <w:ilvl w:val="0"/>
          <w:numId w:val="3"/>
        </w:numPr>
        <w:pBdr/>
        <w:spacing w:after="120" w:before="120" w:line="276" w:lineRule="auto"/>
        <w:ind w:left="357"/>
        <w:jc w:val="both"/>
        <w:rPr>
          <w:spacing w:val="-4"/>
          <w:highlight w:val="white"/>
        </w:rPr>
      </w:pPr>
      <w:r>
        <w:rPr>
          <w:spacing w:val="-4"/>
          <w:highlight w:val="white"/>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highlight w:val="white"/>
          <w:lang w:val="pt-BR"/>
        </w:rPr>
        <w:t xml:space="preserve"> giá </w:t>
      </w:r>
      <w:r>
        <w:rPr>
          <w:color w:val="000000" w:themeColor="text1"/>
          <w:spacing w:val="-4"/>
          <w:highlight w:val="white"/>
          <w:lang w:val="pt-BR"/>
        </w:rPr>
        <w:t xml:space="preserve">trị</w:t>
      </w:r>
      <w:r>
        <w:rPr>
          <w:color w:val="000000" w:themeColor="text1"/>
          <w:spacing w:val="-4"/>
          <w:highlight w:val="white"/>
          <w:lang w:val="pt-BR"/>
        </w:rPr>
        <w:t xml:space="preserve"> </w:t>
      </w:r>
      <w:r>
        <w:rPr>
          <w:color w:val="000000" w:themeColor="text1"/>
          <w:spacing w:val="-4"/>
          <w:highlight w:val="white"/>
          <w:lang w:val="pt-BR"/>
        </w:rPr>
        <w:t xml:space="preserve">q</w:t>
      </w:r>
      <w:r>
        <w:rPr>
          <w:color w:val="000000" w:themeColor="text1"/>
          <w:spacing w:val="-4"/>
          <w:highlight w:val="white"/>
          <w:lang w:val="pt-BR"/>
        </w:rPr>
        <w:t xml:space="preserve">uyền</w:t>
      </w:r>
      <w:r>
        <w:rPr>
          <w:color w:val="000000" w:themeColor="text1"/>
          <w:spacing w:val="-4"/>
          <w:highlight w:val="white"/>
          <w:lang w:val="pt-BR"/>
        </w:rPr>
        <w:t xml:space="preserve"> sử dụn</w:t>
      </w:r>
      <w:r>
        <w:rPr>
          <w:spacing w:val="-4"/>
          <w:highlight w:val="white"/>
          <w:lang w:val="pt-BR"/>
        </w:rPr>
        <w:t xml:space="preserve">g đất của</w:t>
      </w:r>
      <w:r>
        <w:rPr>
          <w:spacing w:val="-4"/>
          <w:highlight w:val="white"/>
          <w:lang w:val="pt-BR"/>
        </w:rPr>
        <w:t xml:space="preserve"> tài sản thẩm định giá</w:t>
      </w:r>
      <w:r>
        <w:rPr>
          <w:spacing w:val="-4"/>
          <w:highlight w:val="white"/>
          <w:lang w:val="pt-BR"/>
        </w:rPr>
        <w:t xml:space="preserve">.</w:t>
      </w:r>
      <w:r>
        <w:rPr>
          <w:spacing w:val="-4"/>
          <w:highlight w:val="white"/>
          <w:lang w:val="pt-BR"/>
        </w:rPr>
      </w:r>
      <w:r>
        <w:rPr>
          <w:spacing w:val="-4"/>
          <w:highlight w:val="white"/>
          <w:lang w:val="pt-BR"/>
        </w:rPr>
      </w:r>
    </w:p>
    <w:p>
      <w:pPr>
        <w:pStyle w:val="1027"/>
        <w:pBdr/>
        <w:spacing w:after="120" w:before="120" w:line="276" w:lineRule="auto"/>
        <w:ind w:left="0"/>
        <w:jc w:val="both"/>
        <w:rPr>
          <w:highlight w:val="white"/>
        </w:rPr>
      </w:pPr>
      <w:r>
        <w:rPr>
          <w:b/>
          <w:bCs/>
          <w:highlight w:val="white"/>
          <w:lang w:val="pt-BR"/>
        </w:rPr>
        <w:t xml:space="preserve">VII</w:t>
      </w:r>
      <w:r>
        <w:rPr>
          <w:b/>
          <w:bCs/>
          <w:highlight w:val="white"/>
          <w:lang w:val="pt-BR"/>
        </w:rPr>
        <w:t xml:space="preserve">I</w:t>
      </w:r>
      <w:r>
        <w:rPr>
          <w:b/>
          <w:bCs/>
          <w:highlight w:val="white"/>
          <w:lang w:val="pt-BR"/>
        </w:rPr>
        <w:t xml:space="preserve">. </w:t>
      </w:r>
      <w:r>
        <w:rPr>
          <w:b/>
          <w:bCs/>
          <w:highlight w:val="white"/>
          <w:lang w:val="pt-BR"/>
        </w:rPr>
        <w:t xml:space="preserve">GIÁ TRỊ TÀI SẢN</w:t>
      </w:r>
      <w:r>
        <w:rPr>
          <w:b/>
          <w:bCs/>
          <w:highlight w:val="white"/>
          <w:lang w:val="pt-BR"/>
        </w:rPr>
        <w:t xml:space="preserve"> THẨM ĐỊNH</w:t>
      </w:r>
      <w:r>
        <w:rPr>
          <w:highlight w:val="white"/>
          <w:lang w:val="de-DE"/>
        </w:rPr>
      </w:r>
      <w:r>
        <w:rPr>
          <w:highlight w:val="white"/>
          <w:lang w:val="de-DE"/>
        </w:rPr>
      </w:r>
    </w:p>
    <w:p>
      <w:pPr>
        <w:pStyle w:val="1027"/>
        <w:numPr>
          <w:ilvl w:val="0"/>
          <w:numId w:val="26"/>
        </w:numPr>
        <w:pBdr/>
        <w:spacing w:after="120" w:before="120" w:line="276" w:lineRule="auto"/>
        <w:ind w:hanging="357" w:left="357"/>
        <w:jc w:val="both"/>
        <w:rPr>
          <w:b/>
          <w:highlight w:val="white"/>
        </w:rPr>
      </w:pPr>
      <w:r>
        <w:rPr>
          <w:b/>
          <w:highlight w:val="white"/>
          <w:lang w:val="pt-BR"/>
        </w:rPr>
        <w:t xml:space="preserve">Xác định </w:t>
      </w:r>
      <w:r>
        <w:rPr>
          <w:b/>
          <w:highlight w:val="white"/>
          <w:lang w:val="pt-BR"/>
        </w:rPr>
        <w:t xml:space="preserve">đơn giá</w:t>
      </w:r>
      <w:r>
        <w:rPr>
          <w:b/>
          <w:highlight w:val="white"/>
          <w:lang w:val="pt-BR"/>
        </w:rPr>
        <w:t xml:space="preserve"> quyền sử dụng đấ</w:t>
      </w:r>
      <w:r>
        <w:rPr>
          <w:b/>
          <w:highlight w:val="white"/>
          <w:lang w:val="pt-BR"/>
        </w:rPr>
        <w:t xml:space="preserve">t</w:t>
      </w:r>
      <w:r>
        <w:rPr>
          <w:b/>
          <w:highlight w:val="white"/>
          <w:lang w:val="pt-BR"/>
        </w:rPr>
        <w:t xml:space="preserve">:</w:t>
      </w:r>
      <w:r>
        <w:rPr>
          <w:b/>
          <w:highlight w:val="white"/>
          <w:lang w:val="pt-BR"/>
        </w:rPr>
      </w:r>
      <w:r>
        <w:rPr>
          <w:b/>
          <w:highlight w:val="white"/>
          <w:lang w:val="pt-BR"/>
        </w:rPr>
      </w:r>
    </w:p>
    <w:p>
      <w:pPr>
        <w:pStyle w:val="1027"/>
        <w:pBdr/>
        <w:spacing w:after="120" w:before="120" w:line="276" w:lineRule="auto"/>
        <w:ind w:firstLine="357" w:left="0"/>
        <w:jc w:val="both"/>
        <w:rPr>
          <w:bCs/>
          <w:highlight w:val="white"/>
        </w:rPr>
      </w:pPr>
      <w:r>
        <w:rPr>
          <w:highlight w:val="white"/>
          <w:lang w:val="nl-NL"/>
        </w:rPr>
        <w:t xml:space="preserve">Qua khảo sát thị trường, </w:t>
      </w:r>
      <w:r>
        <w:rPr>
          <w:highlight w:val="white"/>
          <w:lang w:val="nl-NL"/>
        </w:rPr>
        <w:t xml:space="preserve">T</w:t>
      </w:r>
      <w:r>
        <w:rPr>
          <w:highlight w:val="white"/>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highlight w:val="white"/>
          <w:lang w:val="pt-BR"/>
        </w:rPr>
      </w:r>
      <w:r>
        <w:rPr>
          <w:bCs/>
          <w:highlight w:val="white"/>
          <w:lang w:val="pt-BR"/>
        </w:rPr>
      </w:r>
    </w:p>
    <w:p>
      <w:pPr>
        <w:pStyle w:val="1027"/>
        <w:numPr>
          <w:ilvl w:val="0"/>
          <w:numId w:val="6"/>
        </w:numPr>
        <w:pBdr/>
        <w:tabs>
          <w:tab w:val="left" w:leader="none" w:pos="720"/>
        </w:tabs>
        <w:spacing w:after="120" w:before="120" w:line="276" w:lineRule="auto"/>
        <w:ind w:left="360"/>
        <w:jc w:val="both"/>
        <w:rPr>
          <w:b/>
          <w:highlight w:val="white"/>
        </w:rPr>
      </w:pPr>
      <w:r>
        <w:rPr>
          <w:b/>
          <w:highlight w:val="white"/>
          <w:lang w:val="nl-NL"/>
        </w:rPr>
        <w:t xml:space="preserve">Thông tin tài sản so sánh:</w:t>
      </w:r>
      <w:r>
        <w:rPr>
          <w:b/>
          <w:highlight w:val="white"/>
          <w:lang w:val="nl-NL"/>
        </w:rPr>
      </w:r>
      <w:r>
        <w:rPr>
          <w:b/>
          <w:highlight w:val="white"/>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TSTĐ</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r>
      <w:tr>
        <w:trPr>
          <w:trHeight w:val="115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Địa chỉ</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Xã Tây Phương, Thành phố Hà Nội</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Xã Tây Phương, Thành phố Hà Nội</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Xã Tây Phương, Thành phố Hà Nội</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Xã Tây Phương, Thành phố Hà Nội</w:t>
            </w:r>
            <w:r>
              <w:rPr>
                <w:sz w:val="22"/>
                <w:szCs w:val="22"/>
                <w:highlight w:val="white"/>
              </w:rPr>
            </w:r>
            <w:r>
              <w:rPr>
                <w:sz w:val="22"/>
                <w:szCs w:val="22"/>
                <w:highlight w:val="white"/>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sz w:val="22"/>
                <w:szCs w:val="22"/>
                <w:highlight w:val="white"/>
              </w:rPr>
              <w:t xml:space="preserve"> </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https://www.facebook.com/share/p/17vA5ZcGt1/</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Liên hệ trực tiếp</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https://batdongsan.com.vn/ban-dat-duong-tinh-lo-419-xa-binh-phu-9/chinh-chu-can-ban-thua-dau-gia-khu-thach-that-ha-noi-pr43413144#js__pr-expired__content-anchor</w:t>
            </w:r>
            <w:r>
              <w:rPr>
                <w:sz w:val="22"/>
                <w:szCs w:val="22"/>
                <w:highlight w:val="white"/>
              </w:rPr>
            </w:r>
            <w:r>
              <w:rPr>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Thông tin liên lạc</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sz w:val="22"/>
                <w:szCs w:val="22"/>
                <w:highlight w:val="white"/>
              </w:rPr>
              <w:t xml:space="preserve"> </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0979951985</w:t>
            </w:r>
            <w:r>
              <w:rPr>
                <w:sz w:val="22"/>
                <w:szCs w:val="22"/>
                <w:highlight w:val="white"/>
              </w:rPr>
              <w:t xml:space="preserve"> </w:t>
            </w:r>
            <w:r>
              <w:rPr>
                <w:sz w:val="22"/>
                <w:szCs w:val="22"/>
                <w:highlight w:val="white"/>
              </w:rPr>
              <w:br/>
              <w:t xml:space="preserve">(</w:t>
            </w:r>
            <w:r>
              <w:rPr>
                <w:sz w:val="22"/>
                <w:szCs w:val="22"/>
                <w:highlight w:val="white"/>
              </w:rPr>
              <w:t xml:space="preserve">Trung Hiền</w:t>
            </w:r>
            <w:r>
              <w:rPr>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0983815238</w:t>
            </w:r>
            <w:r>
              <w:rPr>
                <w:sz w:val="22"/>
                <w:szCs w:val="22"/>
                <w:highlight w:val="white"/>
              </w:rPr>
              <w:br/>
            </w:r>
            <w:r>
              <w:rPr>
                <w:sz w:val="22"/>
                <w:szCs w:val="22"/>
                <w:highlight w:val="white"/>
              </w:rPr>
              <w:t xml:space="preserve">(</w:t>
            </w:r>
            <w:r>
              <w:rPr>
                <w:sz w:val="22"/>
                <w:szCs w:val="22"/>
                <w:highlight w:val="white"/>
              </w:rPr>
              <w:t xml:space="preserve">Phương Tường</w:t>
            </w:r>
            <w:r>
              <w:rPr>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0962130683</w:t>
            </w:r>
            <w:r>
              <w:rPr>
                <w:sz w:val="22"/>
                <w:szCs w:val="22"/>
                <w:highlight w:val="white"/>
              </w:rPr>
              <w:br/>
            </w:r>
            <w:r>
              <w:rPr>
                <w:sz w:val="22"/>
                <w:szCs w:val="22"/>
                <w:highlight w:val="white"/>
              </w:rPr>
              <w:t xml:space="preserve">(</w:t>
            </w:r>
            <w:r>
              <w:rPr>
                <w:sz w:val="22"/>
                <w:szCs w:val="22"/>
                <w:highlight w:val="white"/>
              </w:rPr>
              <w:t xml:space="preserve">Anh Tuấn</w:t>
            </w:r>
            <w:r>
              <w:rPr>
                <w:sz w:val="22"/>
                <w:szCs w:val="22"/>
                <w:highlight w:val="white"/>
              </w:rPr>
              <w:t xml:space="preserve">)</w:t>
            </w:r>
            <w:r>
              <w:rPr>
                <w:sz w:val="22"/>
                <w:szCs w:val="22"/>
                <w:highlight w:val="white"/>
              </w:rPr>
            </w:r>
            <w:r>
              <w:rPr>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r>
            <w:r>
              <w:rPr>
                <w:color w:val="000000" w:themeColor="text1"/>
                <w:sz w:val="22"/>
                <w:szCs w:val="22"/>
                <w:highlight w:val="white"/>
              </w:rPr>
              <w:t xml:space="preserve">Đang giao dịch</w:t>
            </w: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Đang giao dịch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r>
            <w:r>
              <w:rPr>
                <w:color w:val="000000" w:themeColor="text1"/>
                <w:sz w:val="22"/>
                <w:szCs w:val="22"/>
                <w:highlight w:val="white"/>
              </w:rPr>
              <w:t xml:space="preserve">Đang giao dịch</w:t>
            </w: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09/2026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09/2026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09/2026</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Pháp lý</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Mục đích sử dụng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nông thôn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nông thôn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nông thôn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nông thôn</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Vị trí</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Xã Tây Phương, Thành phố Hà Nội, cách đường Cống Cầu Tiên khoảng 120m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Xã Tây Phương, Thành phố Hà Nội, tiếp giáp đường Thái Hòa</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Xã Tây Phương, Thành phố Hà Nội, tiếp giáp đường Thái Hòa</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themeColor="text1"/>
                <w:sz w:val="22"/>
                <w:szCs w:val="22"/>
                <w:highlight w:val="white"/>
              </w:rPr>
              <w:t xml:space="preserve">Xã Tây Phương, Thành phố Hà Nội, cách đường DT 419 khoảng 100m</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Mối tương quan giữa các tài sản</w:t>
            </w:r>
            <w:r>
              <w:rPr>
                <w:color w:val="000000" w:themeColor="text1"/>
                <w:sz w:val="22"/>
                <w:szCs w:val="22"/>
                <w:highlight w:val="white"/>
              </w:rPr>
            </w:r>
            <w:r>
              <w:rPr>
                <w:color w:val="000000" w:themeColor="text1"/>
                <w:sz w:val="22"/>
                <w:szCs w:val="22"/>
                <w:highlight w:val="white"/>
              </w:rPr>
            </w:r>
          </w:p>
        </w:tc>
        <w:tc>
          <w:tcPr>
            <w:gridSpan w:val="4"/>
            <w:tcBorders>
              <w:top w:val="none" w:color="000000" w:sz="4" w:space="0"/>
              <w:left w:val="none" w:color="000000" w:sz="4" w:space="0"/>
              <w:bottom w:val="single" w:color="000000" w:sz="4" w:space="0"/>
              <w:right w:val="single" w:color="000000" w:sz="4" w:space="0"/>
            </w:tcBorders>
            <w:tcW w:w="6968"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highlight w:val="white"/>
              </w:rPr>
              <mc:AlternateContent>
                <mc:Choice Requires="wpg">
                  <w:drawing>
                    <wp:inline xmlns:wp="http://schemas.openxmlformats.org/drawingml/2006/wordprocessingDrawing" distT="0" distB="0" distL="0" distR="0">
                      <wp:extent cx="4476750" cy="2540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868474476" name="" descr=""/>
                              <pic:cNvPicPr/>
                              <pic:nvPr/>
                            </pic:nvPicPr>
                            <pic:blipFill rotWithShape="1">
                              <a:blip r:embed="rId19"/>
                              <a:stretch/>
                            </pic:blipFill>
                            <pic:spPr bwMode="auto">
                              <a:xfrm rot="0" flipH="0" flipV="0">
                                <a:off x="0" y="0"/>
                                <a:ext cx="4476749"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352.50pt;height:200.00pt;mso-wrap-distance-left:0.00pt;mso-wrap-distance-top:0.00pt;mso-wrap-distance-right:0.00pt;mso-wrap-distance-bottom:0.00pt;rotation:0;z-index:1;" stroked="false">
                      <v:imagedata r:id="rId19" o:title=""/>
                      <o:lock v:ext="edit" rotation="t"/>
                    </v:shape>
                  </w:pict>
                </mc:Fallback>
              </mc:AlternateConten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Giao thông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bê tông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không có vỉa hè</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không có vỉa hè</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có vỉa hè</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Độ rộng đường trước tài sản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5,5</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Diện tích đất (m²)</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144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107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107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83,8</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Mặt tiền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5,7</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Hình dáng thửa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Hình chữ nhật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Hình vuông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Hình chữ nhật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Hình chữ nhật</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CTXD trên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Nhà 2 tầng + 1 tum, tổng diện tích sàn khoảng 267,5m2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Nhà 03 tầng, tổng diện tích sàn khoảng 321m2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Đất trống</w:t>
            </w:r>
            <w:r>
              <w:rPr>
                <w:color w:val="000000"/>
                <w:sz w:val="22"/>
                <w:szCs w:val="22"/>
                <w:highlight w:val="white"/>
              </w:rPr>
            </w:r>
            <w:r>
              <w:rPr>
                <w:color w:val="000000"/>
                <w:sz w:val="22"/>
                <w:szCs w:val="22"/>
                <w:highlight w:val="white"/>
              </w:rPr>
            </w:r>
          </w:p>
        </w:tc>
      </w:tr>
      <w:tr>
        <w:trPr>
          <w:trHeight w:val="2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14.500.000.000</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14.500.000.000</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8.045.000.000</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12.506.873.464 </w:t>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11.600.000.000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6.838.250.000</w:t>
            </w:r>
            <w:r>
              <w:rPr>
                <w:color w:val="000000"/>
                <w:sz w:val="22"/>
                <w:szCs w:val="22"/>
                <w:highlight w:val="white"/>
              </w:rPr>
            </w:r>
            <w:r>
              <w:rPr>
                <w:color w:val="000000"/>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B</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Chi tiết tính toán</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1</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Giá trị tài sản trên đất (đồng)</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  1.705.203.360 </w:t>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2.046.244.032</w:t>
            </w:r>
            <w:r>
              <w:rPr>
                <w:color w:val="000000" w:themeColor="text1"/>
                <w:sz w:val="22"/>
                <w:szCs w:val="22"/>
                <w:highlight w:val="white"/>
              </w:rPr>
            </w:r>
            <w:r>
              <w:rPr>
                <w:color w:val="000000" w:themeColor="text1"/>
                <w:sz w:val="22"/>
                <w:szCs w:val="22"/>
                <w:highlight w:val="whit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14:ligatures w14:val="non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highlight w:val="white"/>
              </w:rPr>
            </w:pPr>
            <w:r>
              <w:rPr>
                <w:b/>
                <w:bCs/>
                <w:color w:val="000000"/>
                <w:sz w:val="22"/>
                <w:szCs w:val="22"/>
                <w:highlight w:val="white"/>
              </w:rPr>
              <w:t xml:space="preserve">-</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rFonts w:ascii="Times New Roman" w:hAnsi="Times New Roman" w:eastAsia="Times New Roman" w:cs="Times New Roman"/>
                <w:color w:val="000000"/>
                <w:sz w:val="24"/>
                <w:szCs w:val="24"/>
                <w:highlight w:val="white"/>
                <w14:ligatures w14:val="none"/>
              </w:rPr>
            </w:pP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t xml:space="preserve">Đơn giá xây dựng theo Quyết định số 425/QĐ-BXD ngày 30/3/2026 của Bộ Xây Dựng (đồng/m²)</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     7.968.240 </w:t>
            </w:r>
            <w:r>
              <w:rPr>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t xml:space="preserve">    7.968.240 </w:t>
            </w:r>
            <w:r>
              <w:rPr>
                <w:color w:val="000000" w:themeColor="text1"/>
                <w:sz w:val="22"/>
                <w:szCs w:val="22"/>
                <w:highlight w:val="white"/>
              </w:rPr>
            </w:r>
            <w:r>
              <w:rPr>
                <w:color w:val="000000" w:themeColor="text1"/>
                <w:sz w:val="22"/>
                <w:szCs w:val="22"/>
                <w:highlight w:val="whit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14:ligatures w14:val="non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highlight w:val="white"/>
              </w:rPr>
            </w:pPr>
            <w:r>
              <w:rPr>
                <w:b/>
                <w:bCs/>
                <w:color w:val="000000"/>
                <w:sz w:val="22"/>
                <w:szCs w:val="22"/>
                <w:highlight w:val="white"/>
              </w:rPr>
              <w:t xml:space="preserve">-</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rFonts w:ascii="Times New Roman" w:hAnsi="Times New Roman" w:eastAsia="Times New Roman" w:cs="Times New Roman"/>
                <w:color w:val="000000"/>
                <w:sz w:val="24"/>
                <w:szCs w:val="24"/>
                <w:highlight w:val="white"/>
                <w14:ligatures w14:val="none"/>
              </w:rPr>
            </w:pP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t xml:space="preserve">Tỷ lệ % </w:t>
            </w:r>
            <w:r>
              <w:rPr>
                <w:rFonts w:ascii="Times New Roman" w:hAnsi="Times New Roman" w:eastAsia="Times New Roman" w:cs="Times New Roman"/>
                <w:color w:val="000000"/>
                <w:sz w:val="24"/>
                <w:szCs w:val="24"/>
                <w:highlight w:val="white"/>
              </w:rPr>
              <w:t xml:space="preserve">hao mòn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t xml:space="preserve">20%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t xml:space="preserve">20%</w:t>
            </w:r>
            <w:r>
              <w:rPr>
                <w:color w:val="000000" w:themeColor="text1"/>
                <w:sz w:val="22"/>
                <w:szCs w:val="22"/>
                <w:highlight w:val="white"/>
              </w:rPr>
            </w:r>
            <w:r>
              <w:rPr>
                <w:color w:val="000000" w:themeColor="text1"/>
                <w:sz w:val="22"/>
                <w:szCs w:val="22"/>
                <w:highlight w:val="whit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14:ligatures w14: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2</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Giá trị đất (đồng)</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10.801.670.104</w:t>
            </w:r>
            <w:r>
              <w:rPr>
                <w:color w:val="000000" w:themeColor="text1"/>
                <w:sz w:val="22"/>
                <w:szCs w:val="22"/>
                <w:highlight w:val="white"/>
              </w:rPr>
            </w:r>
            <w:r>
              <w:rPr>
                <w:color w:val="000000" w:themeColor="text1"/>
                <w:sz w:val="22"/>
                <w:szCs w:val="22"/>
                <w:highlight w:val="whit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9.553.755.968</w:t>
            </w:r>
            <w:r>
              <w:rPr>
                <w:color w:val="000000" w:themeColor="text1"/>
                <w:sz w:val="22"/>
                <w:szCs w:val="22"/>
                <w:highlight w:val="white"/>
              </w:rPr>
            </w:r>
            <w:r>
              <w:rPr>
                <w:color w:val="000000" w:themeColor="text1"/>
                <w:sz w:val="22"/>
                <w:szCs w:val="22"/>
                <w:highlight w:val="whit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t xml:space="preserve">6.838.250.000</w:t>
            </w:r>
            <w:r>
              <w:rPr>
                <w:color w:val="000000" w:themeColor="text1"/>
                <w:sz w:val="22"/>
                <w:szCs w:val="22"/>
                <w:highlight w:val="white"/>
              </w:rPr>
            </w:r>
            <w:r>
              <w:rPr>
                <w:color w:val="000000" w:themeColor="text1"/>
                <w:sz w:val="22"/>
                <w:szCs w:val="22"/>
                <w:highlight w:val="white"/>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3</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Đơn giá QSDĐ (đồng/m²)</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100.950.188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89.287.439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81.602.029</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C</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NHẬN XÉT</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Pháp lý</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Mục đích sử dụng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Vị trí</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Giao thông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Độ rộng đường trước tài sản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Diện tích đất (m²)</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Mặt tiền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Hình dáng thửa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bl>
    <w:p>
      <w:pPr>
        <w:pBdr/>
        <w:tabs>
          <w:tab w:val="left" w:leader="none" w:pos="90"/>
          <w:tab w:val="left" w:leader="none" w:pos="180"/>
        </w:tabs>
        <w:spacing w:after="120" w:before="120" w:line="264" w:lineRule="auto"/>
        <w:ind/>
        <w:jc w:val="both"/>
        <w:rPr>
          <w:b/>
          <w:highlight w:val="white"/>
        </w:rPr>
      </w:pPr>
      <w:r>
        <w:rPr>
          <w:highlight w:val="white"/>
          <w:lang w:val="it-IT"/>
        </w:rPr>
        <w:t xml:space="preserve">Các yếu tố như</w:t>
      </w:r>
      <w:r>
        <w:rPr>
          <w:highlight w:val="white"/>
          <w:lang w:val="vi-VN"/>
        </w:rPr>
        <w:t xml:space="preserve"> vị trí, giao thông, diện tích, </w:t>
      </w:r>
      <w:r>
        <w:rPr>
          <w:highlight w:val="white"/>
        </w:rPr>
        <w:t xml:space="preserve">hình dáng, </w:t>
      </w:r>
      <w:r>
        <w:rPr>
          <w:highlight w:val="white"/>
          <w:lang w:val="vi-VN"/>
        </w:rPr>
        <w:t xml:space="preserve">hạ tầng kỹ thuật và hạ tầng xã hội</w:t>
      </w:r>
      <w:r>
        <w:rPr>
          <w:highlight w:val="white"/>
          <w:lang w:val="it-IT"/>
        </w:rPr>
        <w:t xml:space="preserve">… làm ảnh hưởng đến giá trị của </w:t>
      </w:r>
      <w:r>
        <w:rPr>
          <w:highlight w:val="white"/>
        </w:rPr>
        <w:t xml:space="preserve">thửa</w:t>
      </w:r>
      <w:r>
        <w:rPr>
          <w:highlight w:val="white"/>
          <w:lang w:val="vi-VN"/>
        </w:rPr>
        <w:t xml:space="preserve"> đất</w:t>
      </w:r>
      <w:r>
        <w:rPr>
          <w:highlight w:val="white"/>
          <w:lang w:val="it-IT"/>
        </w:rPr>
        <w:t xml:space="preserve">. Mỗi yếu tố đóng góp một tỷ lệ nhất định vào giá trị của </w:t>
      </w:r>
      <w:r>
        <w:rPr>
          <w:highlight w:val="white"/>
          <w:lang w:val="vi-VN"/>
        </w:rPr>
        <w:t xml:space="preserve">thửa đất</w:t>
      </w:r>
      <w:r>
        <w:rPr>
          <w:highlight w:val="white"/>
          <w:lang w:val="it-IT"/>
        </w:rPr>
        <w:t xml:space="preserve">. Vì vậy, </w:t>
      </w:r>
      <w:r>
        <w:rPr>
          <w:highlight w:val="white"/>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highlight w:val="white"/>
          <w:lang w:val="de-DE"/>
        </w:rPr>
      </w:r>
      <w:r>
        <w:rPr>
          <w:b/>
          <w:highlight w:val="white"/>
          <w:lang w:val="de-DE"/>
        </w:rPr>
      </w:r>
    </w:p>
    <w:p>
      <w:pPr>
        <w:pBdr/>
        <w:tabs>
          <w:tab w:val="left" w:leader="none" w:pos="90"/>
          <w:tab w:val="left" w:leader="none" w:pos="180"/>
        </w:tabs>
        <w:spacing w:after="120" w:before="120" w:line="264" w:lineRule="auto"/>
        <w:ind/>
        <w:jc w:val="both"/>
        <w:rPr>
          <w:highlight w:val="white"/>
        </w:rPr>
      </w:pPr>
      <w:r>
        <w:rPr>
          <w:highlight w:val="white"/>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highlight w:val="white"/>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highlight w:val="white"/>
          <w:lang w:val="vi-VN"/>
        </w:rPr>
        <w:t xml:space="preserve">thẩm </w:t>
      </w:r>
      <w:r>
        <w:rPr>
          <w:highlight w:val="white"/>
          <w:lang w:val="it-IT"/>
        </w:rPr>
        <w:t xml:space="preserve">định giá thì giữ nguyên mức giá của tài sản so sánh (không điều chỉnh).</w:t>
      </w:r>
      <w:r>
        <w:rPr>
          <w:highlight w:val="white"/>
          <w:lang w:val="it-IT"/>
        </w:rPr>
      </w:r>
      <w:r>
        <w:rPr>
          <w:highlight w:val="white"/>
          <w:lang w:val="it-IT"/>
        </w:rPr>
      </w:r>
    </w:p>
    <w:p>
      <w:pPr>
        <w:pStyle w:val="1027"/>
        <w:numPr>
          <w:ilvl w:val="0"/>
          <w:numId w:val="6"/>
        </w:numPr>
        <w:pBdr/>
        <w:tabs>
          <w:tab w:val="left" w:leader="none" w:pos="720"/>
        </w:tabs>
        <w:spacing w:after="120" w:before="120" w:line="276" w:lineRule="auto"/>
        <w:ind w:hanging="284" w:left="284"/>
        <w:jc w:val="both"/>
        <w:rPr>
          <w:b/>
          <w:highlight w:val="white"/>
        </w:rPr>
      </w:pPr>
      <w:r>
        <w:rPr>
          <w:b/>
          <w:highlight w:val="white"/>
          <w:lang w:val="nl-NL"/>
        </w:rPr>
        <w:t xml:space="preserve">Bảng điều chỉnh</w:t>
      </w:r>
      <w:r>
        <w:rPr>
          <w:b/>
          <w:highlight w:val="white"/>
          <w:lang w:val="nl-NL"/>
        </w:rPr>
        <w:t xml:space="preserve">:</w:t>
      </w:r>
      <w:r>
        <w:rPr>
          <w:b/>
          <w:highlight w:val="white"/>
          <w:lang w:val="nl-NL"/>
        </w:rPr>
      </w:r>
      <w:r>
        <w:rPr>
          <w:b/>
          <w:highlight w:val="white"/>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5"/>
        <w:gridCol w:w="1765"/>
        <w:gridCol w:w="1030"/>
        <w:gridCol w:w="1522"/>
        <w:gridCol w:w="1522"/>
        <w:gridCol w:w="1522"/>
        <w:gridCol w:w="1522"/>
      </w:tblGrid>
      <w:tr>
        <w:trPr>
          <w:trHeight w:val="20"/>
          <w:tblHeader/>
        </w:trPr>
        <w:tc>
          <w:tcPr>
            <w:shd w:val="clear" w:color="000000" w:fill="ffffff"/>
            <w:tcBorders/>
            <w:tcW w:w="675"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Yếu tố so sánh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Đơn vị tính</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TSTĐ</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75"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Giá trị QSDĐ thị trường (Ước tính sau thương lượng)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Đồng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0"/>
                <w:szCs w:val="20"/>
                <w:highlight w:val="white"/>
              </w:rPr>
            </w:pPr>
            <w:r>
              <w:rPr>
                <w:color w:val="000000" w:themeColor="text1"/>
                <w:sz w:val="22"/>
                <w:szCs w:val="22"/>
                <w:highlight w:val="white"/>
              </w:rPr>
              <w:t xml:space="preserve">10.801.670.104</w:t>
            </w:r>
            <w:r>
              <w:rPr>
                <w:color w:val="000000"/>
                <w:sz w:val="20"/>
                <w:szCs w:val="20"/>
                <w:highlight w:val="white"/>
              </w:rPr>
            </w:r>
            <w:r>
              <w:rPr>
                <w:color w:val="000000"/>
                <w:sz w:val="20"/>
                <w:szCs w:val="20"/>
                <w:highlight w:val="white"/>
              </w:rPr>
            </w:r>
          </w:p>
        </w:tc>
        <w:tc>
          <w:tcPr>
            <w:shd w:val="clear" w:color="000000" w:fill="ffffff"/>
            <w:tcBorders/>
            <w:tcW w:w="1522" w:type="dxa"/>
            <w:vAlign w:val="center"/>
            <w:textDirection w:val="lrTb"/>
            <w:noWrap w:val="false"/>
          </w:tcPr>
          <w:p>
            <w:pPr>
              <w:pBdr/>
              <w:spacing/>
              <w:ind/>
              <w:jc w:val="center"/>
              <w:rPr>
                <w:color w:val="000000"/>
                <w:sz w:val="20"/>
                <w:szCs w:val="20"/>
                <w:highlight w:val="white"/>
              </w:rPr>
            </w:pPr>
            <w:r>
              <w:rPr>
                <w:color w:val="000000" w:themeColor="text1"/>
                <w:sz w:val="22"/>
                <w:szCs w:val="22"/>
                <w:highlight w:val="white"/>
              </w:rPr>
              <w:t xml:space="preserve">9.553.755.968</w:t>
            </w:r>
            <w:r>
              <w:rPr>
                <w:color w:val="000000"/>
                <w:sz w:val="20"/>
                <w:szCs w:val="20"/>
                <w:highlight w:val="white"/>
              </w:rPr>
            </w:r>
            <w:r>
              <w:rPr>
                <w:color w:val="000000"/>
                <w:sz w:val="20"/>
                <w:szCs w:val="20"/>
                <w:highlight w:val="white"/>
              </w:rPr>
            </w:r>
          </w:p>
        </w:tc>
        <w:tc>
          <w:tcPr>
            <w:shd w:val="clear" w:color="000000" w:fill="ffffff"/>
            <w:tcBorders/>
            <w:tcW w:w="1522" w:type="dxa"/>
            <w:vAlign w:val="center"/>
            <w:textDirection w:val="lrTb"/>
            <w:noWrap w:val="false"/>
          </w:tcPr>
          <w:p>
            <w:pPr>
              <w:pBdr/>
              <w:spacing/>
              <w:ind/>
              <w:jc w:val="center"/>
              <w:rPr>
                <w:color w:val="000000"/>
                <w:sz w:val="20"/>
                <w:szCs w:val="20"/>
                <w:highlight w:val="white"/>
              </w:rPr>
            </w:pPr>
            <w:r>
              <w:rPr>
                <w:color w:val="000000" w:themeColor="text1"/>
                <w:sz w:val="22"/>
                <w:szCs w:val="22"/>
                <w:highlight w:val="white"/>
              </w:rPr>
              <w:t xml:space="preserve">6.838.250.000</w:t>
            </w:r>
            <w:r>
              <w:rPr>
                <w:color w:val="000000"/>
                <w:sz w:val="20"/>
                <w:szCs w:val="20"/>
                <w:highlight w:val="white"/>
              </w:rPr>
            </w:r>
            <w:r>
              <w:rPr>
                <w:color w:val="000000"/>
                <w:sz w:val="20"/>
                <w:szCs w:val="20"/>
                <w:highlight w:val="white"/>
              </w:rPr>
            </w:r>
          </w:p>
        </w:tc>
      </w:tr>
      <w:tr>
        <w:trPr>
          <w:trHeight w:val="20"/>
        </w:trPr>
        <w:tc>
          <w:tcPr>
            <w:shd w:val="clear" w:color="000000" w:fill="ffffff"/>
            <w:tcBorders/>
            <w:tcW w:w="675"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B</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Đơn giá đất ước tính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Đồng/m²</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100.950.188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89.287.439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81.602.029</w:t>
            </w:r>
            <w:r>
              <w:rPr>
                <w:color w:val="000000"/>
                <w:sz w:val="22"/>
                <w:szCs w:val="22"/>
                <w:highlight w:val="white"/>
              </w:rPr>
            </w:r>
            <w:r>
              <w:rPr>
                <w:color w:val="000000"/>
                <w:sz w:val="22"/>
                <w:szCs w:val="22"/>
                <w:highlight w:val="white"/>
              </w:rPr>
            </w:r>
          </w:p>
        </w:tc>
      </w:tr>
      <w:tr>
        <w:trPr>
          <w:trHeight w:val="20"/>
        </w:trPr>
        <w:tc>
          <w:tcPr>
            <w:shd w:val="clear" w:color="000000" w:fill="ffffff"/>
            <w:tcBorders/>
            <w:tcW w:w="675"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C</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Điều chỉnh các yếu tố so sánh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Pháp lý</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quyền sử dụng đất,</w:t>
            </w:r>
            <w:r>
              <w:rPr>
                <w:color w:val="000000"/>
                <w:sz w:val="22"/>
                <w:szCs w:val="22"/>
                <w:highlight w:val="white"/>
              </w:rPr>
            </w:r>
            <w:r>
              <w:rPr>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100.950.188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102.838.841</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81.602.029</w:t>
            </w:r>
            <w:r>
              <w:rPr>
                <w:color w:val="000000"/>
                <w:sz w:val="22"/>
                <w:szCs w:val="22"/>
                <w:highlight w:val="white"/>
              </w:rPr>
            </w:r>
            <w:r>
              <w:rPr>
                <w:color w:val="000000"/>
                <w:sz w:val="22"/>
                <w:szCs w:val="22"/>
                <w:highlight w:val="white"/>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Mục đích sử dụng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ở nông thôn</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ở nông thôn</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ở nông thôn</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ở nông thôn</w:t>
            </w:r>
            <w:r>
              <w:rPr>
                <w:b/>
                <w:bCs/>
                <w:color w:val="000000"/>
                <w:sz w:val="22"/>
                <w:szCs w:val="22"/>
                <w:highlight w:val="white"/>
              </w:rPr>
            </w:r>
            <w:r>
              <w:rPr>
                <w:b/>
                <w:bCs/>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100.950.188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102.838.841</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81.602.029</w:t>
            </w:r>
            <w:r>
              <w:rPr>
                <w:color w:val="000000"/>
                <w:sz w:val="22"/>
                <w:szCs w:val="22"/>
                <w:highlight w:val="white"/>
              </w:rPr>
            </w:r>
            <w:r>
              <w:rPr>
                <w:color w:val="000000"/>
                <w:sz w:val="22"/>
                <w:szCs w:val="22"/>
                <w:highlight w:val="white"/>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C.3</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Thời hạn sử dụng đất</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Lâu dài</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Lâu dài</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 Lâu dài</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 Lâu dài</w:t>
            </w:r>
            <w:r>
              <w:rPr>
                <w:b/>
                <w:bCs/>
                <w:color w:val="000000"/>
                <w:sz w:val="22"/>
                <w:szCs w:val="22"/>
                <w:highlight w:val="white"/>
              </w:rPr>
            </w:r>
            <w:r>
              <w:rPr>
                <w:b/>
                <w:bCs/>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100.950.188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102.838.841</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81.602.029</w:t>
            </w:r>
            <w:r>
              <w:rPr>
                <w:color w:val="000000"/>
                <w:sz w:val="22"/>
                <w:szCs w:val="22"/>
                <w:highlight w:val="white"/>
              </w:rPr>
            </w:r>
            <w:r>
              <w:rPr>
                <w:color w:val="000000"/>
                <w:sz w:val="22"/>
                <w:szCs w:val="22"/>
                <w:highlight w:val="white"/>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C.4</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Vị trí</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Xã Tây Phương, Thành phố Hà Nội, cách đường Cống Cầu Tiên khoảng 120m</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Xã Tây Phương, Thành phố Hà Nội, tiếp giáp đường Thái Hòa</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Xã Tây Phương, Thành phố Hà Nội, tiếp giáp đường Thái Hòa</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themeColor="text1"/>
                <w:sz w:val="22"/>
                <w:szCs w:val="22"/>
                <w:highlight w:val="white"/>
              </w:rPr>
              <w:t xml:space="preserve">Xã Tây Phương, Thành phố Hà Nội, cách đường DT 419 khoảng 100m</w:t>
            </w:r>
            <w:r>
              <w:rPr>
                <w:color w:val="000000"/>
                <w:sz w:val="22"/>
                <w:szCs w:val="22"/>
                <w:highlight w:val="white"/>
              </w:rPr>
            </w:r>
            <w:r>
              <w:rPr>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-15.142.528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-15.425.826</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85.807.660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87.413.015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81.602.029</w:t>
            </w:r>
            <w:r>
              <w:rPr>
                <w:color w:val="000000"/>
                <w:sz w:val="22"/>
                <w:szCs w:val="22"/>
                <w:highlight w:val="white"/>
              </w:rPr>
            </w:r>
            <w:r>
              <w:rPr>
                <w:color w:val="000000"/>
                <w:sz w:val="22"/>
                <w:szCs w:val="22"/>
                <w:highlight w:val="white"/>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C.5</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Giao thông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Đường bê tông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Đường nhựa không có vỉa hè</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Đường nhựa không có vỉa hè</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Đường nhựa có vỉa hè</w:t>
            </w:r>
            <w:r>
              <w:rPr>
                <w:b/>
                <w:bCs/>
                <w:color w:val="000000"/>
                <w:sz w:val="22"/>
                <w:szCs w:val="22"/>
                <w:highlight w:val="white"/>
              </w:rPr>
            </w:r>
            <w:r>
              <w:rPr>
                <w:b/>
                <w:bCs/>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-10%</w:t>
            </w:r>
            <w:r>
              <w:rPr>
                <w:color w:val="000000"/>
                <w:sz w:val="22"/>
                <w:szCs w:val="22"/>
                <w:highlight w:val="white"/>
              </w:rPr>
            </w:r>
            <w:r>
              <w:rPr>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-3.028.506</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-3.085.165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-8.160.203</w:t>
            </w:r>
            <w:r>
              <w:rPr>
                <w:color w:val="000000"/>
                <w:sz w:val="22"/>
                <w:szCs w:val="22"/>
                <w:highlight w:val="white"/>
              </w:rPr>
            </w:r>
            <w:r>
              <w:rPr>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82.779.154</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84.327.850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73.441.826</w:t>
            </w:r>
            <w:r>
              <w:rPr>
                <w:color w:val="000000"/>
                <w:sz w:val="22"/>
                <w:szCs w:val="22"/>
                <w:highlight w:val="white"/>
              </w:rPr>
            </w:r>
            <w:r>
              <w:rPr>
                <w:color w:val="000000"/>
                <w:sz w:val="22"/>
                <w:szCs w:val="22"/>
                <w:highlight w:val="white"/>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C.6</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Độ rộng đường trước tài sản (m)</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7</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7</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8</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5,5</w:t>
            </w:r>
            <w:r>
              <w:rPr>
                <w:b/>
                <w:bCs/>
                <w:color w:val="000000"/>
                <w:sz w:val="22"/>
                <w:szCs w:val="22"/>
                <w:highlight w:val="white"/>
              </w:rPr>
            </w:r>
            <w:r>
              <w:rPr>
                <w:b/>
                <w:bCs/>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4.080.101</w:t>
            </w:r>
            <w:r>
              <w:rPr>
                <w:color w:val="000000"/>
                <w:sz w:val="22"/>
                <w:szCs w:val="22"/>
                <w:highlight w:val="white"/>
              </w:rPr>
            </w:r>
            <w:r>
              <w:rPr>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82.779.154</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70.776.448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77.521.927</w:t>
            </w:r>
            <w:r>
              <w:rPr>
                <w:color w:val="000000"/>
                <w:sz w:val="22"/>
                <w:szCs w:val="22"/>
                <w:highlight w:val="white"/>
              </w:rPr>
            </w:r>
            <w:r>
              <w:rPr>
                <w:color w:val="000000"/>
                <w:sz w:val="22"/>
                <w:szCs w:val="22"/>
                <w:highlight w:val="white"/>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C.7</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Diện tích đất (m²)</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(m2)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144</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107</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107</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83,8</w:t>
            </w:r>
            <w:r>
              <w:rPr>
                <w:b/>
                <w:bCs/>
                <w:color w:val="000000"/>
                <w:sz w:val="22"/>
                <w:szCs w:val="22"/>
                <w:highlight w:val="white"/>
              </w:rPr>
            </w:r>
            <w:r>
              <w:rPr>
                <w:b/>
                <w:bCs/>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-8.076.015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-7.142.995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74.703.139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63.633.453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77.521.927</w:t>
            </w:r>
            <w:r>
              <w:rPr>
                <w:color w:val="000000"/>
                <w:sz w:val="22"/>
                <w:szCs w:val="22"/>
                <w:highlight w:val="white"/>
              </w:rPr>
            </w:r>
            <w:r>
              <w:rPr>
                <w:color w:val="000000"/>
                <w:sz w:val="22"/>
                <w:szCs w:val="22"/>
                <w:highlight w:val="white"/>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C.8</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Mặt tiền (m)</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8</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5</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4</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5,7</w:t>
            </w:r>
            <w:r>
              <w:rPr>
                <w:b/>
                <w:bCs/>
                <w:color w:val="000000"/>
                <w:sz w:val="22"/>
                <w:szCs w:val="22"/>
                <w:highlight w:val="white"/>
              </w:rPr>
            </w:r>
            <w:r>
              <w:rPr>
                <w:b/>
                <w:bCs/>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5.047.509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7.142.995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2.448.061</w:t>
            </w:r>
            <w:r>
              <w:rPr>
                <w:color w:val="000000"/>
                <w:sz w:val="22"/>
                <w:szCs w:val="22"/>
                <w:highlight w:val="white"/>
              </w:rPr>
            </w:r>
            <w:r>
              <w:rPr>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79.750.648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70.776.448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75.889.887</w:t>
            </w:r>
            <w:r>
              <w:rPr>
                <w:color w:val="000000"/>
                <w:sz w:val="22"/>
                <w:szCs w:val="22"/>
                <w:highlight w:val="white"/>
              </w:rPr>
            </w:r>
            <w:r>
              <w:rPr>
                <w:color w:val="000000"/>
                <w:sz w:val="22"/>
                <w:szCs w:val="22"/>
                <w:highlight w:val="white"/>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C.9</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Số lượng mặt tiếp giáp</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1 mặt tiền</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1 mặt tiền</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1 mặt tiền</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1 mặt tiền</w:t>
            </w:r>
            <w:r>
              <w:rPr>
                <w:b/>
                <w:bCs/>
                <w:color w:val="000000"/>
                <w:sz w:val="22"/>
                <w:szCs w:val="22"/>
                <w:highlight w:val="white"/>
              </w:rPr>
            </w:r>
            <w:r>
              <w:rPr>
                <w:b/>
                <w:bCs/>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79.750.648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70.776.448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75.889.887</w:t>
            </w:r>
            <w:r>
              <w:rPr>
                <w:color w:val="000000"/>
                <w:sz w:val="22"/>
                <w:szCs w:val="22"/>
                <w:highlight w:val="white"/>
              </w:rPr>
            </w:r>
            <w:r>
              <w:rPr>
                <w:color w:val="000000"/>
                <w:sz w:val="22"/>
                <w:szCs w:val="22"/>
                <w:highlight w:val="white"/>
              </w:rPr>
            </w:r>
          </w:p>
        </w:tc>
      </w:tr>
      <w:tr>
        <w:trPr>
          <w:trHeight w:val="20"/>
        </w:trPr>
        <w:tc>
          <w:tcPr>
            <w:shd w:val="clear" w:color="000000" w:fill="ffffff"/>
            <w:tcBorders/>
            <w:tcW w:w="675"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C.10</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Hình dáng thửa đất</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Hình chữ nhật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Hình vuông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Hình chữ nhật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Hình chữ nhật</w:t>
            </w:r>
            <w:r>
              <w:rPr>
                <w:b/>
                <w:bCs/>
                <w:color w:val="000000"/>
                <w:sz w:val="22"/>
                <w:szCs w:val="22"/>
                <w:highlight w:val="white"/>
              </w:rPr>
            </w:r>
            <w:r>
              <w:rPr>
                <w:b/>
                <w:bCs/>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75"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79.750.648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70.776.448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75.889.887</w:t>
            </w:r>
            <w:r>
              <w:rPr>
                <w:color w:val="000000"/>
                <w:sz w:val="22"/>
                <w:szCs w:val="22"/>
                <w:highlight w:val="white"/>
              </w:rPr>
            </w:r>
            <w:r>
              <w:rPr>
                <w:color w:val="000000"/>
                <w:sz w:val="22"/>
                <w:szCs w:val="22"/>
                <w:highlight w:val="white"/>
              </w:rPr>
            </w:r>
          </w:p>
        </w:tc>
      </w:tr>
      <w:tr>
        <w:trPr>
          <w:trHeight w:val="20"/>
        </w:trPr>
        <w:tc>
          <w:tcPr>
            <w:shd w:val="clear" w:color="000000" w:fill="ffffff"/>
            <w:tcBorders/>
            <w:tcW w:w="675"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D</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Mức giá chỉ dẫn </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Đồng/m²</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79.750.648</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70.776.448</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75.889.887</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75"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D1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trị trung bình </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75.472.328</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75"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D2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độ chênh lệch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5,67%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-6,22%</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0,55%</w:t>
            </w:r>
            <w:r>
              <w:rPr>
                <w:color w:val="000000"/>
                <w:sz w:val="22"/>
                <w:szCs w:val="22"/>
                <w:highlight w:val="white"/>
              </w:rPr>
            </w:r>
            <w:r>
              <w:rPr>
                <w:color w:val="000000"/>
                <w:sz w:val="22"/>
                <w:szCs w:val="22"/>
                <w:highlight w:val="white"/>
              </w:rPr>
            </w:r>
          </w:p>
        </w:tc>
      </w:tr>
      <w:tr>
        <w:trPr>
          <w:trHeight w:val="20"/>
        </w:trPr>
        <w:tc>
          <w:tcPr>
            <w:shd w:val="clear" w:color="000000" w:fill="ffffff"/>
            <w:tcBorders/>
            <w:tcW w:w="675"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E</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Tổng hợp các số liệu điều chỉnh tại mục C</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75"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 giá trị điều chỉnh gộp</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31.294.558</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32.796.981</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18.768.466</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75"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 số lần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Lần</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4</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4</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4</w:t>
            </w:r>
            <w:r>
              <w:rPr>
                <w:sz w:val="22"/>
                <w:szCs w:val="22"/>
                <w:highlight w:val="white"/>
              </w:rPr>
            </w:r>
            <w:r>
              <w:rPr>
                <w:sz w:val="22"/>
                <w:szCs w:val="22"/>
                <w:highlight w:val="white"/>
              </w:rPr>
            </w:r>
          </w:p>
        </w:tc>
      </w:tr>
      <w:tr>
        <w:trPr>
          <w:trHeight w:val="20"/>
        </w:trPr>
        <w:tc>
          <w:tcPr>
            <w:shd w:val="clear" w:color="000000" w:fill="ffffff"/>
            <w:tcBorders/>
            <w:tcW w:w="675"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E3</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Biên độ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 - 15%</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 - 15%</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3% - 10%</w:t>
            </w:r>
            <w:r>
              <w:rPr>
                <w:sz w:val="22"/>
                <w:szCs w:val="22"/>
                <w:highlight w:val="white"/>
              </w:rPr>
            </w:r>
            <w:r>
              <w:rPr>
                <w:sz w:val="22"/>
                <w:szCs w:val="22"/>
                <w:highlight w:val="white"/>
              </w:rPr>
            </w:r>
          </w:p>
        </w:tc>
      </w:tr>
      <w:tr>
        <w:trPr>
          <w:trHeight w:val="20"/>
        </w:trPr>
        <w:tc>
          <w:tcPr>
            <w:shd w:val="clear" w:color="000000" w:fill="ffffff"/>
            <w:tcBorders/>
            <w:tcW w:w="675"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E4</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 giá trị điều chỉnh thuần </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21.199.540</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18.510.991</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5,712.142</w:t>
            </w:r>
            <w:r>
              <w:rPr>
                <w:sz w:val="22"/>
                <w:szCs w:val="22"/>
                <w:highlight w:val="white"/>
              </w:rPr>
            </w:r>
            <w:r>
              <w:rPr>
                <w:sz w:val="22"/>
                <w:szCs w:val="22"/>
                <w:highlight w:val="white"/>
              </w:rPr>
            </w:r>
          </w:p>
        </w:tc>
      </w:tr>
    </w:tbl>
    <w:p>
      <w:pPr>
        <w:pBdr/>
        <w:spacing w:after="120" w:before="120" w:line="276" w:lineRule="auto"/>
        <w:ind/>
        <w:jc w:val="both"/>
        <w:rPr>
          <w:b/>
          <w:bCs/>
          <w:i/>
          <w:iCs/>
          <w:highlight w:val="white"/>
        </w:rPr>
      </w:pPr>
      <w:r>
        <w:rPr>
          <w:i/>
          <w:iCs/>
          <w:highlight w:val="white"/>
          <w:u w:val="single"/>
        </w:rPr>
        <w:t xml:space="preserve"> </w:t>
      </w:r>
      <w:r>
        <w:rPr>
          <w:b/>
          <w:bCs/>
          <w:i/>
          <w:iCs/>
          <w:highlight w:val="white"/>
          <w:u w:val="single"/>
        </w:rPr>
        <w:t xml:space="preserve">Về nguyên tắc khống chế</w:t>
      </w:r>
      <w:r>
        <w:rPr>
          <w:b/>
          <w:bCs/>
          <w:i/>
          <w:iCs/>
          <w:highlight w:val="white"/>
        </w:rPr>
        <w:t xml:space="preserve">: </w:t>
      </w:r>
      <w:r>
        <w:rPr>
          <w:b/>
          <w:bCs/>
          <w:i/>
          <w:iCs/>
          <w:highlight w:val="white"/>
        </w:rPr>
      </w:r>
      <w:r>
        <w:rPr>
          <w:b/>
          <w:bCs/>
          <w:i/>
          <w:iCs/>
          <w:highlight w:val="white"/>
        </w:rPr>
      </w:r>
    </w:p>
    <w:p>
      <w:pPr>
        <w:pBdr/>
        <w:spacing w:after="120" w:before="120" w:line="276" w:lineRule="auto"/>
        <w:ind/>
        <w:jc w:val="both"/>
        <w:rPr>
          <w:b/>
          <w:bCs/>
          <w:highlight w:val="white"/>
          <w:u w:val="single"/>
        </w:rPr>
      </w:pPr>
      <w:r>
        <w:rPr>
          <w:highlight w:val="white"/>
        </w:rPr>
        <w:t xml:space="preserve">Theo số liệu tại mục </w:t>
      </w:r>
      <w:r>
        <w:rPr>
          <w:highlight w:val="white"/>
        </w:rPr>
        <w:t xml:space="preserve">D</w:t>
      </w:r>
      <w:r>
        <w:rPr>
          <w:highlight w:val="white"/>
        </w:rPr>
        <w:t xml:space="preserve">2, chênh lệch giữa mức giá trung bình của các mức giá chỉ dẫn nằm trong khoảng từ </w:t>
      </w:r>
      <w:r>
        <w:rPr>
          <w:highlight w:val="white"/>
        </w:rPr>
        <w:t xml:space="preserve"> -6,22</w:t>
      </w:r>
      <w:r>
        <w:rPr>
          <w:highlight w:val="white"/>
        </w:rPr>
        <w:t xml:space="preserve">% đến</w:t>
      </w:r>
      <w:r>
        <w:rPr>
          <w:highlight w:val="white"/>
        </w:rPr>
        <w:t xml:space="preserve"> </w:t>
      </w:r>
      <w:r>
        <w:rPr>
          <w:highlight w:val="white"/>
        </w:rPr>
        <w:t xml:space="preserve"> </w:t>
      </w:r>
      <w:r>
        <w:rPr>
          <w:highlight w:val="white"/>
        </w:rPr>
        <w:t xml:space="preserve">5,67</w:t>
      </w:r>
      <w:r>
        <w:rPr>
          <w:highlight w:val="white"/>
        </w:rPr>
        <w:t xml:space="preserve">%, đảm bảo không quá 15% (theo </w:t>
      </w:r>
      <w:r>
        <w:rPr>
          <w:highlight w:val="white"/>
        </w:rPr>
        <w:t xml:space="preserve">Thông tư số 32/2024</w:t>
      </w:r>
      <w:r>
        <w:rPr>
          <w:highlight w:val="white"/>
        </w:rPr>
        <w:t xml:space="preserve">/TT-BTC</w:t>
      </w:r>
      <w:r>
        <w:rPr>
          <w:highlight w:val="white"/>
        </w:rPr>
        <w:t xml:space="preserve"> ngày 16/5/2024 của Bộ Tài </w:t>
      </w:r>
      <w:r>
        <w:rPr>
          <w:highlight w:val="white"/>
        </w:rPr>
        <w:t xml:space="preserve">c</w:t>
      </w:r>
      <w:r>
        <w:rPr>
          <w:highlight w:val="white"/>
        </w:rPr>
        <w:t xml:space="preserve">hính)</w:t>
      </w:r>
      <w:r>
        <w:rPr>
          <w:highlight w:val="white"/>
        </w:rPr>
        <w:t xml:space="preserve">.</w:t>
      </w:r>
      <w:r>
        <w:rPr>
          <w:b/>
          <w:bCs/>
          <w:highlight w:val="white"/>
          <w:u w:val="single"/>
        </w:rPr>
      </w:r>
      <w:r>
        <w:rPr>
          <w:b/>
          <w:bCs/>
          <w:highlight w:val="white"/>
          <w:u w:val="single"/>
        </w:rPr>
      </w:r>
    </w:p>
    <w:p>
      <w:pPr>
        <w:pBdr/>
        <w:spacing w:after="120" w:before="120" w:line="276" w:lineRule="auto"/>
        <w:ind/>
        <w:rPr>
          <w:b/>
          <w:bCs/>
          <w:i/>
          <w:iCs/>
          <w:highlight w:val="white"/>
          <w:u w:val="single"/>
        </w:rPr>
      </w:pPr>
      <w:r>
        <w:rPr>
          <w:b/>
          <w:bCs/>
          <w:i/>
          <w:iCs/>
          <w:highlight w:val="white"/>
          <w:u w:val="single"/>
        </w:rPr>
        <w:t xml:space="preserve">Về thống nhất mức giá chỉ dẫn</w:t>
      </w:r>
      <w:r>
        <w:rPr>
          <w:b/>
          <w:bCs/>
          <w:i/>
          <w:iCs/>
          <w:highlight w:val="white"/>
          <w:u w:val="single"/>
        </w:rPr>
        <w:t xml:space="preserve">:</w:t>
      </w:r>
      <w:r>
        <w:rPr>
          <w:b/>
          <w:bCs/>
          <w:i/>
          <w:iCs/>
          <w:highlight w:val="white"/>
          <w:u w:val="single"/>
        </w:rPr>
      </w:r>
      <w:r>
        <w:rPr>
          <w:b/>
          <w:bCs/>
          <w:i/>
          <w:iCs/>
          <w:highlight w:val="white"/>
          <w:u w:val="single"/>
        </w:rPr>
      </w:r>
    </w:p>
    <w:p>
      <w:pPr>
        <w:pBdr/>
        <w:spacing/>
        <w:ind/>
        <w:jc w:val="right"/>
        <w:rPr>
          <w:i/>
          <w:iCs/>
          <w:highlight w:val="white"/>
        </w:rPr>
      </w:pPr>
      <w:r>
        <w:rPr>
          <w:i/>
          <w:iCs/>
          <w:highlight w:val="white"/>
        </w:rPr>
        <w:t xml:space="preserve">Đơn vị tính: Đồng/m²</w:t>
      </w:r>
      <w:r>
        <w:rPr>
          <w:i/>
          <w:iCs/>
          <w:highlight w:val="white"/>
        </w:rPr>
      </w:r>
      <w:r>
        <w:rPr>
          <w:i/>
          <w:iCs/>
          <w:highlight w:val="whit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highlight w:val="white"/>
              </w:rPr>
            </w:pPr>
            <w:r>
              <w:rPr>
                <w:b/>
                <w:bCs/>
                <w:color w:val="000000"/>
                <w:highlight w:val="white"/>
              </w:rPr>
              <w:t xml:space="preserve">TT</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highlight w:val="white"/>
              </w:rPr>
            </w:pPr>
            <w:r>
              <w:rPr>
                <w:b/>
                <w:bCs/>
                <w:color w:val="000000"/>
                <w:highlight w:val="white"/>
              </w:rPr>
              <w:t xml:space="preserve">Tài sản</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highlight w:val="white"/>
              </w:rPr>
            </w:pPr>
            <w:r>
              <w:rPr>
                <w:b/>
                <w:bCs/>
                <w:color w:val="000000"/>
                <w:highlight w:val="white"/>
              </w:rPr>
              <w:t xml:space="preserve">Mức giá chỉ dẫn của các TSSS</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highlight w:val="white"/>
              </w:rPr>
            </w:pPr>
            <w:r>
              <w:rPr>
                <w:b/>
                <w:bCs/>
                <w:color w:val="000000"/>
                <w:highlight w:val="white"/>
              </w:rPr>
              <w:t xml:space="preserve">Trọng số của các TSSS sau điều chỉnh</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highlight w:val="white"/>
              </w:rPr>
              <w:t xml:space="preserve">Giá trị trung bình của mức giá chỉ dẫn sau điều chỉnh</w:t>
            </w:r>
            <w:r>
              <w:rPr>
                <w:b/>
                <w:bCs/>
                <w:color w:val="000000"/>
                <w:highlight w:val="white"/>
              </w:rPr>
            </w:r>
            <w:r>
              <w:rPr>
                <w:b/>
                <w:bCs/>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1</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1</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79.750.648</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33,34</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26.588.866</w:t>
            </w:r>
            <w:r>
              <w:rPr>
                <w:color w:val="000000"/>
                <w:highlight w:val="white"/>
              </w:rPr>
            </w:r>
            <w:r>
              <w:rPr>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2</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2</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70.776.448</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23.589.790</w:t>
            </w:r>
            <w:r>
              <w:rPr>
                <w:color w:val="000000"/>
                <w:highlight w:val="white"/>
              </w:rPr>
            </w:r>
            <w:r>
              <w:rPr>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3</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3</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75.889.887</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25.294.099</w:t>
            </w:r>
            <w:r>
              <w:rPr>
                <w:color w:val="000000"/>
                <w:highlight w:val="white"/>
              </w:rPr>
            </w:r>
            <w:r>
              <w:rPr>
                <w:color w:val="000000"/>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highlight w:val="white"/>
              </w:rPr>
            </w:pPr>
            <w:r>
              <w:rPr>
                <w:b/>
                <w:bCs/>
                <w:color w:val="000000"/>
                <w:highlight w:val="white"/>
              </w:rPr>
              <w:t xml:space="preserve">Giá trị bình quân theo trọng số:</w:t>
            </w:r>
            <w:r>
              <w:rPr>
                <w:b/>
                <w:bCs/>
                <w:color w:val="000000"/>
                <w:highlight w:val="white"/>
              </w:rPr>
            </w:r>
            <w:r>
              <w:rPr>
                <w:b/>
                <w:bCs/>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themeColor="text1"/>
                <w:highlight w:val="white"/>
                <w:lang w:val="vi-VN"/>
              </w:rPr>
              <w:t xml:space="preserve">75.472.755</w:t>
            </w:r>
            <w:r>
              <w:rPr>
                <w:b/>
                <w:bCs/>
                <w:color w:val="000000"/>
                <w:highlight w:val="white"/>
              </w:rPr>
            </w:r>
            <w:r>
              <w:rPr>
                <w:b/>
                <w:bCs/>
                <w:color w:val="000000"/>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highlight w:val="white"/>
              </w:rPr>
            </w:pPr>
            <w:r>
              <w:rPr>
                <w:b/>
                <w:bCs/>
                <w:color w:val="000000"/>
                <w:highlight w:val="white"/>
              </w:rPr>
              <w:t xml:space="preserve">Làm tròn:</w:t>
            </w:r>
            <w:r>
              <w:rPr>
                <w:b/>
                <w:bCs/>
                <w:color w:val="000000"/>
                <w:highlight w:val="white"/>
              </w:rPr>
            </w:r>
            <w:r>
              <w:rPr>
                <w:b/>
                <w:bCs/>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themeColor="text1"/>
                <w:highlight w:val="white"/>
                <w:lang w:val="vi-VN"/>
              </w:rPr>
              <w:t xml:space="preserve">75.000.000</w:t>
            </w:r>
            <w:r>
              <w:rPr>
                <w:b/>
                <w:bCs/>
                <w:color w:val="000000"/>
                <w:highlight w:val="white"/>
              </w:rPr>
            </w:r>
            <w:r>
              <w:rPr>
                <w:b/>
                <w:bCs/>
                <w:color w:val="000000"/>
                <w:highlight w:val="white"/>
              </w:rPr>
            </w:r>
          </w:p>
        </w:tc>
      </w:tr>
    </w:tbl>
    <w:p>
      <w:pPr>
        <w:pBdr/>
        <w:spacing w:after="120" w:before="120" w:line="276" w:lineRule="auto"/>
        <w:ind/>
        <w:jc w:val="both"/>
        <w:rPr>
          <w:b/>
          <w:bCs/>
          <w:highlight w:val="white"/>
        </w:rPr>
      </w:pPr>
      <w:r>
        <w:rPr>
          <w:highlight w:val="white"/>
        </w:rPr>
        <w:t xml:space="preserve">Tổ thẩm định sử dụng mức giá chỉ dẫn là mức giá bình quân có trọng số của 03 tài sản so sánh làm mức giá của tài sản thẩm định, tương ứng là</w:t>
      </w:r>
      <w:r>
        <w:rPr>
          <w:highlight w:val="white"/>
        </w:rPr>
        <w:t xml:space="preserve">:</w:t>
      </w:r>
      <w:r>
        <w:rPr>
          <w:highlight w:val="white"/>
        </w:rPr>
        <w:t xml:space="preserve"> </w:t>
      </w:r>
      <w:r>
        <w:rPr>
          <w:b/>
          <w:bCs/>
          <w:color w:val="000000" w:themeColor="text1"/>
          <w:highlight w:val="white"/>
          <w:lang w:val="vi-VN"/>
        </w:rPr>
        <w:t xml:space="preserve">75.000.000</w:t>
      </w:r>
      <w:r>
        <w:rPr>
          <w:b/>
          <w:bCs/>
          <w:color w:val="000000" w:themeColor="text1"/>
          <w:highlight w:val="white"/>
        </w:rPr>
        <w:t xml:space="preserve"> </w:t>
      </w:r>
      <w:r>
        <w:rPr>
          <w:b/>
          <w:bCs/>
          <w:highlight w:val="white"/>
        </w:rPr>
        <w:t xml:space="preserve">đồng/m².</w:t>
      </w:r>
      <w:r>
        <w:rPr>
          <w:b/>
          <w:bCs/>
          <w:highlight w:val="white"/>
        </w:rPr>
      </w:r>
      <w:r>
        <w:rPr>
          <w:b/>
          <w:bCs/>
          <w:highlight w:val="white"/>
        </w:rPr>
      </w:r>
    </w:p>
    <w:p>
      <w:pPr>
        <w:pStyle w:val="1027"/>
        <w:numPr>
          <w:ilvl w:val="0"/>
          <w:numId w:val="26"/>
        </w:numPr>
        <w:pBdr/>
        <w:spacing w:after="120" w:before="120" w:line="276" w:lineRule="auto"/>
        <w:ind w:hanging="357" w:left="357"/>
        <w:jc w:val="both"/>
        <w:rPr>
          <w:b/>
          <w:highlight w:val="white"/>
        </w:rPr>
      </w:pPr>
      <w:r>
        <w:rPr>
          <w:b/>
          <w:highlight w:val="white"/>
          <w:lang w:val="pt-BR"/>
        </w:rPr>
        <w:t xml:space="preserve">Kết quả thẩm định giá:</w:t>
      </w:r>
      <w:r>
        <w:rPr>
          <w:b/>
          <w:highlight w:val="white"/>
          <w:lang w:val="pt-BR"/>
        </w:rPr>
      </w:r>
      <w:r>
        <w:rPr>
          <w:b/>
          <w:highlight w:val="white"/>
          <w:lang w:val="pt-BR"/>
        </w:rPr>
      </w:r>
    </w:p>
    <w:p>
      <w:pPr>
        <w:pStyle w:val="1027"/>
        <w:pBdr/>
        <w:tabs>
          <w:tab w:val="left" w:leader="none" w:pos="993"/>
        </w:tabs>
        <w:spacing w:after="120" w:before="120" w:line="276" w:lineRule="auto"/>
        <w:ind w:left="0"/>
        <w:jc w:val="both"/>
        <w:rPr>
          <w:highlight w:val="none"/>
        </w:rPr>
      </w:pPr>
      <w:r>
        <w:rPr>
          <w:highlight w:val="white"/>
          <w:lang w:val="pt-BR"/>
        </w:rPr>
        <w:t xml:space="preserve">Dựa trên các lập luận trên, </w:t>
      </w:r>
      <w:r>
        <w:rPr>
          <w:highlight w:val="white"/>
          <w:lang w:val="pt-BR"/>
        </w:rPr>
        <w:t xml:space="preserve">T</w:t>
      </w:r>
      <w:r>
        <w:rPr>
          <w:highlight w:val="white"/>
          <w:lang w:val="pt-BR"/>
        </w:rPr>
        <w:t xml:space="preserve">ổ</w:t>
      </w:r>
      <w:r>
        <w:rPr>
          <w:highlight w:val="white"/>
          <w:lang w:val="pt-BR"/>
        </w:rPr>
        <w:t xml:space="preserve"> thẩm định ước tính giá trị </w:t>
      </w:r>
      <w:r>
        <w:rPr>
          <w:highlight w:val="white"/>
          <w:lang w:val="vi-VN"/>
        </w:rPr>
        <w:t xml:space="preserve">tài sản thẩm định giá</w:t>
      </w:r>
      <w:r>
        <w:rPr>
          <w:highlight w:val="white"/>
          <w:lang w:val="pt-BR"/>
        </w:rPr>
        <w:t xml:space="preserve"> </w:t>
      </w:r>
      <w:r>
        <w:rPr>
          <w:highlight w:val="white"/>
          <w:lang w:val="de-DE"/>
        </w:rPr>
        <w:t xml:space="preserve">chưa bao gồm các loại thuế, phí và lệ phí liên quan đến việc chuyển nhượng tài sản</w:t>
      </w:r>
      <w:r>
        <w:rPr>
          <w:highlight w:val="white"/>
          <w:lang w:val="pt-BR"/>
        </w:rPr>
        <w:t xml:space="preserve"> tại thời điểm thẩm định giá </w:t>
      </w:r>
      <w:r>
        <w:rPr>
          <w:highlight w:val="white"/>
        </w:rPr>
        <w:t xml:space="preserve">tháng 09/2026</w:t>
      </w:r>
      <w:r>
        <w:rPr>
          <w:highlight w:val="white"/>
        </w:rPr>
        <w:t xml:space="preserve"> </w:t>
      </w:r>
      <w:r>
        <w:rPr>
          <w:highlight w:val="white"/>
        </w:rPr>
        <w:t xml:space="preserve">ước tính </w:t>
      </w:r>
      <w:r>
        <w:rPr>
          <w:highlight w:val="white"/>
        </w:rPr>
        <w:t xml:space="preserve">như sau</w:t>
      </w:r>
      <w:r>
        <w:rPr>
          <w:highlight w:val="white"/>
        </w:rPr>
        <w:t xml:space="preserve">:</w:t>
      </w:r>
      <w:r>
        <w:rPr>
          <w:highlight w:val="white"/>
        </w:rPr>
      </w:r>
    </w:p>
    <w:p>
      <w:pPr>
        <w:pStyle w:val="1027"/>
        <w:pBdr/>
        <w:tabs>
          <w:tab w:val="left" w:leader="none" w:pos="993"/>
        </w:tabs>
        <w:spacing w:after="120" w:before="120" w:line="276" w:lineRule="auto"/>
        <w:ind w:left="0"/>
        <w:jc w:val="both"/>
        <w:rPr>
          <w:highlight w:val="white"/>
        </w:rPr>
      </w:pPr>
      <w:r>
        <w:rPr>
          <w:highlight w:val="white"/>
        </w:rPr>
      </w:r>
      <w:r>
        <w:rPr>
          <w:highlight w:val="white"/>
        </w:rPr>
      </w:r>
      <w:r>
        <w:rPr>
          <w:highlight w:val="white"/>
        </w:rPr>
      </w:r>
    </w:p>
    <w:p>
      <w:pPr>
        <w:pStyle w:val="1027"/>
        <w:pBdr/>
        <w:tabs>
          <w:tab w:val="left" w:leader="none" w:pos="993"/>
        </w:tabs>
        <w:spacing w:after="120" w:before="120" w:line="276" w:lineRule="auto"/>
        <w:ind w:left="0"/>
        <w:jc w:val="both"/>
        <w:rPr>
          <w:highlight w:val="white"/>
        </w:rPr>
      </w:pPr>
      <w:r>
        <w:rPr>
          <w:highlight w:val="none"/>
        </w:rPr>
      </w:r>
      <w:r>
        <w:rPr>
          <w:highlight w:val="none"/>
        </w:rPr>
      </w:r>
      <w:r>
        <w:rPr>
          <w:highlight w:val="none"/>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highlight w:val="white"/>
              </w:rPr>
            </w:pPr>
            <w:r>
              <w:rPr>
                <w:b/>
                <w:bCs/>
                <w:highlight w:val="white"/>
              </w:rPr>
              <w:t xml:space="preserve">TT</w:t>
            </w:r>
            <w:r>
              <w:rPr>
                <w:b/>
                <w:bCs/>
                <w:highlight w:val="white"/>
              </w:rPr>
            </w:r>
            <w:r>
              <w:rPr>
                <w:b/>
                <w:bCs/>
                <w:highlight w:val="white"/>
              </w:rPr>
            </w:r>
          </w:p>
        </w:tc>
        <w:tc>
          <w:tcPr>
            <w:shd w:val="clear" w:color="000000" w:fill="ffffff"/>
            <w:tcBorders/>
            <w:tcW w:w="2025" w:type="dxa"/>
            <w:vAlign w:val="center"/>
            <w:textDirection w:val="lrTb"/>
            <w:noWrap w:val="false"/>
          </w:tcPr>
          <w:p>
            <w:pPr>
              <w:pBdr/>
              <w:spacing w:after="40" w:before="40" w:line="288" w:lineRule="auto"/>
              <w:ind/>
              <w:jc w:val="center"/>
              <w:rPr>
                <w:b/>
                <w:bCs/>
                <w:highlight w:val="white"/>
              </w:rPr>
            </w:pPr>
            <w:r>
              <w:rPr>
                <w:b/>
                <w:bCs/>
                <w:highlight w:val="white"/>
              </w:rPr>
              <w:t xml:space="preserve">Tài sản</w:t>
            </w:r>
            <w:r>
              <w:rPr>
                <w:b/>
                <w:bCs/>
                <w:highlight w:val="white"/>
              </w:rPr>
            </w:r>
            <w:r>
              <w:rPr>
                <w:b/>
                <w:bCs/>
                <w:highlight w:val="white"/>
              </w:rPr>
            </w:r>
          </w:p>
        </w:tc>
        <w:tc>
          <w:tcPr>
            <w:shd w:val="clear" w:color="000000" w:fill="ffffff"/>
            <w:tcBorders/>
            <w:tcW w:w="1802" w:type="dxa"/>
            <w:vAlign w:val="center"/>
            <w:textDirection w:val="lrTb"/>
            <w:noWrap w:val="false"/>
          </w:tcPr>
          <w:p>
            <w:pPr>
              <w:pBdr/>
              <w:spacing w:after="40" w:before="40" w:line="288" w:lineRule="auto"/>
              <w:ind/>
              <w:jc w:val="center"/>
              <w:rPr>
                <w:b/>
                <w:bCs/>
                <w:highlight w:val="white"/>
              </w:rPr>
            </w:pPr>
            <w:r>
              <w:rPr>
                <w:b/>
                <w:bCs/>
                <w:highlight w:val="white"/>
              </w:rPr>
              <w:t xml:space="preserve">Diện tích (m²)</w:t>
            </w:r>
            <w:r>
              <w:rPr>
                <w:b/>
                <w:bCs/>
                <w:highlight w:val="white"/>
              </w:rPr>
            </w:r>
            <w:r>
              <w:rPr>
                <w:b/>
                <w:bCs/>
                <w:highlight w:val="white"/>
              </w:rPr>
            </w:r>
          </w:p>
        </w:tc>
        <w:tc>
          <w:tcPr>
            <w:shd w:val="clear" w:color="000000" w:fill="ffffff"/>
            <w:tcBorders/>
            <w:tcW w:w="2581" w:type="dxa"/>
            <w:vAlign w:val="center"/>
            <w:textDirection w:val="lrTb"/>
            <w:noWrap w:val="false"/>
          </w:tcPr>
          <w:p>
            <w:pPr>
              <w:pBdr/>
              <w:spacing w:after="40" w:before="40" w:line="288" w:lineRule="auto"/>
              <w:ind/>
              <w:jc w:val="center"/>
              <w:rPr>
                <w:b/>
                <w:bCs/>
                <w:highlight w:val="white"/>
              </w:rPr>
            </w:pPr>
            <w:r>
              <w:rPr>
                <w:b/>
                <w:bCs/>
                <w:highlight w:val="white"/>
              </w:rPr>
              <w:t xml:space="preserve">Đơn giá (đồng/m²)</w:t>
            </w:r>
            <w:r>
              <w:rPr>
                <w:b/>
                <w:bCs/>
                <w:highlight w:val="white"/>
              </w:rPr>
            </w:r>
            <w:r>
              <w:rPr>
                <w:b/>
                <w:bCs/>
                <w:highlight w:val="white"/>
              </w:rPr>
            </w:r>
          </w:p>
        </w:tc>
        <w:tc>
          <w:tcPr>
            <w:shd w:val="clear" w:color="000000" w:fill="ffffff"/>
            <w:tcBorders/>
            <w:tcW w:w="2164" w:type="dxa"/>
            <w:vAlign w:val="center"/>
            <w:textDirection w:val="lrTb"/>
            <w:noWrap w:val="false"/>
          </w:tcPr>
          <w:p>
            <w:pPr>
              <w:pBdr/>
              <w:spacing w:after="40" w:before="40" w:line="288" w:lineRule="auto"/>
              <w:ind/>
              <w:jc w:val="center"/>
              <w:rPr>
                <w:b/>
                <w:bCs/>
                <w:highlight w:val="white"/>
              </w:rPr>
            </w:pPr>
            <w:r>
              <w:rPr>
                <w:b/>
                <w:bCs/>
                <w:highlight w:val="white"/>
              </w:rPr>
              <w:t xml:space="preserve">Thành tiền (đồng)</w:t>
            </w:r>
            <w:r>
              <w:rPr>
                <w:b/>
                <w:bCs/>
                <w:highlight w:val="white"/>
              </w:rPr>
            </w:r>
            <w:r>
              <w:rPr>
                <w:b/>
                <w:bCs/>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highlight w:val="white"/>
              </w:rPr>
            </w:pPr>
            <w:r>
              <w:rPr>
                <w:b/>
                <w:bCs/>
                <w:highlight w:val="white"/>
              </w:rPr>
              <w:t xml:space="preserve"> </w:t>
            </w:r>
            <w:r>
              <w:rPr>
                <w:b/>
                <w:bCs/>
                <w:highlight w:val="white"/>
              </w:rPr>
            </w:r>
            <w:r>
              <w:rPr>
                <w:b/>
                <w:bCs/>
                <w:highlight w:val="white"/>
              </w:rPr>
            </w:r>
          </w:p>
        </w:tc>
        <w:tc>
          <w:tcPr>
            <w:gridSpan w:val="3"/>
            <w:shd w:val="clear" w:color="000000" w:fill="ffffff"/>
            <w:tcBorders/>
            <w:tcW w:w="6408" w:type="dxa"/>
            <w:vAlign w:val="center"/>
            <w:textDirection w:val="lrTb"/>
            <w:noWrap w:val="false"/>
          </w:tcPr>
          <w:p>
            <w:pPr>
              <w:pBdr/>
              <w:spacing w:after="40" w:before="40" w:line="288" w:lineRule="auto"/>
              <w:ind/>
              <w:jc w:val="both"/>
              <w:rPr>
                <w:b/>
                <w:bCs/>
                <w:highlight w:val="white"/>
              </w:rPr>
            </w:pPr>
            <w:r>
              <w:rPr>
                <w:color w:val="000000"/>
                <w:highlight w:val="white"/>
              </w:rPr>
              <w:t xml:space="preserve">Quyền sử dụng đất tại thửa đất số: 444, tờ bản đồ số: 7, có địa chỉ: Khu Đầu Cầu Dưới, thôn Thái Hòa, xã Phú Bình, huyện Thạch Thất (nay là  xã Tây Phương), thà</w:t>
            </w:r>
            <w:r>
              <w:rPr>
                <w:color w:val="000000"/>
                <w:highlight w:val="white"/>
              </w:rPr>
              <w:t xml:space="preserve">nh phố Hà Nội theo Giấy chứng nhận quyền sử dụng đất, quyền sở hữu nhà ở và tài sản khác gắn liền với đất số: DM 355265, Số vào sổ cấp GCN: CH 00137 do UBND huyện Thạch Thất cấp ngày 20/03/2024; chủ sử dụng đất là Ông Phan Văn Toàn và Bà Nguyễn Huyền Trang</w:t>
            </w:r>
            <w:r>
              <w:rPr>
                <w:b/>
                <w:bCs/>
                <w:highlight w:val="white"/>
              </w:rPr>
              <w:t xml:space="preserve">.</w:t>
            </w:r>
            <w:r>
              <w:rPr>
                <w:b/>
                <w:bCs/>
                <w:highlight w:val="white"/>
              </w:rPr>
            </w:r>
            <w:r>
              <w:rPr>
                <w:b/>
                <w:bCs/>
                <w:highlight w:val="white"/>
              </w:rPr>
            </w:r>
          </w:p>
        </w:tc>
        <w:tc>
          <w:tcPr>
            <w:shd w:val="clear" w:color="000000" w:fill="ffffff"/>
            <w:tcBorders/>
            <w:tcW w:w="2164" w:type="dxa"/>
            <w:vAlign w:val="center"/>
            <w:textDirection w:val="lrTb"/>
            <w:noWrap w:val="false"/>
          </w:tcPr>
          <w:p>
            <w:pPr>
              <w:pBdr/>
              <w:spacing w:after="40" w:before="40" w:line="288" w:lineRule="auto"/>
              <w:ind/>
              <w:jc w:val="right"/>
              <w:rPr>
                <w:b/>
                <w:bCs/>
                <w:highlight w:val="white"/>
              </w:rPr>
            </w:pPr>
            <w:r>
              <w:rPr>
                <w:b/>
                <w:bCs/>
                <w:highlight w:val="white"/>
              </w:rPr>
              <w:t xml:space="preserve"> </w:t>
            </w:r>
            <w:r>
              <w:rPr>
                <w:b/>
                <w:bCs/>
                <w:highlight w:val="white"/>
              </w:rPr>
            </w:r>
            <w:r>
              <w:rPr>
                <w:b/>
                <w:bCs/>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highlight w:val="white"/>
              </w:rPr>
            </w:pPr>
            <w:r>
              <w:rPr>
                <w:b w:val="0"/>
                <w:bCs w:val="0"/>
                <w:highlight w:val="white"/>
              </w:rPr>
              <w:t xml:space="preserve">1</w:t>
            </w:r>
            <w:r>
              <w:rPr>
                <w:b w:val="0"/>
                <w:bCs w:val="0"/>
                <w:highlight w:val="white"/>
              </w:rPr>
            </w:r>
          </w:p>
        </w:tc>
        <w:tc>
          <w:tcPr>
            <w:shd w:val="clear" w:color="000000" w:fill="ffffff"/>
            <w:tcBorders/>
            <w:tcW w:w="2025" w:type="dxa"/>
            <w:vAlign w:val="center"/>
            <w:textDirection w:val="lrTb"/>
            <w:noWrap w:val="false"/>
          </w:tcPr>
          <w:p>
            <w:pPr>
              <w:pBdr/>
              <w:spacing w:after="40" w:before="40" w:line="288" w:lineRule="auto"/>
              <w:ind/>
              <w:rPr>
                <w:b w:val="0"/>
                <w:bCs w:val="0"/>
                <w:highlight w:val="white"/>
              </w:rPr>
            </w:pPr>
            <w:r>
              <w:rPr>
                <w:b w:val="0"/>
                <w:bCs w:val="0"/>
                <w:highlight w:val="white"/>
              </w:rPr>
              <w:t xml:space="preserve">Đất ở nông thôn</w:t>
            </w:r>
            <w:r>
              <w:rPr>
                <w:b w:val="0"/>
                <w:bCs w:val="0"/>
                <w:highlight w:val="white"/>
              </w:rPr>
            </w:r>
          </w:p>
        </w:tc>
        <w:tc>
          <w:tcPr>
            <w:tcBorders/>
            <w:tcW w:w="1802" w:type="dxa"/>
            <w:vAlign w:val="center"/>
            <w:textDirection w:val="lrTb"/>
            <w:noWrap/>
          </w:tcPr>
          <w:p>
            <w:pPr>
              <w:pBdr/>
              <w:spacing w:after="40" w:before="40" w:line="288" w:lineRule="auto"/>
              <w:ind/>
              <w:jc w:val="center"/>
              <w:rPr>
                <w:color w:val="000000"/>
                <w:highlight w:val="white"/>
              </w:rPr>
            </w:pPr>
            <w:r>
              <w:rPr>
                <w:color w:val="000000" w:themeColor="text1"/>
                <w:highlight w:val="white"/>
              </w:rPr>
              <w:t xml:space="preserve">144</w:t>
            </w:r>
            <w:r>
              <w:rPr>
                <w:color w:val="000000"/>
                <w:highlight w:val="white"/>
              </w:rPr>
            </w:r>
            <w:r>
              <w:rPr>
                <w:color w:val="000000"/>
                <w:highlight w:val="white"/>
              </w:rPr>
            </w:r>
          </w:p>
        </w:tc>
        <w:tc>
          <w:tcPr>
            <w:shd w:val="clear" w:color="000000" w:fill="ffffff"/>
            <w:tcBorders/>
            <w:tcW w:w="2581" w:type="dxa"/>
            <w:vAlign w:val="center"/>
            <w:textDirection w:val="lrTb"/>
            <w:noWrap w:val="false"/>
          </w:tcPr>
          <w:p>
            <w:pPr>
              <w:pBdr/>
              <w:spacing w:after="40" w:before="40" w:line="288" w:lineRule="auto"/>
              <w:ind/>
              <w:jc w:val="center"/>
              <w:rPr>
                <w:highlight w:val="white"/>
              </w:rPr>
            </w:pPr>
            <w:r>
              <w:rPr>
                <w:color w:val="000000" w:themeColor="text1"/>
                <w:highlight w:val="white"/>
              </w:rPr>
              <w:t xml:space="preserve">75.000.000</w:t>
            </w:r>
            <w:r>
              <w:rPr>
                <w:highlight w:val="white"/>
              </w:rPr>
            </w:r>
          </w:p>
        </w:tc>
        <w:tc>
          <w:tcPr>
            <w:shd w:val="clear" w:color="000000" w:fill="ffffff"/>
            <w:tcBorders/>
            <w:tcW w:w="2164" w:type="dxa"/>
            <w:vAlign w:val="center"/>
            <w:textDirection w:val="lrTb"/>
            <w:noWrap w:val="false"/>
          </w:tcPr>
          <w:p>
            <w:pPr>
              <w:pBdr/>
              <w:spacing w:after="40" w:before="40" w:line="288" w:lineRule="auto"/>
              <w:ind/>
              <w:jc w:val="center"/>
              <w:rPr>
                <w:highlight w:val="white"/>
              </w:rPr>
            </w:pPr>
            <w:r>
              <w:rPr>
                <w:color w:val="000000" w:themeColor="text1"/>
                <w:highlight w:val="white"/>
              </w:rPr>
              <w:t xml:space="preserve">10.800.000.000</w:t>
            </w:r>
            <w:r>
              <w:rPr>
                <w:highlight w:val="white"/>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TỔNG CỘNG:</w:t>
            </w:r>
            <w:r>
              <w:rPr>
                <w:b/>
                <w:bCs/>
                <w:color w:val="000000"/>
                <w:highlight w:val="white"/>
              </w:rPr>
            </w:r>
            <w:r>
              <w:rPr>
                <w:b/>
                <w:bCs/>
                <w:color w:val="000000"/>
                <w:highlight w:val="white"/>
              </w:rPr>
            </w:r>
          </w:p>
        </w:tc>
        <w:tc>
          <w:tcPr>
            <w:tcBorders/>
            <w:tcW w:w="2164" w:type="dxa"/>
            <w:vAlign w:val="center"/>
            <w:textDirection w:val="lrTb"/>
            <w:noWrap/>
          </w:tcPr>
          <w:p>
            <w:pPr>
              <w:pBdr/>
              <w:spacing w:after="40" w:before="40" w:line="288" w:lineRule="auto"/>
              <w:ind/>
              <w:jc w:val="center"/>
              <w:rPr>
                <w:b/>
                <w:bCs/>
                <w:highlight w:val="white"/>
              </w:rPr>
            </w:pPr>
            <w:r>
              <w:rPr>
                <w:b/>
                <w:bCs/>
                <w:color w:val="000000" w:themeColor="text1"/>
                <w:highlight w:val="white"/>
              </w:rPr>
              <w:t xml:space="preserve">10.800.000.000</w:t>
            </w:r>
            <w:r>
              <w:rPr>
                <w:b/>
                <w:bCs/>
                <w:highlight w:val="white"/>
              </w:rPr>
            </w:r>
            <w:r>
              <w:rPr>
                <w:b/>
                <w:bCs/>
                <w:highlight w:val="white"/>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highlight w:val="white"/>
              </w:rPr>
            </w:pPr>
            <w:r>
              <w:rPr>
                <w:b/>
                <w:bCs/>
                <w:i/>
                <w:iCs/>
                <w:color w:val="000000"/>
                <w:highlight w:val="white"/>
              </w:rPr>
              <w:t xml:space="preserve">(Bằng chữ: </w:t>
            </w:r>
            <w:r>
              <w:rPr>
                <w:b/>
                <w:bCs/>
                <w:i/>
                <w:iCs/>
                <w:color w:val="000000"/>
                <w:highlight w:val="white"/>
              </w:rPr>
              <w:t xml:space="preserve">Mười tỷ tám trăm triệu đồng</w:t>
            </w:r>
            <w:r>
              <w:rPr>
                <w:b/>
                <w:bCs/>
                <w:i/>
                <w:iCs/>
                <w:color w:val="000000"/>
                <w:highlight w:val="white"/>
              </w:rPr>
              <w:t xml:space="preserve">./.)</w:t>
            </w:r>
            <w:r>
              <w:rPr>
                <w:b/>
                <w:bCs/>
                <w:i/>
                <w:iCs/>
                <w:color w:val="000000"/>
                <w:highlight w:val="white"/>
              </w:rPr>
            </w:r>
            <w:r>
              <w:rPr>
                <w:b/>
                <w:bCs/>
                <w:i/>
                <w:iCs/>
                <w:color w:val="000000"/>
                <w:highlight w:val="white"/>
              </w:rPr>
            </w:r>
          </w:p>
        </w:tc>
      </w:tr>
    </w:tbl>
    <w:p>
      <w:pPr>
        <w:pStyle w:val="1027"/>
        <w:pBdr/>
        <w:tabs>
          <w:tab w:val="left" w:leader="none" w:pos="993"/>
        </w:tabs>
        <w:spacing w:after="120" w:before="120" w:line="288" w:lineRule="auto"/>
        <w:ind w:left="0"/>
        <w:jc w:val="both"/>
        <w:rPr>
          <w:b/>
          <w:highlight w:val="white"/>
        </w:rPr>
      </w:pPr>
      <w:r>
        <w:rPr>
          <w:b/>
          <w:highlight w:val="white"/>
          <w:lang w:val="pt-BR"/>
        </w:rPr>
        <w:t xml:space="preserve">IX</w:t>
      </w:r>
      <w:r>
        <w:rPr>
          <w:b/>
          <w:highlight w:val="white"/>
          <w:lang w:val="pt-BR"/>
        </w:rPr>
        <w:t xml:space="preserve">. </w:t>
      </w:r>
      <w:r>
        <w:rPr>
          <w:b/>
          <w:bCs/>
          <w:highlight w:val="white"/>
          <w:lang w:val="pt-BR"/>
        </w:rPr>
        <w:t xml:space="preserve">THỜI HẠN HIỆU LỰC CỦA KẾT QUẢ THẨM ĐỊNH GIÁ</w:t>
      </w:r>
      <w:r>
        <w:rPr>
          <w:b/>
          <w:highlight w:val="white"/>
          <w:lang w:val="pt-BR"/>
        </w:rPr>
      </w:r>
      <w:r>
        <w:rPr>
          <w:b/>
          <w:highlight w:val="white"/>
          <w:lang w:val="pt-BR"/>
        </w:rPr>
      </w:r>
    </w:p>
    <w:p>
      <w:pPr>
        <w:pStyle w:val="1027"/>
        <w:numPr>
          <w:ilvl w:val="0"/>
          <w:numId w:val="4"/>
        </w:numPr>
        <w:pBdr/>
        <w:tabs>
          <w:tab w:val="left" w:leader="none" w:pos="993"/>
        </w:tabs>
        <w:spacing w:after="120" w:before="120" w:line="288" w:lineRule="auto"/>
        <w:ind/>
        <w:jc w:val="both"/>
        <w:rPr>
          <w:b/>
          <w:highlight w:val="white"/>
        </w:rPr>
      </w:pPr>
      <w:r>
        <w:rPr>
          <w:highlight w:val="white"/>
          <w:lang w:val="pt-BR"/>
        </w:rPr>
        <w:t xml:space="preserve">Tối đa 06 (sáu) tháng tính từ ngày ký đối với tài sản là Bất động sản.</w:t>
      </w:r>
      <w:r>
        <w:rPr>
          <w:b/>
          <w:highlight w:val="white"/>
          <w:lang w:val="pt-BR"/>
        </w:rPr>
      </w:r>
      <w:r>
        <w:rPr>
          <w:b/>
          <w:highlight w:val="white"/>
          <w:lang w:val="pt-BR"/>
        </w:rPr>
      </w:r>
    </w:p>
    <w:p>
      <w:pPr>
        <w:pStyle w:val="1027"/>
        <w:pBdr/>
        <w:tabs>
          <w:tab w:val="left" w:leader="none" w:pos="993"/>
        </w:tabs>
        <w:spacing w:after="120" w:before="120" w:line="288" w:lineRule="auto"/>
        <w:ind w:left="0"/>
        <w:jc w:val="both"/>
        <w:rPr>
          <w:rFonts w:ascii="Times New Roman Bold" w:hAnsi="Times New Roman Bold"/>
          <w:b/>
          <w:bCs/>
          <w:spacing w:val="-4"/>
          <w:highlight w:val="white"/>
        </w:rPr>
      </w:pPr>
      <w:r>
        <w:rPr>
          <w:rFonts w:ascii="Times New Roman Bold" w:hAnsi="Times New Roman Bold"/>
          <w:b/>
          <w:bCs/>
          <w:spacing w:val="-4"/>
          <w:highlight w:val="white"/>
          <w:lang w:val="pt-BR"/>
        </w:rPr>
        <w:t xml:space="preserve">X. TUYÊN BỐ CHUNG VÀ MIỄN TRỪ TRÁCH NHIỆM</w:t>
      </w:r>
      <w:r>
        <w:rPr>
          <w:rFonts w:ascii="Times New Roman Bold" w:hAnsi="Times New Roman Bold"/>
          <w:b/>
          <w:bCs/>
          <w:spacing w:val="-4"/>
          <w:highlight w:val="white"/>
          <w:lang w:val="pt-BR"/>
        </w:rPr>
      </w:r>
      <w:r>
        <w:rPr>
          <w:rFonts w:ascii="Times New Roman Bold" w:hAnsi="Times New Roman Bold"/>
          <w:b/>
          <w:bCs/>
          <w:spacing w:val="-4"/>
          <w:highlight w:val="white"/>
          <w:lang w:val="pt-BR"/>
        </w:rPr>
      </w:r>
    </w:p>
    <w:p>
      <w:pPr>
        <w:pStyle w:val="1027"/>
        <w:numPr>
          <w:ilvl w:val="0"/>
          <w:numId w:val="5"/>
        </w:numPr>
        <w:pBdr/>
        <w:tabs>
          <w:tab w:val="left" w:leader="none" w:pos="993"/>
        </w:tabs>
        <w:spacing w:after="120" w:before="120" w:line="288" w:lineRule="auto"/>
        <w:ind/>
        <w:jc w:val="both"/>
        <w:rPr>
          <w:highlight w:val="white"/>
        </w:rPr>
      </w:pPr>
      <w:r>
        <w:rPr>
          <w:highlight w:val="white"/>
          <w:lang w:val="pt-BR"/>
        </w:rPr>
        <w:t xml:space="preserve">Công ty </w:t>
      </w:r>
      <w:r>
        <w:rPr>
          <w:highlight w:val="white"/>
          <w:lang w:val="pt-BR"/>
        </w:rPr>
        <w:t xml:space="preserve">Cổ phần Thẩm định</w:t>
      </w:r>
      <w:r>
        <w:rPr>
          <w:highlight w:val="white"/>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highlight w:val="white"/>
          <w:lang w:val="pt-BR"/>
        </w:rPr>
      </w:r>
      <w:r>
        <w:rPr>
          <w:highlight w:val="white"/>
          <w:lang w:val="pt-BR"/>
        </w:rPr>
      </w:r>
    </w:p>
    <w:p>
      <w:pPr>
        <w:pStyle w:val="1027"/>
        <w:numPr>
          <w:ilvl w:val="0"/>
          <w:numId w:val="5"/>
        </w:numPr>
        <w:pBdr/>
        <w:tabs>
          <w:tab w:val="left" w:leader="none" w:pos="993"/>
        </w:tabs>
        <w:spacing w:after="120" w:before="120" w:line="288" w:lineRule="auto"/>
        <w:ind/>
        <w:jc w:val="both"/>
        <w:rPr>
          <w:highlight w:val="white"/>
        </w:rPr>
      </w:pPr>
      <w:r>
        <w:rPr>
          <w:highlight w:val="white"/>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highlight w:val="white"/>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highlight w:val="white"/>
          <w:lang w:val="pt-BR"/>
        </w:rPr>
      </w:r>
      <w:r>
        <w:rPr>
          <w:highlight w:val="white"/>
          <w:lang w:val="pt-BR"/>
        </w:rPr>
      </w:r>
    </w:p>
    <w:p>
      <w:pPr>
        <w:pStyle w:val="1027"/>
        <w:numPr>
          <w:ilvl w:val="0"/>
          <w:numId w:val="5"/>
        </w:numPr>
        <w:pBdr/>
        <w:tabs>
          <w:tab w:val="left" w:leader="none" w:pos="993"/>
        </w:tabs>
        <w:spacing w:after="120" w:before="120" w:line="288" w:lineRule="auto"/>
        <w:ind/>
        <w:jc w:val="both"/>
        <w:rPr>
          <w:highlight w:val="white"/>
        </w:rPr>
      </w:pPr>
      <w:r>
        <w:rPr>
          <w:highlight w:val="white"/>
          <w:lang w:val="pt-BR"/>
        </w:rPr>
        <w:t xml:space="preserve">Chứng thư, Báo cáo này được soạn thảo theo Hợp đồng được ký kết</w:t>
      </w:r>
      <w:r>
        <w:rPr>
          <w:highlight w:val="white"/>
          <w:lang w:val="pt-BR"/>
        </w:rPr>
        <w:t xml:space="preserve"> </w:t>
      </w:r>
      <w:r>
        <w:rPr>
          <w:highlight w:val="white"/>
          <w:lang w:val="pt-BR"/>
        </w:rPr>
        <w:t xml:space="preserve">và tuâ</w:t>
      </w:r>
      <w:r>
        <w:rPr>
          <w:highlight w:val="white"/>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highlight w:val="white"/>
          <w:lang w:val="pt-BR"/>
        </w:rPr>
      </w:r>
      <w:r>
        <w:rPr>
          <w:highlight w:val="white"/>
          <w:lang w:val="pt-BR"/>
        </w:rPr>
      </w:r>
    </w:p>
    <w:p>
      <w:pPr>
        <w:pStyle w:val="1027"/>
        <w:numPr>
          <w:ilvl w:val="0"/>
          <w:numId w:val="5"/>
        </w:numPr>
        <w:pBdr/>
        <w:tabs>
          <w:tab w:val="left" w:leader="none" w:pos="993"/>
        </w:tabs>
        <w:spacing w:after="120" w:before="120" w:line="288" w:lineRule="auto"/>
        <w:ind/>
        <w:jc w:val="both"/>
        <w:rPr>
          <w:highlight w:val="white"/>
        </w:rPr>
      </w:pPr>
      <w:r>
        <w:rPr>
          <w:highlight w:val="white"/>
          <w:lang w:val="pt-BR"/>
        </w:rPr>
        <w:t xml:space="preserve">Các bên liên quan khi đọc và thực hiện sử dụng sản phẩm tư vấn này, tức là đã chấp nhận và đồng ý với những điều khoản sau:</w:t>
      </w:r>
      <w:r>
        <w:rPr>
          <w:highlight w:val="white"/>
          <w:lang w:val="pt-BR"/>
        </w:rPr>
      </w:r>
      <w:r>
        <w:rPr>
          <w:highlight w:val="white"/>
          <w:lang w:val="pt-BR"/>
        </w:rPr>
      </w:r>
    </w:p>
    <w:p>
      <w:pPr>
        <w:pStyle w:val="1027"/>
        <w:numPr>
          <w:ilvl w:val="0"/>
          <w:numId w:val="10"/>
        </w:numPr>
        <w:pBdr/>
        <w:spacing w:after="120" w:before="120" w:line="288" w:lineRule="auto"/>
        <w:ind w:hanging="284" w:left="426"/>
        <w:jc w:val="both"/>
        <w:rPr>
          <w:highlight w:val="white"/>
        </w:rPr>
      </w:pPr>
      <w:r>
        <w:rPr>
          <w:highlight w:val="white"/>
          <w:lang w:val="pt-BR"/>
        </w:rPr>
        <w:t xml:space="preserve">Sản phẩm tư vấn của Chúng tôi chỉ nhằm mục đích duy nhất đã ghi tại Mục 4 của Chứng thư mà không nhằm bất kỳ mục đích nào khác và mọi hành</w:t>
      </w:r>
      <w:r>
        <w:rPr>
          <w:highlight w:val="white"/>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highlight w:val="white"/>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highlight w:val="white"/>
          <w:lang w:val="pt-BR"/>
        </w:rPr>
      </w:r>
      <w:r>
        <w:rPr>
          <w:highlight w:val="white"/>
          <w:lang w:val="pt-BR"/>
        </w:rPr>
      </w:r>
    </w:p>
    <w:p>
      <w:pPr>
        <w:pStyle w:val="1027"/>
        <w:numPr>
          <w:ilvl w:val="0"/>
          <w:numId w:val="10"/>
        </w:numPr>
        <w:pBdr/>
        <w:spacing w:after="120" w:before="120" w:line="288" w:lineRule="auto"/>
        <w:ind w:hanging="284" w:left="426"/>
        <w:jc w:val="both"/>
        <w:rPr>
          <w:highlight w:val="white"/>
        </w:rPr>
      </w:pPr>
      <w:r>
        <w:rPr>
          <w:highlight w:val="white"/>
          <w:lang w:val="pt-BR"/>
        </w:rPr>
        <w:t xml:space="preserve">Lotus VFI, Ban Lãnh đạo, toàn thể nhân viên, Thẩm định viên và đại diện pháp luật của Lotus VFI khôn</w:t>
      </w:r>
      <w:r>
        <w:rPr>
          <w:highlight w:val="white"/>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highlight w:val="white"/>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highlight w:val="white"/>
          <w:lang w:val="pt-BR"/>
        </w:rPr>
      </w:r>
      <w:r>
        <w:rPr>
          <w:highlight w:val="white"/>
          <w:lang w:val="pt-BR"/>
        </w:rPr>
      </w:r>
    </w:p>
    <w:p>
      <w:pPr>
        <w:pStyle w:val="1027"/>
        <w:numPr>
          <w:ilvl w:val="0"/>
          <w:numId w:val="10"/>
        </w:numPr>
        <w:pBdr/>
        <w:spacing w:after="120" w:before="120" w:line="288" w:lineRule="auto"/>
        <w:ind w:hanging="284" w:left="426"/>
        <w:jc w:val="both"/>
        <w:rPr>
          <w:highlight w:val="white"/>
        </w:rPr>
      </w:pPr>
      <w:r>
        <w:rPr>
          <w:highlight w:val="white"/>
          <w:lang w:val="pt-BR"/>
        </w:rPr>
        <w:t xml:space="preserve">Khách hàng hoặc bất kỳ bên nào khác sử dụng báo cáo này và bất kỳ hoạt động nào của bất kỳ bên liên q</w:t>
      </w:r>
      <w:r>
        <w:rPr>
          <w:highlight w:val="white"/>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highlight w:val="white"/>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highlight w:val="white"/>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highlight w:val="white"/>
          <w:lang w:val="pt-BR"/>
        </w:rPr>
      </w:r>
      <w:r>
        <w:rPr>
          <w:highlight w:val="white"/>
          <w:lang w:val="pt-BR"/>
        </w:rPr>
      </w:r>
    </w:p>
    <w:p>
      <w:pPr>
        <w:pStyle w:val="1027"/>
        <w:pBdr/>
        <w:tabs>
          <w:tab w:val="left" w:leader="none" w:pos="993"/>
        </w:tabs>
        <w:spacing w:after="120" w:before="120" w:line="288" w:lineRule="auto"/>
        <w:ind w:left="0"/>
        <w:jc w:val="both"/>
        <w:rPr>
          <w:rFonts w:ascii="Times New Roman Bold" w:hAnsi="Times New Roman Bold"/>
          <w:b/>
          <w:spacing w:val="-4"/>
          <w:highlight w:val="white"/>
        </w:rPr>
      </w:pPr>
      <w:r>
        <w:rPr>
          <w:rFonts w:ascii="Times New Roman Bold" w:hAnsi="Times New Roman Bold"/>
          <w:b/>
          <w:bCs/>
          <w:spacing w:val="-4"/>
          <w:highlight w:val="white"/>
          <w:lang w:val="pt-BR"/>
        </w:rPr>
        <w:t xml:space="preserve">X</w:t>
      </w:r>
      <w:r>
        <w:rPr>
          <w:rFonts w:ascii="Times New Roman Bold" w:hAnsi="Times New Roman Bold"/>
          <w:b/>
          <w:bCs/>
          <w:spacing w:val="-4"/>
          <w:highlight w:val="white"/>
          <w:lang w:val="pt-BR"/>
        </w:rPr>
        <w:t xml:space="preserve">I</w:t>
      </w:r>
      <w:r>
        <w:rPr>
          <w:rFonts w:ascii="Times New Roman Bold" w:hAnsi="Times New Roman Bold"/>
          <w:b/>
          <w:bCs/>
          <w:spacing w:val="-4"/>
          <w:highlight w:val="white"/>
          <w:lang w:val="pt-BR"/>
        </w:rPr>
        <w:t xml:space="preserve">. NHỮNG ĐIỀU KHOẢN LOẠI TRỪ VÀ HẠN CHẾ CỦA KẾT QUẢ THẨM ĐỊNH GIÁ</w:t>
      </w:r>
      <w:r>
        <w:rPr>
          <w:rFonts w:ascii="Times New Roman Bold" w:hAnsi="Times New Roman Bold"/>
          <w:b/>
          <w:spacing w:val="-4"/>
          <w:highlight w:val="white"/>
          <w:lang w:val="pt-BR"/>
        </w:rPr>
      </w:r>
      <w:r>
        <w:rPr>
          <w:rFonts w:ascii="Times New Roman Bold" w:hAnsi="Times New Roman Bold"/>
          <w:b/>
          <w:spacing w:val="-4"/>
          <w:highlight w:val="white"/>
          <w:lang w:val="pt-BR"/>
        </w:rPr>
      </w:r>
    </w:p>
    <w:p>
      <w:pPr>
        <w:pStyle w:val="1027"/>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Chứng thư này chỉ được cung cấp theo yêu cầu của khách hàng. Chỉ bản chính và bản sao Chứng thư thẩm định giá do Công ty </w:t>
      </w:r>
      <w:r>
        <w:rPr>
          <w:highlight w:val="white"/>
          <w:lang w:val="pt-BR"/>
        </w:rPr>
        <w:t xml:space="preserve">Cổ phần Thẩm định</w:t>
      </w:r>
      <w:r>
        <w:rPr>
          <w:highlight w:val="white"/>
          <w:lang w:val="pt-BR"/>
        </w:rPr>
        <w:t xml:space="preserve"> và Đầu tư Tài chính Hoa Sen cấp mới có giá trị. Mọi hành vi sử dụng bản sao Chứng thư/Báo cáo kết quả thẩm định giá mà không có xác nhận của Công ty </w:t>
      </w:r>
      <w:r>
        <w:rPr>
          <w:highlight w:val="white"/>
          <w:lang w:val="pt-BR"/>
        </w:rPr>
        <w:t xml:space="preserve">Cổ phần Thẩm định</w:t>
      </w:r>
      <w:r>
        <w:rPr>
          <w:highlight w:val="white"/>
          <w:lang w:val="pt-BR"/>
        </w:rPr>
        <w:t xml:space="preserve"> và Đầu tư Tài chính Hoa Sen đều vi phạm pháp luật và không có giá trị.</w:t>
      </w:r>
      <w:r>
        <w:rPr>
          <w:highlight w:val="white"/>
          <w:lang w:val="pt-BR"/>
        </w:rPr>
      </w:r>
      <w:r>
        <w:rPr>
          <w:highlight w:val="white"/>
          <w:lang w:val="pt-BR"/>
        </w:rPr>
      </w:r>
    </w:p>
    <w:p>
      <w:pPr>
        <w:pStyle w:val="1027"/>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highlight w:val="white"/>
          <w:lang w:val="pt-BR"/>
        </w:rPr>
      </w:r>
      <w:r>
        <w:rPr>
          <w:highlight w:val="white"/>
          <w:lang w:val="pt-BR"/>
        </w:rPr>
      </w:r>
    </w:p>
    <w:p>
      <w:pPr>
        <w:pStyle w:val="1027"/>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highlight w:val="white"/>
          <w:lang w:val="pt-BR"/>
        </w:rPr>
      </w:r>
      <w:r>
        <w:rPr>
          <w:highlight w:val="white"/>
          <w:lang w:val="pt-BR"/>
        </w:rPr>
      </w:r>
    </w:p>
    <w:p>
      <w:pPr>
        <w:pStyle w:val="1027"/>
        <w:numPr>
          <w:ilvl w:val="0"/>
          <w:numId w:val="5"/>
        </w:numPr>
        <w:pBdr/>
        <w:tabs>
          <w:tab w:val="left" w:leader="none" w:pos="993"/>
        </w:tabs>
        <w:spacing w:after="120" w:before="120" w:line="288" w:lineRule="auto"/>
        <w:ind/>
        <w:jc w:val="both"/>
        <w:rPr>
          <w:b/>
          <w:highlight w:val="white"/>
        </w:rPr>
      </w:pPr>
      <w:r>
        <w:rPr>
          <w:highlight w:val="white"/>
          <w:lang w:val="pt-BR"/>
        </w:rPr>
        <w:t xml:space="preserve">Các phương pháp tính toán trên cơ sở tài liệu được cung cấp bởi khách hàng và dựa trên các tài liệu khác có liên quan do tổ</w:t>
      </w:r>
      <w:r>
        <w:rPr>
          <w:highlight w:val="white"/>
          <w:lang w:val="vi-VN"/>
        </w:rPr>
        <w:t xml:space="preserve"> </w:t>
      </w:r>
      <w:r>
        <w:rPr>
          <w:highlight w:val="white"/>
          <w:lang w:val="pt-BR"/>
        </w:rPr>
        <w:t xml:space="preserve">thẩm định thu thập, cũng như các điều kiện và kỳ vọng tại thời điểm thẩm định giá phù hợp với các luật định, chính sách quản lý của Nhà nước hiện hành và các điều </w:t>
      </w:r>
      <w:r>
        <w:rPr>
          <w:highlight w:val="white"/>
          <w:lang w:val="pt-BR"/>
        </w:rPr>
        <w:t xml:space="preserve">kiện, giả định theo quan điểm hợp lý của tổ</w:t>
      </w:r>
      <w:r>
        <w:rPr>
          <w:highlight w:val="white"/>
          <w:lang w:val="vi-VN"/>
        </w:rPr>
        <w:t xml:space="preserve"> </w:t>
      </w:r>
      <w:r>
        <w:rPr>
          <w:highlight w:val="white"/>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highlight w:val="white"/>
          <w:lang w:val="vi-VN"/>
        </w:rPr>
        <w:t xml:space="preserve">tổ </w:t>
      </w:r>
      <w:r>
        <w:rPr>
          <w:highlight w:val="white"/>
          <w:lang w:val="pt-BR"/>
        </w:rPr>
        <w:t xml:space="preserve">thẩm định không đảm bảo là các giả định làm cơ sở thẩm định giá là chính xác hoàn toàn.</w:t>
      </w:r>
      <w:r>
        <w:rPr>
          <w:b/>
          <w:highlight w:val="white"/>
          <w:lang w:val="pt-BR"/>
        </w:rPr>
      </w:r>
      <w:r>
        <w:rPr>
          <w:b/>
          <w:highlight w:val="white"/>
          <w:lang w:val="pt-BR"/>
        </w:rPr>
      </w:r>
    </w:p>
    <w:p>
      <w:pPr>
        <w:pStyle w:val="1027"/>
        <w:numPr>
          <w:ilvl w:val="0"/>
          <w:numId w:val="5"/>
        </w:numPr>
        <w:pBdr/>
        <w:tabs>
          <w:tab w:val="left" w:leader="none" w:pos="993"/>
        </w:tabs>
        <w:spacing w:after="120" w:before="120" w:line="288" w:lineRule="auto"/>
        <w:ind/>
        <w:jc w:val="both"/>
        <w:rPr>
          <w:b/>
          <w:spacing w:val="2"/>
          <w:highlight w:val="white"/>
        </w:rPr>
      </w:pPr>
      <w:r>
        <w:rPr>
          <w:spacing w:val="2"/>
          <w:highlight w:val="white"/>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highlight w:val="white"/>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highlight w:val="white"/>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highlight w:val="white"/>
          <w:lang w:val="pt-BR"/>
        </w:rPr>
      </w:r>
      <w:r>
        <w:rPr>
          <w:b/>
          <w:spacing w:val="2"/>
          <w:highlight w:val="white"/>
          <w:lang w:val="pt-BR"/>
        </w:rPr>
      </w:r>
    </w:p>
    <w:p>
      <w:pPr>
        <w:pStyle w:val="1027"/>
        <w:numPr>
          <w:ilvl w:val="0"/>
          <w:numId w:val="5"/>
        </w:numPr>
        <w:pBdr/>
        <w:tabs>
          <w:tab w:val="left" w:leader="none" w:pos="993"/>
        </w:tabs>
        <w:spacing w:after="120" w:before="120" w:line="288" w:lineRule="auto"/>
        <w:ind w:hanging="357" w:left="357"/>
        <w:jc w:val="both"/>
        <w:rPr>
          <w:b/>
          <w:highlight w:val="white"/>
        </w:rPr>
      </w:pPr>
      <w:r>
        <w:rPr>
          <w:highlight w:val="white"/>
          <w:lang w:val="pt-BR"/>
        </w:rPr>
        <w:t xml:space="preserve">Khách hàng yêu cầu thẩm định giá và người hướng dẫn tổ</w:t>
      </w:r>
      <w:r>
        <w:rPr>
          <w:highlight w:val="white"/>
          <w:lang w:val="vi-VN"/>
        </w:rPr>
        <w:t xml:space="preserve"> </w:t>
      </w:r>
      <w:r>
        <w:rPr>
          <w:highlight w:val="white"/>
          <w:lang w:val="pt-BR"/>
        </w:rPr>
        <w:t xml:space="preserve">thẩm định thực hiện thẩm định hiện trạng tà</w:t>
      </w:r>
      <w:r>
        <w:rPr>
          <w:highlight w:val="white"/>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highlight w:val="white"/>
          <w:lang w:val="pt-BR"/>
        </w:rPr>
      </w:r>
      <w:r>
        <w:rPr>
          <w:b/>
          <w:highlight w:val="white"/>
          <w:lang w:val="pt-BR"/>
        </w:rPr>
      </w:r>
    </w:p>
    <w:p>
      <w:pPr>
        <w:pStyle w:val="1027"/>
        <w:numPr>
          <w:ilvl w:val="0"/>
          <w:numId w:val="5"/>
        </w:numPr>
        <w:pBdr/>
        <w:spacing w:after="120" w:before="120" w:line="288" w:lineRule="auto"/>
        <w:ind w:hanging="357" w:left="357"/>
        <w:jc w:val="both"/>
        <w:rPr>
          <w:highlight w:val="white"/>
        </w:rPr>
      </w:pPr>
      <w:r>
        <w:rPr>
          <w:highlight w:val="white"/>
          <w:shd w:val="clear" w:color="auto" w:fill="ffffff"/>
          <w:lang w:val="pt-BR"/>
        </w:rPr>
        <w:t xml:space="preserve">Chúng tôi nhấn mạnh rằng việc thẩm định giá không phải là môn khoa học chính xác, m</w:t>
      </w:r>
      <w:r>
        <w:rPr>
          <w:highlight w:val="white"/>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highlight w:val="white"/>
          <w:shd w:val="clear" w:color="auto" w:fill="ffffff"/>
          <w:lang w:val="vi-VN"/>
        </w:rPr>
        <w:t xml:space="preserve">.</w:t>
      </w:r>
      <w:r>
        <w:rPr>
          <w:highlight w:val="white"/>
          <w:lang w:val="pt-BR"/>
        </w:rPr>
      </w:r>
      <w:r>
        <w:rPr>
          <w:highlight w:val="white"/>
          <w:lang w:val="pt-BR"/>
        </w:rPr>
      </w:r>
    </w:p>
    <w:p>
      <w:pPr>
        <w:pStyle w:val="1027"/>
        <w:numPr>
          <w:ilvl w:val="0"/>
          <w:numId w:val="5"/>
        </w:numPr>
        <w:pBdr/>
        <w:tabs>
          <w:tab w:val="left" w:leader="none" w:pos="993"/>
        </w:tabs>
        <w:spacing w:after="120" w:before="120" w:line="288" w:lineRule="auto"/>
        <w:ind/>
        <w:jc w:val="both"/>
        <w:rPr>
          <w:highlight w:val="white"/>
          <w:shd w:val="clear" w:color="auto" w:fill="ffffff"/>
        </w:rPr>
      </w:pPr>
      <w:r>
        <w:rPr>
          <w:highlight w:val="white"/>
          <w:shd w:val="clear" w:color="auto" w:fill="ffffff"/>
          <w:lang w:val="pt-BR"/>
        </w:rPr>
        <w:t xml:space="preserve">Chúng tôi chỉ hoạt động trong lĩnh</w:t>
      </w:r>
      <w:r>
        <w:rPr>
          <w:highlight w:val="white"/>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highlight w:val="white"/>
          <w:lang w:val="pt-BR"/>
        </w:rPr>
        <w:t xml:space="preserve">Giấy chứng nhận quyền sử dụng đất  đã cung cấp cho chúng tôi.</w:t>
      </w:r>
      <w:r>
        <w:rPr>
          <w:highlight w:val="white"/>
          <w:shd w:val="clear" w:color="auto" w:fill="ffffff"/>
          <w:lang w:val="pt-BR"/>
        </w:rPr>
      </w:r>
      <w:r>
        <w:rPr>
          <w:highlight w:val="white"/>
          <w:shd w:val="clear" w:color="auto" w:fill="ffffff"/>
          <w:lang w:val="pt-BR"/>
        </w:rPr>
      </w:r>
    </w:p>
    <w:p>
      <w:pPr>
        <w:pStyle w:val="1027"/>
        <w:numPr>
          <w:ilvl w:val="0"/>
          <w:numId w:val="5"/>
        </w:numPr>
        <w:pBdr/>
        <w:spacing w:after="120" w:before="120" w:line="288" w:lineRule="auto"/>
        <w:ind/>
        <w:jc w:val="both"/>
        <w:rPr>
          <w:highlight w:val="white"/>
        </w:rPr>
      </w:pPr>
      <w:r>
        <w:rPr>
          <w:highlight w:val="white"/>
          <w:lang w:val="vi-VN"/>
        </w:rPr>
        <w:t xml:space="preserve">Chúng tôi giả định rằng tà</w:t>
      </w:r>
      <w:r>
        <w:rPr>
          <w:highlight w:val="white"/>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highlight w:val="white"/>
          <w:lang w:val="vi-VN"/>
        </w:rPr>
        <w:t xml:space="preserve">sinh, liên đới (nếu có) trong trường hợp này.</w:t>
      </w:r>
      <w:r>
        <w:rPr>
          <w:highlight w:val="white"/>
          <w:lang w:val="vi-VN"/>
        </w:rPr>
      </w:r>
      <w:r>
        <w:rPr>
          <w:highlight w:val="white"/>
          <w:lang w:val="vi-VN"/>
        </w:rPr>
      </w:r>
    </w:p>
    <w:p>
      <w:pPr>
        <w:pStyle w:val="1027"/>
        <w:numPr>
          <w:ilvl w:val="0"/>
          <w:numId w:val="39"/>
        </w:numPr>
        <w:pBdr/>
        <w:tabs>
          <w:tab w:val="left" w:leader="none" w:pos="993"/>
        </w:tabs>
        <w:spacing w:after="120" w:before="120" w:line="264" w:lineRule="auto"/>
        <w:ind/>
        <w:jc w:val="both"/>
        <w:rPr>
          <w:rFonts w:ascii="Times New Roman" w:hAnsi="Times New Roman" w:cs="Times New Roman"/>
          <w:spacing w:val="-2"/>
          <w:highlight w:val="white"/>
        </w:rPr>
      </w:pPr>
      <w:r>
        <w:rPr>
          <w:rFonts w:ascii="Times New Roman" w:hAnsi="Times New Roman" w:eastAsia="Times New Roman" w:cs="Times New Roman"/>
          <w:spacing w:val="-2"/>
          <w:highlight w:val="white"/>
          <w:lang w:val="pt-BR" w:bidi="pt-BR"/>
        </w:rPr>
      </w:r>
      <w:r>
        <w:rPr>
          <w:rFonts w:ascii="Times New Roman" w:hAnsi="Times New Roman" w:eastAsia="Times New Roman" w:cs="Times New Roman"/>
          <w:color w:val="ee0000"/>
          <w:sz w:val="24"/>
          <w:highlight w:val="white"/>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ee0000"/>
          <w:sz w:val="24"/>
          <w:highlight w:val="white"/>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ee0000"/>
          <w:sz w:val="24"/>
          <w:highlight w:val="white"/>
        </w:rPr>
        <w:t xml:space="preserve"> nhận rõ tình trạng quy hoạch thì kết quả thẩm định giá cần được xem xét, điều chỉnh phù hợp, đồng thời chúng tôi bảo lưu quyền xem xét lại kết quả thẩm định giá</w:t>
      </w:r>
      <w:r>
        <w:rPr>
          <w:rFonts w:ascii="Times New Roman" w:hAnsi="Times New Roman" w:eastAsia="Times New Roman" w:cs="Times New Roman"/>
          <w:spacing w:val="-2"/>
          <w:highlight w:val="white"/>
          <w:lang w:val="pt-BR" w:bidi="pt-BR"/>
        </w:rPr>
        <w:t xml:space="preserve">.</w:t>
      </w:r>
      <w:r>
        <w:rPr>
          <w:rFonts w:ascii="Times New Roman" w:hAnsi="Times New Roman" w:cs="Times New Roman"/>
          <w:spacing w:val="-2"/>
          <w:highlight w:val="white"/>
        </w:rPr>
      </w:r>
      <w:r>
        <w:rPr>
          <w:rFonts w:ascii="Times New Roman" w:hAnsi="Times New Roman" w:cs="Times New Roman"/>
          <w:spacing w:val="-2"/>
          <w:highlight w:val="white"/>
        </w:rPr>
      </w:r>
    </w:p>
    <w:p>
      <w:pPr>
        <w:pStyle w:val="1027"/>
        <w:numPr>
          <w:ilvl w:val="0"/>
          <w:numId w:val="41"/>
        </w:numPr>
        <w:pBdr/>
        <w:spacing w:after="0" w:before="0" w:line="240" w:lineRule="auto"/>
        <w:ind/>
        <w:rPr>
          <w:rFonts w:ascii="Times New Roman" w:hAnsi="Times New Roman" w:eastAsia="Times New Roman" w:cs="Times New Roman"/>
          <w:b w:val="0"/>
          <w:bCs w:val="0"/>
          <w:color w:val="000000"/>
          <w:sz w:val="24"/>
          <w:highlight w:val="white"/>
        </w:rPr>
      </w:pPr>
      <w:r>
        <w:rPr>
          <w:rFonts w:ascii="Times New Roman" w:hAnsi="Times New Roman" w:eastAsia="Times New Roman" w:cs="Times New Roman"/>
          <w:b w:val="0"/>
          <w:bCs w:val="0"/>
          <w:color w:val="000000"/>
          <w:sz w:val="24"/>
          <w:highlight w:val="white"/>
        </w:rPr>
        <w:t xml:space="preserve">Tại thời điểm khảo sát, dưới sự hướng dẫn của chủ tài sản, trên đất có CTXD: tường gạch bao quanh, nền đổ bê tông. Công trình chưa được công nhận trên GCN QSDĐ.</w:t>
      </w:r>
      <w:r>
        <w:rPr>
          <w:rFonts w:ascii="Times New Roman" w:hAnsi="Times New Roman" w:eastAsia="Times New Roman" w:cs="Times New Roman"/>
          <w:b w:val="0"/>
          <w:bCs w:val="0"/>
          <w:color w:val="000000"/>
          <w:sz w:val="24"/>
          <w:highlight w:val="white"/>
        </w:rPr>
        <w:t xml:space="preserve"> Đồng thời, Tổ thẩm định không nhận được bất kỳ giấy tờ pháp lý nào liên quan đến CTXD trên. Theo đề nghị của Khách hàng/ Ngân hàng, Tổ thẩm định không xác định giá trị CTXD nhưng vẫn coi đó là phần không thể thiếu của tài sản thẩm định.</w:t>
      </w:r>
      <w:r>
        <w:rPr>
          <w:rFonts w:ascii="Times New Roman" w:hAnsi="Times New Roman" w:eastAsia="Times New Roman" w:cs="Times New Roman"/>
          <w:b w:val="0"/>
          <w:bCs w:val="0"/>
          <w:color w:val="000000"/>
          <w:sz w:val="24"/>
          <w:highlight w:val="white"/>
        </w:rPr>
      </w:r>
      <w:r>
        <w:rPr>
          <w:rFonts w:ascii="Times New Roman" w:hAnsi="Times New Roman" w:eastAsia="Times New Roman" w:cs="Times New Roman"/>
          <w:b w:val="0"/>
          <w:bCs w:val="0"/>
          <w:color w:val="000000"/>
          <w:sz w:val="24"/>
          <w:highlight w:val="white"/>
        </w:rPr>
      </w:r>
    </w:p>
    <w:p>
      <w:pPr>
        <w:pStyle w:val="1027"/>
        <w:numPr>
          <w:ilvl w:val="0"/>
          <w:numId w:val="3"/>
        </w:numPr>
        <w:pBdr/>
        <w:tabs>
          <w:tab w:val="left" w:leader="none" w:pos="993"/>
        </w:tabs>
        <w:spacing w:after="120" w:before="120" w:line="288" w:lineRule="auto"/>
        <w:ind/>
        <w:jc w:val="both"/>
        <w:rPr>
          <w:highlight w:val="white"/>
        </w:rPr>
      </w:pPr>
      <w:r>
        <w:rPr>
          <w:highlight w:val="white"/>
          <w:lang w:val="vi-VN"/>
        </w:rPr>
        <w:t xml:space="preserve">Tổ thẩm định giá sử dụng Phương pháp so sánh để xác định giá trị tài sản thẩm định giá trong đó  việc thu thập thông tin </w:t>
      </w:r>
      <w:r>
        <w:rPr>
          <w:highlight w:val="white"/>
        </w:rPr>
        <w:t xml:space="preserve">TSSS</w:t>
      </w:r>
      <w:r>
        <w:rPr>
          <w:highlight w:val="white"/>
          <w:lang w:val="vi-VN"/>
        </w:rPr>
        <w:t xml:space="preserve"> đã giao dịch thành công còn gặp nhiều hạn chế, vì vậy</w:t>
      </w:r>
      <w:r>
        <w:rPr>
          <w:highlight w:val="white"/>
        </w:rPr>
        <w:t xml:space="preserve">,</w:t>
      </w:r>
      <w:r>
        <w:rPr>
          <w:highlight w:val="white"/>
          <w:lang w:val="vi-VN"/>
        </w:rPr>
        <w:t xml:space="preserve"> </w:t>
      </w:r>
      <w:r>
        <w:rPr>
          <w:highlight w:val="white"/>
        </w:rPr>
        <w:t xml:space="preserve">T</w:t>
      </w:r>
      <w:r>
        <w:rPr>
          <w:highlight w:val="white"/>
          <w:lang w:val="vi-VN"/>
        </w:rPr>
        <w:t xml:space="preserve">ổ thẩm định giá sử dụng các </w:t>
      </w:r>
      <w:r>
        <w:rPr>
          <w:highlight w:val="white"/>
        </w:rPr>
        <w:t xml:space="preserve">TSSS</w:t>
      </w:r>
      <w:r>
        <w:rPr>
          <w:highlight w:val="white"/>
          <w:lang w:val="vi-VN"/>
        </w:rPr>
        <w:t xml:space="preserve"> là các tài sản đang được </w:t>
      </w:r>
      <w:r>
        <w:rPr>
          <w:highlight w:val="white"/>
        </w:rPr>
        <w:t xml:space="preserve">r</w:t>
      </w:r>
      <w:r>
        <w:rPr>
          <w:highlight w:val="white"/>
          <w:lang w:val="vi-VN"/>
        </w:rPr>
        <w:t xml:space="preserve">ao bán trên thị trường. Kết quả thẩm định </w:t>
      </w:r>
      <w:r>
        <w:rPr>
          <w:highlight w:val="white"/>
          <w:lang w:val="vi-VN"/>
        </w:rPr>
        <w:t xml:space="preserve">giá có thể thay đổi khi các </w:t>
      </w:r>
      <w:r>
        <w:rPr>
          <w:highlight w:val="white"/>
        </w:rPr>
        <w:t xml:space="preserve">TSSS</w:t>
      </w:r>
      <w:r>
        <w:rPr>
          <w:highlight w:val="white"/>
          <w:lang w:val="vi-VN"/>
        </w:rPr>
        <w:t xml:space="preserve"> được giao dịch thành công. Khách hàng và các bên thứ ba khi sử dụng kết quả thẩm định giá cần lưu ý khi sử dụng Chứng thư thẩm định giá.</w:t>
      </w:r>
      <w:r>
        <w:rPr>
          <w:highlight w:val="white"/>
          <w:lang w:val="vi-VN"/>
        </w:rPr>
      </w:r>
      <w:r>
        <w:rPr>
          <w:highlight w:val="white"/>
          <w:lang w:val="vi-VN"/>
        </w:rPr>
      </w:r>
    </w:p>
    <w:p>
      <w:pPr>
        <w:pStyle w:val="1027"/>
        <w:numPr>
          <w:ilvl w:val="0"/>
          <w:numId w:val="3"/>
        </w:numPr>
        <w:pBdr/>
        <w:tabs>
          <w:tab w:val="left" w:leader="none" w:pos="993"/>
        </w:tabs>
        <w:spacing w:after="120" w:before="120" w:line="288" w:lineRule="auto"/>
        <w:ind/>
        <w:jc w:val="both"/>
        <w:rPr>
          <w:color w:val="000000" w:themeColor="text1"/>
          <w:highlight w:val="white"/>
        </w:rPr>
      </w:pPr>
      <w:r>
        <w:rPr>
          <w:color w:val="000000" w:themeColor="text1"/>
          <w:highlight w:val="white"/>
        </w:rPr>
        <w:t xml:space="preserve">Tổ thẩm định sử dụng Phương pháp </w:t>
      </w:r>
      <w:r>
        <w:rPr>
          <w:color w:val="000000" w:themeColor="text1"/>
          <w:highlight w:val="white"/>
        </w:rPr>
        <w:t xml:space="preserve">so sánh để xác định giá trị tài sản thẩm định giá trong đó việc thu thập thông tin vị trí định vị các TSSS trong mối tương quan với TSTĐ được xác định thông qua định vị do môi giới, chủ nhà cung cấp hoặc qua việc mô tả, nên nguồn định vị các </w:t>
      </w:r>
      <w:r>
        <w:rPr>
          <w:color w:val="000000" w:themeColor="text1"/>
          <w:highlight w:val="white"/>
        </w:rPr>
        <w:t xml:space="preserve">TSSS</w:t>
      </w:r>
      <w:r>
        <w:rPr>
          <w:color w:val="000000" w:themeColor="text1"/>
          <w:highlight w:val="white"/>
        </w:rPr>
        <w:t xml:space="preserve"> chỉ mang tính chính xác tương đối. Khách hàng và các bên thứ ba khi sử dụng kết quả thẩm định giá cần lưu ý khi sử dụng Chứng thư thẩm định giá.</w:t>
      </w:r>
      <w:r>
        <w:rPr>
          <w:color w:val="000000" w:themeColor="text1"/>
          <w:highlight w:val="white"/>
          <w:lang w:val="vi-VN"/>
        </w:rPr>
      </w:r>
      <w:r>
        <w:rPr>
          <w:color w:val="000000" w:themeColor="text1"/>
          <w:highlight w:val="white"/>
          <w:lang w:val="vi-VN"/>
        </w:rPr>
      </w:r>
    </w:p>
    <w:p>
      <w:pPr>
        <w:pStyle w:val="1027"/>
        <w:numPr>
          <w:ilvl w:val="0"/>
          <w:numId w:val="5"/>
        </w:numPr>
        <w:pBdr/>
        <w:tabs>
          <w:tab w:val="left" w:leader="none" w:pos="993"/>
        </w:tabs>
        <w:spacing w:after="120" w:before="120" w:line="288" w:lineRule="auto"/>
        <w:ind w:hanging="357" w:left="357"/>
        <w:jc w:val="both"/>
        <w:rPr>
          <w:bCs/>
          <w:highlight w:val="white"/>
        </w:rPr>
      </w:pPr>
      <w:r>
        <w:rPr>
          <w:bCs/>
          <w:highlight w:val="white"/>
          <w:lang w:val="pt-BR"/>
        </w:rPr>
        <w:t xml:space="preserve">Kết quả t</w:t>
      </w:r>
      <w:r>
        <w:rPr>
          <w:bCs/>
          <w:highlight w:val="white"/>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highlight w:val="white"/>
          <w:lang w:val="pt-BR"/>
        </w:rPr>
      </w:r>
      <w:r>
        <w:rPr>
          <w:bCs/>
          <w:highlight w:val="white"/>
          <w:lang w:val="pt-BR"/>
        </w:rPr>
      </w:r>
    </w:p>
    <w:p>
      <w:pPr>
        <w:pStyle w:val="1027"/>
        <w:numPr>
          <w:ilvl w:val="0"/>
          <w:numId w:val="5"/>
        </w:numPr>
        <w:pBdr/>
        <w:tabs>
          <w:tab w:val="left" w:leader="none" w:pos="993"/>
        </w:tabs>
        <w:spacing w:after="120" w:before="120" w:line="288" w:lineRule="auto"/>
        <w:ind w:hanging="357" w:left="357"/>
        <w:jc w:val="both"/>
        <w:rPr>
          <w:highlight w:val="white"/>
        </w:rPr>
      </w:pPr>
      <w:r>
        <w:rPr>
          <w:highlight w:val="white"/>
        </w:rPr>
      </w:r>
      <w:bookmarkStart w:id="4" w:name="_Hlk151374072"/>
      <w:r>
        <w:rPr>
          <w:highlight w:val="white"/>
          <w:lang w:val="pt-BR"/>
        </w:rPr>
        <w:t xml:space="preserve">Tổ thẩm định đã gửi các bản dự thảo chứng thư cho các đơn vị sử dụng chứng thư đọc</w:t>
      </w:r>
      <w:r>
        <w:rPr>
          <w:highlight w:val="white"/>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highlight w:val="white"/>
          <w:lang w:val="pt-BR"/>
        </w:rPr>
      </w:r>
      <w:r>
        <w:rPr>
          <w:highlight w:val="white"/>
          <w:lang w:val="pt-BR"/>
        </w:rPr>
      </w:r>
    </w:p>
    <w:p>
      <w:pPr>
        <w:pBdr/>
        <w:spacing w:after="120" w:before="120" w:line="288" w:lineRule="auto"/>
        <w:ind/>
        <w:rPr>
          <w:b/>
          <w:bCs/>
          <w:highlight w:val="white"/>
        </w:rPr>
      </w:pPr>
      <w:r>
        <w:rPr>
          <w:b/>
          <w:bCs/>
          <w:highlight w:val="white"/>
          <w:lang w:val="pt-BR"/>
        </w:rPr>
        <w:t xml:space="preserve">X</w:t>
      </w:r>
      <w:r>
        <w:rPr>
          <w:b/>
          <w:bCs/>
          <w:highlight w:val="white"/>
          <w:lang w:val="pt-BR"/>
        </w:rPr>
        <w:t xml:space="preserve">I</w:t>
      </w:r>
      <w:r>
        <w:rPr>
          <w:b/>
          <w:bCs/>
          <w:highlight w:val="white"/>
          <w:lang w:val="pt-BR"/>
        </w:rPr>
        <w:t xml:space="preserve">I</w:t>
      </w:r>
      <w:r>
        <w:rPr>
          <w:b/>
          <w:bCs/>
          <w:highlight w:val="white"/>
          <w:lang w:val="pt-BR"/>
        </w:rPr>
        <w:t xml:space="preserve">. CÁC PHỤ LỤC KÈM THEO </w:t>
      </w:r>
      <w:r>
        <w:rPr>
          <w:b/>
          <w:bCs/>
          <w:highlight w:val="white"/>
          <w:lang w:val="pt-BR"/>
        </w:rPr>
      </w:r>
      <w:r>
        <w:rPr>
          <w:b/>
          <w:bCs/>
          <w:highlight w:val="white"/>
          <w:lang w:val="pt-BR"/>
        </w:rPr>
      </w:r>
    </w:p>
    <w:p>
      <w:pPr>
        <w:pStyle w:val="1027"/>
        <w:pBdr/>
        <w:tabs>
          <w:tab w:val="left" w:leader="none" w:pos="993"/>
        </w:tabs>
        <w:spacing w:after="120" w:before="120" w:line="288" w:lineRule="auto"/>
        <w:ind w:left="0"/>
        <w:jc w:val="both"/>
        <w:rPr>
          <w:bCs/>
          <w:highlight w:val="white"/>
        </w:rPr>
      </w:pPr>
      <w:r>
        <w:rPr>
          <w:bCs/>
          <w:highlight w:val="white"/>
          <w:lang w:val="pt-BR"/>
        </w:rPr>
        <w:t xml:space="preserve">Phụ lục 1: Hình ảnh hiện trạng của tài sản.</w:t>
      </w:r>
      <w:r>
        <w:rPr>
          <w:bCs/>
          <w:highlight w:val="white"/>
          <w:lang w:val="pt-BR"/>
        </w:rPr>
      </w:r>
      <w:r>
        <w:rPr>
          <w:bCs/>
          <w:highlight w:val="white"/>
          <w:lang w:val="pt-BR"/>
        </w:rPr>
      </w:r>
    </w:p>
    <w:p>
      <w:pPr>
        <w:pStyle w:val="1027"/>
        <w:pBdr/>
        <w:tabs>
          <w:tab w:val="left" w:leader="none" w:pos="993"/>
        </w:tabs>
        <w:spacing w:after="120" w:before="120" w:line="288" w:lineRule="auto"/>
        <w:ind w:left="0"/>
        <w:jc w:val="both"/>
        <w:rPr>
          <w:highlight w:val="white"/>
        </w:rPr>
      </w:pPr>
      <w:r>
        <w:rPr>
          <w:highlight w:val="white"/>
          <w:lang w:val="pt-BR"/>
        </w:rPr>
        <w:t xml:space="preserve">Phụ lục 2: Thông tin </w:t>
      </w:r>
      <w:r>
        <w:rPr>
          <w:highlight w:val="white"/>
          <w:lang w:val="pt-BR"/>
        </w:rPr>
        <w:t xml:space="preserve">thu thập thị trường</w:t>
      </w:r>
      <w:r>
        <w:rPr>
          <w:highlight w:val="white"/>
          <w:lang w:val="pt-BR"/>
        </w:rPr>
        <w:t xml:space="preserve">.</w:t>
      </w:r>
      <w:r>
        <w:rPr>
          <w:highlight w:val="white"/>
          <w:lang w:val="pt-BR"/>
        </w:rPr>
      </w:r>
      <w:r>
        <w:rPr>
          <w:highlight w:val="white"/>
          <w:lang w:val="pt-BR"/>
        </w:rPr>
      </w:r>
    </w:p>
    <w:p>
      <w:pPr>
        <w:pStyle w:val="1027"/>
        <w:pBdr/>
        <w:tabs>
          <w:tab w:val="left" w:leader="none" w:pos="993"/>
        </w:tabs>
        <w:spacing w:after="120" w:before="120" w:line="288" w:lineRule="auto"/>
        <w:ind w:left="0"/>
        <w:jc w:val="both"/>
        <w:rPr>
          <w:highlight w:val="white"/>
        </w:rPr>
      </w:pPr>
      <w:r>
        <w:rPr>
          <w:highlight w:val="white"/>
          <w:lang w:val="vi-VN"/>
        </w:rPr>
        <w:t xml:space="preserve">Báo cáo kết quả thẩm định giá được phát hành 03</w:t>
      </w:r>
      <w:r>
        <w:rPr>
          <w:highlight w:val="white"/>
          <w:lang w:val="vi-VN"/>
        </w:rPr>
        <w:t xml:space="preserve"> (ba) bản chính bằng tiếng Việt</w:t>
      </w:r>
      <w:r>
        <w:rPr>
          <w:highlight w:val="white"/>
          <w:lang w:val="vi-VN"/>
        </w:rPr>
        <w:t xml:space="preserve"> kèm theo Chứng thư thẩm định giá số</w:t>
      </w:r>
      <w:r>
        <w:rPr>
          <w:highlight w:val="white"/>
          <w:lang w:val="vi-VN"/>
        </w:rPr>
        <w:t xml:space="preserve"> </w:t>
      </w:r>
      <w:r>
        <w:rPr>
          <w:color w:val="000000" w:themeColor="text1"/>
          <w:highlight w:val="white"/>
          <w:lang w:val="vi-VN"/>
        </w:rPr>
        <w:t xml:space="preserve">275/2026/1480/VFI-CT.44.A</w:t>
      </w:r>
      <w:r>
        <w:rPr>
          <w:color w:val="ff0000"/>
          <w:highlight w:val="white"/>
          <w:lang w:val="vi-VN"/>
        </w:rPr>
        <w:t xml:space="preserve"> </w:t>
      </w:r>
      <w:r>
        <w:rPr>
          <w:color w:val="000000" w:themeColor="text1"/>
          <w:highlight w:val="white"/>
        </w:rPr>
        <w:t xml:space="preserve">ngày 21 tháng 9 năm 2026</w:t>
      </w:r>
      <w:r>
        <w:rPr>
          <w:color w:val="000000" w:themeColor="text1"/>
          <w:highlight w:val="white"/>
        </w:rPr>
        <w:t xml:space="preserve"> </w:t>
      </w:r>
      <w:r>
        <w:rPr>
          <w:highlight w:val="white"/>
          <w:lang w:val="vi-VN"/>
        </w:rPr>
        <w:t xml:space="preserve">tại</w:t>
      </w:r>
      <w:r>
        <w:rPr>
          <w:highlight w:val="white"/>
          <w:lang w:val="vi-VN"/>
        </w:rPr>
        <w:t xml:space="preserve"> </w:t>
      </w:r>
      <w:r>
        <w:rPr>
          <w:color w:val="000000" w:themeColor="text1"/>
          <w:highlight w:val="white"/>
          <w:lang w:val="vi-VN"/>
        </w:rPr>
        <w:t xml:space="preserve">Công ty Cổ phần Thẩm định và Đầu tư Tài chính Hoa Sen</w:t>
      </w:r>
      <w:r>
        <w:rPr>
          <w:highlight w:val="white"/>
          <w:lang w:val="vi-VN"/>
        </w:rPr>
        <w:t xml:space="preserve">.</w:t>
      </w:r>
      <w:r>
        <w:rPr>
          <w:highlight w:val="white"/>
          <w:lang w:val="vi-VN"/>
        </w:rPr>
      </w:r>
      <w:r>
        <w:rPr>
          <w:highlight w:val="whit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THẨM ĐỊNH VIÊN VỀ GIÁ</w:t>
            </w:r>
            <w:r>
              <w:rPr>
                <w:rFonts w:eastAsia="Calibri"/>
                <w:b/>
                <w:highlight w:val="white"/>
                <w:lang w:val="pt-BR"/>
              </w:rPr>
            </w:r>
            <w:r>
              <w:rPr>
                <w:rFonts w:eastAsia="Calibri"/>
                <w:b/>
                <w:highlight w:val="white"/>
                <w:lang w:val="pt-BR"/>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CÔNG TY CỔ PHẦN THẨM ĐỊNH VÀ ĐẦU TƯ TÀI CHÍNH HOA SEN</w:t>
            </w:r>
            <w:r>
              <w:rPr>
                <w:rFonts w:eastAsia="Calibri"/>
                <w:b/>
                <w:highlight w:val="white"/>
                <w:lang w:val="pt-BR"/>
              </w:rPr>
            </w:r>
            <w:r>
              <w:rPr>
                <w:rFonts w:eastAsia="Calibri"/>
                <w:b/>
                <w:highlight w:val="white"/>
                <w:lang w:val="pt-BR"/>
              </w:rPr>
            </w:r>
          </w:p>
          <w:p>
            <w:pPr>
              <w:pBdr/>
              <w:spacing w:line="276" w:lineRule="auto"/>
              <w:ind/>
              <w:jc w:val="center"/>
              <w:rPr>
                <w:rFonts w:eastAsia="Calibri"/>
                <w:b/>
                <w:highlight w:val="white"/>
              </w:rPr>
            </w:pPr>
            <w:r>
              <w:rPr>
                <w:rFonts w:eastAsia="Calibri"/>
                <w:b/>
                <w:highlight w:val="white"/>
                <w:lang w:val="pt-BR"/>
              </w:rPr>
              <w:t xml:space="preserve">CHỦ TỊCH HĐQT KIÊM TỔNG GIÁM ĐỐC</w:t>
            </w:r>
            <w:r>
              <w:rPr>
                <w:rFonts w:eastAsia="Calibri"/>
                <w:b/>
                <w:highlight w:val="white"/>
                <w:lang w:val="pt-BR"/>
              </w:rPr>
            </w:r>
            <w:r>
              <w:rPr>
                <w:rFonts w:eastAsia="Calibri"/>
                <w:b/>
                <w:highlight w:val="white"/>
                <w:lang w:val="pt-BR"/>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lang w:val="vi-VN"/>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Thị Thùy Dương</w:t>
            </w:r>
            <w:r>
              <w:rPr>
                <w:rFonts w:eastAsia="Calibri"/>
                <w:b/>
                <w:color w:val="000000" w:themeColor="text1"/>
                <w:highlight w:val="white"/>
                <w:lang w:val="pt-BR"/>
              </w:rPr>
            </w:r>
            <w:r>
              <w:rPr>
                <w:rFonts w:eastAsia="Calibri"/>
                <w:b/>
                <w:color w:val="000000" w:themeColor="text1"/>
                <w:highlight w:val="white"/>
                <w:lang w:val="pt-BR"/>
              </w:rPr>
            </w:r>
          </w:p>
          <w:p>
            <w:pPr>
              <w:pBdr/>
              <w:spacing w:line="240" w:lineRule="atLeast"/>
              <w:ind/>
              <w:jc w:val="center"/>
              <w:rPr>
                <w:rFonts w:eastAsia="Calibri"/>
                <w:bCs/>
                <w:highlight w:val="white"/>
              </w:rPr>
            </w:pPr>
            <w:r>
              <w:rPr>
                <w:rFonts w:eastAsia="Calibri"/>
                <w:bCs/>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highlight w:val="white"/>
                <w:lang w:val="pt-BR"/>
              </w:rPr>
            </w:r>
            <w:r>
              <w:rPr>
                <w:rFonts w:eastAsia="Calibri"/>
                <w:bCs/>
                <w:highlight w:val="white"/>
                <w:lang w:val="pt-BR"/>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Vũ Văn Quân</w:t>
            </w:r>
            <w:r>
              <w:rPr>
                <w:rFonts w:eastAsia="Calibri"/>
                <w:b/>
                <w:highlight w:val="white"/>
              </w:rPr>
            </w:r>
            <w:r>
              <w:rPr>
                <w:rFonts w:eastAsia="Calibri"/>
                <w:b/>
                <w:highlight w:val="white"/>
              </w:rPr>
            </w:r>
          </w:p>
          <w:p>
            <w:pPr>
              <w:pBdr/>
              <w:spacing w:line="276" w:lineRule="auto"/>
              <w:ind/>
              <w:jc w:val="center"/>
              <w:rPr>
                <w:rFonts w:eastAsia="Calibri"/>
                <w:b/>
                <w:highlight w:val="white"/>
              </w:rPr>
            </w:pPr>
            <w:r>
              <w:rPr>
                <w:rFonts w:eastAsia="Calibri"/>
                <w:highlight w:val="white"/>
                <w:lang w:val="pt-BR"/>
              </w:rPr>
              <w:t xml:space="preserve">Số thẻ thẩm định viên về giá: </w:t>
            </w:r>
            <w:r>
              <w:rPr>
                <w:rFonts w:eastAsia="Calibri"/>
                <w:highlight w:val="white"/>
                <w:lang w:val="pt-BR"/>
              </w:rPr>
              <w:t xml:space="preserve">XII17.1825</w:t>
            </w:r>
            <w:r>
              <w:rPr>
                <w:rFonts w:eastAsia="Calibri"/>
                <w:b/>
                <w:highlight w:val="white"/>
                <w:lang w:val="pt-BR"/>
              </w:rPr>
            </w:r>
            <w:r>
              <w:rPr>
                <w:rFonts w:eastAsia="Calibri"/>
                <w:b/>
                <w:highlight w:val="white"/>
                <w:lang w:val="pt-BR"/>
              </w:rPr>
            </w:r>
          </w:p>
        </w:tc>
      </w:tr>
    </w:tbl>
    <w:p>
      <w:pPr>
        <w:pBdr/>
        <w:spacing w:after="200" w:line="276" w:lineRule="auto"/>
        <w:ind/>
        <w:jc w:val="center"/>
        <w:rPr>
          <w:b/>
          <w:highlight w:val="white"/>
          <w:u w:val="single"/>
        </w:rPr>
      </w:pPr>
      <w:r>
        <w:rPr>
          <w:b/>
          <w:highlight w:val="white"/>
          <w:u w:val="single"/>
          <w:lang w:val="vi-VN"/>
        </w:rPr>
      </w:r>
      <w:r>
        <w:rPr>
          <w:b/>
          <w:highlight w:val="white"/>
          <w:u w:val="single"/>
          <w:lang w:val="vi-VN"/>
        </w:rPr>
      </w:r>
      <w:r>
        <w:rPr>
          <w:b/>
          <w:highlight w:val="white"/>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TRỢ LÝ </w:t>
            </w:r>
            <w:r>
              <w:rPr>
                <w:rFonts w:eastAsia="Calibri"/>
                <w:b/>
                <w:highlight w:val="white"/>
                <w:lang w:val="pt-BR"/>
              </w:rPr>
              <w:t xml:space="preserve">THẨM ĐỊNH</w:t>
            </w:r>
            <w:r>
              <w:rPr>
                <w:rFonts w:eastAsia="Calibri"/>
                <w:b/>
                <w:highlight w:val="white"/>
                <w:lang w:val="pt-BR"/>
              </w:rPr>
              <w:t xml:space="preserve"> VIÊN</w:t>
            </w:r>
            <w:r>
              <w:rPr>
                <w:rFonts w:eastAsia="Calibri"/>
                <w:b/>
                <w:highlight w:val="white"/>
                <w:lang w:val="pt-BR"/>
              </w:rPr>
            </w:r>
            <w:r>
              <w:rPr>
                <w:rFonts w:eastAsia="Calibri"/>
                <w:b/>
                <w:highlight w:val="white"/>
                <w:lang w:val="pt-BR"/>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KIỂM SOÁT VIÊN</w:t>
            </w:r>
            <w:r>
              <w:rPr>
                <w:rFonts w:eastAsia="Calibri"/>
                <w:b/>
                <w:highlight w:val="white"/>
                <w:lang w:val="pt-BR"/>
              </w:rPr>
            </w:r>
            <w:r>
              <w:rPr>
                <w:rFonts w:eastAsia="Calibri"/>
                <w:b/>
                <w:highlight w:val="white"/>
                <w:lang w:val="pt-BR"/>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lang w:val="vi-VN"/>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Lê Đình Duy</w:t>
            </w:r>
            <w:r>
              <w:rPr>
                <w:rFonts w:eastAsia="Calibri"/>
                <w:b/>
                <w:color w:val="000000" w:themeColor="text1"/>
                <w:highlight w:val="white"/>
                <w:lang w:val="pt-BR"/>
              </w:rPr>
            </w:r>
            <w:r>
              <w:rPr>
                <w:rFonts w:eastAsia="Calibri"/>
                <w:b/>
                <w:color w:val="000000" w:themeColor="text1"/>
                <w:highlight w:val="white"/>
                <w:lang w:val="pt-BR"/>
              </w:rPr>
            </w:r>
          </w:p>
          <w:p>
            <w:pPr>
              <w:pBdr/>
              <w:spacing w:line="240" w:lineRule="atLeast"/>
              <w:ind/>
              <w:jc w:val="center"/>
              <w:rPr>
                <w:rFonts w:eastAsia="Calibri"/>
                <w:bCs/>
                <w:highlight w:val="white"/>
              </w:rPr>
            </w:pPr>
            <w:r>
              <w:rPr>
                <w:rFonts w:eastAsia="Calibri"/>
                <w:bCs/>
                <w:highlight w:val="white"/>
                <w:lang w:val="pt-BR"/>
              </w:rPr>
            </w:r>
            <w:r>
              <w:rPr>
                <w:rFonts w:eastAsia="Calibri"/>
                <w:bCs/>
                <w:highlight w:val="white"/>
                <w:lang w:val="pt-BR"/>
              </w:rPr>
            </w:r>
            <w:r>
              <w:rPr>
                <w:rFonts w:eastAsia="Calibri"/>
                <w:bCs/>
                <w:highlight w:val="white"/>
                <w:lang w:val="pt-BR"/>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Nguyễn Thị Thùy</w:t>
            </w:r>
            <w:r>
              <w:rPr>
                <w:rFonts w:eastAsia="Calibri"/>
                <w:b/>
                <w:highlight w:val="white"/>
              </w:rPr>
            </w:r>
            <w:r>
              <w:rPr>
                <w:rFonts w:eastAsia="Calibri"/>
                <w:b/>
                <w:highlight w:val="white"/>
              </w:rPr>
            </w:r>
          </w:p>
          <w:p>
            <w:pPr>
              <w:pBdr/>
              <w:spacing w:line="276" w:lineRule="auto"/>
              <w:ind/>
              <w:rPr>
                <w:rFonts w:eastAsia="Calibri"/>
                <w:b/>
                <w:highlight w:val="white"/>
              </w:rPr>
            </w:pPr>
            <w:r>
              <w:rPr>
                <w:rFonts w:eastAsia="Calibri"/>
                <w:b/>
                <w:highlight w:val="white"/>
                <w:lang w:val="pt-BR"/>
              </w:rPr>
            </w:r>
            <w:r>
              <w:rPr>
                <w:rFonts w:eastAsia="Calibri"/>
                <w:b/>
                <w:highlight w:val="white"/>
                <w:lang w:val="pt-BR"/>
              </w:rPr>
            </w:r>
            <w:r>
              <w:rPr>
                <w:rFonts w:eastAsia="Calibri"/>
                <w:b/>
                <w:highlight w:val="white"/>
                <w:lang w:val="pt-BR"/>
              </w:rPr>
            </w:r>
          </w:p>
        </w:tc>
      </w:tr>
    </w:tbl>
    <w:p>
      <w:pPr>
        <w:pBdr/>
        <w:spacing w:after="200" w:line="276" w:lineRule="auto"/>
        <w:ind/>
        <w:rPr>
          <w:b/>
          <w:highlight w:val="white"/>
          <w:u w:val="single"/>
        </w:rPr>
      </w:pPr>
      <w:r>
        <w:rPr>
          <w:b/>
          <w:highlight w:val="white"/>
          <w:u w:val="single"/>
          <w:lang w:val="vi-VN"/>
        </w:rPr>
      </w:r>
      <w:r>
        <w:rPr>
          <w:b/>
          <w:highlight w:val="white"/>
          <w:u w:val="single"/>
          <w:lang w:val="vi-VN"/>
        </w:rPr>
      </w:r>
      <w:r>
        <w:rPr>
          <w:b/>
          <w:highlight w:val="white"/>
          <w:u w:val="single"/>
          <w:lang w:val="vi-VN"/>
        </w:rPr>
      </w:r>
    </w:p>
    <w:p>
      <w:pPr>
        <w:pBdr/>
        <w:spacing w:after="200" w:line="276" w:lineRule="auto"/>
        <w:ind/>
        <w:jc w:val="center"/>
        <w:rPr>
          <w:b/>
          <w:highlight w:val="white"/>
          <w:u w:val="single"/>
        </w:rPr>
      </w:pPr>
      <w:r>
        <w:rPr>
          <w:highlight w:val="white"/>
          <w:lang w:val="vi-VN"/>
        </w:rPr>
        <w:br w:type="page" w:clear="all"/>
      </w:r>
      <w:r>
        <w:rPr>
          <w:b/>
          <w:highlight w:val="white"/>
          <w:u w:val="single"/>
          <w:lang w:val="vi-VN"/>
        </w:rPr>
        <w:t xml:space="preserve">PHỤ LỤC</w:t>
      </w:r>
      <w:r>
        <w:rPr>
          <w:b/>
          <w:highlight w:val="white"/>
          <w:u w:val="single"/>
          <w:lang w:val="pt-BR"/>
        </w:rPr>
        <w:t xml:space="preserve"> </w:t>
      </w:r>
      <w:r>
        <w:rPr>
          <w:b/>
          <w:highlight w:val="white"/>
          <w:u w:val="single"/>
          <w:lang w:val="pt-BR"/>
        </w:rPr>
        <w:t xml:space="preserve">0</w:t>
      </w:r>
      <w:r>
        <w:rPr>
          <w:b/>
          <w:highlight w:val="white"/>
          <w:u w:val="single"/>
          <w:lang w:val="pt-BR"/>
        </w:rPr>
        <w:t xml:space="preserve">1</w:t>
      </w:r>
      <w:r>
        <w:rPr>
          <w:b/>
          <w:highlight w:val="white"/>
          <w:lang w:val="vi-VN"/>
        </w:rPr>
        <w:t xml:space="preserve">: </w:t>
      </w:r>
      <w:r>
        <w:rPr>
          <w:b/>
          <w:highlight w:val="white"/>
        </w:rPr>
        <w:t xml:space="preserve">THÔNG TIN</w:t>
      </w:r>
      <w:r>
        <w:rPr>
          <w:b/>
          <w:highlight w:val="white"/>
          <w:lang w:val="vi-VN"/>
        </w:rPr>
        <w:t xml:space="preserve"> HIỆN TRẠNG</w:t>
      </w:r>
      <w:r>
        <w:rPr>
          <w:b/>
          <w:highlight w:val="white"/>
          <w:lang w:val="pt-BR"/>
        </w:rPr>
        <w:t xml:space="preserve"> </w:t>
      </w:r>
      <w:r>
        <w:rPr>
          <w:b/>
          <w:highlight w:val="white"/>
          <w:lang w:val="pt-BR"/>
        </w:rPr>
        <w:t xml:space="preserve">VÀ PHÁP LÝ </w:t>
      </w:r>
      <w:r>
        <w:rPr>
          <w:b/>
          <w:highlight w:val="white"/>
          <w:lang w:val="pt-BR"/>
        </w:rPr>
        <w:t xml:space="preserve">CỦA TÀI SẢN</w:t>
      </w:r>
      <w:r>
        <w:rPr>
          <w:b/>
          <w:highlight w:val="white"/>
          <w:u w:val="single"/>
          <w:lang w:val="vi-VN"/>
        </w:rPr>
      </w:r>
      <w:r>
        <w:rPr>
          <w:b/>
          <w:highlight w:val="white"/>
          <w:u w:val="single"/>
          <w:lang w:val="vi-VN"/>
        </w:rPr>
      </w:r>
    </w:p>
    <w:p>
      <w:pPr>
        <w:pBdr/>
        <w:spacing/>
        <w:ind/>
        <w:jc w:val="center"/>
        <w:rPr>
          <w:i/>
          <w:highlight w:val="white"/>
        </w:rPr>
      </w:pPr>
      <w:r>
        <w:rPr>
          <w:i/>
          <w:highlight w:val="white"/>
          <w:lang w:val="pt-BR"/>
        </w:rPr>
        <w:t xml:space="preserve">(Kèm theo Báo cáo thẩm định số</w:t>
      </w:r>
      <w:r>
        <w:rPr>
          <w:i/>
          <w:highlight w:val="white"/>
          <w:lang w:val="pt-BR"/>
        </w:rPr>
        <w:t xml:space="preserve"> </w:t>
      </w:r>
      <w:r>
        <w:rPr>
          <w:i/>
          <w:highlight w:val="white"/>
        </w:rPr>
        <w:t xml:space="preserve">275/2026/1480/VFI-B</w:t>
      </w:r>
      <w:r>
        <w:rPr>
          <w:i/>
          <w:highlight w:val="white"/>
        </w:rPr>
        <w:t xml:space="preserve">C.4</w:t>
      </w:r>
      <w:r>
        <w:rPr>
          <w:i/>
          <w:highlight w:val="white"/>
        </w:rPr>
        <w:t xml:space="preserve">4.A</w:t>
      </w:r>
      <w:r>
        <w:rPr>
          <w:i/>
          <w:highlight w:val="white"/>
          <w:lang w:val="pt-BR"/>
        </w:rPr>
        <w:t xml:space="preserve"> </w:t>
      </w:r>
      <w:r>
        <w:rPr>
          <w:i/>
          <w:highlight w:val="white"/>
          <w:lang w:val="pt-BR"/>
        </w:rPr>
        <w:t xml:space="preserve">ngày 21 tháng 9 n</w:t>
      </w:r>
      <w:r>
        <w:rPr>
          <w:i/>
          <w:highlight w:val="white"/>
          <w:lang w:val="pt-BR"/>
        </w:rPr>
        <w:t xml:space="preserve">ăm </w:t>
      </w:r>
      <w:r>
        <w:rPr>
          <w:i/>
          <w:highlight w:val="white"/>
          <w:lang w:val="pt-BR"/>
        </w:rPr>
        <w:t xml:space="preserve">2026</w:t>
      </w:r>
      <w:r>
        <w:rPr>
          <w:i/>
          <w:highlight w:val="white"/>
          <w:lang w:val="pt-BR"/>
        </w:rPr>
        <w:t xml:space="preserve"> </w:t>
      </w:r>
      <w:r>
        <w:rPr>
          <w:i/>
          <w:highlight w:val="white"/>
          <w:lang w:val="pt-BR"/>
        </w:rPr>
        <w:t xml:space="preserve">của </w:t>
      </w:r>
      <w:r>
        <w:rPr>
          <w:i/>
          <w:highlight w:val="white"/>
          <w:lang w:val="pt-BR"/>
        </w:rPr>
      </w:r>
      <w:r>
        <w:rPr>
          <w:i/>
          <w:highlight w:val="white"/>
          <w:lang w:val="pt-BR"/>
        </w:rPr>
      </w:r>
    </w:p>
    <w:p>
      <w:pPr>
        <w:pBdr/>
        <w:spacing w:after="120"/>
        <w:ind/>
        <w:jc w:val="center"/>
        <w:rPr>
          <w:i/>
          <w:highlight w:val="white"/>
        </w:rPr>
      </w:pPr>
      <w:r>
        <w:rPr>
          <w:i/>
          <w:highlight w:val="white"/>
          <w:lang w:val="pt-BR"/>
        </w:rPr>
        <w:t xml:space="preserve">Công ty Cổ phần Thẩm định và Đầu tư Tài chính Hoa Sen)</w:t>
      </w:r>
      <w:r>
        <w:rPr>
          <w:i/>
          <w:highlight w:val="white"/>
          <w:lang w:val="pt-BR"/>
        </w:rPr>
      </w:r>
      <w:r>
        <w:rPr>
          <w:i/>
          <w:highlight w:val="white"/>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Hướng</w:t>
            </w:r>
            <w:r>
              <w:rPr>
                <w:b/>
                <w:bCs/>
                <w:i/>
                <w:highlight w:val="white"/>
                <w:lang w:val="pt-BR"/>
              </w:rPr>
            </w:r>
            <w:r>
              <w:rPr>
                <w:b/>
                <w:bCs/>
                <w:i/>
                <w:highlight w:val="white"/>
                <w:lang w:val="pt-BR"/>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t xml:space="preserve">Tổng quan tài</w:t>
            </w:r>
            <w:r>
              <w:rPr>
                <w:b/>
                <w:bCs/>
                <w:i/>
                <w:highlight w:val="white"/>
                <w:lang w:val="pt-BR"/>
              </w:rPr>
              <w:t xml:space="preserve"> sản</w:t>
            </w:r>
            <w:r>
              <w:rPr>
                <w:b/>
                <w:bCs/>
                <w:i/>
                <w:highlight w:val="white"/>
                <w:lang w:val="pt-BR"/>
              </w:rPr>
            </w:r>
            <w:r>
              <w:rPr>
                <w:b/>
                <w:bCs/>
                <w:i/>
                <w:highlight w:val="white"/>
                <w:lang w:val="pt-BR"/>
              </w:rPr>
            </w:r>
          </w:p>
        </w:tc>
      </w:tr>
      <w:tr>
        <w:trPr/>
        <w:tc>
          <w:tcPr>
            <w:tcBorders/>
            <w:tcW w:w="4758"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997725" cy="2160894"/>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082229" name=""/>
                              <pic:cNvPicPr>
                                <a:picLocks noChangeAspect="1"/>
                              </pic:cNvPicPr>
                              <pic:nvPr/>
                            </pic:nvPicPr>
                            <pic:blipFill rotWithShape="1">
                              <a:blip r:embed="rId20"/>
                              <a:stretch/>
                            </pic:blipFill>
                            <pic:spPr bwMode="auto">
                              <a:xfrm flipH="0" flipV="0">
                                <a:off x="0" y="0"/>
                                <a:ext cx="997724" cy="216089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78.56pt;height:170.15pt;mso-wrap-distance-left:0.00pt;mso-wrap-distance-top:0.00pt;mso-wrap-distance-right:0.00pt;mso-wrap-distance-bottom:0.00pt;z-index:1;" stroked="false">
                      <v:imagedata r:id="rId20" o:title=""/>
                      <o:lock v:ext="edit" rotation="t"/>
                    </v:shape>
                  </w:pict>
                </mc:Fallback>
              </mc:AlternateContent>
            </w:r>
            <w:r>
              <w:rPr>
                <w:i/>
                <w:highlight w:val="white"/>
                <w:lang w:val="pt-BR"/>
              </w:rPr>
            </w:r>
            <w:r>
              <w:rPr>
                <w:i/>
                <w:highlight w:val="white"/>
                <w:lang w:val="pt-BR"/>
              </w:rPr>
            </w:r>
          </w:p>
        </w:tc>
        <w:tc>
          <w:tcPr>
            <w:tcBorders/>
            <w:tcW w:w="4757"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3074279" cy="230330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375899" name=""/>
                              <pic:cNvPicPr>
                                <a:picLocks noChangeAspect="1"/>
                              </pic:cNvPicPr>
                              <pic:nvPr/>
                            </pic:nvPicPr>
                            <pic:blipFill rotWithShape="1">
                              <a:blip r:embed="rId21"/>
                              <a:stretch/>
                            </pic:blipFill>
                            <pic:spPr bwMode="auto">
                              <a:xfrm flipH="0" flipV="0">
                                <a:off x="0" y="0"/>
                                <a:ext cx="3074279" cy="23033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42.07pt;height:181.36pt;mso-wrap-distance-left:0.00pt;mso-wrap-distance-top:0.00pt;mso-wrap-distance-right:0.00pt;mso-wrap-distance-bottom:0.00pt;z-index:1;" stroked="false">
                      <v:imagedata r:id="rId21" o:title=""/>
                      <o:lock v:ext="edit" rotation="t"/>
                    </v:shape>
                  </w:pict>
                </mc:Fallback>
              </mc:AlternateContent>
            </w:r>
            <w:r>
              <w:rPr>
                <w:i/>
                <w:highlight w:val="white"/>
                <w:lang w:val="pt-BR"/>
              </w:rPr>
            </w:r>
            <w:r>
              <w:rPr>
                <w:i/>
                <w:highlight w:val="white"/>
                <w:lang w:val="pt-BR"/>
              </w:rPr>
            </w:r>
          </w:p>
        </w:tc>
      </w:tr>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Người khảo sát</w:t>
            </w:r>
            <w:r>
              <w:rPr>
                <w:b/>
                <w:bCs/>
                <w:i/>
                <w:highlight w:val="white"/>
                <w:lang w:val="pt-BR"/>
              </w:rPr>
            </w:r>
            <w:r>
              <w:rPr>
                <w:b/>
                <w:bCs/>
                <w:i/>
                <w:highlight w:val="white"/>
                <w:lang w:val="pt-BR"/>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t xml:space="preserve">Đường trước tài sản</w:t>
            </w:r>
            <w:r>
              <w:rPr>
                <w:b/>
                <w:bCs/>
                <w:i/>
                <w:highlight w:val="white"/>
                <w:lang w:val="pt-BR"/>
              </w:rPr>
            </w:r>
            <w:r>
              <w:rPr>
                <w:b/>
                <w:bCs/>
                <w:i/>
                <w:highlight w:val="white"/>
                <w:lang w:val="pt-BR"/>
              </w:rPr>
            </w:r>
          </w:p>
        </w:tc>
      </w:tr>
      <w:tr>
        <w:trPr/>
        <w:tc>
          <w:tcPr>
            <w:tcBorders/>
            <w:tcW w:w="4758"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3049565" cy="2287174"/>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803393" name=""/>
                              <pic:cNvPicPr>
                                <a:picLocks noChangeAspect="1"/>
                              </pic:cNvPicPr>
                              <pic:nvPr/>
                            </pic:nvPicPr>
                            <pic:blipFill rotWithShape="1">
                              <a:blip r:embed="rId22"/>
                              <a:stretch/>
                            </pic:blipFill>
                            <pic:spPr bwMode="auto">
                              <a:xfrm rot="0" flipH="0" flipV="0">
                                <a:off x="0" y="0"/>
                                <a:ext cx="3049563" cy="228717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40.12pt;height:180.09pt;mso-wrap-distance-left:0.00pt;mso-wrap-distance-top:0.00pt;mso-wrap-distance-right:0.00pt;mso-wrap-distance-bottom:0.00pt;rotation:0;z-index:1;" stroked="false">
                      <v:imagedata r:id="rId22" o:title=""/>
                      <o:lock v:ext="edit" rotation="t"/>
                    </v:shape>
                  </w:pict>
                </mc:Fallback>
              </mc:AlternateContent>
            </w:r>
            <w:r>
              <w:rPr>
                <w:i/>
                <w:highlight w:val="white"/>
                <w:lang w:val="pt-BR"/>
              </w:rPr>
            </w:r>
            <w:r>
              <w:rPr>
                <w:i/>
                <w:highlight w:val="white"/>
                <w:lang w:val="pt-BR"/>
              </w:rPr>
            </w:r>
          </w:p>
        </w:tc>
        <w:tc>
          <w:tcPr>
            <w:tcBorders/>
            <w:tcW w:w="4757"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3407655" cy="255307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160773" name=""/>
                              <pic:cNvPicPr>
                                <a:picLocks noChangeAspect="1"/>
                              </pic:cNvPicPr>
                              <pic:nvPr/>
                            </pic:nvPicPr>
                            <pic:blipFill rotWithShape="1">
                              <a:blip r:embed="rId23"/>
                              <a:stretch/>
                            </pic:blipFill>
                            <pic:spPr bwMode="auto">
                              <a:xfrm flipH="0" flipV="0">
                                <a:off x="0" y="0"/>
                                <a:ext cx="3407654" cy="25530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68.32pt;height:201.03pt;mso-wrap-distance-left:0.00pt;mso-wrap-distance-top:0.00pt;mso-wrap-distance-right:0.00pt;mso-wrap-distance-bottom:0.00pt;z-index:1;" stroked="false">
                      <v:imagedata r:id="rId23" o:title=""/>
                      <o:lock v:ext="edit" rotation="t"/>
                    </v:shape>
                  </w:pict>
                </mc:Fallback>
              </mc:AlternateContent>
            </w:r>
            <w:r>
              <w:rPr>
                <w:i/>
                <w:highlight w:val="white"/>
                <w:lang w:val="pt-BR"/>
              </w:rPr>
            </w:r>
            <w:r>
              <w:rPr>
                <w:i/>
                <w:highlight w:val="white"/>
                <w:lang w:val="pt-BR"/>
              </w:rPr>
            </w:r>
          </w:p>
        </w:tc>
      </w:tr>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Hiện trạng tài sản</w:t>
            </w:r>
            <w:r>
              <w:rPr>
                <w:b/>
                <w:bCs/>
                <w:i/>
                <w:highlight w:val="white"/>
                <w:lang w:val="pt-BR"/>
              </w:rPr>
            </w:r>
            <w:r>
              <w:rPr>
                <w:b/>
                <w:bCs/>
                <w:i/>
                <w:highlight w:val="white"/>
                <w:lang w:val="pt-BR"/>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t xml:space="preserve">Hiện trạng tài sản</w:t>
            </w:r>
            <w:r>
              <w:rPr>
                <w:b/>
                <w:bCs/>
                <w:i/>
                <w:highlight w:val="white"/>
                <w:lang w:val="pt-BR"/>
              </w:rPr>
            </w:r>
            <w:r>
              <w:rPr>
                <w:b/>
                <w:bCs/>
                <w:i/>
                <w:highlight w:val="white"/>
                <w:lang w:val="pt-BR"/>
              </w:rPr>
            </w:r>
          </w:p>
        </w:tc>
      </w:tr>
      <w:tr>
        <w:trPr/>
        <w:tc>
          <w:tcPr>
            <w:tcBorders/>
            <w:tcW w:w="4758"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535215" cy="1899424"/>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323159" name=""/>
                              <pic:cNvPicPr>
                                <a:picLocks noChangeAspect="1"/>
                              </pic:cNvPicPr>
                              <pic:nvPr/>
                            </pic:nvPicPr>
                            <pic:blipFill rotWithShape="1">
                              <a:blip r:embed="rId24"/>
                              <a:stretch/>
                            </pic:blipFill>
                            <pic:spPr bwMode="auto">
                              <a:xfrm flipH="0" flipV="0">
                                <a:off x="0" y="0"/>
                                <a:ext cx="2535214" cy="18994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99.62pt;height:149.56pt;mso-wrap-distance-left:0.00pt;mso-wrap-distance-top:0.00pt;mso-wrap-distance-right:0.00pt;mso-wrap-distance-bottom:0.00pt;z-index:1;" stroked="false">
                      <v:imagedata r:id="rId24" o:title=""/>
                      <o:lock v:ext="edit" rotation="t"/>
                    </v:shape>
                  </w:pict>
                </mc:Fallback>
              </mc:AlternateContent>
            </w:r>
            <w:r>
              <w:rPr>
                <w:i/>
                <w:highlight w:val="white"/>
                <w:lang w:val="pt-BR"/>
              </w:rPr>
            </w:r>
            <w:r>
              <w:rPr>
                <w:i/>
                <w:highlight w:val="white"/>
                <w:lang w:val="pt-BR"/>
              </w:rPr>
            </w:r>
          </w:p>
        </w:tc>
        <w:tc>
          <w:tcPr>
            <w:tcBorders/>
            <w:tcW w:w="4757" w:type="dxa"/>
            <w:vAlign w:val="center"/>
            <w:textDirection w:val="lrTb"/>
            <w:noWrap w:val="false"/>
          </w:tcPr>
          <w:p>
            <w:pPr>
              <w:pBdr/>
              <w:spacing w:after="120"/>
              <w:ind/>
              <w:jc w:val="center"/>
              <w:rPr>
                <w:b/>
                <w:bCs/>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626605" cy="196789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167003" name=""/>
                              <pic:cNvPicPr>
                                <a:picLocks noChangeAspect="1"/>
                              </pic:cNvPicPr>
                              <pic:nvPr/>
                            </pic:nvPicPr>
                            <pic:blipFill rotWithShape="1">
                              <a:blip r:embed="rId25"/>
                              <a:stretch/>
                            </pic:blipFill>
                            <pic:spPr bwMode="auto">
                              <a:xfrm flipH="0" flipV="0">
                                <a:off x="0" y="0"/>
                                <a:ext cx="2626604" cy="196789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06.82pt;height:154.95pt;mso-wrap-distance-left:0.00pt;mso-wrap-distance-top:0.00pt;mso-wrap-distance-right:0.00pt;mso-wrap-distance-bottom:0.00pt;z-index:1;" stroked="false">
                      <v:imagedata r:id="rId25" o:title=""/>
                      <o:lock v:ext="edit" rotation="t"/>
                    </v:shape>
                  </w:pict>
                </mc:Fallback>
              </mc:AlternateContent>
            </w:r>
            <w:r>
              <w:rPr>
                <w:b/>
                <w:bCs/>
                <w:i/>
                <w:highlight w:val="white"/>
                <w:lang w:val="pt-BR"/>
              </w:rPr>
            </w:r>
            <w:r>
              <w:rPr>
                <w:b/>
                <w:bCs/>
                <w:i/>
                <w:highlight w:val="white"/>
                <w:lang w:val="pt-BR"/>
              </w:rPr>
            </w:r>
          </w:p>
        </w:tc>
      </w:tr>
    </w:tbl>
    <w:p>
      <w:pPr>
        <w:pBdr/>
        <w:spacing/>
        <w:ind/>
        <w:rPr>
          <w:highlight w:val="white"/>
        </w:rPr>
      </w:pPr>
      <w:r>
        <w:rPr>
          <w:highlight w:val="white"/>
        </w:rPr>
      </w:r>
      <w:r>
        <w:rPr>
          <w:highlight w:val="white"/>
        </w:rPr>
      </w:r>
    </w:p>
    <w:p>
      <w:pPr>
        <w:pBdr/>
        <w:spacing w:after="200" w:line="276" w:lineRule="auto"/>
        <w:ind/>
        <w:rPr>
          <w:highlight w:val="white"/>
        </w:rPr>
      </w:pPr>
      <w:r>
        <w:rPr>
          <w:highlight w:val="white"/>
        </w:rPr>
        <w:br w:type="page" w:clear="all"/>
      </w:r>
      <w:r>
        <w:rPr>
          <w:highlight w:val="white"/>
        </w:rPr>
        <mc:AlternateContent>
          <mc:Choice Requires="wpg">
            <w:drawing>
              <wp:inline xmlns:wp="http://schemas.openxmlformats.org/drawingml/2006/wordprocessingDrawing" distT="0" distB="0" distL="0" distR="0">
                <wp:extent cx="6048375" cy="4297361"/>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531352" name=""/>
                        <pic:cNvPicPr>
                          <a:picLocks noChangeAspect="1"/>
                        </pic:cNvPicPr>
                        <pic:nvPr/>
                      </pic:nvPicPr>
                      <pic:blipFill rotWithShape="1">
                        <a:blip r:embed="rId26"/>
                        <a:stretch/>
                      </pic:blipFill>
                      <pic:spPr bwMode="auto">
                        <a:xfrm>
                          <a:off x="0" y="0"/>
                          <a:ext cx="6048374" cy="42973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338.37pt;mso-wrap-distance-left:0.00pt;mso-wrap-distance-top:0.00pt;mso-wrap-distance-right:0.00pt;mso-wrap-distance-bottom:0.00pt;z-index:1;" stroked="false">
                <v:imagedata r:id="rId26" o:title=""/>
                <o:lock v:ext="edit" rotation="t"/>
              </v:shape>
            </w:pict>
          </mc:Fallback>
        </mc:AlternateContent>
      </w:r>
      <w:r>
        <w:rPr>
          <w:highlight w:val="white"/>
        </w:rPr>
        <mc:AlternateContent>
          <mc:Choice Requires="wpg">
            <w:drawing>
              <wp:inline xmlns:wp="http://schemas.openxmlformats.org/drawingml/2006/wordprocessingDrawing" distT="0" distB="0" distL="0" distR="0">
                <wp:extent cx="6048375" cy="4358484"/>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319796" name=""/>
                        <pic:cNvPicPr>
                          <a:picLocks noChangeAspect="1"/>
                        </pic:cNvPicPr>
                        <pic:nvPr/>
                      </pic:nvPicPr>
                      <pic:blipFill rotWithShape="1">
                        <a:blip r:embed="rId27"/>
                        <a:stretch/>
                      </pic:blipFill>
                      <pic:spPr bwMode="auto">
                        <a:xfrm>
                          <a:off x="0" y="0"/>
                          <a:ext cx="6048374" cy="435848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343.19pt;mso-wrap-distance-left:0.00pt;mso-wrap-distance-top:0.00pt;mso-wrap-distance-right:0.00pt;mso-wrap-distance-bottom:0.00pt;z-index:1;" stroked="false">
                <v:imagedata r:id="rId27" o:title=""/>
                <o:lock v:ext="edit" rotation="t"/>
              </v:shape>
            </w:pict>
          </mc:Fallback>
        </mc:AlternateContent>
      </w:r>
      <w:r>
        <w:rPr>
          <w:highlight w:val="white"/>
        </w:rPr>
      </w:r>
    </w:p>
    <w:p>
      <w:pPr>
        <w:pBdr/>
        <w:spacing w:after="200" w:line="276" w:lineRule="auto"/>
        <w:ind/>
        <w:rPr>
          <w:highlight w:val="white"/>
        </w:rPr>
      </w:pPr>
      <w:r>
        <w:rPr>
          <w:highlight w:val="white"/>
        </w:rPr>
      </w:r>
      <w:r>
        <w:rPr>
          <w:highlight w:val="white"/>
        </w:rPr>
        <mc:AlternateContent>
          <mc:Choice Requires="wpg">
            <w:drawing>
              <wp:inline xmlns:wp="http://schemas.openxmlformats.org/drawingml/2006/wordprocessingDrawing" distT="0" distB="0" distL="0" distR="0">
                <wp:extent cx="6048375" cy="886723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443827" name=""/>
                        <pic:cNvPicPr>
                          <a:picLocks noChangeAspect="1"/>
                        </pic:cNvPicPr>
                        <pic:nvPr/>
                      </pic:nvPicPr>
                      <pic:blipFill rotWithShape="1">
                        <a:blip r:embed="rId28"/>
                        <a:stretch/>
                      </pic:blipFill>
                      <pic:spPr bwMode="auto">
                        <a:xfrm flipH="0" flipV="0">
                          <a:off x="0" y="0"/>
                          <a:ext cx="6048374" cy="88672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698.21pt;mso-wrap-distance-left:0.00pt;mso-wrap-distance-top:0.00pt;mso-wrap-distance-right:0.00pt;mso-wrap-distance-bottom:0.00pt;z-index:1;" stroked="false">
                <v:imagedata r:id="rId28" o:title=""/>
                <o:lock v:ext="edit" rotation="t"/>
              </v:shape>
            </w:pict>
          </mc:Fallback>
        </mc:AlternateContent>
      </w:r>
      <w:r>
        <w:rPr>
          <w:highlight w:val="white"/>
        </w:rPr>
      </w:r>
      <w:r>
        <w:rPr>
          <w:highlight w:val="white"/>
        </w:rPr>
      </w:r>
    </w:p>
    <w:p>
      <w:pPr>
        <w:pBdr/>
        <w:spacing w:after="200" w:line="276" w:lineRule="auto"/>
        <w:ind/>
        <w:jc w:val="center"/>
        <w:rPr>
          <w:bCs/>
          <w:i/>
          <w:highlight w:val="white"/>
        </w:rPr>
      </w:pPr>
      <w:r>
        <w:rPr>
          <w:b/>
          <w:highlight w:val="white"/>
        </w:rPr>
      </w:r>
      <w:r>
        <w:rPr>
          <w:b/>
          <w:highlight w:val="white"/>
        </w:rPr>
      </w:r>
      <w:r>
        <w:rPr>
          <w:bCs/>
          <w:i/>
          <w:highlight w:val="white"/>
          <w:lang w:val="pt-BR"/>
        </w:rPr>
      </w:r>
    </w:p>
    <w:p>
      <w:pPr>
        <w:pBdr/>
        <w:spacing w:after="200" w:line="276" w:lineRule="auto"/>
        <w:ind/>
        <w:jc w:val="center"/>
        <w:rPr>
          <w:b/>
          <w:bCs/>
          <w:highlight w:val="white"/>
        </w:rPr>
      </w:pPr>
      <w:r>
        <w:rPr>
          <w:b/>
          <w:highlight w:val="white"/>
          <w:u w:val="single"/>
          <w:lang w:val="vi-VN"/>
        </w:rPr>
        <w:t xml:space="preserve">PHỤ LỤC</w:t>
      </w:r>
      <w:r>
        <w:rPr>
          <w:b/>
          <w:highlight w:val="white"/>
          <w:u w:val="single"/>
          <w:lang w:val="pt-BR"/>
        </w:rPr>
        <w:t xml:space="preserve"> </w:t>
      </w:r>
      <w:r>
        <w:rPr>
          <w:b/>
          <w:highlight w:val="white"/>
          <w:u w:val="single"/>
          <w:lang w:val="pt-BR"/>
        </w:rPr>
        <w:t xml:space="preserve">0</w:t>
      </w:r>
      <w:r>
        <w:rPr>
          <w:b/>
          <w:highlight w:val="white"/>
          <w:u w:val="single"/>
          <w:lang w:val="pt-BR"/>
        </w:rPr>
        <w:t xml:space="preserve">2</w:t>
      </w:r>
      <w:r>
        <w:rPr>
          <w:b/>
          <w:highlight w:val="white"/>
          <w:lang w:val="vi-VN"/>
        </w:rPr>
        <w:t xml:space="preserve">: THÔNG TIN THU THẬP THỊ TRƯỜN</w:t>
      </w:r>
      <w:r>
        <w:rPr>
          <w:b/>
          <w:highlight w:val="white"/>
        </w:rPr>
        <w:t xml:space="preserve">G</w:t>
      </w:r>
      <w:r>
        <w:rPr>
          <w:i/>
          <w:highlight w:val="white"/>
          <w:lang w:val="pt-BR"/>
        </w:rPr>
      </w:r>
      <w:r>
        <w:rPr>
          <w:b/>
          <w:bCs/>
          <w:highlight w:val="white"/>
        </w:rPr>
      </w:r>
    </w:p>
    <w:p>
      <w:pPr>
        <w:pBdr/>
        <w:spacing/>
        <w:ind/>
        <w:jc w:val="center"/>
        <w:rPr>
          <w:i/>
          <w:highlight w:val="white"/>
        </w:rPr>
      </w:pPr>
      <w:r>
        <w:rPr>
          <w:i/>
          <w:highlight w:val="white"/>
          <w:lang w:val="pt-BR"/>
        </w:rPr>
        <w:t xml:space="preserve">(Kèm theo Báo cáo thẩm định số </w:t>
      </w:r>
      <w:r>
        <w:rPr>
          <w:i/>
          <w:highlight w:val="white"/>
        </w:rPr>
        <w:t xml:space="preserve">275/2026/1480/VFI-B</w:t>
      </w:r>
      <w:r>
        <w:rPr>
          <w:i/>
          <w:highlight w:val="white"/>
        </w:rPr>
        <w:t xml:space="preserve">C.44.A</w:t>
      </w:r>
      <w:r>
        <w:rPr>
          <w:i/>
          <w:highlight w:val="white"/>
          <w:lang w:val="pt-BR"/>
        </w:rPr>
        <w:t xml:space="preserve"> ngày </w:t>
      </w:r>
      <w:r>
        <w:rPr>
          <w:i/>
          <w:highlight w:val="white"/>
          <w:lang w:val="pt-BR"/>
        </w:rPr>
        <w:t xml:space="preserve">21 tháng 9</w:t>
      </w:r>
      <w:r>
        <w:rPr>
          <w:i/>
          <w:highlight w:val="white"/>
          <w:lang w:val="pt-BR"/>
        </w:rPr>
        <w:t xml:space="preserve"> năm 2026</w:t>
      </w:r>
      <w:r>
        <w:rPr>
          <w:i/>
          <w:highlight w:val="white"/>
          <w:lang w:val="pt-BR"/>
        </w:rPr>
        <w:t xml:space="preserve"> </w:t>
      </w:r>
      <w:r>
        <w:rPr>
          <w:i/>
          <w:highlight w:val="white"/>
          <w:lang w:val="pt-BR"/>
        </w:rPr>
        <w:t xml:space="preserve">của </w:t>
      </w:r>
      <w:r>
        <w:rPr>
          <w:i/>
          <w:highlight w:val="white"/>
          <w:lang w:val="pt-BR"/>
        </w:rPr>
      </w:r>
      <w:r>
        <w:rPr>
          <w:i/>
          <w:highlight w:val="white"/>
          <w:lang w:val="pt-BR"/>
        </w:rPr>
      </w:r>
    </w:p>
    <w:p>
      <w:pPr>
        <w:pBdr/>
        <w:spacing w:after="120"/>
        <w:ind/>
        <w:jc w:val="center"/>
        <w:rPr>
          <w:i/>
          <w:highlight w:val="white"/>
        </w:rPr>
      </w:pPr>
      <w:r>
        <w:rPr>
          <w:i/>
          <w:highlight w:val="white"/>
          <w:lang w:val="pt-BR"/>
        </w:rPr>
        <w:t xml:space="preserve">Công ty Cổ phần Thẩm định và Đầu tư Tài chính Hoa Sen)</w:t>
      </w:r>
      <w:r>
        <w:rPr>
          <w:i/>
          <w:highlight w:val="white"/>
          <w:lang w:val="pt-BR"/>
        </w:rPr>
      </w:r>
      <w:r>
        <w:rPr>
          <w:i/>
          <w:highlight w:val="white"/>
          <w:lang w:val="pt-BR"/>
        </w:rPr>
      </w:r>
    </w:p>
    <w:p>
      <w:pPr>
        <w:pBdr/>
        <w:spacing w:after="120"/>
        <w:ind/>
        <w:jc w:val="center"/>
        <w:rPr>
          <w:b/>
          <w:bCs/>
          <w:iCs/>
          <w:highlight w:val="white"/>
        </w:rPr>
      </w:pPr>
      <w:r>
        <w:rPr>
          <w:b/>
          <w:bCs/>
          <w:iCs/>
          <w:highlight w:val="white"/>
          <w:lang w:val="pt-BR"/>
        </w:rPr>
        <w:t xml:space="preserve">TSSS1</w:t>
      </w:r>
      <w:r>
        <w:rPr>
          <w:b/>
          <w:bCs/>
          <w:iCs/>
          <w:highlight w:val="white"/>
          <w:lang w:val="pt-BR"/>
        </w:rPr>
      </w:r>
      <w:r>
        <w:rPr>
          <w:b/>
          <w:bCs/>
          <w:iCs/>
          <w:highlight w:val="whit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https://www.facebook.com/share/p/17vA5ZcGt1/</w:t>
            </w:r>
            <w:r>
              <w:rPr>
                <w:color w:val="000000" w:themeColor="text1"/>
                <w:sz w:val="22"/>
                <w:szCs w:val="22"/>
                <w:highlight w:val="white"/>
              </w:rPr>
              <w:br/>
              <w:t xml:space="preserve">0979951985</w:t>
            </w:r>
            <w:r>
              <w:rPr>
                <w:sz w:val="22"/>
                <w:szCs w:val="22"/>
                <w:highlight w:val="white"/>
              </w:rPr>
              <w:t xml:space="preserve"> </w:t>
            </w:r>
            <w:r>
              <w:rPr>
                <w:sz w:val="22"/>
                <w:szCs w:val="22"/>
                <w:highlight w:val="white"/>
              </w:rPr>
              <w:br/>
              <w:t xml:space="preserve">(Trung Hiền</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14.500.000.000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12.325.000.000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t xml:space="preserve">Đang giao 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09/2026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Mục đích sử dụng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Đất ở nông thôn (107m²)</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Đất ở nông thôn – Lâu dài</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 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Tài sản tại: Xã Tây Phương, Thành phố Hà Nội, tiếp giáp đường Thái Hòa</w:t>
            </w:r>
            <w:r>
              <w:rPr>
                <w:color w:val="000000" w:themeColor="text1"/>
                <w:sz w:val="22"/>
                <w:szCs w:val="22"/>
                <w:highlight w:val="white"/>
              </w:rPr>
              <w:t xml:space="preserve">, độ rộng đường trước mặt tài sản 7m,</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Giao thông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Đường nhựa không có vỉa hè</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107</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Mặt tiền (m)</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5</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Tiếp giáp 1 mặt tiền</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Hình dáng thửa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Hình vuông</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CTXD trên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Nhà 2 tầng +1 tum, tổng diện tích sàn khoảng 267,5m2</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white"/>
              </w:rPr>
            </w:pPr>
            <w:r>
              <w:rPr>
                <w:b/>
                <w:bCs/>
                <w:color w:val="000000"/>
                <w:sz w:val="22"/>
                <w:szCs w:val="22"/>
                <w:highlight w:val="white"/>
              </w:rPr>
              <w:t xml:space="preserve"> </w:t>
            </w:r>
            <w:r>
              <w:rPr>
                <w:color w:val="000000"/>
                <w:sz w:val="22"/>
                <w:szCs w:val="22"/>
                <w:highlight w:val="white"/>
              </w:rPr>
              <w:t xml:space="preserve">Hình ảnh đăng bán: </w:t>
            </w:r>
            <w:r>
              <w:rPr>
                <w:color w:val="000000"/>
                <w:sz w:val="22"/>
                <w:szCs w:val="22"/>
                <w:highlight w:val="white"/>
              </w:rPr>
            </w:r>
            <w:r>
              <w:rPr>
                <w:color w:val="000000"/>
                <w:sz w:val="22"/>
                <w:szCs w:val="22"/>
                <w:highlight w:val="white"/>
              </w:rPr>
            </w:r>
          </w:p>
          <w:p>
            <w:pPr>
              <w:pBdr/>
              <w:spacing w:line="276" w:lineRule="auto"/>
              <w:ind/>
              <w:jc w:val="center"/>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3372696"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337269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65.57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br/>
            </w:r>
            <w:r>
              <w:rPr>
                <w:color w:val="000000"/>
                <w:sz w:val="22"/>
                <w:szCs w:val="22"/>
                <w:highlight w:val="white"/>
              </w:rPr>
              <w:t xml:space="preserve">Hình ảnh</w:t>
            </w:r>
            <w:r>
              <w:rPr>
                <w:color w:val="000000"/>
                <w:sz w:val="22"/>
                <w:szCs w:val="22"/>
                <w:highlight w:val="white"/>
              </w:rPr>
              <w:t xml:space="preserve"> tổng quan tài sản</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jc w:val="center"/>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2382382"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238238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7.59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ind/>
              <w:rPr>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highlight w:val="white"/>
              </w:rPr>
            </w:r>
          </w:p>
        </w:tc>
      </w:tr>
    </w:tbl>
    <w:p>
      <w:pPr>
        <w:pBdr/>
        <w:spacing w:after="200" w:line="276" w:lineRule="auto"/>
        <w:ind/>
        <w:jc w:val="center"/>
        <w:rPr>
          <w:b/>
          <w:bCs/>
          <w:iCs/>
          <w:highlight w:val="white"/>
        </w:rPr>
      </w:pPr>
      <w:r>
        <w:rPr>
          <w:b/>
          <w:bCs/>
          <w:iCs/>
          <w:highlight w:val="white"/>
          <w:lang w:val="pt-BR"/>
        </w:rPr>
      </w:r>
      <w:r>
        <w:rPr>
          <w:b/>
          <w:bCs/>
          <w:iCs/>
          <w:highlight w:val="white"/>
          <w:lang w:val="pt-BR"/>
        </w:rPr>
        <w:t xml:space="preserve">TSSS2</w:t>
      </w:r>
      <w:r>
        <w:rPr>
          <w:b/>
          <w:bCs/>
          <w:iCs/>
          <w:highlight w:val="white"/>
          <w:lang w:val="pt-BR"/>
        </w:rPr>
      </w:r>
      <w:r>
        <w:rPr>
          <w:b/>
          <w:bCs/>
          <w:iCs/>
          <w:highlight w:val="whit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br/>
              <w:t xml:space="preserve">0983815238</w:t>
            </w:r>
            <w:r>
              <w:rPr>
                <w:sz w:val="22"/>
                <w:szCs w:val="22"/>
                <w:highlight w:val="white"/>
              </w:rPr>
              <w:t xml:space="preserve"> </w:t>
            </w:r>
            <w:r>
              <w:rPr>
                <w:sz w:val="22"/>
                <w:szCs w:val="22"/>
                <w:highlight w:val="white"/>
              </w:rPr>
              <w:br/>
              <w:t xml:space="preserve">(Phương Tường</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14.500.000.000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11.600.000.000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Đang giao 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09/2026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Mục đích sử dụng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Đất ở nông thôn (107m²)</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Đất ở nông thôn – Lâu dài</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 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Tài sản tại: Xã Tây Phương, Thành phố Hà Nội, tiếp giáp đường Thái Hòa</w:t>
            </w:r>
            <w:r>
              <w:rPr>
                <w:color w:val="000000" w:themeColor="text1"/>
                <w:sz w:val="22"/>
                <w:szCs w:val="22"/>
                <w:highlight w:val="white"/>
              </w:rPr>
              <w:t xml:space="preserve">, độ rộng đường trước mặt tài sản 7m,</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Giao thông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Đường nhựa không có vỉa hè</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107</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Mặt tiền (m)</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4</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Tiếp giáp 1 mặt tiền</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Hình dáng thửa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Hình chữ nhật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CTXD trên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Nhà 03 tầng, tổng diện tích sàn khoảng </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white"/>
              </w:rPr>
            </w:pPr>
            <w:r>
              <w:rPr>
                <w:b/>
                <w:bCs/>
                <w:color w:val="000000"/>
                <w:sz w:val="22"/>
                <w:szCs w:val="22"/>
                <w:highlight w:val="white"/>
              </w:rPr>
              <w:t xml:space="preserve"> </w:t>
            </w:r>
            <w:r>
              <w:rPr>
                <w:color w:val="000000"/>
                <w:sz w:val="22"/>
                <w:szCs w:val="22"/>
                <w:highlight w:val="white"/>
              </w:rPr>
              <w:t xml:space="preserve">Hình ảnh đăng bán:</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142875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12.50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1428750"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12.50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1428750"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12.50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1428750"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12.50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br/>
            </w:r>
            <w:r>
              <w:rPr>
                <w:color w:val="000000"/>
                <w:sz w:val="22"/>
                <w:szCs w:val="22"/>
                <w:highlight w:val="white"/>
              </w:rPr>
              <w:t xml:space="preserve">Hình ảnh</w:t>
            </w:r>
            <w:r>
              <w:rPr>
                <w:color w:val="000000"/>
                <w:sz w:val="22"/>
                <w:szCs w:val="22"/>
                <w:highlight w:val="white"/>
              </w:rPr>
              <w:t xml:space="preserve"> tổng quan tài sản</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1468438"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146843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15.63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b/>
                <w:bCs/>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b/>
                <w:bCs/>
                <w:sz w:val="22"/>
                <w:szCs w:val="22"/>
                <w:highlight w:val="white"/>
              </w:rPr>
            </w:r>
            <w:r>
              <w:rPr>
                <w:b/>
                <w:bCs/>
                <w:sz w:val="22"/>
                <w:szCs w:val="22"/>
                <w:highlight w:val="white"/>
              </w:rPr>
            </w:r>
          </w:p>
        </w:tc>
      </w:tr>
    </w:tbl>
    <w:p>
      <w:pPr>
        <w:pBdr/>
        <w:spacing w:after="200" w:line="276" w:lineRule="auto"/>
        <w:ind/>
        <w:rPr>
          <w:iCs/>
          <w:highlight w:val="white"/>
        </w:rPr>
      </w:pPr>
      <w:r>
        <w:rPr>
          <w:iCs/>
          <w:highlight w:val="white"/>
          <w:lang w:val="pt-BR"/>
        </w:rPr>
      </w:r>
      <w:r>
        <w:rPr>
          <w:iCs/>
          <w:highlight w:val="white"/>
          <w:lang w:val="pt-BR"/>
        </w:rPr>
      </w:r>
      <w:r>
        <w:rPr>
          <w:iCs/>
          <w:highlight w:val="white"/>
          <w:lang w:val="pt-BR"/>
        </w:rPr>
      </w:r>
    </w:p>
    <w:p>
      <w:pPr>
        <w:pBdr/>
        <w:spacing w:after="200" w:line="276" w:lineRule="auto"/>
        <w:ind/>
        <w:jc w:val="center"/>
        <w:rPr>
          <w:iCs/>
          <w:highlight w:val="white"/>
        </w:rPr>
      </w:pPr>
      <w:r>
        <w:rPr>
          <w:iCs/>
          <w:highlight w:val="white"/>
          <w:lang w:val="pt-BR"/>
        </w:rPr>
      </w:r>
      <w:r>
        <w:rPr>
          <w:b/>
          <w:bCs/>
          <w:iCs/>
          <w:highlight w:val="white"/>
          <w:lang w:val="pt-BR"/>
        </w:rPr>
        <w:t xml:space="preserve">TSSS 3</w:t>
      </w:r>
      <w:r>
        <w:rPr>
          <w:b/>
          <w:bCs/>
          <w:iCs/>
          <w:highlight w:val="white"/>
          <w:lang w:val="pt-BR"/>
        </w:rPr>
      </w:r>
      <w:r>
        <w:rPr>
          <w:iCs/>
          <w:highlight w:val="whit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https://batdongsan.com.vn/ban-dat-duong-tinh-lo-419-xa-binh-phu-9/chinh-chu-can-ban-thua-dau-gia-khu-thach-that-ha-noi-pr43413144#js__pr-expired__content-anchor</w:t>
            </w:r>
            <w:r>
              <w:rPr>
                <w:color w:val="000000" w:themeColor="text1"/>
                <w:sz w:val="22"/>
                <w:szCs w:val="22"/>
                <w:highlight w:val="white"/>
              </w:rPr>
              <w:br/>
            </w:r>
            <w:r>
              <w:rPr>
                <w:sz w:val="22"/>
                <w:szCs w:val="22"/>
                <w:highlight w:val="white"/>
              </w:rPr>
              <w:t xml:space="preserve">SĐT: </w:t>
            </w:r>
            <w:r>
              <w:rPr>
                <w:color w:val="000000" w:themeColor="text1"/>
                <w:sz w:val="22"/>
                <w:szCs w:val="22"/>
                <w:highlight w:val="white"/>
              </w:rPr>
              <w:t xml:space="preserve">0962130683</w:t>
            </w:r>
            <w:r>
              <w:rPr>
                <w:sz w:val="22"/>
                <w:szCs w:val="22"/>
                <w:highlight w:val="white"/>
              </w:rPr>
              <w:t xml:space="preserve"> </w:t>
            </w:r>
            <w:r>
              <w:rPr>
                <w:sz w:val="22"/>
                <w:szCs w:val="22"/>
                <w:highlight w:val="white"/>
              </w:rPr>
              <w:br/>
              <w:t xml:space="preserve">(Anh Tuấn</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8.045.000.000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6.838.250.000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09/2026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Mục đích sử dụng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Đất ở nông thôn (83,8m²)</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Đất ở nông thôn – Lâu dài</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 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Ô</w:t>
            </w:r>
            <w:r>
              <w:rPr>
                <w:color w:val="000000" w:themeColor="text1"/>
                <w:sz w:val="22"/>
                <w:szCs w:val="22"/>
                <w:highlight w:val="white"/>
              </w:rPr>
              <w:t xml:space="preserve">Xã Tây Phương, Thành phố Hà Nội, cách đường DT 419 khoảng 100m</w:t>
            </w:r>
            <w:r>
              <w:rPr>
                <w:color w:val="000000"/>
                <w:sz w:val="22"/>
                <w:szCs w:val="22"/>
                <w:highlight w:val="white"/>
              </w:rPr>
            </w:r>
            <w:r>
              <w:rPr>
                <w:color w:val="000000"/>
                <w:sz w:val="22"/>
                <w:szCs w:val="22"/>
                <w:highlight w:val="white"/>
              </w:rPr>
            </w:r>
          </w:p>
          <w:p>
            <w:pPr>
              <w:pBdr/>
              <w:spacing w:line="276" w:lineRule="auto"/>
              <w:ind/>
              <w:jc w:val="center"/>
              <w:rPr>
                <w:sz w:val="22"/>
                <w:szCs w:val="22"/>
                <w:highlight w:val="white"/>
              </w:rPr>
            </w:pPr>
            <w:r>
              <w:rPr>
                <w:color w:val="000000" w:themeColor="text1"/>
                <w:sz w:val="22"/>
                <w:szCs w:val="22"/>
                <w:highlight w:val="white"/>
              </w:rPr>
              <w:t xml:space="preserve">, độ rộng đường trước mặt tài sản 5,5m</w:t>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Giao thông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Đường nhựa có vỉa hè</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83,8</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Mặt tiền (m)</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5,7</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Tiếp giáp 1 mặt tiền</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Hình dáng thửa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Hình chữ nhật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CTXD trên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t xml:space="preserve">Đất trống</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t xml:space="preserve"> </w:t>
            </w:r>
            <w:r>
              <w:rPr>
                <w:color w:val="000000"/>
                <w:sz w:val="22"/>
                <w:szCs w:val="22"/>
                <w:highlight w:val="white"/>
              </w:rPr>
              <w:t xml:space="preserve">Hình ảnh đăng bán:</w:t>
            </w:r>
            <w:r>
              <w:rPr>
                <w:b/>
                <w:bCs/>
                <w:color w:val="000000"/>
                <w:sz w:val="22"/>
                <w:szCs w:val="22"/>
                <w:highlight w:val="white"/>
              </w:rPr>
            </w:r>
            <w:r>
              <w:rPr>
                <w:b/>
                <w:bCs/>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5201596"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520159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09.57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t xml:space="preserve">Hình ảnh</w:t>
            </w:r>
            <w:r>
              <w:rPr>
                <w:color w:val="000000"/>
                <w:sz w:val="22"/>
                <w:szCs w:val="22"/>
                <w:highlight w:val="white"/>
              </w:rPr>
              <w:t xml:space="preserve"> tổng quan tài sản</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jc w:val="center"/>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4237762"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423776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333.68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3512268" cy="252676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flipH="0" flipV="0">
                                <a:off x="0" y="0"/>
                                <a:ext cx="3512267" cy="25267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76.56pt;height:198.96pt;mso-wrap-distance-left:0.00pt;mso-wrap-distance-top:0.00pt;mso-wrap-distance-right:0.00pt;mso-wrap-distance-bottom:0.00pt;z-index:1;" stroked="false">
                      <v:imagedata r:id="rId38"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b/>
                <w:bCs/>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b/>
                <w:bCs/>
                <w:sz w:val="22"/>
                <w:szCs w:val="22"/>
                <w:highlight w:val="white"/>
              </w:rPr>
            </w:r>
            <w:r>
              <w:rPr>
                <w:b/>
                <w:bCs/>
                <w:sz w:val="22"/>
                <w:szCs w:val="22"/>
                <w:highlight w:val="white"/>
              </w:rPr>
            </w:r>
          </w:p>
        </w:tc>
      </w:tr>
    </w:tbl>
    <w:p>
      <w:pPr>
        <w:pBdr/>
        <w:spacing w:after="200" w:line="276" w:lineRule="auto"/>
        <w:ind/>
        <w:jc w:val="center"/>
        <w:rPr>
          <w:iCs/>
          <w:highlight w:val="white"/>
        </w:rPr>
      </w:pPr>
      <w:r>
        <w:rPr>
          <w:iCs/>
          <w:highlight w:val="white"/>
          <w:lang w:val="pt-BR"/>
        </w:rPr>
      </w:r>
      <w:r>
        <w:rPr>
          <w:iCs/>
          <w:highlight w:val="white"/>
          <w:lang w:val="pt-BR"/>
        </w:rPr>
      </w:r>
      <w:r>
        <w:rPr>
          <w:iCs/>
          <w:highlight w:val="white"/>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b/>
                <w:bCs/>
                <w:highlight w:val="white"/>
              </w:rPr>
            </w:pPr>
            <w:r>
              <w:rPr>
                <w:b/>
                <w:bCs/>
                <w:highlight w:val="white"/>
              </w:rPr>
              <w:t xml:space="preserve">Người thu thập thông tin</w:t>
            </w:r>
            <w:r>
              <w:rPr>
                <w:b/>
                <w:bCs/>
                <w:highlight w:val="white"/>
              </w:rPr>
            </w:r>
            <w:r>
              <w:rPr>
                <w:b/>
                <w:bCs/>
                <w:highlight w:val="white"/>
              </w:rPr>
            </w:r>
          </w:p>
        </w:tc>
      </w:tr>
      <w:tr>
        <w:trPr>
          <w:trHeight w:val="32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highlight w:val="white"/>
              </w:rPr>
            </w:pPr>
            <w:r>
              <w:rPr>
                <w:highlight w:val="white"/>
              </w:rPr>
            </w:r>
            <w:r>
              <w:rPr>
                <w:highlight w:val="white"/>
              </w:rPr>
            </w:r>
            <w:r>
              <w:rPr>
                <w:highlight w:val="white"/>
              </w:rPr>
            </w:r>
          </w:p>
          <w:p>
            <w:pPr>
              <w:pBdr/>
              <w:spacing/>
              <w:ind/>
              <w:jc w:val="center"/>
              <w:rPr>
                <w:highlight w:val="white"/>
              </w:rPr>
            </w:pPr>
            <w:r>
              <w:rPr>
                <w:highlight w:val="white"/>
              </w:rPr>
            </w:r>
            <w:r>
              <w:rPr>
                <w:highlight w:val="white"/>
              </w:rPr>
            </w:r>
            <w:r>
              <w:rPr>
                <w:highlight w:val="white"/>
              </w:rPr>
            </w:r>
          </w:p>
          <w:p>
            <w:pPr>
              <w:pBdr/>
              <w:spacing/>
              <w:ind/>
              <w:jc w:val="center"/>
              <w:rPr>
                <w:highlight w:val="white"/>
              </w:rPr>
            </w:pPr>
            <w:r>
              <w:rPr>
                <w:highlight w:val="white"/>
              </w:rPr>
            </w:r>
            <w:r>
              <w:rPr>
                <w:highlight w:val="white"/>
              </w:rPr>
            </w:r>
            <w:r>
              <w:rPr>
                <w:highlight w:val="white"/>
              </w:rPr>
            </w:r>
          </w:p>
          <w:p>
            <w:pPr>
              <w:pBdr/>
              <w:spacing/>
              <w:ind/>
              <w:jc w:val="center"/>
              <w:rPr>
                <w:highlight w:val="white"/>
              </w:rPr>
            </w:pPr>
            <w:r>
              <w:rPr>
                <w:highlight w:val="white"/>
              </w:rPr>
            </w:r>
            <w:r>
              <w:rPr>
                <w:highlight w:val="white"/>
              </w:rPr>
            </w:r>
            <w:r>
              <w:rPr>
                <w:highlight w:val="white"/>
              </w:rPr>
            </w:r>
          </w:p>
          <w:p>
            <w:pPr>
              <w:pBdr/>
              <w:spacing/>
              <w:ind/>
              <w:jc w:val="center"/>
              <w:rPr>
                <w:highlight w:val="white"/>
              </w:rPr>
            </w:pPr>
            <w:r>
              <w:rPr>
                <w:highlight w:val="white"/>
              </w:rPr>
              <w:t xml:space="preserve">Lê Đình Duy</w:t>
            </w:r>
            <w:r>
              <w:rPr>
                <w:highlight w:val="white"/>
              </w:rPr>
            </w:r>
            <w:r>
              <w:rPr>
                <w:highlight w:val="white"/>
              </w:rPr>
            </w:r>
            <w:r>
              <w:rPr>
                <w:highlight w:val="white"/>
              </w:rPr>
            </w:r>
            <w:r>
              <w:rPr>
                <w:highlight w:val="white"/>
              </w:rPr>
            </w:r>
          </w:p>
          <w:p>
            <w:pPr>
              <w:pBdr/>
              <w:spacing/>
              <w:ind/>
              <w:jc w:val="center"/>
              <w:rPr>
                <w:highlight w:val="white"/>
              </w:rPr>
            </w:pPr>
            <w:r>
              <w:rPr>
                <w:highlight w:val="white"/>
              </w:rPr>
            </w:r>
            <w:r>
              <w:rPr>
                <w:highlight w:val="white"/>
              </w:rPr>
            </w:r>
          </w:p>
        </w:tc>
      </w:tr>
      <w:tr>
        <w:trPr>
          <w:trHeight w:val="312"/>
        </w:trPr>
        <w:tc>
          <w:tcPr>
            <w:tcBorders/>
            <w:tcW w:w="4427" w:type="dxa"/>
            <w:vAlign w:val="bottom"/>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b/>
                <w:bCs/>
                <w:highlight w:val="white"/>
              </w:rPr>
            </w:pPr>
            <w:r>
              <w:rPr>
                <w:b/>
                <w:bCs/>
                <w:highlight w:val="white"/>
              </w:rPr>
            </w:r>
            <w:r>
              <w:rPr>
                <w:b/>
                <w:bCs/>
                <w:highlight w:val="white"/>
              </w:rPr>
            </w:r>
            <w:r>
              <w:rPr>
                <w:b/>
                <w:bCs/>
                <w:highlight w:val="white"/>
              </w:rPr>
            </w:r>
          </w:p>
        </w:tc>
      </w:tr>
    </w:tbl>
    <w:p>
      <w:pPr>
        <w:pBdr/>
        <w:spacing w:after="200" w:line="276" w:lineRule="auto"/>
        <w:ind/>
        <w:rPr>
          <w:iCs/>
          <w:highlight w:val="white"/>
        </w:rPr>
      </w:pPr>
      <w:r>
        <w:rPr>
          <w:iCs/>
          <w:highlight w:val="white"/>
          <w:lang w:val="pt-BR"/>
        </w:rPr>
      </w:r>
      <w:r>
        <w:rPr>
          <w:iCs/>
          <w:highlight w:val="white"/>
          <w:lang w:val="pt-BR"/>
        </w:rPr>
      </w:r>
      <w:r>
        <w:rPr>
          <w:iCs/>
          <w:highlight w:val="white"/>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8">
    <w:nsid w:val="3D50722B"/>
    <w:lvl w:ilvl="0">
      <w:isLgl w:val="false"/>
      <w:lvlJc w:val="left"/>
      <w:lvlText w:val="-"/>
      <w:numFmt w:val="bullet"/>
      <w:pPr>
        <w:pBdr/>
        <w:spacing/>
        <w:ind w:hanging="360" w:left="720"/>
      </w:pPr>
      <w:rPr>
        <w:rFonts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9">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jp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Đình Duy</cp:lastModifiedBy>
  <cp:revision>284</cp:revision>
  <dcterms:created xsi:type="dcterms:W3CDTF">2025-09-15T09:58:00Z</dcterms:created>
  <dcterms:modified xsi:type="dcterms:W3CDTF">2026-09-23T02:19:12Z</dcterms:modified>
</cp:coreProperties>
</file>