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49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9248"/>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7365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275/2026/1347/VFI-CT.T04.A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LÊ VĂN TUYẾN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i/>
                                <w:color w:val="000000"/>
                                <w:sz w:val="24"/>
                              </w:rPr>
                              <w:t xml:space="preserve">nay là xã Phù Đổng,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8/2026.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85pt;mso-wrap-distance-left:9.00pt;mso-wrap-distance-top:0.00pt;mso-wrap-distance-right:9.00pt;mso-wrap-distance-bottom:0.00pt;v-text-anchor:top;visibility:visible;" fillcolor="#FFFFFF" strokecolor="#16355B" strokeweight="2.50pt">
                <v:textbox inset="0,0,0,0">
                  <w:txbxContent>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7365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275/2026/1347/VFI-CT.T04.A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ÔNG LÊ VĂN TUYẾN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i/>
                          <w:color w:val="000000"/>
                          <w:sz w:val="24"/>
                        </w:rPr>
                        <w:t xml:space="preserve">nay là xã Phù Đổng,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8/2026.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20-25</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26-31</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55" w:type="dxa"/>
        <w:tblW w:w="10070" w:type="dxa"/>
        <w:tblBorders/>
        <w:tblLayout w:type="fixed"/>
        <w:tblLook w:val="04A0" w:firstRow="1" w:lastRow="0" w:firstColumn="1" w:lastColumn="0" w:noHBand="0" w:noVBand="1"/>
      </w:tblPr>
      <w:tblGrid>
        <w:gridCol w:w="1829"/>
        <w:gridCol w:w="2388"/>
        <w:gridCol w:w="5846"/>
        <w:gridCol w:w="7"/>
      </w:tblGrid>
      <w:tr>
        <w:trPr>
          <w:trHeight w:val="1152"/>
        </w:trPr>
        <w:tc>
          <w:tcPr>
            <w:tcBorders/>
            <w:tcW w:w="18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217"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275/2026/1347/VFI-CT.T04.A</w:t>
            </w:r>
            <w:r/>
          </w:p>
        </w:tc>
        <w:tc>
          <w:tcPr>
            <w:shd w:val="clear" w:color="auto" w:fill="auto"/>
            <w:tcBorders/>
            <w:tcMar>
              <w:left w:w="108" w:type="dxa"/>
              <w:top w:w="0" w:type="dxa"/>
              <w:right w:w="108" w:type="dxa"/>
              <w:bottom w:w="0" w:type="dxa"/>
            </w:tcMar>
            <w:tcW w:w="5846"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26 tháng 8 năm 2026</w:t>
            </w: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Lê Văn Tuyến</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275/2026/1347/VFI-HĐTĐ.T04.A ký ngày 22 tháng 8 năm 2026 giữa Ông Lê Văn Tuyến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275/2026/1347/VFI-BC.T04.A ngày 26 tháng 8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035"/>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012"/>
        <w:gridCol w:w="425"/>
        <w:gridCol w:w="7087"/>
        <w:gridCol w:w="1"/>
      </w:tblGrid>
      <w:tr>
        <w:trPr>
          <w:trHeight w:val="20"/>
        </w:trPr>
        <w:tc>
          <w:tcPr>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Văn Tuyến</w:t>
            </w:r>
            <w:r/>
          </w:p>
        </w:tc>
      </w:tr>
      <w:tr>
        <w:trPr>
          <w:trHeight w:val="20"/>
        </w:trPr>
        <w:tc>
          <w:tcPr>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011619091</w:t>
            </w:r>
            <w:r/>
          </w:p>
        </w:tc>
      </w:tr>
      <w:tr>
        <w:trPr>
          <w:trHeight w:val="392"/>
        </w:trPr>
        <w:tc>
          <w:tcPr>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gridSpan w:val="2"/>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1970</w:t>
            </w:r>
            <w:r/>
          </w:p>
        </w:tc>
      </w:tr>
      <w:tr>
        <w:trPr>
          <w:gridAfter w:val="1"/>
          <w:trHeight w:val="20"/>
        </w:trPr>
        <w:tc>
          <w:tcPr>
            <w:tcBorders/>
            <w:tcMar>
              <w:left w:w="108" w:type="dxa"/>
              <w:top w:w="0" w:type="dxa"/>
              <w:right w:w="108" w:type="dxa"/>
              <w:bottom w:w="0" w:type="dxa"/>
            </w:tcMar>
            <w:tcW w:w="201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0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Đội 6, Thịnh Liên, xã Trung Mầu, huyện Gia Lâm, Thành phố Hà Nội </w:t>
            </w:r>
            <w:r>
              <w:rPr>
                <w:rFonts w:ascii="Times New Roman" w:hAnsi="Times New Roman" w:eastAsia="Times New Roman" w:cs="Times New Roman"/>
                <w:i/>
                <w:color w:val="000000"/>
                <w:sz w:val="24"/>
              </w:rPr>
              <w:t xml:space="preserve">(Nay là xã Phù Đổng, thành phố Hà Nội)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035"/>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127"/>
        <w:gridCol w:w="283"/>
        <w:gridCol w:w="7148"/>
      </w:tblGrid>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4"/>
                <w:sz w:val="24"/>
              </w:rPr>
              <w:t xml:space="preserve">CÔNG TY CP THẨM ĐỊNH VÀ ĐẦU TƯ TÀI CHÍNH HOA SEN</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TP Hà Nội</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292a2e"/>
                <w:sz w:val="24"/>
              </w:rPr>
              <w:t xml:space="preserve">Số 1294/TB-BTC ngày 25/12/2025</w:t>
            </w:r>
            <w:r>
              <w:rPr>
                <w:rFonts w:ascii="Segoe UI" w:hAnsi="Segoe UI" w:eastAsia="Segoe UI" w:cs="Segoe UI"/>
                <w:color w:val="292a2e"/>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w:t>
              <w:tab/>
              <w:t xml:space="preserve">        Chức vụ: Chủ tịch HĐQT kiêm Tổng GĐ</w:t>
            </w:r>
            <w:r/>
          </w:p>
        </w:tc>
      </w:tr>
    </w:tbl>
    <w:p>
      <w:pPr>
        <w:pBdr/>
        <w:spacing w:after="120" w:before="120" w:line="348"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i/>
          <w:color w:val="000000"/>
          <w:sz w:val="24"/>
        </w:rPr>
        <w:t xml:space="preserve">nay là xã Phù Đổng,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i/>
          <w:iCs/>
        </w:rPr>
        <w:t xml:space="preserve">.</w:t>
      </w:r>
      <w:r>
        <w:rPr>
          <w:b/>
          <w:bCs/>
        </w:rPr>
      </w:r>
      <w:r>
        <w:rPr>
          <w:b/>
          <w:bCs/>
        </w:rPr>
      </w:r>
    </w:p>
    <w:p>
      <w:pPr>
        <w:pBdr/>
        <w:spacing w:after="120" w:before="120" w:line="34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4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4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4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4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4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477"/>
        <w:gridCol w:w="1701"/>
        <w:gridCol w:w="2231"/>
        <w:gridCol w:w="2164"/>
      </w:tblGrid>
      <w:tr>
        <w:trPr>
          <w:trHeight w:val="505"/>
        </w:trPr>
        <w:tc>
          <w:tcPr>
            <w:shd w:val="clear" w:color="000000" w:fill="ffffff"/>
            <w:tcBorders/>
            <w:tcW w:w="9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000000" w:fill="ffffff"/>
            <w:tcBorders/>
            <w:tcW w:w="24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000000" w:fill="ffffff"/>
            <w:tcBorders/>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000000" w:fill="ffffff"/>
            <w:tcBorders/>
            <w:tcW w:w="9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000000" w:fill="ffffff"/>
            <w:tcBorders/>
            <w:tcW w:w="64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24"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b/>
                <w:i/>
                <w:color w:val="000000"/>
                <w:sz w:val="24"/>
              </w:rPr>
              <w:t xml:space="preserve">nay là xã Phù Đổng, thành phố Hà Nội</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rFonts w:ascii="Times New Roman" w:hAnsi="Times New Roman" w:eastAsia="Times New Roman" w:cs="Times New Roman"/>
                <w:b/>
                <w:i/>
                <w:color w:val="000000"/>
                <w:sz w:val="24"/>
              </w:rPr>
              <w:t xml:space="preserve">.</w:t>
            </w: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000000" w:fill="ffffff"/>
            <w:tcBorders/>
            <w:tcW w:w="9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000000" w:fill="ffffff"/>
            <w:tcBorders/>
            <w:tcW w:w="24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nông thôn</w:t>
            </w:r>
            <w:r/>
          </w:p>
        </w:tc>
        <w:tc>
          <w:tcPr>
            <w:tcBorders/>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149,5</w:t>
            </w:r>
            <w:r/>
          </w:p>
        </w:tc>
        <w:tc>
          <w:tcPr>
            <w:shd w:val="clear" w:color="000000" w:fill="ffffff"/>
            <w:tcBorders/>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66.000.000</w:t>
            </w: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9.867.000.000</w:t>
            </w:r>
            <w:r/>
          </w:p>
        </w:tc>
      </w:tr>
      <w:tr>
        <w:trPr>
          <w:trHeight w:val="20"/>
        </w:trPr>
        <w:tc>
          <w:tcPr>
            <w:gridSpan w:val="4"/>
            <w:tcBorders/>
            <w:tcW w:w="736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cW w:w="216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9.867.000.000</w:t>
            </w:r>
            <w:r/>
          </w:p>
        </w:tc>
      </w:tr>
      <w:tr>
        <w:trPr>
          <w:trHeight w:val="20"/>
        </w:trPr>
        <w:tc>
          <w:tcPr>
            <w:gridSpan w:val="5"/>
            <w:tcBorders/>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Chín tỷ, tám trăm sáu mươi bảy triệu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29"/>
        <w:gridCol w:w="1787"/>
        <w:gridCol w:w="2335"/>
        <w:gridCol w:w="5799"/>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3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275/2026/1347/VFI-BC.T04.A</w:t>
            </w:r>
            <w:r/>
          </w:p>
        </w:tc>
        <w:tc>
          <w:tcPr>
            <w:shd w:val="clear" w:color="auto" w:fill="auto"/>
            <w:tcBorders/>
            <w:tcMar>
              <w:left w:w="108" w:type="dxa"/>
              <w:top w:w="0" w:type="dxa"/>
              <w:right w:w="108" w:type="dxa"/>
              <w:bottom w:w="0" w:type="dxa"/>
            </w:tcMar>
            <w:tcW w:w="5799"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26 tháng 8 năm 2026</w:t>
            </w:r>
            <w:r/>
          </w:p>
        </w:tc>
      </w:tr>
      <w:tr>
        <w:trPr>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30"/>
              <w:pBdr/>
              <w:spacing w:after="60"/>
              <w:ind/>
              <w:rPr>
                <w:rStyle w:val="1029"/>
                <w:rFonts w:ascii="Times New Roman" w:hAnsi="Times New Roman"/>
                <w:color w:val="000000" w:themeColor="text1"/>
                <w:lang w:val="pt-BR"/>
              </w:rPr>
            </w:pPr>
            <w:r>
              <w:rPr>
                <w:rStyle w:val="1029"/>
                <w:rFonts w:ascii="Times New Roman" w:hAnsi="Times New Roman"/>
                <w:color w:val="000000" w:themeColor="text1"/>
                <w:lang w:val="pt-BR"/>
              </w:rPr>
            </w:r>
            <w:r>
              <w:rPr>
                <w:rStyle w:val="1029"/>
                <w:rFonts w:ascii="Times New Roman" w:hAnsi="Times New Roman"/>
                <w:color w:val="000000" w:themeColor="text1"/>
                <w:lang w:val="pt-BR"/>
              </w:rPr>
            </w:r>
            <w:r>
              <w:rPr>
                <w:rStyle w:val="1029"/>
                <w:rFonts w:ascii="Times New Roman" w:hAnsi="Times New Roman"/>
                <w:color w:val="000000" w:themeColor="text1"/>
                <w:lang w:val="pt-BR"/>
              </w:rPr>
            </w:r>
          </w:p>
        </w:tc>
        <w:tc>
          <w:tcPr>
            <w:shd w:val="clear" w:color="auto" w:fill="auto"/>
            <w:tcBorders/>
            <w:tcMar>
              <w:left w:w="108" w:type="dxa"/>
              <w:top w:w="0" w:type="dxa"/>
              <w:right w:w="108" w:type="dxa"/>
              <w:bottom w:w="0" w:type="dxa"/>
            </w:tcMar>
            <w:tcW w:w="5799" w:type="dxa"/>
            <w:textDirection w:val="lrTb"/>
            <w:noWrap w:val="false"/>
          </w:tcPr>
          <w:p>
            <w:pPr>
              <w:pStyle w:val="1030"/>
              <w:pBdr/>
              <w:spacing w:after="6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i/>
        </w:rPr>
      </w:pPr>
      <w:r>
        <w:rPr>
          <w:rFonts w:ascii="Times New Roman" w:hAnsi="Times New Roman" w:eastAsia="Times New Roman" w:cs="Times New Roman"/>
          <w:b w:val="0"/>
          <w:bCs w:val="0"/>
          <w:i/>
          <w:iCs/>
          <w:color w:val="000000"/>
          <w:spacing w:val="-6"/>
          <w:sz w:val="24"/>
        </w:rPr>
        <w:t xml:space="preserve">(Kèm theo Chứng thư thẩm định giá số: 275/2026/1347/VFI-CT.T04.A ngày 26 tháng 8 năm 2026)</w:t>
      </w:r>
      <w:r>
        <w:rPr>
          <w:b w:val="0"/>
          <w:bCs w:val="0"/>
          <w:i/>
        </w:rPr>
      </w:r>
      <w:r>
        <w:rPr>
          <w:b w:val="0"/>
          <w:bCs w:val="0"/>
          <w:i/>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Ind w:w="28" w:type="dxa"/>
        <w:tblW w:w="9719" w:type="dxa"/>
        <w:tblBorders/>
        <w:tblLayout w:type="fixed"/>
        <w:tblLook w:val="04A0" w:firstRow="1" w:lastRow="0" w:firstColumn="1" w:lastColumn="0" w:noHBand="0" w:noVBand="1"/>
      </w:tblPr>
      <w:tblGrid>
        <w:gridCol w:w="2490"/>
        <w:gridCol w:w="284"/>
        <w:gridCol w:w="6945"/>
      </w:tblGrid>
      <w:tr>
        <w:trPr>
          <w:trHeight w:val="20"/>
        </w:trPr>
        <w:tc>
          <w:tcPr>
            <w:tcBorders/>
            <w:tcW w:w="2490"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LÊ VĂN TUYẾN</w:t>
            </w:r>
            <w:r/>
          </w:p>
        </w:tc>
      </w:tr>
      <w:tr>
        <w:trPr>
          <w:trHeight w:val="20"/>
        </w:trPr>
        <w:tc>
          <w:tcPr>
            <w:tcBorders/>
            <w:tcW w:w="2490"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011619091</w:t>
            </w:r>
            <w:r/>
          </w:p>
        </w:tc>
      </w:tr>
      <w:tr>
        <w:trPr>
          <w:trHeight w:val="20"/>
        </w:trPr>
        <w:tc>
          <w:tcPr>
            <w:tcBorders/>
            <w:tcW w:w="2490"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1970</w:t>
            </w:r>
            <w:r/>
          </w:p>
        </w:tc>
      </w:tr>
      <w:tr>
        <w:trPr>
          <w:trHeight w:val="20"/>
        </w:trPr>
        <w:tc>
          <w:tcPr>
            <w:tcBorders/>
            <w:tcW w:w="2490"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Đội 6, Thịnh Liên, xã Trung Mầu, huyện Gia Lâm, Thành phố Hà Nội </w:t>
            </w:r>
            <w:r>
              <w:rPr>
                <w:rFonts w:ascii="Times New Roman" w:hAnsi="Times New Roman" w:eastAsia="Times New Roman" w:cs="Times New Roman"/>
                <w:i/>
                <w:color w:val="000000"/>
                <w:sz w:val="24"/>
              </w:rPr>
              <w:t xml:space="preserve">(Nay là xã Phù Đổng, thành phố Hà Nội) </w:t>
            </w:r>
            <w:r>
              <w:rPr>
                <w:rFonts w:ascii="Times New Roman" w:hAnsi="Times New Roman" w:eastAsia="Times New Roman" w:cs="Times New Roman"/>
                <w:color w:val="000000"/>
                <w:sz w:val="24"/>
              </w:rPr>
            </w:r>
            <w:r/>
          </w:p>
        </w:tc>
      </w:tr>
      <w:tr>
        <w:trPr>
          <w:trHeight w:val="20"/>
        </w:trPr>
        <w:tc>
          <w:tcPr>
            <w:tcBorders/>
            <w:tcW w:w="2490"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i/>
                <w:color w:val="000000"/>
                <w:sz w:val="24"/>
              </w:rPr>
              <w:t xml:space="preserve">nay là xã Phù Đổng,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rFonts w:ascii="Times New Roman" w:hAnsi="Times New Roman" w:eastAsia="Times New Roman" w:cs="Times New Roman"/>
                <w:i/>
                <w:color w:val="000000"/>
                <w:sz w:val="24"/>
              </w:rPr>
              <w:t xml:space="preserve">.</w:t>
            </w:r>
            <w:r>
              <w:rPr>
                <w:rFonts w:ascii="Times New Roman" w:hAnsi="Times New Roman" w:eastAsia="Times New Roman" w:cs="Times New Roman"/>
                <w:color w:val="000000"/>
                <w:sz w:val="24"/>
              </w:rPr>
            </w:r>
            <w:r/>
          </w:p>
        </w:tc>
      </w:tr>
      <w:tr>
        <w:trPr>
          <w:trHeight w:val="20"/>
        </w:trPr>
        <w:tc>
          <w:tcPr>
            <w:tcBorders/>
            <w:tcW w:w="2490"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490"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Khu Hồ Văn Hoá, Xã Phù Đổng, Thành Phố Hà Nội</w:t>
            </w: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(21.088777777778, 105.92413888889)</w:t>
            </w:r>
            <w:r/>
          </w:p>
        </w:tc>
      </w:tr>
      <w:tr>
        <w:trPr>
          <w:trHeight w:val="20"/>
        </w:trPr>
        <w:tc>
          <w:tcPr>
            <w:tcBorders/>
            <w:tcW w:w="2490"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8/2026.</w:t>
            </w: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địch vụ thẩm định giá số 275/2026/1347/VFI-HĐTĐ.T04.A ngày 22/8/2026 giữa Ông Lê Văn Tuyến với Công ty Cổ phần Thẩm định và Đầu tư Tài chính Hoa Sen;</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lang w:val="pt-BR"/>
        </w:rPr>
        <w:t xml:space="preserve">.</w:t>
      </w:r>
      <w:r>
        <w:rPr>
          <w:rFonts w:ascii="Times New Roman" w:hAnsi="Times New Roman" w:eastAsia="Times New Roman" w:cs="Times New Roman"/>
          <w:sz w:val="24"/>
        </w:rPr>
      </w: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Thị trường bất động sản Hà Nội trong năm 2026 đang bước vào giai đoạn phục hồi nhưng có sự sàng lọc rõ rệt. Nguồn cung mới đã tăng trở lại, đặc biệt ở phân khúc căn hộ, tuy nhiên người mua không còn xuống tiền nhanh như giai đoạn 2024–2025. Lãi suất cho va</w:t>
      </w:r>
      <w:r>
        <w:rPr>
          <w:rFonts w:ascii="Times New Roman" w:hAnsi="Times New Roman" w:eastAsia="Times New Roman" w:cs="Times New Roman"/>
          <w:color w:val="0d0d0d"/>
          <w:sz w:val="24"/>
        </w:rPr>
        <w:t xml:space="preserve">y cao hơn và mặt bằng giá nhà tăng mạnh khiến người mua quan tâm nhiều hơn đến giá trị thực, pháp lý và khả năng khai thác của bất động sản.</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Phân khúc căn hộ chung cư vẫn là một trong những phân khúc sôi động nhất. Trong 6 tháng đầu năm 2026, Hà Nội ghi nhận khoảng 16.600 căn hộ mở bán mới, mức cao nhất trong 6 tháng đầu năm kể từ năm 2020. Tuy nhiên, nguồn cung mới đang nghiêng mạnh về phân kh</w:t>
      </w:r>
      <w:r>
        <w:rPr>
          <w:rFonts w:ascii="Times New Roman" w:hAnsi="Times New Roman" w:eastAsia="Times New Roman" w:cs="Times New Roman"/>
          <w:color w:val="0d0d0d"/>
          <w:sz w:val="24"/>
        </w:rPr>
        <w:t xml:space="preserve">úc trung và cao cấp; thị trường gần như không còn sản phẩm mới dưới 60 triệu đồng/m².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giá bán, căn hộ sơ cấp tại Hà Nội tiếp tục duy trì ở mức cao. Trong quý II/2026, giá bán sơ cấp trung bình đạt khoảng 95 triệu đồng/m², tăng 12% so với quý trước và 21% so với cùng kỳ năm 2025. Ngược lại, giá căn hộ trên thị trường thứ cấp đã bắt đầu đi</w:t>
      </w:r>
      <w:r>
        <w:rPr>
          <w:rFonts w:ascii="Times New Roman" w:hAnsi="Times New Roman" w:eastAsia="Times New Roman" w:cs="Times New Roman"/>
          <w:color w:val="0d0d0d"/>
          <w:sz w:val="24"/>
        </w:rPr>
        <w:t xml:space="preserve">ều chỉnh, xuống khoảng 60 triệu đồng/m², giảm gần 3% so với quý trước. Điều này cho thấy thị trường đang có sự phân hóa rõ giữa sản phẩm mới và sản phẩm chuyển nhượng. Thanh khoản cũng là vấn đề đáng chú ý. Trong quý II/2026, lượng căn hộ bán được đạt hơn </w:t>
      </w:r>
      <w:r>
        <w:rPr>
          <w:rFonts w:ascii="Times New Roman" w:hAnsi="Times New Roman" w:eastAsia="Times New Roman" w:cs="Times New Roman"/>
          <w:color w:val="0d0d0d"/>
          <w:sz w:val="24"/>
        </w:rPr>
        <w:t xml:space="preserve">5.800 căn, tương đương khoảng 68% nguồn cung mở bán mới. Tỷ lệ này thấp hơn đáng kể so với giai đoạn 2024–2025, khi tỷ lệ hấp thụ thường xuyên trên 90%. Người mua hiện có xu hướng cân nhắc kỹ về dòng tiền và khả năng trả nợ trước khi quyết định mua.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khu vực phát triển, nguồn cung đang có xu hướng dịch chuyển từ khu vực lõi trung tâm sang các khu vực rìa trung tâm và ngoại thành. Các khu vực phía Tây, phía Đông và một số huyện ngoại thành tiếp tục được hưởng lợi từ quỹ đất lớn, tốc độ đô thị hóa và </w:t>
      </w:r>
      <w:r>
        <w:rPr>
          <w:rFonts w:ascii="Times New Roman" w:hAnsi="Times New Roman" w:eastAsia="Times New Roman" w:cs="Times New Roman"/>
          <w:color w:val="0d0d0d"/>
          <w:sz w:val="24"/>
        </w:rPr>
        <w:t xml:space="preserve">đầu tư hạ tầng. Cushman &amp; Wakefield nhận định nguồn cung nhà ở trong thời gian tới sẽ tiếp tục dịch chuyển ra ngoài trung tâm, phù hợp với xu hướng phát triển đô thị đa cực của Hà Nội.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Đối với nhà liền thổ và đất nền, thị trường cũng đang có xu hướng mở rộng ra vùng ven. Những khu vực như Đông Anh, Gia Lâm, Hoài Đức, Thường Tín, Đan Phượng và một số khu vực phía Tây Hà Nội được chú ý nhờ quỹ đất và sự phát triển của hệ thống giao thông. </w:t>
      </w:r>
      <w:r>
        <w:rPr>
          <w:rFonts w:ascii="Times New Roman" w:hAnsi="Times New Roman" w:eastAsia="Times New Roman" w:cs="Times New Roman"/>
          <w:color w:val="0d0d0d"/>
          <w:sz w:val="24"/>
        </w:rPr>
        <w:t xml:space="preserve">Tuy nhiên, giá đất tại từng khu vực có sự khác biệt lớn và nhà đầu tư cần đặc biệt quan tâm đến quy hoạch, pháp lý và khả năng hình thành nhu cầu ở thực.</w:t>
      </w:r>
      <w:r/>
    </w:p>
    <w:p>
      <w:pPr>
        <w:pBdr/>
        <w:tabs>
          <w:tab w:val="left" w:leader="none" w:pos="426"/>
        </w:tabs>
        <w:spacing w:after="120" w:before="120" w:line="276" w:lineRule="auto"/>
        <w:ind w:right="0" w:firstLine="283" w:left="0"/>
        <w:jc w:val="both"/>
        <w:rPr>
          <w:bCs/>
          <w:i/>
          <w:lang w:val="pt-BR"/>
        </w:rPr>
      </w:pPr>
      <w:r>
        <w:rPr>
          <w:rFonts w:ascii="Times New Roman" w:hAnsi="Times New Roman" w:eastAsia="Times New Roman" w:cs="Times New Roman"/>
          <w:color w:val="0d0d0d"/>
          <w:sz w:val="24"/>
        </w:rPr>
        <w:t xml:space="preserve">Nhìn chung, thị trường bất động sản Hà Nội hiện không còn là thị trường tăng giá đồng loạt. Cơ hội đang tập trung nhiều hơn vào những dự án có vị trí tốt, pháp lý rõ ràng, hạ tầng hoàn thiện và mức giá phù hợp với khả năng tài chính của người mua. Trong tr</w:t>
      </w:r>
      <w:r>
        <w:rPr>
          <w:rFonts w:ascii="Times New Roman" w:hAnsi="Times New Roman" w:eastAsia="Times New Roman" w:cs="Times New Roman"/>
          <w:color w:val="0d0d0d"/>
          <w:sz w:val="24"/>
        </w:rPr>
        <w:t xml:space="preserve">ung và dài hạn, hạ tầng giao thông, quá trình mở rộng đô thị và sự dịch chuyển dân cư ra các khu vực phía Đông, phía Tây và vùng ven sẽ tiếp tục là những yếu tố quan trọng ảnh hưởng đến giá trị bất động sản</w:t>
      </w:r>
      <w:r>
        <w:rPr>
          <w:i/>
          <w:iCs/>
          <w:lang w:val="pt-BR"/>
        </w:rPr>
        <w:t xml:space="preserve">.</w:t>
      </w:r>
      <w:r>
        <w:rPr>
          <w:bCs/>
          <w:i/>
          <w:lang w:val="pt-BR"/>
        </w:rPr>
      </w:r>
      <w:r>
        <w:rPr>
          <w:bCs/>
          <w:i/>
          <w:lang w:val="pt-BR"/>
        </w:rP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552"/>
        <w:gridCol w:w="2151"/>
        <w:gridCol w:w="2151"/>
        <w:gridCol w:w="2040"/>
        <w:gridCol w:w="16"/>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b/>
                <w:bCs/>
              </w:rPr>
            </w:pPr>
            <w:r>
              <w:rPr>
                <w:rFonts w:ascii="Times New Roman" w:hAnsi="Times New Roman" w:eastAsia="Times New Roman" w:cs="Times New Roman"/>
                <w:b/>
                <w:color w:val="000000"/>
                <w:sz w:val="24"/>
              </w:rPr>
            </w:r>
            <w:r>
              <w:rPr>
                <w:rFonts w:ascii="Times New Roman" w:hAnsi="Times New Roman" w:eastAsia="Times New Roman" w:cs="Times New Roman"/>
                <w:b/>
                <w:bCs/>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b/>
                <w:bCs/>
                <w:i/>
                <w:color w:val="000000"/>
                <w:sz w:val="24"/>
              </w:rPr>
              <w:t xml:space="preserve">nay là xã Phù Đổng, thành phố Hà Nội</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rFonts w:ascii="Times New Roman" w:hAnsi="Times New Roman" w:eastAsia="Times New Roman" w:cs="Times New Roman"/>
                <w:b/>
                <w:bCs/>
                <w:i/>
                <w:color w:val="000000"/>
                <w:sz w:val="24"/>
              </w:rPr>
              <w:t xml:space="preserve">.</w:t>
            </w:r>
            <w:r>
              <w:rPr>
                <w:b/>
                <w:bCs/>
              </w:rPr>
            </w:r>
            <w:r>
              <w:rPr>
                <w:b/>
                <w:bCs/>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5TTYV</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Khu Hồ Văn Hóa, xã Yên Viên </w:t>
            </w:r>
            <w:r>
              <w:rPr>
                <w:rFonts w:ascii="Times New Roman" w:hAnsi="Times New Roman" w:eastAsia="Times New Roman" w:cs="Times New Roman"/>
                <w:i/>
                <w:color w:val="000000"/>
                <w:sz w:val="24"/>
              </w:rPr>
              <w:t xml:space="preserve">(nay là xã Phù Đổng),</w:t>
            </w:r>
            <w:r>
              <w:rPr>
                <w:rFonts w:ascii="Times New Roman" w:hAnsi="Times New Roman" w:eastAsia="Times New Roman" w:cs="Times New Roman"/>
                <w:color w:val="000000"/>
                <w:sz w:val="24"/>
              </w:rPr>
              <w:t xml:space="preserve"> thành phố Hà Nội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149,5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riêng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nông thôn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tặng cho đất được Công nhận QSDĐ như giao đất có thu tiền sử dụng đất.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31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u w:val="single"/>
              </w:rPr>
              <w:t xml:space="preserve">Ghi chú: </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Số tờ, số thửa và sơ đồ sẽ được điều chỉnh khi có bản đồ địa chính chính quy.</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Giấy chứng nhận này được cấp đổi từ Giấy chứng nhận quyền sử dụng đất, quyền sở hữu nhà ở và tài sản khác gắn liền với đất số CH 108711 do Sở Tài nguyên và Môi trường thành phố Hà Nội cấp ngày 20/02/2017; theo hồ sơ số 000052.TA.003./.</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quy hoạch: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31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Tại thời điểm thẩm định giá, Tổ thẩm định không thu thập được bất kỳ thông tin quy hoạch nào của thửa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Về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Vị trí; Giao thông: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31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 </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Khu Hồ Văn Hóa, xã Phù Đổng, thành phố Hà Nội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highlight w:val="white"/>
              </w:rPr>
              <w:t xml:space="preserve">Ngõ giao thông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01 mặt tiền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Cách trục dường chính Đặng Công Chất khoảng 350m.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34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Hướng Đông: Tiếp giáp với ngõ đi chung;</w:t>
              <w:br/>
              <w:t xml:space="preserve"> + Các hướng còn lại: tiếp giáp với các thửa đất khác.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trên bản đồ vệ tinh: (21.088777777778, 105.92413888889)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5485777" cy="316124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58075" name=""/>
                              <pic:cNvPicPr>
                                <a:picLocks noChangeAspect="1"/>
                              </pic:cNvPicPr>
                              <pic:nvPr/>
                            </pic:nvPicPr>
                            <pic:blipFill rotWithShape="1">
                              <a:blip r:embed="rId17"/>
                              <a:stretch/>
                            </pic:blipFill>
                            <pic:spPr bwMode="auto">
                              <a:xfrm flipH="0" flipV="0">
                                <a:off x="0" y="0"/>
                                <a:ext cx="5485776" cy="31612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1.95pt;height:248.92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Diện tích; Kích thước; Hình dáng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149,5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6,8m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Chiều sâu (m):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22m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Hình chữ nhật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31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Khá</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125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Điều kiện môi trường an ninh: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4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Tài sản gắn liền với đất: Đất trống.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 w:type="dxa"/>
            <w:vAlign w:val="center"/>
            <w:textDirection w:val="lrTb"/>
            <w:noWrap w:val="false"/>
          </w:tcPr>
          <w:p>
            <w:pPr>
              <w:pBdr/>
              <w:spacing w:after="0" w:before="0" w:line="240" w:lineRule="auto"/>
              <w:ind/>
              <w:rPr/>
            </w:pPr>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51"/>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6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Phù Đổng,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Phù Đổng,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Phù Đổng, Thành phố Hà Nội</w:t>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Phù Đổng, Thành phố Hà Nội</w:t>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https://www.facebook.com/groups/820524866081355/posts/1278366200297217/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https://batdongsan.com.vn/ban-dat-duong-ninh-hiep-xa-yen-thuong-1-11/56m-lo-goc-2-mat-tien-trung-quan-mt5m-uong-o-to-tranh-ngay-lang-nghe-sam-uat-pr45549247?gidzl=DfFFAsaWTnCqYyihQZPs5p22p2ztPNWO9uJ59YyrVHvqYC5tApae7YUAbdLtFoz89jl68p5fXOqFQoLw7G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https://batdongsan.com.vn/ban-dat-xa-ninh-hiep-1/61m2-phu-ong-moi-mt4-4m-ngo-thong-so-vuong-hop-kho-xuong-xay-o-dan-cu-sam-uat-pr46185238</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0968.693638</w:t>
            </w:r>
            <w:r>
              <w:rPr>
                <w:sz w:val="22"/>
                <w:szCs w:val="22"/>
              </w:rPr>
              <w:t xml:space="preserve"> </w:t>
            </w:r>
            <w:r>
              <w:rPr>
                <w:sz w:val="22"/>
                <w:szCs w:val="22"/>
              </w:rPr>
              <w:br/>
              <w:t xml:space="preserve">(</w:t>
            </w:r>
            <w:r>
              <w:rPr>
                <w:sz w:val="22"/>
                <w:szCs w:val="22"/>
              </w:rPr>
              <w:t xml:space="preserve">Anh Tuệ</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0965.901886</w:t>
            </w:r>
            <w:r>
              <w:rPr>
                <w:sz w:val="22"/>
                <w:szCs w:val="22"/>
              </w:rPr>
              <w:br/>
            </w:r>
            <w:r>
              <w:rPr>
                <w:sz w:val="22"/>
                <w:szCs w:val="22"/>
              </w:rPr>
              <w:t xml:space="preserve">(</w:t>
            </w:r>
            <w:r>
              <w:rPr>
                <w:sz w:val="22"/>
                <w:szCs w:val="22"/>
              </w:rPr>
              <w:t xml:space="preserve">A.Viên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0965.901886</w:t>
            </w:r>
            <w:r>
              <w:rPr>
                <w:sz w:val="22"/>
                <w:szCs w:val="22"/>
              </w:rPr>
              <w:br/>
            </w:r>
            <w:r>
              <w:rPr>
                <w:sz w:val="22"/>
                <w:szCs w:val="22"/>
              </w:rPr>
              <w:t xml:space="preserve">(</w:t>
            </w:r>
            <w:r>
              <w:rPr>
                <w:sz w:val="22"/>
                <w:szCs w:val="22"/>
              </w:rPr>
              <w:t xml:space="preserve">Phong Thủy Land</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8/2026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Tháng 8/2026</w:t>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Tháng 8/2026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Giấy chứng nhận quyền sử dụng đất</w:t>
            </w:r>
            <w:r/>
          </w:p>
        </w:tc>
      </w:tr>
      <w:tr>
        <w:trPr>
          <w:trHeight w:val="38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1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 3, Xã Phù Đổng,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 2, Xã Phù Đổng,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 2, Xã Phù Đổng,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 3Xã Phù Đổng,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61,0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CTXD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03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trồng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trồng</w:t>
            </w:r>
            <w:r>
              <w:rPr>
                <w:color w:val="000000" w:themeColor="text1"/>
                <w:sz w:val="22"/>
                <w:szCs w:val="22"/>
              </w:rPr>
            </w:r>
            <w:r>
              <w:rPr>
                <w:color w:val="000000" w:themeColor="text1"/>
                <w:sz w:val="22"/>
                <w:szCs w:val="22"/>
              </w:rPr>
            </w:r>
          </w:p>
        </w:tc>
      </w:tr>
      <w:tr>
        <w:trPr>
          <w:trHeight w:val="33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highlight w:val="white"/>
              </w:rPr>
            </w:pPr>
            <w:r>
              <w:rPr>
                <w:i/>
                <w:iCs/>
                <w:color w:val="000000" w:themeColor="text1"/>
                <w:sz w:val="22"/>
                <w:szCs w:val="22"/>
                <w:highlight w:val="white"/>
              </w:rPr>
              <w:t xml:space="preserve">Số tầng</w:t>
            </w:r>
            <w:r>
              <w:rPr>
                <w:bCs/>
                <w:i/>
                <w:color w:val="000000" w:themeColor="text1"/>
                <w:sz w:val="22"/>
                <w:szCs w:val="22"/>
                <w:highlight w:val="white"/>
              </w:rPr>
            </w:r>
            <w:r>
              <w:rPr>
                <w:bCs/>
                <w:i/>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03 tầng</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highlight w:val="white"/>
              </w:rPr>
            </w:pPr>
            <w:r>
              <w:rPr>
                <w:i/>
                <w:iCs/>
                <w:color w:val="000000" w:themeColor="text1"/>
                <w:sz w:val="22"/>
                <w:szCs w:val="22"/>
                <w:highlight w:val="white"/>
              </w:rPr>
              <w:t xml:space="preserve">Diện tích sàn sử dụng (m²)</w:t>
            </w:r>
            <w:r>
              <w:rPr>
                <w:bCs/>
                <w:i/>
                <w:color w:val="000000" w:themeColor="text1"/>
                <w:sz w:val="22"/>
                <w:szCs w:val="22"/>
                <w:highlight w:val="white"/>
              </w:rPr>
            </w:r>
            <w:r>
              <w:rPr>
                <w:bCs/>
                <w:i/>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360,0</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28.860.000.000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8.406.400.000</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6.500.000.000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23.088.000.000</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6.725.120.000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r>
            <w:r>
              <w:rPr>
                <w:rFonts w:ascii="Times New Roman" w:hAnsi="Times New Roman" w:eastAsia="Times New Roman" w:cs="Times New Roman"/>
                <w:color w:val="000000"/>
                <w:sz w:val="22"/>
              </w:rPr>
              <w:t xml:space="preserve">  5.200.000.000  </w:t>
            </w:r>
            <w:r>
              <w:rPr>
                <w:b/>
                <w:bCs/>
                <w:color w:val="000000"/>
                <w:sz w:val="22"/>
                <w:szCs w:val="22"/>
              </w:rPr>
            </w:r>
            <w:r>
              <w:rPr>
                <w:b/>
                <w:bCs/>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i/>
                <w:highlight w:val="white"/>
              </w:rPr>
            </w:pPr>
            <w:r>
              <w:rPr>
                <w:b/>
                <w:bCs/>
                <w:i/>
                <w:iCs/>
                <w:highlight w:val="white"/>
              </w:rPr>
              <w:t xml:space="preserve">2.581.709.760</w:t>
            </w:r>
            <w:r>
              <w:rPr>
                <w:b/>
                <w:bCs/>
                <w:i/>
                <w:highlight w:val="white"/>
              </w:rPr>
            </w:r>
            <w:r>
              <w:rPr>
                <w:b/>
                <w:bCs/>
                <w:i/>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i/>
              </w:rPr>
            </w:pPr>
            <w:r>
              <w:rPr>
                <w:b/>
                <w:bCs/>
                <w:i/>
                <w:iCs/>
              </w:rPr>
              <w:t xml:space="preserve">-</w:t>
            </w:r>
            <w:r>
              <w:rPr>
                <w:b/>
                <w:bCs/>
                <w:i/>
              </w:rPr>
            </w:r>
            <w:r>
              <w:rPr>
                <w:b/>
                <w:bCs/>
                <w:i/>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i/>
                <w:color w:val="000000"/>
                <w:sz w:val="22"/>
                <w:szCs w:val="22"/>
              </w:rPr>
            </w:pPr>
            <w:r>
              <w:rPr>
                <w:b/>
                <w:bCs/>
                <w:i/>
                <w:iCs/>
                <w:color w:val="000000"/>
                <w:sz w:val="22"/>
                <w:szCs w:val="22"/>
              </w:rPr>
              <w:t xml:space="preserve">-</w:t>
            </w:r>
            <w:r>
              <w:rPr>
                <w:b/>
                <w:bCs/>
                <w:i/>
                <w:color w:val="000000"/>
                <w:sz w:val="22"/>
                <w:szCs w:val="22"/>
              </w:rPr>
            </w:r>
            <w:r>
              <w:rPr>
                <w:b/>
                <w:bCs/>
                <w:i/>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sz w:val="22"/>
                <w:szCs w:val="22"/>
                <w:highlight w:val="white"/>
                <w14:ligatures w14:val="none"/>
              </w:rPr>
            </w:pPr>
            <w:r>
              <w:rPr>
                <w:i/>
                <w:iCs/>
                <w:color w:val="000000"/>
                <w:sz w:val="22"/>
                <w:szCs w:val="22"/>
                <w:highlight w:val="white"/>
              </w:rPr>
            </w:r>
            <w:r>
              <w:rPr>
                <w:i/>
                <w:iCs/>
                <w:color w:val="000000"/>
                <w:sz w:val="22"/>
                <w:szCs w:val="22"/>
                <w:highlight w:val="white"/>
              </w:rPr>
              <w:t xml:space="preserve">Đơn giá xây dựng theo Quyết định số 425/QĐ-BXD ngày 30/3/2026 của Bộ Xây dựng (đồng/m²)</w:t>
            </w:r>
            <w:r>
              <w:rPr>
                <w:bCs/>
                <w:i/>
                <w:color w:val="000000"/>
                <w:sz w:val="22"/>
                <w:szCs w:val="22"/>
                <w:highlight w:val="white"/>
                <w14:ligatures w14:val="none"/>
              </w:rPr>
            </w:r>
            <w:r>
              <w:rPr>
                <w:bCs/>
                <w:i/>
                <w:color w:val="000000"/>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highlight w:val="white"/>
              </w:rPr>
            </w:pPr>
            <w:r>
              <w:rPr>
                <w:i/>
                <w:iCs/>
                <w:color w:val="000000"/>
                <w:sz w:val="22"/>
                <w:szCs w:val="22"/>
                <w:highlight w:val="white"/>
              </w:rPr>
            </w:r>
            <w:r>
              <w:rPr>
                <w:bCs/>
                <w:i/>
                <w:color w:val="000000"/>
                <w:sz w:val="22"/>
                <w:szCs w:val="22"/>
                <w:highlight w:val="white"/>
              </w:rPr>
            </w:r>
            <w:r>
              <w:rPr>
                <w:bCs/>
                <w:i/>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highlight w:val="white"/>
              </w:rPr>
            </w:pPr>
            <w:r>
              <w:rPr>
                <w:highlight w:val="white"/>
              </w:rPr>
              <w:t xml:space="preserve">7.968.240</w:t>
            </w:r>
            <w:r>
              <w:rPr>
                <w:highlight w:val="white"/>
              </w:rPr>
            </w:r>
            <w:r>
              <w:rPr>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highlight w:val="white"/>
              </w:rPr>
            </w:pPr>
            <w:r>
              <w:rPr>
                <w:i/>
                <w:iCs/>
                <w:color w:val="000000"/>
                <w:sz w:val="22"/>
                <w:szCs w:val="22"/>
                <w:highlight w:val="white"/>
              </w:rPr>
              <w:t xml:space="preserve">-</w:t>
            </w:r>
            <w:r>
              <w:rPr>
                <w:bCs/>
                <w:i/>
                <w:color w:val="000000"/>
                <w:sz w:val="22"/>
                <w:szCs w:val="22"/>
                <w:highlight w:val="white"/>
              </w:rPr>
            </w:r>
            <w:r>
              <w:rPr>
                <w:bCs/>
                <w:i/>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417"/>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sz w:val="22"/>
                <w:szCs w:val="22"/>
                <w14:ligatures w14:val="none"/>
              </w:rPr>
            </w:pPr>
            <w:r>
              <w:rPr>
                <w:i/>
                <w:iCs/>
                <w:color w:val="000000"/>
                <w:sz w:val="22"/>
                <w:szCs w:val="22"/>
              </w:rPr>
            </w:r>
            <w:r>
              <w:rPr>
                <w:i/>
                <w:iCs/>
                <w:color w:val="000000"/>
                <w:sz w:val="22"/>
                <w:szCs w:val="22"/>
              </w:rPr>
              <w:t xml:space="preserve">Tỷ lệ % CLCL</w:t>
            </w:r>
            <w:r>
              <w:rPr>
                <w:bCs/>
                <w:i/>
                <w:color w:val="000000"/>
                <w:sz w:val="22"/>
                <w:szCs w:val="22"/>
                <w14:ligatures w14:val="none"/>
              </w:rPr>
            </w:r>
            <w:r>
              <w:rPr>
                <w:bCs/>
                <w:i/>
                <w:color w:val="000000"/>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highlight w:val="yellow"/>
              </w:rPr>
            </w:pPr>
            <w:r>
              <w:rPr>
                <w:i/>
                <w:iCs/>
                <w:color w:val="000000"/>
                <w:sz w:val="22"/>
                <w:szCs w:val="22"/>
                <w:highlight w:val="yellow"/>
              </w:rPr>
            </w:r>
            <w:r>
              <w:rPr>
                <w:bCs/>
                <w:i/>
                <w:color w:val="000000"/>
                <w:sz w:val="22"/>
                <w:szCs w:val="22"/>
                <w:highlight w:val="yellow"/>
              </w:rPr>
            </w:r>
            <w:r>
              <w:rPr>
                <w:bCs/>
                <w:i/>
                <w:color w:val="000000"/>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highlight w:val="yellow"/>
              </w:rPr>
            </w:pPr>
            <w:r>
              <w:rPr>
                <w:i/>
                <w:iCs/>
                <w:color w:val="000000"/>
                <w:sz w:val="22"/>
                <w:szCs w:val="22"/>
                <w:highlight w:val="none"/>
              </w:rPr>
              <w:t xml:space="preserve">90%</w:t>
            </w:r>
            <w:r>
              <w:rPr>
                <w:bCs/>
                <w:i/>
                <w:color w:val="000000"/>
                <w:sz w:val="22"/>
                <w:szCs w:val="22"/>
                <w:highlight w:val="yellow"/>
              </w:rPr>
            </w:r>
            <w:r>
              <w:rPr>
                <w:bCs/>
                <w:i/>
                <w:color w:val="000000"/>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rPr>
            </w:pPr>
            <w:r>
              <w:rPr>
                <w:i/>
                <w:iCs/>
                <w:color w:val="000000"/>
                <w:sz w:val="22"/>
                <w:szCs w:val="22"/>
              </w:rPr>
              <w:t xml:space="preserve">-</w:t>
            </w:r>
            <w:r>
              <w:rPr>
                <w:bCs/>
                <w:i/>
                <w:color w:val="000000"/>
                <w:sz w:val="22"/>
                <w:szCs w:val="22"/>
              </w:rPr>
            </w:r>
            <w:r>
              <w:rPr>
                <w:bCs/>
                <w:i/>
                <w:color w:val="000000"/>
                <w:sz w:val="22"/>
                <w:szCs w:val="22"/>
              </w:rPr>
            </w:r>
          </w:p>
        </w:tc>
        <w:tc>
          <w:tcPr>
            <w:tcBorders>
              <w:top w:val="none" w:color="000000" w:sz="4" w:space="0"/>
              <w:left w:val="none" w:color="000000" w:sz="4" w:space="0"/>
              <w:bottom w:val="single" w:color="000000" w:sz="4" w:space="0"/>
              <w:right w:val="single" w:color="000000" w:sz="4" w:space="0"/>
            </w:tcBorders>
            <w:tcW w:w="1751" w:type="dxa"/>
            <w:vAlign w:val="center"/>
            <w:vMerge w:val="restart"/>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rPr>
            </w:pPr>
            <w:r>
              <w:rPr>
                <w:b/>
                <w:bCs/>
                <w:color w:val="000000" w:themeColor="text1"/>
                <w:sz w:val="22"/>
                <w:szCs w:val="22"/>
              </w:rPr>
              <w:t xml:space="preserve">20.506.290.240</w:t>
            </w:r>
            <w:r>
              <w:rPr>
                <w:b/>
                <w:bCs/>
                <w:color w:val="000000" w:themeColor="text1"/>
                <w:sz w:val="20"/>
                <w:szCs w:val="20"/>
              </w:rPr>
            </w:r>
            <w:r>
              <w:rPr>
                <w:b/>
                <w:bCs/>
                <w:color w:val="000000" w:themeColor="text1"/>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6.725.120.000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b/>
                <w:bCs/>
                <w:color w:val="000000"/>
                <w:sz w:val="22"/>
              </w:rPr>
              <w:t xml:space="preserve">5.200.000.000 </w:t>
            </w:r>
            <w:r>
              <w:rPr>
                <w:rFonts w:ascii="Times New Roman" w:hAnsi="Times New Roman" w:eastAsia="Times New Roman" w:cs="Times New Roman"/>
                <w:color w:val="000000"/>
                <w:sz w:val="22"/>
              </w:rPr>
              <w:t xml:space="preserve">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131.450.578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118.400.000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after="0" w:before="0" w:line="240" w:lineRule="auto"/>
              <w:ind/>
              <w:jc w:val="center"/>
              <w:rPr/>
            </w:pPr>
            <w:r>
              <w:rPr>
                <w:rFonts w:ascii="Times New Roman" w:hAnsi="Times New Roman" w:eastAsia="Times New Roman" w:cs="Times New Roman"/>
                <w:b/>
                <w:bCs/>
                <w:color w:val="000000"/>
                <w:sz w:val="22"/>
              </w:rPr>
              <w:t xml:space="preserve">85.245.902</w:t>
            </w:r>
            <w:r>
              <w:rPr>
                <w:rFonts w:ascii="Times New Roman" w:hAnsi="Times New Roman" w:eastAsia="Times New Roman" w:cs="Times New Roman"/>
                <w:color w:val="000000"/>
                <w:sz w:val="22"/>
              </w:rPr>
              <w:t xml:space="preserve"> </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91"/>
        <w:gridCol w:w="1843"/>
        <w:gridCol w:w="1039"/>
        <w:gridCol w:w="1551"/>
        <w:gridCol w:w="1561"/>
        <w:gridCol w:w="1559"/>
        <w:gridCol w:w="1560"/>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3</w:t>
            </w:r>
            <w:r/>
          </w:p>
        </w:tc>
      </w:tr>
      <w:tr>
        <w:trPr>
          <w:trHeight w:val="828"/>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20.506.290.240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6.725.120.000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5.200.000.000 </w:t>
            </w:r>
            <w:r/>
          </w:p>
        </w:tc>
      </w:tr>
      <w:tr>
        <w:trPr>
          <w:trHeight w:val="39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Đơn giá đất ước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131.450.578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118.400.000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85.245.902 </w:t>
            </w:r>
            <w:r/>
          </w:p>
        </w:tc>
      </w:tr>
      <w:tr>
        <w:trPr>
          <w:trHeight w:val="525"/>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828"/>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131.450.578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118.400.000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85.245.902 </w:t>
            </w:r>
            <w:r/>
          </w:p>
        </w:tc>
      </w:tr>
      <w:tr>
        <w:trPr>
          <w:trHeight w:val="1035"/>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Vị trí</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2"/>
              </w:rPr>
              <w:t xml:space="preserve">Vị trí 3, Xã Phù Đổng, Thành phố Hà Nội</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2"/>
              </w:rPr>
              <w:t xml:space="preserve">Vị trí 2, Xã Phù Đổng, Thành phố Hà Nội</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2"/>
              </w:rPr>
              <w:t xml:space="preserve">Vị trí 2, Xã Phù Đổng, Thành phố Hà Nội</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rPr>
            </w:pPr>
            <w:r>
              <w:rPr>
                <w:rFonts w:ascii="Times New Roman" w:hAnsi="Times New Roman" w:eastAsia="Times New Roman" w:cs="Times New Roman"/>
                <w:b/>
                <w:bCs/>
                <w:color w:val="000000"/>
                <w:sz w:val="22"/>
              </w:rPr>
              <w:t xml:space="preserve">Vị trí 3Xã Phù Đổng, Thành phố Hà Nội</w:t>
            </w:r>
            <w:r>
              <w:rPr>
                <w:rFonts w:ascii="Times New Roman" w:hAnsi="Times New Roman" w:eastAsia="Times New Roman" w:cs="Times New Roman"/>
                <w:b/>
                <w:bCs/>
                <w:sz w:val="24"/>
              </w:rPr>
            </w:r>
            <w:r>
              <w:rPr>
                <w:rFonts w:ascii="Times New Roman" w:hAnsi="Times New Roman" w:eastAsia="Times New Roman" w:cs="Times New Roman"/>
                <w:b/>
                <w:bCs/>
                <w:sz w:val="24"/>
              </w:rPr>
            </w:r>
          </w:p>
        </w:tc>
      </w:tr>
      <w:tr>
        <w:trPr>
          <w:trHeight w:val="382"/>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415"/>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-19.717.587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-17.760.000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557"/>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111.732.992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100.640.000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85.245.902 </w:t>
            </w:r>
            <w:r/>
          </w:p>
        </w:tc>
      </w:tr>
      <w:tr>
        <w:trPr>
          <w:trHeight w:val="567"/>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Giao thông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Đường bê tông</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-5.586.650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-5.032.000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106.146.342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95.608.000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85.245.902 </w:t>
            </w:r>
            <w:r/>
          </w:p>
        </w:tc>
      </w:tr>
      <w:tr>
        <w:trPr>
          <w:trHeight w:val="567"/>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Độ rộng đường trước tài sản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(m)</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2,5</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-13.145.058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-9.472.000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93.001.284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86.136.000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85.245.902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Diện tích đất ở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r>
            <w:r>
              <w:rPr>
                <w:rFonts w:ascii="Times New Roman" w:hAnsi="Times New Roman" w:eastAsia="Times New Roman" w:cs="Times New Roman"/>
                <w:b/>
                <w:color w:val="000000"/>
                <w:sz w:val="22"/>
              </w:rPr>
              <w:t xml:space="preserve">(m²)</w:t>
            </w: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149,5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156,0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56,8</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61,0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-22%</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-26.048.000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-18.754.098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93.001.284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60.088.000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66.491.803 </w:t>
            </w:r>
            <w:r/>
          </w:p>
        </w:tc>
      </w:tr>
      <w:tr>
        <w:trPr>
          <w:trHeight w:val="31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b/>
                <w:color w:val="000000"/>
                <w:sz w:val="22"/>
              </w:rPr>
              <w:t xml:space="preserve">(m)</w:t>
            </w:r>
            <w:r>
              <w:rPr>
                <w:rFonts w:ascii="Times New Roman" w:hAnsi="Times New Roman" w:eastAsia="Times New Roman" w:cs="Times New Roman"/>
                <w:b/>
                <w:color w:val="000000"/>
                <w:sz w:val="22"/>
              </w:r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6,8</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4,4</w:t>
            </w:r>
            <w:r/>
          </w:p>
        </w:tc>
      </w:tr>
      <w:tr>
        <w:trPr>
          <w:trHeight w:val="34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3,00%</w:t>
            </w:r>
            <w:r/>
          </w:p>
        </w:tc>
      </w:tr>
      <w:tr>
        <w:trPr>
          <w:trHeight w:val="402"/>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-3.943.517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2.368.000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2.557.377 </w:t>
            </w:r>
            <w:r/>
          </w:p>
        </w:tc>
      </w:tr>
      <w:tr>
        <w:trPr>
          <w:trHeight w:val="43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89.057.767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62.456.000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69.049.180 </w:t>
            </w:r>
            <w:r/>
          </w:p>
        </w:tc>
      </w:tr>
      <w:tr>
        <w:trPr>
          <w:trHeight w:val="688"/>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2 mặt ngõ</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2 mặt ngõ</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Tiếp giáp 1 mặt tiền</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-6.572.529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-5.920.000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82.485.238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56.536.000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69.049.180 </w:t>
            </w:r>
            <w:r/>
          </w:p>
        </w:tc>
      </w:tr>
      <w:tr>
        <w:trPr>
          <w:trHeight w:val="435"/>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Hình dáng thửa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Hình chữ nhật</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82.485.238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56.536.000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69.049.180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Lợi thế kinh doanh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Không có lợi thế kinh doanh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Khá</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b/>
                <w:color w:val="000000"/>
                <w:sz w:val="22"/>
              </w:rPr>
              <w:t xml:space="preserve">Không có lợi thế kinh doanh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b/>
                <w:color w:val="000000"/>
                <w:sz w:val="22"/>
              </w:rPr>
              <w:t xml:space="preserve">Không có lợi thế kinh doanh</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-10.516.046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71.969.192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56.536.000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69.049.180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Mức giá chỉ dẫn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71.969.192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56.536.000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69.049.180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Giá trị trung bình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68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65.851.457 </w:t>
            </w:r>
            <w:r/>
          </w:p>
        </w:tc>
      </w:tr>
      <w:tr>
        <w:trPr>
          <w:trHeight w:val="30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Mức độ chênh lệch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-14,1%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4,9%</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59.481.387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66.600.000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21.311.475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Tổng số lần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 </w:t>
            </w:r>
            <w:r/>
          </w:p>
        </w:tc>
      </w:tr>
      <w:tr>
        <w:trPr>
          <w:trHeight w:val="276"/>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Biên độ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3%-15%</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b w:val="0"/>
                <w:bCs w:val="0"/>
                <w:color w:val="000000" w:themeColor="text1"/>
              </w:rPr>
            </w:pPr>
            <w:r>
              <w:rPr>
                <w:rFonts w:ascii="Times New Roman" w:hAnsi="Times New Roman" w:eastAsia="Times New Roman" w:cs="Times New Roman"/>
                <w:b w:val="0"/>
                <w:bCs w:val="0"/>
                <w:color w:val="000000" w:themeColor="text1"/>
                <w:sz w:val="22"/>
              </w:rPr>
              <w:t xml:space="preserve">2%-22%</w:t>
            </w:r>
            <w:r>
              <w:rPr>
                <w:b w:val="0"/>
                <w:bCs w:val="0"/>
                <w:color w:val="000000" w:themeColor="text1"/>
              </w:rPr>
            </w:r>
            <w:r>
              <w:rPr>
                <w:b w:val="0"/>
                <w:bCs w:val="0"/>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3%-22%</w:t>
            </w:r>
            <w:r/>
          </w:p>
        </w:tc>
      </w:tr>
      <w:tr>
        <w:trPr>
          <w:trHeight w:val="55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49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spacing w:after="0" w:before="0" w:line="240" w:lineRule="auto"/>
              <w:ind w:right="64" w:firstLine="0" w:left="142"/>
              <w:jc w:val="both"/>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03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59.481.387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61.864.000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6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16.196.721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w:t>
      </w:r>
      <w:r>
        <w:t xml:space="preserve"> </w:t>
      </w:r>
      <w:r>
        <w:rPr>
          <w:b w:val="0"/>
          <w:bCs w:val="0"/>
          <w:color w:val="000000" w:themeColor="text1"/>
        </w:rPr>
        <w:t xml:space="preserve">-</w:t>
      </w:r>
      <w:r>
        <w:rPr>
          <w:b w:val="0"/>
          <w:bCs w:val="0"/>
          <w:color w:val="000000" w:themeColor="text1"/>
        </w:rPr>
        <w:t xml:space="preserve">14,1</w:t>
      </w:r>
      <w:r>
        <w:rPr>
          <w:b w:val="0"/>
          <w:bCs w:val="0"/>
          <w:color w:val="000000" w:themeColor="text1"/>
        </w:rPr>
        <w:t xml:space="preserve">% đến</w:t>
      </w:r>
      <w:r>
        <w:rPr>
          <w:b w:val="0"/>
          <w:bCs w:val="0"/>
          <w:color w:val="000000" w:themeColor="text1"/>
        </w:rPr>
        <w:t xml:space="preserve"> </w:t>
      </w:r>
      <w:r>
        <w:rPr>
          <w:b w:val="0"/>
          <w:bCs w:val="0"/>
          <w:color w:val="000000" w:themeColor="text1"/>
        </w:rPr>
        <w:t xml:space="preserve">9,3%, đ</w:t>
      </w:r>
      <w:r>
        <w:t xml:space="preserve">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71.969.192 </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23.989.731 </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56.536.000 </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18.845.333 </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69.049.180 </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23.016.393 </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65.851.457 </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66.000.000 </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66.000.000</w:t>
      </w:r>
      <w:r>
        <w:rPr>
          <w:b/>
          <w:bCs/>
          <w:color w:val="000000" w:themeColor="text1"/>
        </w:rPr>
        <w:t xml:space="preserve"> </w:t>
      </w:r>
      <w:r>
        <w:rPr>
          <w:b/>
          <w:bCs/>
        </w:rPr>
        <w:t xml:space="preserve">đồng/m².</w:t>
      </w:r>
      <w:r>
        <w:rPr>
          <w:b/>
          <w:bCs/>
        </w:rPr>
      </w:r>
      <w:r>
        <w:rPr>
          <w:b/>
          <w:bCs/>
        </w:rPr>
      </w:r>
    </w:p>
    <w:p>
      <w:pPr>
        <w:pBdr/>
        <w:spacing w:after="120" w:before="120" w:line="276" w:lineRule="auto"/>
        <w:ind w:firstLine="0" w:left="0"/>
        <w:jc w:val="both"/>
        <w:rPr>
          <w:b/>
          <w:lang w:val="pt-BR"/>
        </w:rPr>
      </w:pPr>
      <w:r>
        <w:rPr>
          <w:b/>
          <w:lang w:val="pt-BR"/>
        </w:rPr>
        <w:t xml:space="preserve">2.  Kết quả thẩm định giá:</w:t>
      </w:r>
      <w:r>
        <w:rPr>
          <w:b/>
          <w:lang w:val="pt-BR"/>
        </w:rPr>
      </w:r>
      <w:r>
        <w:rPr>
          <w:b/>
          <w:lang w:val="pt-BR"/>
        </w:rPr>
      </w:r>
    </w:p>
    <w:p>
      <w:pPr>
        <w:pStyle w:val="1031"/>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477"/>
        <w:gridCol w:w="1701"/>
        <w:gridCol w:w="2231"/>
        <w:gridCol w:w="2164"/>
      </w:tblGrid>
      <w:tr>
        <w:trPr>
          <w:trHeight w:val="505"/>
        </w:trPr>
        <w:tc>
          <w:tcPr>
            <w:shd w:val="clear" w:color="000000" w:fill="ffffff"/>
            <w:tcBorders/>
            <w:tcW w:w="9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000000" w:fill="ffffff"/>
            <w:tcBorders/>
            <w:tcW w:w="24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000000" w:fill="ffffff"/>
            <w:tcBorders/>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000000" w:fill="ffffff"/>
            <w:tcBorders/>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
        </w:trPr>
        <w:tc>
          <w:tcPr>
            <w:shd w:val="clear" w:color="000000" w:fill="ffffff"/>
            <w:tcBorders/>
            <w:tcW w:w="9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3"/>
            <w:shd w:val="clear" w:color="000000" w:fill="ffffff"/>
            <w:tcBorders/>
            <w:tcW w:w="640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24"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1(1), tờ bản đồ số: 5TTYV, địa chỉ: Khu Hồ Văn Hóa, xã Yên Viên, huyện Gia Lâm, thành phố Hà Nội (</w:t>
            </w:r>
            <w:r>
              <w:rPr>
                <w:rFonts w:ascii="Times New Roman" w:hAnsi="Times New Roman" w:eastAsia="Times New Roman" w:cs="Times New Roman"/>
                <w:b/>
                <w:i/>
                <w:color w:val="000000"/>
                <w:sz w:val="24"/>
              </w:rPr>
              <w:t xml:space="preserve">nay là xã Phù Đổng, thành phố Hà Nội</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CM 313777, Số vào sổ cấp GCN: CS-GL09535 do Sở Tài nguyên và môi trường Thành phố Hà Nội cấp ngày 26/3/2018; Chủ sử dụng đất là Ông Lê Văn Tuyến</w:t>
            </w:r>
            <w:r>
              <w:rPr>
                <w:rFonts w:ascii="Times New Roman" w:hAnsi="Times New Roman" w:eastAsia="Times New Roman" w:cs="Times New Roman"/>
                <w:b/>
                <w:i/>
                <w:color w:val="000000"/>
                <w:sz w:val="24"/>
              </w:rPr>
              <w:t xml:space="preserve">.</w:t>
            </w: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000000" w:fill="ffffff"/>
            <w:tcBorders/>
            <w:tcW w:w="9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000000" w:fill="ffffff"/>
            <w:tcBorders/>
            <w:tcW w:w="247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nông thôn</w:t>
            </w:r>
            <w:r/>
          </w:p>
        </w:tc>
        <w:tc>
          <w:tcPr>
            <w:tcBorders/>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149,5</w:t>
            </w:r>
            <w:r/>
          </w:p>
        </w:tc>
        <w:tc>
          <w:tcPr>
            <w:shd w:val="clear" w:color="000000" w:fill="ffffff"/>
            <w:tcBorders/>
            <w:tcW w:w="22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66.000.000</w:t>
            </w:r>
            <w:r/>
          </w:p>
        </w:tc>
        <w:tc>
          <w:tcPr>
            <w:shd w:val="clear" w:color="000000" w:fill="ffffff"/>
            <w:tcBorders/>
            <w:tcW w:w="21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9.867.000.000</w:t>
            </w:r>
            <w:r/>
          </w:p>
        </w:tc>
      </w:tr>
      <w:tr>
        <w:trPr>
          <w:trHeight w:val="20"/>
        </w:trPr>
        <w:tc>
          <w:tcPr>
            <w:gridSpan w:val="4"/>
            <w:tcBorders/>
            <w:tcW w:w="7361"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cW w:w="2164"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9.867.000.000</w:t>
            </w:r>
            <w:r/>
          </w:p>
        </w:tc>
      </w:tr>
      <w:tr>
        <w:trPr>
          <w:trHeight w:val="20"/>
        </w:trPr>
        <w:tc>
          <w:tcPr>
            <w:gridSpan w:val="5"/>
            <w:tcBorders/>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Chín tỷ, tám trăm sáu mươi bảy triệu đồng./.)</w:t>
            </w:r>
            <w:r/>
          </w:p>
        </w:tc>
      </w:tr>
    </w:tbl>
    <w:p>
      <w:pPr>
        <w:pStyle w:val="1031"/>
        <w:pBdr/>
        <w:tabs>
          <w:tab w:val="left" w:leader="none" w:pos="993"/>
        </w:tabs>
        <w:spacing w:after="120" w:before="120" w:line="259"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59"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59"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59"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59"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59"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59"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59"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59"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59"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59"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59"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59"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59"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59"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59"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59"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59"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59"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259"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3"/>
        </w:numPr>
        <w:pBdr/>
        <w:tabs>
          <w:tab w:val="left" w:leader="none" w:pos="993"/>
        </w:tabs>
        <w:spacing w:after="120" w:before="120" w:line="259"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59"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59"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59"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59" w:lineRule="auto"/>
        <w:ind w:left="0"/>
        <w:jc w:val="both"/>
        <w:rPr>
          <w:highlight w:val="none"/>
          <w:lang w:val="pt-BR"/>
        </w:rPr>
      </w:pPr>
      <w:r>
        <w:rPr>
          <w:bCs/>
          <w:lang w:val="pt-BR"/>
        </w:rPr>
        <w:t xml:space="preserve">Phụ lục 1: Hình ảnh hiện trạng của tài sản.</w:t>
      </w:r>
      <w:r>
        <w:rPr>
          <w:highlight w:val="none"/>
          <w:lang w:val="pt-BR"/>
        </w:rPr>
      </w:r>
      <w:r>
        <w:rPr>
          <w:highlight w:val="none"/>
          <w:lang w:val="pt-BR"/>
        </w:rPr>
      </w:r>
    </w:p>
    <w:p>
      <w:pPr>
        <w:pStyle w:val="1031"/>
        <w:pBdr/>
        <w:tabs>
          <w:tab w:val="left" w:leader="none" w:pos="993"/>
        </w:tabs>
        <w:spacing w:after="120" w:before="120" w:line="259"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1"/>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275/2026/1347/VFI-CT.T04.A</w:t>
      </w:r>
      <w:r>
        <w:rPr>
          <w:color w:val="ff0000"/>
          <w:lang w:val="vi-VN"/>
        </w:rPr>
        <w:t xml:space="preserve"> </w:t>
      </w:r>
      <w:r>
        <w:rPr>
          <w:color w:val="000000" w:themeColor="text1"/>
        </w:rPr>
        <w:t xml:space="preserve">ngày 26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highlight w:val="none"/>
          <w:lang w:val="vi-VN"/>
        </w:rPr>
      </w:pPr>
      <w:r>
        <w:rPr>
          <w:lang w:val="vi-VN"/>
        </w:rPr>
        <w:br w:type="page" w:clear="all"/>
      </w:r>
      <w:r>
        <w:rPr>
          <w:highlight w:val="none"/>
          <w:lang w:val="vi-VN"/>
        </w:rPr>
      </w:r>
      <w:r>
        <w:rPr>
          <w:highlight w:val="none"/>
          <w:lang w:val="vi-VN"/>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275/2026/1347/VFI-BC.T04.A ngày 26 tháng 8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43175" cy="24384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59621" name=""/>
                              <pic:cNvPicPr>
                                <a:picLocks noChangeAspect="1"/>
                              </pic:cNvPicPr>
                              <pic:nvPr/>
                            </pic:nvPicPr>
                            <pic:blipFill rotWithShape="1">
                              <a:blip r:embed="rId18"/>
                              <a:stretch/>
                            </pic:blipFill>
                            <pic:spPr bwMode="auto">
                              <a:xfrm>
                                <a:off x="0" y="0"/>
                                <a:ext cx="2543175" cy="2438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00.25pt;height:192.00pt;mso-wrap-distance-left:0.00pt;mso-wrap-distance-top:0.00pt;mso-wrap-distance-right:0.00pt;mso-wrap-distance-bottom:0.00pt;z-index:1;" stroked="false">
                      <v:imagedata r:id="rId18"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657475" cy="23145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817131" name=""/>
                              <pic:cNvPicPr>
                                <a:picLocks noChangeAspect="1"/>
                              </pic:cNvPicPr>
                              <pic:nvPr/>
                            </pic:nvPicPr>
                            <pic:blipFill rotWithShape="1">
                              <a:blip r:embed="rId19"/>
                              <a:stretch/>
                            </pic:blipFill>
                            <pic:spPr bwMode="auto">
                              <a:xfrm>
                                <a:off x="0" y="0"/>
                                <a:ext cx="2657474" cy="23145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9.25pt;height:182.25pt;mso-wrap-distance-left:0.00pt;mso-wrap-distance-top:0.00pt;mso-wrap-distance-right:0.00pt;mso-wrap-distance-bottom:0.00pt;z-index:1;" stroked="false">
                      <v:imagedata r:id="rId19"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81275" cy="21336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97354" name=""/>
                              <pic:cNvPicPr>
                                <a:picLocks noChangeAspect="1"/>
                              </pic:cNvPicPr>
                              <pic:nvPr/>
                            </pic:nvPicPr>
                            <pic:blipFill rotWithShape="1">
                              <a:blip r:embed="rId20"/>
                              <a:stretch/>
                            </pic:blipFill>
                            <pic:spPr bwMode="auto">
                              <a:xfrm>
                                <a:off x="0" y="0"/>
                                <a:ext cx="2581274" cy="2133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3.25pt;height:168.00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43200" cy="22764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52677" name=""/>
                              <pic:cNvPicPr>
                                <a:picLocks noChangeAspect="1"/>
                              </pic:cNvPicPr>
                              <pic:nvPr/>
                            </pic:nvPicPr>
                            <pic:blipFill rotWithShape="1">
                              <a:blip r:embed="rId21"/>
                              <a:stretch/>
                            </pic:blipFill>
                            <pic:spPr bwMode="auto">
                              <a:xfrm>
                                <a:off x="0" y="0"/>
                                <a:ext cx="2743200" cy="2276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6.00pt;height:179.25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24150" cy="27622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81601" name=""/>
                              <pic:cNvPicPr>
                                <a:picLocks noChangeAspect="1"/>
                              </pic:cNvPicPr>
                              <pic:nvPr/>
                            </pic:nvPicPr>
                            <pic:blipFill rotWithShape="1">
                              <a:blip r:embed="rId22"/>
                              <a:stretch/>
                            </pic:blipFill>
                            <pic:spPr bwMode="auto">
                              <a:xfrm>
                                <a:off x="0" y="0"/>
                                <a:ext cx="2724149" cy="27622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4.50pt;height:217.50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828925" cy="27241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83595" name=""/>
                              <pic:cNvPicPr>
                                <a:picLocks noChangeAspect="1"/>
                              </pic:cNvPicPr>
                              <pic:nvPr/>
                            </pic:nvPicPr>
                            <pic:blipFill rotWithShape="1">
                              <a:blip r:embed="rId23"/>
                              <a:stretch/>
                            </pic:blipFill>
                            <pic:spPr bwMode="auto">
                              <a:xfrm>
                                <a:off x="0" y="0"/>
                                <a:ext cx="2828925" cy="2724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75pt;height:214.50pt;mso-wrap-distance-left:0.00pt;mso-wrap-distance-top:0.00pt;mso-wrap-distance-right:0.00pt;mso-wrap-distance-bottom:0.00pt;z-index:1;" stroked="false">
                      <v:imagedata r:id="rId23"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HỒ SƠ PHÁP LÝ</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6048375" cy="85153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68269" name=""/>
                        <pic:cNvPicPr>
                          <a:picLocks noChangeAspect="1"/>
                        </pic:cNvPicPr>
                        <pic:nvPr/>
                      </pic:nvPicPr>
                      <pic:blipFill rotWithShape="1">
                        <a:blip r:embed="rId24"/>
                        <a:stretch/>
                      </pic:blipFill>
                      <pic:spPr bwMode="auto">
                        <a:xfrm>
                          <a:off x="0" y="0"/>
                          <a:ext cx="6048374" cy="8515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70.50pt;mso-wrap-distance-left:0.00pt;mso-wrap-distance-top:0.00pt;mso-wrap-distance-right:0.00pt;mso-wrap-distance-bottom:0.00pt;z-index:1;" stroked="false">
                <v:imagedata r:id="rId24"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6038850" cy="88582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919161" name=""/>
                        <pic:cNvPicPr>
                          <a:picLocks noChangeAspect="1"/>
                        </pic:cNvPicPr>
                        <pic:nvPr/>
                      </pic:nvPicPr>
                      <pic:blipFill rotWithShape="1">
                        <a:blip r:embed="rId25"/>
                        <a:stretch/>
                      </pic:blipFill>
                      <pic:spPr bwMode="auto">
                        <a:xfrm>
                          <a:off x="0" y="0"/>
                          <a:ext cx="6038849" cy="88582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5.50pt;height:697.50pt;mso-wrap-distance-left:0.00pt;mso-wrap-distance-top:0.00pt;mso-wrap-distance-right:0.00pt;mso-wrap-distance-bottom:0.00pt;z-index:1;" stroked="false">
                <v:imagedata r:id="rId2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5724525" cy="84296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63375" name=""/>
                        <pic:cNvPicPr>
                          <a:picLocks noChangeAspect="1"/>
                        </pic:cNvPicPr>
                        <pic:nvPr/>
                      </pic:nvPicPr>
                      <pic:blipFill rotWithShape="1">
                        <a:blip r:embed="rId26"/>
                        <a:stretch/>
                      </pic:blipFill>
                      <pic:spPr bwMode="auto">
                        <a:xfrm>
                          <a:off x="0" y="0"/>
                          <a:ext cx="5724524" cy="8429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50.75pt;height:663.75pt;mso-wrap-distance-left:0.00pt;mso-wrap-distance-top:0.00pt;mso-wrap-distance-right:0.00pt;mso-wrap-distance-bottom:0.00pt;z-index:1;" stroked="false">
                <v:imagedata r:id="rId26"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6048375" cy="84582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84561" name=""/>
                        <pic:cNvPicPr>
                          <a:picLocks noChangeAspect="1"/>
                        </pic:cNvPicPr>
                        <pic:nvPr/>
                      </pic:nvPicPr>
                      <pic:blipFill rotWithShape="1">
                        <a:blip r:embed="rId27"/>
                        <a:stretch/>
                      </pic:blipFill>
                      <pic:spPr bwMode="auto">
                        <a:xfrm>
                          <a:off x="0" y="0"/>
                          <a:ext cx="6048374" cy="8458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66.00pt;mso-wrap-distance-left:0.00pt;mso-wrap-distance-top:0.00pt;mso-wrap-distance-right:0.00pt;mso-wrap-distance-bottom:0.00pt;z-index:1;" stroked="false">
                <v:imagedata r:id="rId27"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b/>
          <w:bCs/>
        </w:rPr>
      </w:pPr>
      <w:r>
        <w:rPr>
          <w:rFonts w:ascii="Times New Roman" w:hAnsi="Times New Roman" w:eastAsia="Times New Roman" w:cs="Times New Roman"/>
          <w:b/>
          <w:bCs/>
          <w:color w:val="000000"/>
          <w:sz w:val="24"/>
        </w:rPr>
        <w:t xml:space="preserve">BIÊN BẢN KHẢO SÁT</w:t>
      </w:r>
      <w:r>
        <w:rPr>
          <w:b/>
          <w:bCs/>
        </w:rPr>
      </w:r>
      <w:r>
        <w:rPr>
          <w:b/>
          <w:bCs/>
        </w:rPr>
      </w:r>
    </w:p>
    <w:p>
      <w:pPr>
        <w:pBdr/>
        <w:spacing w:after="200" w:line="276" w:lineRule="auto"/>
        <w:ind/>
        <w:jc w:val="center"/>
        <w:rPr>
          <w:highlight w:val="none"/>
          <w:lang w:val="vi-VN"/>
        </w:rPr>
      </w:pPr>
      <w:r>
        <mc:AlternateContent>
          <mc:Choice Requires="wpg">
            <w:drawing>
              <wp:inline xmlns:wp="http://schemas.openxmlformats.org/drawingml/2006/wordprocessingDrawing" distT="0" distB="0" distL="0" distR="0">
                <wp:extent cx="6038850" cy="80581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104046" name=""/>
                        <pic:cNvPicPr>
                          <a:picLocks noChangeAspect="1"/>
                        </pic:cNvPicPr>
                        <pic:nvPr/>
                      </pic:nvPicPr>
                      <pic:blipFill rotWithShape="1">
                        <a:blip r:embed="rId28"/>
                        <a:stretch/>
                      </pic:blipFill>
                      <pic:spPr bwMode="auto">
                        <a:xfrm>
                          <a:off x="0" y="0"/>
                          <a:ext cx="6038849" cy="80581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5.50pt;height:634.50pt;mso-wrap-distance-left:0.00pt;mso-wrap-distance-top:0.00pt;mso-wrap-distance-right:0.00pt;mso-wrap-distance-bottom:0.00pt;z-index:1;" stroked="false">
                <v:imagedata r:id="rId28" o:title=""/>
                <o:lock v:ext="edit" rotation="t"/>
              </v:shape>
            </w:pict>
          </mc:Fallback>
        </mc:AlternateContent>
      </w:r>
      <w:r>
        <w:rPr>
          <w:highlight w:val="none"/>
          <w:lang w:val="vi-VN"/>
        </w:rPr>
      </w:r>
      <w:r>
        <w:rPr>
          <w:highlight w:val="none"/>
          <w:lang w:val="vi-VN"/>
        </w:rPr>
      </w:r>
    </w:p>
    <w:p>
      <w:pPr>
        <w:pBdr/>
        <w:spacing w:after="200" w:line="276" w:lineRule="auto"/>
        <w:ind/>
        <w:jc w:val="center"/>
        <w:rPr>
          <w:bCs/>
          <w:i/>
          <w:lang w:val="pt-BR"/>
        </w:rPr>
      </w:pPr>
      <w:r>
        <w:rPr>
          <w:b/>
          <w:highlight w:val="none"/>
        </w:rPr>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275/2026/1347/VFI-BC.T04.A</w:t>
      </w:r>
      <w:r>
        <w:rPr>
          <w:i/>
          <w:lang w:val="pt-BR"/>
        </w:rPr>
        <w:t xml:space="preserve"> </w:t>
      </w:r>
      <w:r>
        <w:rPr>
          <w:i/>
          <w:lang w:val="pt-BR"/>
        </w:rPr>
        <w:t xml:space="preserve">26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https://www.facebook.com/groups/820524866081355/posts/1278366200297217/</w:t>
            </w:r>
            <w:r>
              <w:rPr>
                <w:color w:val="000000" w:themeColor="text1"/>
                <w:sz w:val="22"/>
                <w:szCs w:val="22"/>
              </w:rPr>
              <w:br/>
              <w:t xml:space="preserve">0968.693638</w:t>
            </w:r>
            <w:r>
              <w:rPr>
                <w:sz w:val="22"/>
                <w:szCs w:val="22"/>
              </w:rPr>
              <w:t xml:space="preserve"> </w:t>
            </w:r>
            <w:r>
              <w:rPr>
                <w:sz w:val="22"/>
                <w:szCs w:val="22"/>
              </w:rPr>
              <w:br/>
              <w:t xml:space="preserve">(Anh Tuệ</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28.860.000.000</w:t>
            </w:r>
            <w:r>
              <w:rPr>
                <w:sz w:val="22"/>
                <w:szCs w:val="22"/>
              </w:rPr>
            </w:r>
            <w:r>
              <w:rPr>
                <w:sz w:val="22"/>
                <w:szCs w:val="22"/>
              </w:rPr>
            </w:r>
          </w:p>
        </w:tc>
      </w:tr>
      <w:tr>
        <w:trPr>
          <w:trHeight w:val="277"/>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23.088.000.000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(156m²)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Phù Đổng, Huyện Gia Lâm, Thành phố Hà Nội, khoảng cách ra đường chính Cách mặt đường QL1A khoảng 900m, độ rộng đường trước mặt tài sản 4.5m, mặt tiền 8.2m, 21.090898899008142, 105.93298211838827</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156,0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8,2</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176000" cy="2460085"/>
                      <wp:effectExtent l="0" t="0" r="0" b="0"/>
                      <wp:docPr id="17" name=""/>
                      <wp:cNvGraphicFramePr/>
                      <a:graphic xmlns:a="http://schemas.openxmlformats.org/drawingml/2006/main">
                        <a:graphicData uri="http://schemas.openxmlformats.org/drawingml/2006/picture">
                          <pic:pic xmlns:pic="http://schemas.openxmlformats.org/drawingml/2006/picture">
                            <pic:nvPicPr>
                              <pic:cNvPr id="345268961" name="" descr=""/>
                              <pic:cNvPicPr/>
                              <pic:nvPr/>
                            </pic:nvPicPr>
                            <pic:blipFill rotWithShape="1">
                              <a:blip r:embed="rId29"/>
                              <a:stretch/>
                            </pic:blipFill>
                            <pic:spPr bwMode="auto">
                              <a:xfrm flipH="0" flipV="0">
                                <a:off x="0" y="0"/>
                                <a:ext cx="4176000" cy="2460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28.82pt;height:193.71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jc w:val="left"/>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73690" cy="2909604"/>
                      <wp:effectExtent l="0" t="0" r="0" b="0"/>
                      <wp:docPr id="18" name=""/>
                      <wp:cNvGraphicFramePr/>
                      <a:graphic xmlns:a="http://schemas.openxmlformats.org/drawingml/2006/main">
                        <a:graphicData uri="http://schemas.openxmlformats.org/drawingml/2006/picture">
                          <pic:pic xmlns:pic="http://schemas.openxmlformats.org/drawingml/2006/picture">
                            <pic:nvPicPr>
                              <pic:cNvPr id="2037451662" name="" descr=""/>
                              <pic:cNvPicPr/>
                              <pic:nvPr/>
                            </pic:nvPicPr>
                            <pic:blipFill rotWithShape="1">
                              <a:blip r:embed="rId30"/>
                              <a:stretch/>
                            </pic:blipFill>
                            <pic:spPr bwMode="auto">
                              <a:xfrm flipH="0" flipV="0">
                                <a:off x="0" y="0"/>
                                <a:ext cx="2673689" cy="29096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0.53pt;height:229.10pt;mso-wrap-distance-left:0.00pt;mso-wrap-distance-top:0.00pt;mso-wrap-distance-right:0.00pt;mso-wrap-distance-bottom:0.00pt;z-index:1;" stroked="false">
                      <v:imagedata r:id="rId30"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673690" cy="2909604"/>
                      <wp:effectExtent l="0" t="0" r="0" b="0"/>
                      <wp:docPr id="19" name=""/>
                      <wp:cNvGraphicFramePr/>
                      <a:graphic xmlns:a="http://schemas.openxmlformats.org/drawingml/2006/main">
                        <a:graphicData uri="http://schemas.openxmlformats.org/drawingml/2006/picture">
                          <pic:pic xmlns:pic="http://schemas.openxmlformats.org/drawingml/2006/picture">
                            <pic:nvPicPr>
                              <pic:cNvPr id="152632644" name="" descr=""/>
                              <pic:cNvPicPr/>
                              <pic:nvPr/>
                            </pic:nvPicPr>
                            <pic:blipFill rotWithShape="1">
                              <a:blip r:embed="rId31"/>
                              <a:stretch/>
                            </pic:blipFill>
                            <pic:spPr bwMode="auto">
                              <a:xfrm flipH="0" flipV="0">
                                <a:off x="0" y="0"/>
                                <a:ext cx="2673689" cy="29096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0.53pt;height:229.1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73690" cy="2414460"/>
                      <wp:effectExtent l="0" t="0" r="0" b="0"/>
                      <wp:docPr id="20" name=""/>
                      <wp:cNvGraphicFramePr/>
                      <a:graphic xmlns:a="http://schemas.openxmlformats.org/drawingml/2006/main">
                        <a:graphicData uri="http://schemas.openxmlformats.org/drawingml/2006/picture">
                          <pic:pic xmlns:pic="http://schemas.openxmlformats.org/drawingml/2006/picture">
                            <pic:nvPicPr>
                              <pic:cNvPr id="1209987442" name="" descr=""/>
                              <pic:cNvPicPr/>
                              <pic:nvPr/>
                            </pic:nvPicPr>
                            <pic:blipFill rotWithShape="1">
                              <a:blip r:embed="rId32"/>
                              <a:stretch/>
                            </pic:blipFill>
                            <pic:spPr bwMode="auto">
                              <a:xfrm flipH="0" flipV="0">
                                <a:off x="0" y="0"/>
                                <a:ext cx="2673689" cy="24144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0.53pt;height:190.11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73690" cy="2383885"/>
                      <wp:effectExtent l="0" t="0" r="0" b="0"/>
                      <wp:docPr id="21" name=""/>
                      <wp:cNvGraphicFramePr/>
                      <a:graphic xmlns:a="http://schemas.openxmlformats.org/drawingml/2006/main">
                        <a:graphicData uri="http://schemas.openxmlformats.org/drawingml/2006/picture">
                          <pic:pic xmlns:pic="http://schemas.openxmlformats.org/drawingml/2006/picture">
                            <pic:nvPicPr>
                              <pic:cNvPr id="1374287336" name="" descr=""/>
                              <pic:cNvPicPr/>
                              <pic:nvPr/>
                            </pic:nvPicPr>
                            <pic:blipFill rotWithShape="1">
                              <a:blip r:embed="rId33"/>
                              <a:stretch/>
                            </pic:blipFill>
                            <pic:spPr bwMode="auto">
                              <a:xfrm flipH="0" flipV="0">
                                <a:off x="0" y="0"/>
                                <a:ext cx="2673689" cy="2383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0.53pt;height:187.71pt;mso-wrap-distance-left:0.00pt;mso-wrap-distance-top:0.00pt;mso-wrap-distance-right:0.00pt;mso-wrap-distance-bottom:0.00pt;z-index:1;" stroked="false">
                      <v:imagedata r:id="rId33"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 </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https://batdongsan.com.vn/ban-dat-duong-ninh-hiep-xa-yen-thuong-1-11/56m-lo-goc-2-mat-tien-trung-quan-mt5m-uong-o-to-tranh-ngay-lang-nghe-sam-uat-pr45549247?gidzl=DfFFAsaWTnCqYyihQZPs5p22p2ztPNWO9uJ59YyrVHvqYC5tApae7YUAbdLtFoz89jl68p5fXOqFQoLw7G</w:t>
            </w:r>
            <w:r>
              <w:rPr>
                <w:color w:val="000000" w:themeColor="text1"/>
                <w:sz w:val="22"/>
                <w:szCs w:val="22"/>
              </w:rPr>
              <w:br/>
              <w:t xml:space="preserve">0965.901886</w:t>
            </w:r>
            <w:r>
              <w:rPr>
                <w:sz w:val="22"/>
                <w:szCs w:val="22"/>
              </w:rPr>
              <w:t xml:space="preserve"> </w:t>
            </w:r>
            <w:r>
              <w:rPr>
                <w:sz w:val="22"/>
                <w:szCs w:val="22"/>
              </w:rPr>
              <w:br/>
              <w:t xml:space="preserve">(A.Viên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8.406.400.000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6.725.120.000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(56.8m²)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Yên Thường, Huyện Gia Lâm, Thành phố Hà Nội, khoảng cách ra đường chính Cách trục chính Ninh Hiệp Khoảng 500m, độ rộng đường trước mặt tài sản 4m, mặt tiền 5m, 21.0902389, 105.9332006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02615" cy="2974435"/>
                      <wp:effectExtent l="0" t="0" r="0" b="0"/>
                      <wp:docPr id="22" name=""/>
                      <wp:cNvGraphicFramePr/>
                      <a:graphic xmlns:a="http://schemas.openxmlformats.org/drawingml/2006/main">
                        <a:graphicData uri="http://schemas.openxmlformats.org/drawingml/2006/picture">
                          <pic:pic xmlns:pic="http://schemas.openxmlformats.org/drawingml/2006/picture">
                            <pic:nvPicPr>
                              <pic:cNvPr id="1844762423" name="" descr=""/>
                              <pic:cNvPicPr/>
                              <pic:nvPr/>
                            </pic:nvPicPr>
                            <pic:blipFill rotWithShape="1">
                              <a:blip r:embed="rId34"/>
                              <a:stretch/>
                            </pic:blipFill>
                            <pic:spPr bwMode="auto">
                              <a:xfrm flipH="0" flipV="0">
                                <a:off x="0" y="0"/>
                                <a:ext cx="5502614" cy="2974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33.28pt;height:234.21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64165" cy="3086816"/>
                      <wp:effectExtent l="0" t="0" r="0" b="0"/>
                      <wp:docPr id="23" name=""/>
                      <wp:cNvGraphicFramePr/>
                      <a:graphic xmlns:a="http://schemas.openxmlformats.org/drawingml/2006/main">
                        <a:graphicData uri="http://schemas.openxmlformats.org/drawingml/2006/picture">
                          <pic:pic xmlns:pic="http://schemas.openxmlformats.org/drawingml/2006/picture">
                            <pic:nvPicPr>
                              <pic:cNvPr id="91300105" name="" descr=""/>
                              <pic:cNvPicPr/>
                              <pic:nvPr/>
                            </pic:nvPicPr>
                            <pic:blipFill rotWithShape="1">
                              <a:blip r:embed="rId35"/>
                              <a:stretch/>
                            </pic:blipFill>
                            <pic:spPr bwMode="auto">
                              <a:xfrm flipH="0" flipV="0">
                                <a:off x="0" y="0"/>
                                <a:ext cx="2664164" cy="30868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9.78pt;height:243.06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78465" cy="3086816"/>
                      <wp:effectExtent l="0" t="0" r="0" b="0"/>
                      <wp:docPr id="24" name=""/>
                      <wp:cNvGraphicFramePr/>
                      <a:graphic xmlns:a="http://schemas.openxmlformats.org/drawingml/2006/main">
                        <a:graphicData uri="http://schemas.openxmlformats.org/drawingml/2006/picture">
                          <pic:pic xmlns:pic="http://schemas.openxmlformats.org/drawingml/2006/picture">
                            <pic:nvPicPr>
                              <pic:cNvPr id="1437864090" name="" descr=""/>
                              <pic:cNvPicPr/>
                              <pic:nvPr/>
                            </pic:nvPicPr>
                            <pic:blipFill rotWithShape="1">
                              <a:blip r:embed="rId36"/>
                              <a:stretch/>
                            </pic:blipFill>
                            <pic:spPr bwMode="auto">
                              <a:xfrm flipH="0" flipV="0">
                                <a:off x="0" y="0"/>
                                <a:ext cx="2778464" cy="30868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8.78pt;height:243.06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Nguyễn Khánh Hà </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https://batdongsan.com.vn/ban-dat-xa-ninh-hiep-1/61m2-phu-ong-moi-mt4-4m-ngo-thong-so-vuong-hop-kho-xuong-xay-o-dan-cu-sam-uat-pr46185238</w:t>
            </w:r>
            <w:r>
              <w:rPr>
                <w:color w:val="000000" w:themeColor="text1"/>
                <w:sz w:val="22"/>
                <w:szCs w:val="22"/>
              </w:rPr>
              <w:br/>
            </w:r>
            <w:r>
              <w:rPr>
                <w:sz w:val="22"/>
                <w:szCs w:val="22"/>
              </w:rPr>
              <w:t xml:space="preserve">SĐT: </w:t>
            </w:r>
            <w:r>
              <w:rPr>
                <w:color w:val="000000" w:themeColor="text1"/>
                <w:sz w:val="22"/>
                <w:szCs w:val="22"/>
              </w:rPr>
              <w:t xml:space="preserve">0965.901886</w:t>
            </w:r>
            <w:r>
              <w:rPr>
                <w:sz w:val="22"/>
                <w:szCs w:val="22"/>
              </w:rPr>
              <w:t xml:space="preserve"> </w:t>
            </w:r>
            <w:r>
              <w:rPr>
                <w:sz w:val="22"/>
                <w:szCs w:val="22"/>
              </w:rPr>
              <w:br/>
              <w:t xml:space="preserve">(Phong Thủy Land</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5.200.000.000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Phù Đổng, Thành phố Hà Nội, độ rộng đường trước mặt tài sản 2,5m,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color w:val="000000"/>
                <w:sz w:val="22"/>
                <w:szCs w:val="22"/>
                <w:highlight w:val="none"/>
              </w:rPr>
            </w:r>
            <w:r>
              <w:rPr>
                <w:color w:val="000000"/>
                <w:sz w:val="22"/>
                <w:szCs w:val="22"/>
                <w:highlight w:val="none"/>
              </w:rPr>
            </w:r>
          </w:p>
          <w:p>
            <w:pPr>
              <w:pBdr/>
              <w:spacing w:line="276" w:lineRule="auto"/>
              <w:ind/>
              <w:rPr>
                <w:b/>
                <w:bCs/>
                <w:color w:val="000000"/>
                <w:sz w:val="22"/>
                <w:szCs w:val="22"/>
              </w:rPr>
            </w:pPr>
            <w:r>
              <w:rPr>
                <w:color w:val="000000"/>
                <w:sz w:val="22"/>
                <w:szCs w:val="22"/>
                <w:highlight w:val="none"/>
              </w:rPr>
            </w:r>
            <w:r>
              <w:rPr>
                <w:color w:val="000000"/>
                <w:sz w:val="22"/>
                <w:szCs w:val="22"/>
              </w:rPr>
              <mc:AlternateContent>
                <mc:Choice Requires="wpg">
                  <w:drawing>
                    <wp:inline xmlns:wp="http://schemas.openxmlformats.org/drawingml/2006/wordprocessingDrawing" distT="0" distB="0" distL="0" distR="0">
                      <wp:extent cx="5388300" cy="2641060"/>
                      <wp:effectExtent l="0" t="0" r="0" b="0"/>
                      <wp:docPr id="25" name=""/>
                      <wp:cNvGraphicFramePr/>
                      <a:graphic xmlns:a="http://schemas.openxmlformats.org/drawingml/2006/main">
                        <a:graphicData uri="http://schemas.openxmlformats.org/drawingml/2006/picture">
                          <pic:pic xmlns:pic="http://schemas.openxmlformats.org/drawingml/2006/picture">
                            <pic:nvPicPr>
                              <pic:cNvPr id="731430341" name="" descr=""/>
                              <pic:cNvPicPr/>
                              <pic:nvPr/>
                            </pic:nvPicPr>
                            <pic:blipFill rotWithShape="1">
                              <a:blip r:embed="rId37"/>
                              <a:stretch/>
                            </pic:blipFill>
                            <pic:spPr bwMode="auto">
                              <a:xfrm rot="0" flipH="0" flipV="0">
                                <a:off x="0" y="0"/>
                                <a:ext cx="5388300" cy="26410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24.28pt;height:207.96pt;mso-wrap-distance-left:0.00pt;mso-wrap-distance-top:0.00pt;mso-wrap-distance-right:0.00pt;mso-wrap-distance-bottom:0.00pt;rotation:0;z-index:1;" stroked="false">
                      <v:imagedata r:id="rId37" o:title=""/>
                      <o:lock v:ext="edit" rotation="t"/>
                    </v:shape>
                  </w:pict>
                </mc:Fallback>
              </mc:AlternateConten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292565" cy="2734215"/>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1292564" cy="27342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01.78pt;height:215.29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276355" cy="2734215"/>
                      <wp:effectExtent l="0" t="0" r="0" b="0"/>
                      <wp:docPr id="27" name=""/>
                      <wp:cNvGraphicFramePr/>
                      <a:graphic xmlns:a="http://schemas.openxmlformats.org/drawingml/2006/main">
                        <a:graphicData uri="http://schemas.openxmlformats.org/drawingml/2006/picture">
                          <pic:pic xmlns:pic="http://schemas.openxmlformats.org/drawingml/2006/picture">
                            <pic:nvPicPr>
                              <pic:cNvPr id="1235382061" name="" descr=""/>
                              <pic:cNvPicPr/>
                              <pic:nvPr/>
                            </pic:nvPicPr>
                            <pic:blipFill rotWithShape="1">
                              <a:blip r:embed="rId39"/>
                              <a:stretch/>
                            </pic:blipFill>
                            <pic:spPr bwMode="auto">
                              <a:xfrm flipH="0" flipV="0">
                                <a:off x="0" y="0"/>
                                <a:ext cx="1276354" cy="27342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00.50pt;height:215.29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40190" cy="2734215"/>
                      <wp:effectExtent l="0" t="0" r="0" b="0"/>
                      <wp:docPr id="28" name=""/>
                      <wp:cNvGraphicFramePr/>
                      <a:graphic xmlns:a="http://schemas.openxmlformats.org/drawingml/2006/main">
                        <a:graphicData uri="http://schemas.openxmlformats.org/drawingml/2006/picture">
                          <pic:pic xmlns:pic="http://schemas.openxmlformats.org/drawingml/2006/picture">
                            <pic:nvPicPr>
                              <pic:cNvPr id="1420063318" name="" descr=""/>
                              <pic:cNvPicPr/>
                              <pic:nvPr/>
                            </pic:nvPicPr>
                            <pic:blipFill rotWithShape="1">
                              <a:blip r:embed="rId40"/>
                              <a:stretch/>
                            </pic:blipFill>
                            <pic:spPr bwMode="auto">
                              <a:xfrm rot="0" flipH="0" flipV="0">
                                <a:off x="0" y="0"/>
                                <a:ext cx="1340190" cy="27342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05.53pt;height:215.29pt;mso-wrap-distance-left:0.00pt;mso-wrap-distance-top:0.00pt;mso-wrap-distance-right:0.00pt;mso-wrap-distance-bottom:0.00pt;rotation:0;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80793" cy="2734215"/>
                      <wp:effectExtent l="0" t="0" r="0" b="0"/>
                      <wp:docPr id="29" name=""/>
                      <wp:cNvGraphicFramePr/>
                      <a:graphic xmlns:a="http://schemas.openxmlformats.org/drawingml/2006/main">
                        <a:graphicData uri="http://schemas.openxmlformats.org/drawingml/2006/picture">
                          <pic:pic xmlns:pic="http://schemas.openxmlformats.org/drawingml/2006/picture">
                            <pic:nvPicPr>
                              <pic:cNvPr id="880615529" name="" descr=""/>
                              <pic:cNvPicPr/>
                              <pic:nvPr/>
                            </pic:nvPicPr>
                            <pic:blipFill rotWithShape="1">
                              <a:blip r:embed="rId41"/>
                              <a:stretch/>
                            </pic:blipFill>
                            <pic:spPr bwMode="auto">
                              <a:xfrm rot="0" flipH="0" flipV="0">
                                <a:off x="0" y="0"/>
                                <a:ext cx="1380792" cy="27342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08.72pt;height:215.29pt;mso-wrap-distance-left:0.00pt;mso-wrap-distance-top:0.00pt;mso-wrap-distance-right:0.00pt;mso-wrap-distance-bottom:0.00pt;rotation:0;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3537" cy="2742249"/>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2743536" cy="27422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16.03pt;height:215.93pt;mso-wrap-distance-left:0.00pt;mso-wrap-distance-top:0.00pt;mso-wrap-distance-right:0.00pt;mso-wrap-distance-bottom:0.00pt;z-index:1;" stroked="false">
                      <v:imagedata r:id="rId42"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720983" cy="2742249"/>
                      <wp:effectExtent l="0" t="0" r="0" b="0"/>
                      <wp:docPr id="31" name=""/>
                      <wp:cNvGraphicFramePr/>
                      <a:graphic xmlns:a="http://schemas.openxmlformats.org/drawingml/2006/main">
                        <a:graphicData uri="http://schemas.openxmlformats.org/drawingml/2006/picture">
                          <pic:pic xmlns:pic="http://schemas.openxmlformats.org/drawingml/2006/picture">
                            <pic:nvPicPr>
                              <pic:cNvPr id="1394879048" name="" descr=""/>
                              <pic:cNvPicPr/>
                              <pic:nvPr/>
                            </pic:nvPicPr>
                            <pic:blipFill rotWithShape="1">
                              <a:blip r:embed="rId43"/>
                              <a:stretch/>
                            </pic:blipFill>
                            <pic:spPr bwMode="auto">
                              <a:xfrm flipH="0" flipV="0">
                                <a:off x="0" y="0"/>
                                <a:ext cx="2720982" cy="27422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14.25pt;height:215.93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Khánh Hà </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58D999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38126B8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A2A0D6A"/>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gif"/><Relationship Id="rId18" Type="http://schemas.openxmlformats.org/officeDocument/2006/relationships/image" Target="media/image4.gif"/><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png"/><Relationship Id="rId43" Type="http://schemas.openxmlformats.org/officeDocument/2006/relationships/image" Target="media/image2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287</cp:revision>
  <dcterms:created xsi:type="dcterms:W3CDTF">2025-09-15T09:58:00Z</dcterms:created>
  <dcterms:modified xsi:type="dcterms:W3CDTF">2026-09-04T03:12:04Z</dcterms:modified>
</cp:coreProperties>
</file>