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20758"/>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20757"/>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275/2026/1323/VFI-CT.69.A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CHƯƠNG DƯƠNG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công trình xây dựng tại thửa đất số 443, tờ bản đồ số 47, có địa chỉ: 99/8 Đặng Văn Bi, phường Trường Thọ, thành phố Thủ Đức, Thành phố Hồ Chí</w:t>
                            </w:r>
                            <w:r>
                              <w:rPr>
                                <w:color w:val="000000"/>
                              </w:rPr>
                              <w:t xml:space="preserve"> Minh (Nay là phường Thủ Đức, Thành phố Hồ Chí Minh) theo Giấy chứng nhận quyền sử dụng đất quyền sở hữu nhà ở và tài sản khác gắn liền với đất số DR 083424,  số vào sổ cấp GCN: CN3991 do Chi nhánh văn phòng đăng ký đất đai TP. Thủ Đức cấp ngày 17/12/2024.</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7.23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275/2026/1323/VFI-CT.69.A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CHƯƠNG DƯƠNG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công trình xây dựng tại thửa đất số 443, tờ bản đồ số 47, có địa chỉ: 99/8 Đặng Văn Bi, phường Trường Thọ, thành phố Thủ Đức, Thành phố Hồ Chí</w:t>
                      </w:r>
                      <w:r>
                        <w:rPr>
                          <w:color w:val="000000"/>
                        </w:rPr>
                        <w:t xml:space="preserve"> Minh (Nay là phường Thủ Đức, Thành phố Hồ Chí Minh) theo Giấy chứng nhận quyền sử dụng đất quyền sở hữu nhà ở và tài sản khác gắn liền với đất số DR 083424,  số vào sổ cấp GCN: CN3991 do Chi nhánh văn phòng đăng ký đất đai TP. Thủ Đức cấp ngày 17/12/2024.</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jc w:val="center"/>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0" w:type="dxa"/>
        <w:tblBorders/>
        <w:tblLayout w:type="fixed"/>
        <w:tblLook w:val="04A0" w:firstRow="1" w:lastRow="0" w:firstColumn="1" w:lastColumn="0" w:noHBand="0" w:noVBand="1"/>
      </w:tblPr>
      <w:tblGrid>
        <w:gridCol w:w="29"/>
        <w:gridCol w:w="3685"/>
        <w:gridCol w:w="6236"/>
      </w:tblGrid>
      <w:tr>
        <w:trPr>
          <w:trHeight w:val="1152"/>
        </w:trPr>
        <w:tc>
          <w:tcPr>
            <w:gridSpan w:val="2"/>
            <w:tcBorders/>
            <w:tcW w:w="3714"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23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685"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275/2026/1323/VFI-CT.69.A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236"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22 tháng 8 năm 2026</w:t>
            </w:r>
            <w:r>
              <w:rPr>
                <w:color w:val="000000" w:themeColor="text1"/>
                <w:sz w:val="24"/>
                <w:szCs w:val="24"/>
                <w:lang w:val="vi-VN"/>
              </w:rPr>
            </w:r>
            <w:r>
              <w:rPr>
                <w:color w:val="000000" w:themeColor="text1"/>
                <w:sz w:val="24"/>
                <w:szCs w:val="24"/>
                <w:lang w:val="vi-VN"/>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CHƯƠNG DƯƠNG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275/2026/1323/VFI-HĐTĐ.69.A</w:t>
      </w:r>
      <w:r>
        <w:rPr>
          <w:spacing w:val="-4"/>
          <w:lang w:val="vi-VN"/>
        </w:rPr>
        <w:t xml:space="preserve"> ký ngày </w:t>
      </w:r>
      <w:r>
        <w:rPr>
          <w:color w:val="000000" w:themeColor="text1"/>
          <w:spacing w:val="-4"/>
        </w:rPr>
        <w:t xml:space="preserve">20 tháng 8 năm 2026</w:t>
      </w:r>
      <w:r>
        <w:rPr>
          <w:spacing w:val="-4"/>
          <w:lang w:val="vi-VN"/>
        </w:rPr>
        <w:t xml:space="preserve"> </w:t>
      </w:r>
      <w:r>
        <w:rPr>
          <w:spacing w:val="-4"/>
          <w:lang w:val="vi-VN"/>
        </w:rPr>
        <w:t xml:space="preserve">giữa </w:t>
      </w:r>
      <w:r>
        <w:rPr>
          <w:color w:val="000000" w:themeColor="text1"/>
          <w:spacing w:val="-4"/>
        </w:rPr>
        <w:t xml:space="preserve">CÔNG TY CỔ PHẦN CHƯƠNG DƯƠNG</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275/2026/1323/VFI-BC.69.A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22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CÔNG TY CỔ PHẦN CHƯƠNG DƯƠNG</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0303146167</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328 Võ Văn Kiệt, phường Cầu Ông Lãnh, Thành phố Hồ Chí Minh</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w:t>
            </w:r>
            <w:r>
              <w:rPr>
                <w:bCs/>
                <w:color w:val="000000" w:themeColor="text1"/>
                <w:lang w:val="pt-BR"/>
              </w:rPr>
              <w:t xml:space="preserve">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Ông </w:t>
            </w:r>
            <w:r>
              <w:rPr>
                <w:color w:val="000000" w:themeColor="text1"/>
                <w:lang w:val="vi-VN"/>
              </w:rPr>
              <w:t xml:space="preserve">Văn </w:t>
            </w:r>
            <w:r>
              <w:rPr>
                <w:color w:val="000000" w:themeColor="text1"/>
                <w:lang w:val="vi-VN"/>
              </w:rPr>
              <w:t xml:space="preserve">Minh </w:t>
            </w:r>
            <w:r>
              <w:rPr>
                <w:color w:val="000000" w:themeColor="text1"/>
                <w:lang w:val="vi-VN"/>
              </w:rPr>
              <w:t xml:space="preserve">Hoàng - </w:t>
            </w:r>
            <w:r>
              <w:rPr>
                <w:color w:val="000000" w:themeColor="text1"/>
                <w:lang w:val="vi-VN"/>
              </w:rPr>
              <w:t xml:space="preserve">Chức </w:t>
            </w:r>
            <w:r>
              <w:rPr>
                <w:color w:val="000000" w:themeColor="text1"/>
                <w:lang w:val="vi-VN"/>
              </w:rPr>
              <w:t xml:space="preserve">danh: </w:t>
            </w:r>
            <w:r>
              <w:rPr>
                <w:color w:val="000000" w:themeColor="text1"/>
                <w:lang w:val="vi-VN"/>
              </w:rPr>
              <w:t xml:space="preserve">Tổng </w:t>
            </w:r>
            <w:r>
              <w:rPr>
                <w:color w:val="000000" w:themeColor="text1"/>
                <w:lang w:val="vi-VN"/>
              </w:rPr>
              <w:t xml:space="preserve">giám </w:t>
            </w:r>
            <w:r>
              <w:rPr>
                <w:color w:val="000000" w:themeColor="text1"/>
                <w:lang w:val="vi-VN"/>
              </w:rPr>
              <w:t xml:space="preserve">đốc</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và công trình xây dựng tại thửa đất số 443, tờ bản đồ số 47, có địa chỉ: 99/8 Đặng Văn Bi, phường Trường Thọ, thành phố Thủ Đức, Thành phố Hồ Chí</w:t>
      </w:r>
      <w:r>
        <w:rPr>
          <w:color w:val="000000" w:themeColor="text1"/>
        </w:rPr>
        <w:t xml:space="preserve"> Minh (Nay là phường Thủ Đức, Thành phố Hồ Chí Minh) theo Giấy chứng nhận quyền sử dụng đất quyền sở hữu nhà ở và tài sản khác gắn liền với đất số DR 083424,  số vào sổ cấp GCN: CN3991 do Chi nhánh văn phòng đăng ký đất đai TP. Thủ Đức cấp ngày 17/12/2024.</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37"/>
        <w:gridCol w:w="2037"/>
        <w:gridCol w:w="1360"/>
        <w:gridCol w:w="1738"/>
        <w:gridCol w:w="1443"/>
        <w:gridCol w:w="2410"/>
      </w:tblGrid>
      <w:tr>
        <w:trPr>
          <w:trHeight w:val="68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Diện tích </w:t>
              <w:br/>
              <w:t xml:space="preserve"> (m²)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Đơn giá </w:t>
              <w:br/>
              <w:t xml:space="preserve"> (đồng/m²)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4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CLCL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Thành tiền </w:t>
              <w:br/>
              <w:t xml:space="preserve"> (đồng)</w:t>
            </w:r>
            <w:r/>
          </w:p>
        </w:tc>
      </w:tr>
      <w:tr>
        <w:trPr>
          <w:trHeight w:val="2719"/>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65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Quyền sử dụng đất và công trình xây dựng tại thửa đất số 443, tờ bản đồ số 47, có địa chỉ: 99/8 Đặng Văn Bi, phường Trường Thọ, thành phố Thủ Đức, Thành phố Hồ Chí Minh (Nay là phường Thủ Đức, Thành phố Hồ Chí Minh) theo Giấy chứng nhận quyền sử dụng đất q</w:t>
            </w:r>
            <w:r>
              <w:rPr>
                <w:rFonts w:ascii="Times New Roman" w:hAnsi="Times New Roman" w:eastAsia="Times New Roman" w:cs="Times New Roman"/>
                <w:b/>
                <w:color w:val="000000"/>
                <w:sz w:val="24"/>
              </w:rPr>
              <w:t xml:space="preserve">uyền sở hữu nhà ở và tài sản khác gắn liền với đất số DR 083424,  số vào sổ cấp GCN: CN3991 do Chi nhánh văn phòng đăng ký đất đai TP. Thủ Đức cấp ngày 17/12/2024; chủ sử dụng đất là Ông Nguyễn Võ Phi Long.</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 </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Đất ở tại đô thị </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477,9</w:t>
            </w:r>
            <w:r/>
          </w:p>
        </w:tc>
        <w:tc>
          <w:tcPr>
            <w:tcBorders>
              <w:bottom w:val="single" w:color="000000" w:sz="8" w:space="0"/>
              <w:right w:val="single" w:color="000000" w:sz="8" w:space="0"/>
            </w:tcBorders>
            <w:tcMar>
              <w:left w:w="108" w:type="dxa"/>
              <w:top w:w="0" w:type="dxa"/>
              <w:right w:w="108" w:type="dxa"/>
              <w:bottom w:w="0" w:type="dxa"/>
            </w:tcMar>
            <w:tcW w:w="17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85.000.000</w:t>
            </w:r>
            <w:r/>
          </w:p>
        </w:tc>
        <w:tc>
          <w:tcPr>
            <w:tcBorders>
              <w:bottom w:val="single" w:color="000000" w:sz="8" w:space="0"/>
              <w:right w:val="single" w:color="000000" w:sz="8" w:space="0"/>
            </w:tcBorders>
            <w:tcMar>
              <w:left w:w="108" w:type="dxa"/>
              <w:top w:w="0" w:type="dxa"/>
              <w:right w:w="108" w:type="dxa"/>
              <w:bottom w:w="0" w:type="dxa"/>
            </w:tcMar>
            <w:tcW w:w="14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40.621.500.000</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ở</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395,3</w:t>
            </w:r>
            <w:r/>
          </w:p>
        </w:tc>
        <w:tc>
          <w:tcPr>
            <w:tcBorders>
              <w:bottom w:val="single" w:color="000000" w:sz="8" w:space="0"/>
              <w:right w:val="single" w:color="000000" w:sz="8" w:space="0"/>
            </w:tcBorders>
            <w:tcMar>
              <w:left w:w="108" w:type="dxa"/>
              <w:top w:w="0" w:type="dxa"/>
              <w:right w:w="108" w:type="dxa"/>
              <w:bottom w:w="0" w:type="dxa"/>
            </w:tcMar>
            <w:tcW w:w="17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6.103.684</w:t>
            </w:r>
            <w:r/>
          </w:p>
        </w:tc>
        <w:tc>
          <w:tcPr>
            <w:tcBorders>
              <w:bottom w:val="single" w:color="000000" w:sz="8" w:space="0"/>
              <w:right w:val="single" w:color="000000" w:sz="8" w:space="0"/>
            </w:tcBorders>
            <w:tcMar>
              <w:left w:w="108" w:type="dxa"/>
              <w:top w:w="0" w:type="dxa"/>
              <w:right w:w="108" w:type="dxa"/>
              <w:bottom w:w="0" w:type="dxa"/>
            </w:tcMar>
            <w:tcW w:w="14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70%</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1.688.950.500</w:t>
            </w:r>
            <w:r/>
          </w:p>
        </w:tc>
      </w:tr>
      <w:tr>
        <w:trPr>
          <w:trHeight w:val="46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65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42.310.450.500</w:t>
            </w:r>
            <w:r/>
          </w:p>
        </w:tc>
      </w:tr>
      <w:tr>
        <w:trPr>
          <w:trHeight w:val="46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657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241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42.310.000.000</w:t>
            </w:r>
            <w:r/>
          </w:p>
        </w:tc>
      </w:tr>
      <w:tr>
        <w:trPr>
          <w:trHeight w:val="420"/>
        </w:trPr>
        <w:tc>
          <w:tcPr>
            <w:gridSpan w:val="6"/>
            <w:tcBorders>
              <w:left w:val="single" w:color="000000" w:sz="8" w:space="0"/>
              <w:bottom w:val="single" w:color="000000" w:sz="8" w:space="0"/>
              <w:right w:val="single" w:color="000000" w:sz="8" w:space="0"/>
            </w:tcBorders>
            <w:tcMar>
              <w:left w:w="108" w:type="dxa"/>
              <w:top w:w="0" w:type="dxa"/>
              <w:right w:w="108" w:type="dxa"/>
              <w:bottom w:w="0" w:type="dxa"/>
            </w:tcMar>
            <w:tcW w:w="952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4"/>
              </w:rPr>
              <w:t xml:space="preserve">Bằng chữ: Bốn mươi hai tỷ ba trăm mười triệu đồng./.</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50" w:type="dxa"/>
        <w:tblBorders/>
        <w:tblLayout w:type="fixed"/>
        <w:tblLook w:val="04A0" w:firstRow="1" w:lastRow="0" w:firstColumn="1" w:lastColumn="0" w:noHBand="0" w:noVBand="1"/>
      </w:tblPr>
      <w:tblGrid>
        <w:gridCol w:w="170"/>
        <w:gridCol w:w="3543"/>
        <w:gridCol w:w="6236"/>
      </w:tblGrid>
      <w:tr>
        <w:trPr>
          <w:trHeight w:val="1843"/>
        </w:trPr>
        <w:tc>
          <w:tcPr>
            <w:gridSpan w:val="2"/>
            <w:tcBorders/>
            <w:tcW w:w="3714"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23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shd w:val="clear" w:color="auto" w:fill="auto"/>
            <w:tcBorders/>
            <w:tcMar>
              <w:left w:w="108" w:type="dxa"/>
              <w:top w:w="0" w:type="dxa"/>
              <w:right w:w="108" w:type="dxa"/>
              <w:bottom w:w="0" w:type="dxa"/>
            </w:tcMar>
            <w:tcW w:w="3543"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275/2026/1323/VFI-</w:t>
            </w:r>
            <w:r>
              <w:rPr>
                <w:rStyle w:val="1033"/>
                <w:rFonts w:ascii="Times New Roman" w:hAnsi="Times New Roman"/>
                <w:color w:val="000000" w:themeColor="text1"/>
                <w:lang w:val="pt-BR"/>
              </w:rPr>
              <w:t xml:space="preserve">BC</w:t>
            </w:r>
            <w:r>
              <w:rPr>
                <w:rStyle w:val="1033"/>
                <w:rFonts w:ascii="Times New Roman" w:hAnsi="Times New Roman"/>
                <w:color w:val="000000" w:themeColor="text1"/>
                <w:lang w:val="pt-BR"/>
              </w:rPr>
              <w:t xml:space="preserve">.69.A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236" w:type="dxa"/>
            <w:textDirection w:val="lrTb"/>
            <w:noWrap w:val="false"/>
          </w:tcPr>
          <w:p>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22 tháng 8 năm 2026</w:t>
            </w:r>
            <w:r>
              <w:rPr>
                <w:color w:val="000000" w:themeColor="text1"/>
                <w:sz w:val="24"/>
                <w:szCs w:val="24"/>
                <w:lang w:val="vi-VN"/>
              </w:rPr>
            </w:r>
            <w:r>
              <w:rPr>
                <w:color w:val="000000" w:themeColor="text1"/>
                <w:sz w:val="24"/>
                <w:szCs w:val="24"/>
                <w:lang w:val="vi-VN"/>
              </w:rPr>
            </w:r>
          </w:p>
        </w:tc>
      </w:tr>
      <w:tr>
        <w:trPr>
          <w:gridBefore w:val="1"/>
          <w:trHeight w:val="84"/>
        </w:trPr>
        <w:tc>
          <w:tcPr>
            <w:shd w:val="clear" w:color="auto" w:fill="auto"/>
            <w:tcBorders/>
            <w:tcMar>
              <w:left w:w="108" w:type="dxa"/>
              <w:top w:w="0" w:type="dxa"/>
              <w:right w:w="108" w:type="dxa"/>
              <w:bottom w:w="0" w:type="dxa"/>
            </w:tcMar>
            <w:tcW w:w="3543" w:type="dxa"/>
            <w:textDirection w:val="lrTb"/>
            <w:noWrap w:val="false"/>
          </w:tcPr>
          <w:p>
            <w:pPr>
              <w:pStyle w:val="1034"/>
              <w:pBdr/>
              <w:spacing w:after="60"/>
              <w:ind/>
              <w:rPr>
                <w:rStyle w:val="1033"/>
                <w:rFonts w:ascii="Times New Roman" w:hAnsi="Times New Roman"/>
                <w:color w:val="000000" w:themeColor="text1"/>
                <w:lang w:val="pt-BR"/>
              </w:rPr>
            </w:pPr>
            <w:r>
              <w:rPr>
                <w:rStyle w:val="1033"/>
                <w:rFonts w:ascii="Times New Roman" w:hAnsi="Times New Roman"/>
                <w:color w:val="000000" w:themeColor="text1"/>
                <w:lang w:val="pt-BR"/>
              </w:rPr>
            </w:r>
            <w:r>
              <w:rPr>
                <w:rStyle w:val="1033"/>
                <w:rFonts w:ascii="Times New Roman" w:hAnsi="Times New Roman"/>
                <w:color w:val="000000" w:themeColor="text1"/>
                <w:lang w:val="pt-BR"/>
              </w:rPr>
            </w:r>
            <w:r>
              <w:rPr>
                <w:rStyle w:val="1033"/>
                <w:rFonts w:ascii="Times New Roman" w:hAnsi="Times New Roman"/>
                <w:color w:val="000000" w:themeColor="text1"/>
                <w:lang w:val="pt-BR"/>
              </w:rPr>
            </w:r>
          </w:p>
        </w:tc>
        <w:tc>
          <w:tcPr>
            <w:shd w:val="clear" w:color="auto" w:fill="auto"/>
            <w:tcBorders/>
            <w:tcMar>
              <w:left w:w="108" w:type="dxa"/>
              <w:top w:w="0" w:type="dxa"/>
              <w:right w:w="108" w:type="dxa"/>
              <w:bottom w:w="0" w:type="dxa"/>
            </w:tcMar>
            <w:tcW w:w="6236" w:type="dxa"/>
            <w:textDirection w:val="lrTb"/>
            <w:noWrap w:val="false"/>
          </w:tcPr>
          <w:p>
            <w:pPr>
              <w:pStyle w:val="1034"/>
              <w:pBdr/>
              <w:spacing w:after="60"/>
              <w:ind w:right="-56"/>
              <w:rPr>
                <w:rStyle w:val="1033"/>
                <w:rFonts w:ascii="Times New Roman" w:hAnsi="Times New Roman"/>
                <w:i/>
                <w:color w:val="auto"/>
              </w:rPr>
            </w:pPr>
            <w:r>
              <w:rPr>
                <w:rFonts w:ascii="Times New Roman" w:hAnsi="Times New Roman"/>
                <w:i/>
                <w:color w:val="auto"/>
              </w:rPr>
            </w:r>
            <w:r>
              <w:rPr>
                <w:rStyle w:val="1033"/>
                <w:rFonts w:ascii="Times New Roman" w:hAnsi="Times New Roman"/>
                <w:i/>
                <w:color w:val="auto"/>
              </w:rPr>
            </w:r>
            <w:r>
              <w:rPr>
                <w:rStyle w:val="1033"/>
                <w:rFonts w:ascii="Times New Roman" w:hAnsi="Times New Roman"/>
                <w:i/>
                <w:color w:val="auto"/>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275/2026/1323/VFI-CT.69.A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22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CỔ PHẦN CHƯƠNG DƯƠNG</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0303146167</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328 Võ Văn Kiệt, phường Cầu Ông Lãnh, Thành phố Hồ Chí Minh</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 </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ff0000"/>
                <w:sz w:val="24"/>
              </w:rPr>
              <w:t xml:space="preserve">Ông </w:t>
            </w:r>
            <w:r>
              <w:rPr>
                <w:rFonts w:ascii="Times New Roman" w:hAnsi="Times New Roman" w:eastAsia="Times New Roman" w:cs="Times New Roman"/>
                <w:color w:val="ff0000"/>
                <w:sz w:val="24"/>
              </w:rPr>
              <w:t xml:space="preserve">Văn </w:t>
            </w:r>
            <w:r>
              <w:rPr>
                <w:rFonts w:ascii="Times New Roman" w:hAnsi="Times New Roman" w:eastAsia="Times New Roman" w:cs="Times New Roman"/>
                <w:color w:val="ff0000"/>
                <w:sz w:val="24"/>
              </w:rPr>
              <w:t xml:space="preserve">Minh </w:t>
            </w:r>
            <w:r>
              <w:rPr>
                <w:rFonts w:ascii="Times New Roman" w:hAnsi="Times New Roman" w:eastAsia="Times New Roman" w:cs="Times New Roman"/>
                <w:color w:val="ff0000"/>
                <w:sz w:val="24"/>
              </w:rPr>
              <w:t xml:space="preserve">Hoàng </w:t>
            </w:r>
            <w:r>
              <w:rPr>
                <w:rFonts w:ascii="Times New Roman" w:hAnsi="Times New Roman" w:eastAsia="Times New Roman" w:cs="Times New Roman"/>
                <w:color w:val="ff0000"/>
                <w:sz w:val="24"/>
              </w:rPr>
              <w:t xml:space="preserve">– </w:t>
            </w:r>
            <w:r>
              <w:rPr>
                <w:color w:val="000000" w:themeColor="text1"/>
                <w:lang w:val="vi-VN"/>
              </w:rPr>
              <w:t xml:space="preserve">Chức </w:t>
            </w:r>
            <w:r>
              <w:rPr>
                <w:color w:val="000000" w:themeColor="text1"/>
                <w:lang w:val="vi-VN"/>
              </w:rPr>
              <w:t xml:space="preserve">danh: </w:t>
            </w:r>
            <w:r>
              <w:rPr>
                <w:color w:val="000000" w:themeColor="text1"/>
                <w:lang w:val="vi-VN"/>
              </w:rPr>
              <w:t xml:space="preserve">Tổng </w:t>
            </w:r>
            <w:r>
              <w:rPr>
                <w:color w:val="000000" w:themeColor="text1"/>
                <w:lang w:val="vi-VN"/>
              </w:rPr>
              <w:t xml:space="preserve">giám </w:t>
            </w:r>
            <w:r>
              <w:rPr>
                <w:color w:val="000000" w:themeColor="text1"/>
                <w:lang w:val="vi-VN"/>
              </w:rPr>
              <w:t xml:space="preserve">đốc</w:t>
            </w:r>
            <w:r>
              <w:rPr>
                <w:rFonts w:ascii="Times New Roman" w:hAnsi="Times New Roman" w:eastAsia="Times New Roman" w:cs="Times New Roman"/>
                <w:color w:val="ff0000"/>
                <w:sz w:val="24"/>
              </w:rPr>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và công trình xây dựng tại thửa đất số 443, tờ bản đồ số 47, có địa chỉ: 99/8 Đặng Văn Bi, phường Trường Thọ, thành phố Thủ Đức, Thành phố Hồ Chí</w:t>
            </w:r>
            <w:r>
              <w:rPr>
                <w:bCs/>
                <w:color w:val="000000" w:themeColor="text1"/>
                <w:lang w:val="pt-BR"/>
              </w:rPr>
              <w:t xml:space="preserve"> Minh (Nay là phường Thủ Đức, Thành phố Hồ Chí Minh) theo Giấy chứng nhận quyền sử dụng đất quyền sở hữu nhà ở và tài sản khác gắn liền với đất số DR 083424,  số vào sổ cấp GCN: CN3991 do Chi nhánh văn phòng đăng ký đất đai TP. Thủ Đức cấp ngày 17/12/2024.</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Thủ Đức, Thành phố Hồ Chí Minh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(10.8426899, 106.7630108)</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5"/>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5"/>
        <w:numPr>
          <w:ilvl w:val="0"/>
          <w:numId w:val="2"/>
        </w:numPr>
        <w:pBdr/>
        <w:tabs>
          <w:tab w:val="left" w:leader="none" w:pos="993"/>
        </w:tabs>
        <w:spacing w:after="120" w:before="120" w:line="276" w:lineRule="auto"/>
        <w:ind/>
        <w:jc w:val="both"/>
        <w:rPr>
          <w:b w:val="0"/>
          <w:bCs w:val="0"/>
          <w:i/>
          <w:iCs/>
        </w:rPr>
      </w:pPr>
      <w:r>
        <w:rPr>
          <w:b w:val="0"/>
          <w:bCs w:val="0"/>
          <w:color w:val="000000" w:themeColor="text1"/>
          <w:lang w:val="pt-BR"/>
        </w:rPr>
      </w:r>
      <w:r>
        <w:rPr>
          <w:rFonts w:ascii="Times New Roman" w:hAnsi="Times New Roman" w:eastAsia="Times New Roman" w:cs="Times New Roman"/>
          <w:b w:val="0"/>
          <w:bCs w:val="0"/>
          <w:color w:val="000000"/>
          <w:sz w:val="24"/>
        </w:rPr>
        <w:t xml:space="preserve">Giấy chứng nhận quyền sử dụng đất quyền sở hữu nhà ở và tài sản khác gắn liền với đất số DR 083424,  số vào sổ cấp GCN: CN3991 do Chi nhánh văn phòng đăng ký đất đai TP. Thủ Đức cấp ngày 17/12/2024</w:t>
      </w:r>
      <w:r>
        <w:rPr>
          <w:b w:val="0"/>
          <w:bCs w:val="0"/>
          <w:color w:val="000000" w:themeColor="text1"/>
          <w:lang w:val="pt-BR"/>
        </w:rPr>
        <w:t xml:space="preserve">.</w:t>
      </w:r>
      <w:r>
        <w:rPr>
          <w:b w:val="0"/>
          <w:bCs w:val="0"/>
          <w:i/>
          <w:iCs/>
        </w:rPr>
      </w:r>
      <w:r>
        <w:rPr>
          <w:b w:val="0"/>
          <w:bCs w:val="0"/>
          <w:i/>
          <w:iCs/>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275/2026/1323/VFI-HĐTĐ.69.A ký ngày 20/08/2026 giữa CÔNG TY CỔ PHẦN CHƯƠNG DƯƠNG với Công ty Cổ phần Thẩm định và Đầu tư Tài chính Hoa Sen.</w:t>
      </w:r>
      <w:r>
        <w:rPr>
          <w:b/>
          <w:lang w:val="pt-BR"/>
        </w:rPr>
      </w:r>
      <w:r>
        <w:rPr>
          <w:b/>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center"/>
        <w:rPr>
          <w:b/>
          <w:bCs/>
          <w:iCs/>
        </w:rPr>
      </w:pPr>
      <w:r>
        <w:rPr>
          <w:b/>
          <w:bCs/>
          <w:shd w:val="clear" w:color="auto" w:fill="ffffff"/>
        </w:rPr>
        <w:t xml:space="preserve">Diễn biến bất ngờ thị trường bất động sản TP.HCM</w:t>
      </w:r>
      <w:r>
        <w:rPr>
          <w:b/>
          <w:bCs/>
          <w:iCs/>
        </w:rPr>
      </w:r>
      <w:r>
        <w:rPr>
          <w:b/>
          <w:bCs/>
          <w:iCs/>
        </w:rPr>
      </w:r>
    </w:p>
    <w:p>
      <w:pPr>
        <w:pBdr/>
        <w:tabs>
          <w:tab w:val="left" w:leader="none" w:pos="426"/>
        </w:tabs>
        <w:spacing w:after="120" w:before="120" w:line="276" w:lineRule="auto"/>
        <w:ind/>
        <w:jc w:val="both"/>
        <w:rPr/>
      </w:pPr>
      <w:r>
        <w:rPr>
          <w:shd w:val="clear" w:color="auto" w:fill="ffffff"/>
        </w:rPr>
        <w:t xml:space="preserve">Sau giai đoạn điều chỉnh </w:t>
      </w:r>
      <w:r>
        <w:rPr>
          <w:shd w:val="clear" w:color="auto" w:fill="ffffff"/>
        </w:rPr>
        <w:t xml:space="preserve">2022-2024 và có dấu hiệu phục hồi năm 2025, thị trường bất động sản TP.HCM (cũ) đang bước sang giai đoạn mới với tín hiệu tích cực trên hầu hết phân khúc.</w:t>
        <w:br/>
      </w:r>
      <w:r>
        <w:rPr>
          <w:shd w:val="clear" w:color="auto" w:fill="ffffff"/>
        </w:rPr>
        <w:t xml:space="preserve">Thị trường nhà ở đang cho thấy những tín hiệu phục hồi tích cực nhưng vẫn mang tính chọn lọc. Theo dữ liệu nửa đầu năm 20</w:t>
      </w:r>
      <w:r>
        <w:rPr>
          <w:shd w:val="clear" w:color="auto" w:fill="ffffff"/>
        </w:rPr>
        <w:t xml:space="preserve">26 của JLL, TP.HCM ghi nhận khoảng 3.000 căn hộ mới mở bán, nâng tổng nguồn cung tích lũy lên gần 342.300 căn. Trong đó, khu Đông chiếm 70% nguồn cung mới, với 43,2% căn hộ thuộc phân khúc cao cấp.</w:t>
      </w:r>
      <w:r/>
    </w:p>
    <w:p>
      <w:pPr>
        <w:pBdr/>
        <w:tabs>
          <w:tab w:val="left" w:leader="none" w:pos="426"/>
        </w:tabs>
        <w:spacing w:after="120" w:before="120" w:line="276" w:lineRule="auto"/>
        <w:ind/>
        <w:jc w:val="both"/>
        <w:rPr/>
      </w:pPr>
      <w:r>
        <w:rPr>
          <w:shd w:val="clear" w:color="auto" w:fill="ffffff"/>
        </w:rPr>
        <w:t xml:space="preserve">Thị trường ghi nhận khoảng 3.600 giao dịch thành công, vớ</w:t>
      </w:r>
      <w:r>
        <w:rPr>
          <w:shd w:val="clear" w:color="auto" w:fill="ffffff"/>
        </w:rPr>
        <w:t xml:space="preserve">i tỷ lệ hấp thụ lũy kế duy trì ở mức trên 99,3%, phản ánh niềm tin tích cực dù áp lực lãi suất khiến người mua thận trọng hơn. Giá bán sơ cấp trung bình căn hộ quý 2/2026 đạt khoảng 98,1 triệu đồng/m², tăng gần 10,5% so với cùng kỳ năm trước.</w:t>
      </w:r>
      <w:r/>
    </w:p>
    <w:p>
      <w:pPr>
        <w:pBdr/>
        <w:tabs>
          <w:tab w:val="left" w:leader="none" w:pos="426"/>
        </w:tabs>
        <w:spacing w:after="120" w:before="120" w:line="276" w:lineRule="auto"/>
        <w:ind/>
        <w:jc w:val="both"/>
        <w:rPr/>
      </w:pPr>
      <w:r>
        <w:rPr>
          <w:shd w:val="clear" w:color="auto" w:fill="ffffff"/>
        </w:rPr>
        <w:t xml:space="preserve">Ở phân khúc </w:t>
      </w:r>
      <w:r>
        <w:rPr>
          <w:shd w:val="clear" w:color="auto" w:fill="ffffff"/>
        </w:rPr>
        <w:t xml:space="preserve">nhà liền thổ, nguồn cung mới tiếp tục cải thiện trong nửa đầu năm 2026 nhờ sự trở lại của các dự án quy mô lớn tại khu phía Đông và phía Bắc như The Global City (Phân khu SOLA), Senturia An Phú và Vinhomes Saigon Park, ghi nhận 4.100 căn mở bán mới.</w:t>
      </w:r>
      <w:r/>
    </w:p>
    <w:p>
      <w:pPr>
        <w:pBdr/>
        <w:tabs>
          <w:tab w:val="left" w:leader="none" w:pos="426"/>
        </w:tabs>
        <w:spacing w:after="120" w:before="120" w:line="276" w:lineRule="auto"/>
        <w:ind/>
        <w:jc w:val="both"/>
        <w:rPr/>
      </w:pPr>
      <w:r>
        <w:rPr>
          <w:shd w:val="clear" w:color="auto" w:fill="ffffff"/>
        </w:rPr>
        <w:t xml:space="preserve">Nhu c</w:t>
      </w:r>
      <w:r>
        <w:rPr>
          <w:shd w:val="clear" w:color="auto" w:fill="ffffff"/>
        </w:rPr>
        <w:t xml:space="preserve">ầu thị trường ghi nhận khoảng 4.250 giao dịch thành công, tập trung chủ yếu vào các sản phẩm thuộc đại đô thị hoặc khu dân cư được quy hoạch đồng bộ với hệ thống tiện ích hoàn chỉnh.</w:t>
      </w:r>
      <w:r/>
    </w:p>
    <w:p>
      <w:pPr>
        <w:pBdr/>
        <w:tabs>
          <w:tab w:val="left" w:leader="none" w:pos="426"/>
        </w:tabs>
        <w:spacing w:after="120" w:before="120" w:line="276" w:lineRule="auto"/>
        <w:ind/>
        <w:jc w:val="both"/>
        <w:rPr/>
      </w:pPr>
      <w:r>
        <w:rPr>
          <w:shd w:val="clear" w:color="auto" w:fill="ffffff"/>
        </w:rPr>
        <w:t xml:space="preserve">Mặt bằng giá sơ cấp phân khúc nhà liền thổ đạt khoảng 195 triệu đồng/m² </w:t>
      </w:r>
      <w:r>
        <w:rPr>
          <w:shd w:val="clear" w:color="auto" w:fill="ffffff"/>
        </w:rPr>
        <w:t xml:space="preserve">đất. Do nguồn cung lớn với mức giá phải chăng hơn xuất hiện tại các dự án nằm ngoài trung tâm, mặt bằng giá trong quý ghi nhận giảm 56,3% so với cùng kỳ năm trước.</w:t>
      </w:r>
      <w:r/>
    </w:p>
    <w:p>
      <w:pPr>
        <w:pBdr/>
        <w:tabs>
          <w:tab w:val="left" w:leader="none" w:pos="426"/>
        </w:tabs>
        <w:spacing w:after="120" w:before="120" w:line="276" w:lineRule="auto"/>
        <w:ind/>
        <w:jc w:val="both"/>
        <w:rPr/>
      </w:pPr>
      <w:r>
        <w:rPr>
          <w:shd w:val="clear" w:color="auto" w:fill="ffffff"/>
        </w:rPr>
        <w:t xml:space="preserve">Trong bối cảnh lãi suất có xu hướng tăng, các chính sách thanh toán linh hoạt từ chủ đầu tư</w:t>
      </w:r>
      <w:r>
        <w:rPr>
          <w:shd w:val="clear" w:color="auto" w:fill="ffffff"/>
        </w:rPr>
        <w:t xml:space="preserve"> đã trở thành đòn bẩy chính giúp duy trì sức cầu.</w:t>
      </w:r>
      <w:r/>
    </w:p>
    <w:p>
      <w:pPr>
        <w:pBdr/>
        <w:tabs>
          <w:tab w:val="left" w:leader="none" w:pos="426"/>
        </w:tabs>
        <w:spacing w:after="120" w:before="120" w:line="276" w:lineRule="auto"/>
        <w:ind/>
        <w:jc w:val="both"/>
        <w:rPr/>
      </w:pPr>
      <w:r>
        <w:rPr>
          <w:shd w:val="clear" w:color="auto" w:fill="ffffff"/>
        </w:rPr>
        <w:t xml:space="preserve">Đáng chú ý, tâm lý người mua đã có sự thay đổi rõ rệt: thay vì quyết định dựa trên kỳ vọng tăng giá ngắn hạn, người mua ngày càng thận trọng hơn, ưu tiên lựa chọn các dự án có pháp lý minh bạch và kết nối </w:t>
      </w:r>
      <w:r>
        <w:rPr>
          <w:shd w:val="clear" w:color="auto" w:fill="ffffff"/>
        </w:rPr>
        <w:t xml:space="preserve">hạ tầng tốt.</w:t>
      </w:r>
      <w:r/>
    </w:p>
    <w:p>
      <w:pPr>
        <w:pBdr/>
        <w:tabs>
          <w:tab w:val="left" w:leader="none" w:pos="426"/>
        </w:tabs>
        <w:spacing w:after="120" w:before="120" w:line="276" w:lineRule="auto"/>
        <w:ind/>
        <w:jc w:val="both"/>
        <w:rPr/>
      </w:pPr>
      <w:r>
        <w:rPr>
          <w:shd w:val="clear" w:color="auto" w:fill="ffffff"/>
        </w:rPr>
      </w:r>
      <w:r>
        <w:rPr>
          <w:shd w:val="clear" w:color="auto" w:fill="ffffff"/>
        </w:rPr>
        <w:t xml:space="preserve">Hạ tầng, thể chế và dòng vốn - tạo tiền đề cho một chu kỳ tăng trưởng mới</w:t>
      </w:r>
      <w:r/>
    </w:p>
    <w:p>
      <w:pPr>
        <w:pBdr/>
        <w:tabs>
          <w:tab w:val="left" w:leader="none" w:pos="426"/>
        </w:tabs>
        <w:spacing w:after="120" w:before="120" w:line="276" w:lineRule="auto"/>
        <w:ind/>
        <w:jc w:val="both"/>
        <w:rPr/>
      </w:pPr>
      <w:r>
        <w:rPr>
          <w:shd w:val="clear" w:color="auto" w:fill="ffffff"/>
        </w:rPr>
        <w:t xml:space="preserve">Theo JLL, yếu tố quan trọng nhất định hình thị trường bất động</w:t>
      </w:r>
      <w:r>
        <w:rPr>
          <w:shd w:val="clear" w:color="auto" w:fill="ffffff"/>
        </w:rPr>
        <w:t xml:space="preserve"> sản hiện nay không chỉ nằm ở các chỉ số tăng trưởng kinh tế, mà được hỗ trợ bởi ba động lực mang tính cấu trúc gồm đầu tư hạ tầng quy mô lớn, cải cách thể chế và sự dịch chuyển của dòng vốn trong nước và quốc tế.</w:t>
      </w:r>
      <w:r/>
    </w:p>
    <w:p>
      <w:pPr>
        <w:pBdr/>
        <w:tabs>
          <w:tab w:val="left" w:leader="none" w:pos="426"/>
        </w:tabs>
        <w:spacing w:after="120" w:before="120" w:line="276" w:lineRule="auto"/>
        <w:ind/>
        <w:jc w:val="both"/>
        <w:rPr/>
      </w:pPr>
      <w:r>
        <w:rPr>
          <w:shd w:val="clear" w:color="auto" w:fill="ffffff"/>
        </w:rPr>
        <w:t xml:space="preserve">Bà ﻿ ﻿ Lê Thị Huyền Trang, Tổng Giám Đốc </w:t>
      </w:r>
      <w:r>
        <w:rPr>
          <w:shd w:val="clear" w:color="auto" w:fill="ffffff"/>
        </w:rPr>
        <w:t xml:space="preserve">của JLL Việt Nam cho biết: “TP.HCM đang bước vào giai đoạn tái cấu trúc không gian đô thị lớn nhất kể từ sau sự hình thành của Phú Mỹ Hưng và Thủ Thiêm. Trong vòng sáu tháng qua, hàng loạt dự án hạ tầng chiến lược được đẩy nhanh hoặc chính thức khởi công, </w:t>
      </w:r>
      <w:r>
        <w:rPr>
          <w:shd w:val="clear" w:color="auto" w:fill="ffffff"/>
        </w:rPr>
        <w:t xml:space="preserve">mở rộng đáng kể không gian phát triển của Thành phố đồng đều về các hướng của thành phố.”</w:t>
      </w:r>
      <w:r>
        <w:rPr>
          <w:iCs/>
        </w:rPr>
      </w:r>
      <w:r/>
    </w:p>
    <w:p>
      <w:pPr>
        <w:pBdr/>
        <w:tabs>
          <w:tab w:val="left" w:leader="none" w:pos="426"/>
        </w:tabs>
        <w:spacing w:after="120" w:before="120" w:line="276" w:lineRule="auto"/>
        <w:ind/>
        <w:jc w:val="both"/>
        <w:rPr/>
      </w:pPr>
      <w:r>
        <w:rPr>
          <w:shd w:val="clear" w:color="auto" w:fill="ffffff"/>
        </w:rPr>
        <w:t xml:space="preserve">Những dự án hạ tầng có tác động sâu rộng hơn tới thị trường bất động sản cũng đồng loạt được triển khai. Nổi</w:t>
      </w:r>
      <w:r>
        <w:rPr>
          <w:shd w:val="clear" w:color="auto" w:fill="ffffff"/>
        </w:rPr>
        <w:t xml:space="preserve"> bật nhất là Thành phố đã thúc đẩy chiến lược phát triển đô thị gắn với giao thông công cộng (TOD) thông qua việc quy hoạch gần 940 ha dọc tuyến Metro số 2. Đồng thời, dự án cải tạo Rạch Xuyên Tâm cũng đang được đẩy nhanh gấp đôi tiến độ được kỳ vọng sẽ tạ</w:t>
      </w:r>
      <w:r>
        <w:rPr>
          <w:shd w:val="clear" w:color="auto" w:fill="ffffff"/>
        </w:rPr>
        <w:t xml:space="preserve">o ra các cụm đô thị mới ngoài khu trung tâm truyền thống.</w:t>
      </w:r>
      <w:r>
        <w:rPr>
          <w:iCs/>
        </w:rPr>
      </w:r>
      <w:r/>
    </w:p>
    <w:p>
      <w:pPr>
        <w:pBdr/>
        <w:tabs>
          <w:tab w:val="left" w:leader="none" w:pos="426"/>
        </w:tabs>
        <w:spacing w:after="120" w:before="120" w:line="276" w:lineRule="auto"/>
        <w:ind/>
        <w:jc w:val="both"/>
        <w:rPr/>
      </w:pPr>
      <w:r>
        <w:rPr>
          <w:shd w:val="clear" w:color="auto" w:fill="ffffff"/>
        </w:rPr>
        <w:t xml:space="preserve">Nhóm dự án liên kết vùng như cao tốc TP.HCM – Mộc Bài, tuyến vượt biển Cần Giờ – Vũng Tàu, cao tốc đô thị Hồ Tràm – Sân bay Long Thành, cao tốc Biên Hòa – Vũng Tàu, cao tốc Bến Lức – Long Thành và </w:t>
      </w:r>
      <w:r>
        <w:rPr>
          <w:shd w:val="clear" w:color="auto" w:fill="ffffff"/>
        </w:rPr>
        <w:t xml:space="preserve">các cây cầu kết nối TP.HCM – Đồng Nai đang tạo ra những thay đổi mang tính cấu trúc đối với dòng vốn đầu tư, nhu cầu nhà ở, logistics và các hoạt động thương mại trong khu vực. Thực tế cũng cho thấy nguồn cung và dòng vốn đầu tư đang dịch chuyển ngày càng </w:t>
      </w:r>
      <w:r>
        <w:rPr>
          <w:shd w:val="clear" w:color="auto" w:fill="ffffff"/>
        </w:rPr>
        <w:t xml:space="preserve">rõ nét từ khu vực trung tâm sang các hành lang tăng trưởng mới dọc Vành đai 3, Long Thành, Bình Dương và Long An, phản ánh xu hướng phát triển đô thị đa cực đang dần hình thành trên toàn vùng TP.HCM mở rộng.</w:t>
      </w:r>
      <w:r>
        <w:rPr>
          <w:iCs/>
        </w:rPr>
      </w:r>
      <w:r/>
    </w:p>
    <w:p>
      <w:pPr>
        <w:pBdr/>
        <w:tabs>
          <w:tab w:val="left" w:leader="none" w:pos="426"/>
        </w:tabs>
        <w:spacing w:after="120" w:before="120" w:line="276" w:lineRule="auto"/>
        <w:ind/>
        <w:jc w:val="both"/>
        <w:rPr/>
      </w:pPr>
      <w:r>
        <w:rPr>
          <w:shd w:val="clear" w:color="auto" w:fill="ffffff"/>
        </w:rPr>
        <w:t xml:space="preserve">Năm 2026 là giai đoạn đầu thị trường vận hành t</w:t>
      </w:r>
      <w:r>
        <w:rPr>
          <w:shd w:val="clear" w:color="auto" w:fill="ffffff"/>
        </w:rPr>
        <w:t xml:space="preserve">rên Luật Đất đai 2024, Luật Nhà ở 2023 và Luật Kinh doanh Bất động sản 2023. Nửa đầu năm hoàn thiện Nghị định 226/2025/NĐ-CP và 151/2025/NĐ-CP được xem là yếu tố then chốt, hứa hẹn tạo ra những tác động sâu rộng đến các vấn đề về đất đai. Đặc biệt, TP.HCM </w:t>
      </w:r>
      <w:r>
        <w:rPr>
          <w:shd w:val="clear" w:color="auto" w:fill="ffffff"/>
        </w:rPr>
        <w:t xml:space="preserve">ban hành bảng giá đất mới theo Nghị quyết 87/2025/NQ-HĐND từ 1/1/2026, được kỳ vọng sẽ giúp chuẩn hóa nghĩa vụ tài chính và rút ngắn thời gian triển khai dự án.</w:t>
        <w:br/>
        <w:br/>
        <w:t xml:space="preserve">“Những gì đang diễn ra tại TP.HCM không đơn thuần là sự phục hồi của thị trường bất động sản s</w:t>
      </w:r>
      <w:r>
        <w:rPr>
          <w:shd w:val="clear" w:color="auto" w:fill="ffffff"/>
        </w:rPr>
        <w:t xml:space="preserve">au một giai đoạn điều chỉnh. Chúng tôi đang chứng kiến sự hội tụ của ba yếu tố mang tính nền tảng gồm hạ tầng, thể chế và dòng vốn, tạo tiền đề cho một chu kỳ tăng trưởng mới,” bà Trang cho biết.</w:t>
      </w:r>
      <w:r>
        <w:rPr>
          <w:i/>
          <w:iCs/>
          <w:lang w:val="pt-BR"/>
        </w:rPr>
      </w:r>
      <w:r/>
    </w:p>
    <w:p>
      <w:pPr>
        <w:pBdr/>
        <w:tabs>
          <w:tab w:val="left" w:leader="none" w:pos="426"/>
        </w:tabs>
        <w:spacing w:after="120" w:before="120" w:line="276" w:lineRule="auto"/>
        <w:ind/>
        <w:jc w:val="both"/>
        <w:rPr/>
      </w:pPr>
      <w:r>
        <w:rPr>
          <w:shd w:val="clear" w:color="auto" w:fill="ffffff"/>
        </w:rPr>
        <w:t xml:space="preserve">Chuyên gia JLL kết luận: “Điểm đáng chú ý là tăng trưởng tr</w:t>
      </w:r>
      <w:r>
        <w:rPr>
          <w:shd w:val="clear" w:color="auto" w:fill="ffffff"/>
        </w:rPr>
        <w:t xml:space="preserve">ong giai đoạn tới sẽ không còn tập trung vào khu vực trung tâm truyền thống mà sẽ lan tỏa sang các cực phát triển mới được dẫn dắt bởi hệ thống metro, các hành lang logistics và những dự án hạ tầng liên vùng quy mô lớn. Đối với nhà đầu tư và doanh nghiệp, </w:t>
      </w:r>
      <w:r>
        <w:rPr>
          <w:shd w:val="clear" w:color="auto" w:fill="ffffff"/>
        </w:rPr>
        <w:t xml:space="preserve">đây là thời điểm cần nhìn xa hơn ranh giới của khu trung tâm để nắm bắt các cơ hội tăng trưởng dài hạn trên toàn Thành phố và vùng kinh tế phía Nam”.</w:t>
      </w:r>
      <w:r>
        <w:rPr>
          <w:bCs/>
          <w:i/>
          <w:lang w:val="pt-BR"/>
        </w:rPr>
      </w:r>
      <w:r/>
    </w:p>
    <w:p>
      <w:pPr>
        <w:pBdr/>
        <w:tabs>
          <w:tab w:val="left" w:leader="none" w:pos="426"/>
        </w:tabs>
        <w:spacing w:after="120" w:before="120" w:line="276" w:lineRule="auto"/>
        <w:ind/>
        <w:jc w:val="center"/>
        <w:rPr>
          <w:bCs/>
          <w:i/>
        </w:rPr>
      </w:pPr>
      <w:r>
        <w:rPr>
          <w:i/>
          <w:iCs/>
          <w:shd w:val="clear" w:color="auto" w:fill="ffffff"/>
        </w:rPr>
        <w:t xml:space="preserve">(Nguồn tham khảo: https://cafef.vn/dien-bien-bat-ngo-thi-truong-bat-dong-san-tphcm-18826070814133824.chn)</w:t>
      </w:r>
      <w:r>
        <w:rPr>
          <w:bCs/>
          <w:i/>
        </w:rPr>
      </w:r>
      <w:r>
        <w:rPr>
          <w:bCs/>
          <w:i/>
        </w:rPr>
      </w:r>
    </w:p>
    <w:p>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và công trình xây dựng tại thửa đất số 443, tờ bản đồ số 47, có địa chỉ: 99/8 Đặng Văn Bi, phường Trường Thọ, thành phố Thủ Đức, Thành phố Hồ Chí</w:t>
            </w:r>
            <w:r>
              <w:rPr>
                <w:b/>
                <w:bCs/>
                <w:color w:val="000000"/>
              </w:rPr>
              <w:t xml:space="preserve"> Minh (Nay là phường Thủ Đức, Thành phố Hồ Chí Minh) theo Giấy chứng nhận quyền sử dụng đất quyền sở hữu nhà ở và tài sản khác gắn liền với đất số DR 083424,  số vào sổ cấp GCN: CN3991 do Chi nhánh văn phòng đăng ký đất đai TP. Thủ Đức cấp ngày 17/12/2024.</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443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47</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99/8 Đặng Văn bi, phường Trường Thọ, thành phố Thủ Đức, Thành phố Hồ Chí Minh (Nay là phường Thủ Đức, Thành phố Hồ Chí Minh)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477,9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477,9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trồng cây hàng năm khác 39,6m2; đất ở tại đô thị 438,3</w:t>
            </w:r>
            <w:r>
              <w:rPr>
                <w:color w:val="000000" w:themeColor="text1"/>
              </w:rPr>
              <w:t xml:space="preserve">m2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HNK: Đến tháng 6/2074; ODT: 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chuyể</w:t>
            </w:r>
            <w:r>
              <w:rPr>
                <w:color w:val="000000"/>
              </w:rPr>
              <w:t xml:space="preserve">n nhượng đất được Công nhận quyền sử dụng đất như giao đất không thu tiền sử dụng đất 39,6m2; Nhận chuyển nhượng đất công nhận quyền sửdunjg đất có thu tiền sử dụng đất 174,0m2; Nhận chuyển nhượng đất được Nhà nước giao đất có thu tiền sử dụng đất 264,3m2.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Tổ thẩm định tra cứu thông tin quy hoạch online qua wesbsite Meeymap, xác định vị trí tài sản không có thông tin quy hoạch.  </w:t>
            </w:r>
            <w:r/>
          </w:p>
          <w:p>
            <w:pPr>
              <w:pBdr/>
              <w:spacing/>
              <w:ind/>
              <w:jc w:val="both"/>
              <w:rPr>
                <w:color w:val="000000"/>
              </w:rPr>
            </w:pPr>
            <w:r>
              <w:rPr>
                <w:color w:val="000000"/>
              </w:rPr>
            </w:r>
            <w:r>
              <mc:AlternateContent>
                <mc:Choice Requires="wpg">
                  <w:drawing>
                    <wp:inline xmlns:wp="http://schemas.openxmlformats.org/drawingml/2006/wordprocessingDrawing" distT="0" distB="0" distL="0" distR="0">
                      <wp:extent cx="3893525" cy="2449569"/>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133630" name=""/>
                              <pic:cNvPicPr>
                                <a:picLocks noChangeAspect="1"/>
                              </pic:cNvPicPr>
                              <pic:nvPr/>
                            </pic:nvPicPr>
                            <pic:blipFill rotWithShape="1">
                              <a:blip r:embed="rId17"/>
                              <a:stretch/>
                            </pic:blipFill>
                            <pic:spPr bwMode="auto">
                              <a:xfrm flipH="0" flipV="0">
                                <a:off x="0" y="0"/>
                                <a:ext cx="3893524" cy="24495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6.58pt;height:192.88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p>
            <w:pPr>
              <w:pBdr/>
              <w:spacing/>
              <w:ind/>
              <w:jc w:val="both"/>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Hẻm 99 Đặng Văn Bi</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2,0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4,95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Tái </w:t>
            </w:r>
            <w:r>
              <w:rPr>
                <w:color w:val="000000" w:themeColor="text1"/>
              </w:rPr>
              <w:t xml:space="preserve">sản </w:t>
            </w:r>
            <w:r>
              <w:rPr>
                <w:color w:val="000000" w:themeColor="text1"/>
              </w:rPr>
              <w:t xml:space="preserve">tiếp </w:t>
            </w:r>
            <w:r>
              <w:rPr>
                <w:color w:val="000000" w:themeColor="text1"/>
              </w:rPr>
              <w:t xml:space="preserve">giáp </w:t>
            </w:r>
            <w:r>
              <w:rPr>
                <w:color w:val="000000" w:themeColor="text1"/>
              </w:rPr>
              <w:t xml:space="preserve">hẻm 99, </w:t>
            </w:r>
            <w:r>
              <w:rPr>
                <w:color w:val="000000" w:themeColor="text1"/>
              </w:rPr>
              <w:t xml:space="preserve">c</w:t>
            </w:r>
            <w:r>
              <w:rPr>
                <w:color w:val="000000" w:themeColor="text1"/>
              </w:rPr>
              <w:t xml:space="preserve">ách đường Đặng Văn Bi khoảng 60m.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Hướng Đông Nam: Tiếp giáp đường giao thông.</w:t>
              <w:br/>
              <w:t xml:space="preserve">Các hướng khác: 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rFonts w:ascii="Times New Roman" w:hAnsi="Times New Roman" w:eastAsia="Times New Roman" w:cs="Times New Roman"/>
                <w:color w:val="000000"/>
                <w:sz w:val="24"/>
              </w:rPr>
              <w:t xml:space="preserve">10.8427518,106.7626433</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418795" cy="2659309"/>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418794" cy="26593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6.68pt;height:209.39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477,9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7,35</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66,84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Đa giác khác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khu dân cư thông thường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 </w:t>
            </w:r>
            <w:r>
              <w:rPr>
                <w:color w:val="000000"/>
              </w:rPr>
              <w:t xml:space="preserve">Tại thời điểm khảo sát, dưới sự hướng dẫn của Khách hàng, công trình xây dựng trên đất được chứng nhận trên GCN QSDĐ là Nhà biệt thự 03 tầng, diện tích sử dụng khoảng 395,3m2;  công trình hoàn thiện phần thô.</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67"/>
        <w:gridCol w:w="1663"/>
        <w:gridCol w:w="1560"/>
        <w:gridCol w:w="1605"/>
        <w:gridCol w:w="1371"/>
        <w:gridCol w:w="2149"/>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Các yếu tố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khảo sát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Chênh lệch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Nguyên nhân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Địa chỉ trên sổ</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99/8 Đặng Văn Bi, phường Trường Thọ, Thành phố Thủ Đức, TP Hồ Chí Minh</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99/8 Đặng Văn Bi, Phường Thủ Đức, Thành phố Hồ Chí Minh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Có</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Sáp nhập địa giới hành chính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Loại đất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trồng cây hàng năm khác 39,6m2; đất ở tại đô thị 438,3</w:t>
            </w:r>
            <w:r>
              <w:rPr>
                <w:rFonts w:ascii="Times New Roman" w:hAnsi="Times New Roman" w:eastAsia="Times New Roman" w:cs="Times New Roman"/>
                <w:color w:val="000000"/>
                <w:sz w:val="24"/>
              </w:rPr>
              <w:t xml:space="preserve">m2</w:t>
            </w:r>
            <w:r>
              <w:rPr>
                <w:rFonts w:ascii="Times New Roman" w:hAnsi="Times New Roman" w:eastAsia="Times New Roman" w:cs="Times New Roman"/>
                <w:color w:val="000000"/>
                <w:sz w:val="24"/>
              </w:rPr>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trồng cây hàng năm khác 39,6m2; đất ở tại đô thị 438,3</w:t>
            </w:r>
            <w:r>
              <w:rPr>
                <w:rFonts w:ascii="Times New Roman" w:hAnsi="Times New Roman" w:eastAsia="Times New Roman" w:cs="Times New Roman"/>
                <w:color w:val="000000"/>
                <w:sz w:val="24"/>
              </w:rPr>
              <w:t xml:space="preserve">m2</w:t>
            </w: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HNK: Đến tháng 6/2074; ODT: Lâu dài</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HNK: Đến tháng 6/2074; ODT: Lâu dài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Vị trí</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VT2</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VT2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Diện tích</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477,9</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477,9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dạng thửa đất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Đa giác khác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Nam</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Nam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bl>
    <w:p>
      <w:pPr>
        <w:pBdr/>
        <w:spacing/>
        <w:ind/>
        <w:rPr>
          <w:b/>
          <w:bCs/>
        </w:rPr>
      </w:pPr>
      <w:r>
        <w:rPr>
          <w:b/>
          <w:bCs/>
        </w:rPr>
      </w: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878"/>
        <w:gridCol w:w="3515"/>
        <w:gridCol w:w="1560"/>
        <w:gridCol w:w="3571"/>
      </w:tblGrid>
      <w:tr>
        <w:trPr>
          <w:cantSplit/>
          <w:tblCellSpacing w:w="0" w:type="dxa"/>
          <w:trHeight w:val="300"/>
          <w:tblHeader/>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878"/>
        <w:gridCol w:w="3515"/>
        <w:gridCol w:w="1560"/>
        <w:gridCol w:w="3571"/>
      </w:tblGrid>
      <w:tr>
        <w:trPr>
          <w:cantSplit/>
          <w:tblCellSpacing w:w="0" w:type="dxa"/>
          <w:trHeight w:val="300"/>
          <w:tblHeader/>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5"/>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2017"/>
        <w:gridCol w:w="1568"/>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2017"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68"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sz w:val="22"/>
                <w:szCs w:val="22"/>
              </w:rPr>
            </w:pPr>
            <w:r>
              <w:rPr>
                <w:color w:val="000000" w:themeColor="text1"/>
                <w:sz w:val="22"/>
                <w:szCs w:val="22"/>
              </w:rPr>
              <w:t xml:space="preserve">Phường Trường Thọ, Quận Thủ Đức, Thành phố Hồ Chí Minh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Đặng Văn Bi, Phường Bình Thọ, Quận Thủ Đức, Thành phố Hồ Chí Minh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Đặng Văn Bi, Phường Bình Thọ, Quận Thủ Đức, Thành phố Hồ Chí Minh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Đặng Văn Bi, Phường Trường Thọ, Quận Thủ Đức, Thành phố Hồ Chí Minh</w:t>
            </w:r>
            <w:r>
              <w:rPr>
                <w:sz w:val="22"/>
                <w:szCs w:val="22"/>
              </w:rPr>
            </w:r>
            <w:r>
              <w:rPr>
                <w:sz w:val="22"/>
                <w:szCs w:val="22"/>
              </w:rPr>
            </w:r>
          </w:p>
        </w:tc>
      </w:tr>
      <w:tr>
        <w:trPr>
          <w:trHeight w:val="26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https://web.facebook.com/groups/1451943655430894/permalink/1873255496633039/?rdid=lYDBYZOF2fXRojMI#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https://batdongsan.com.vn/ban-nha-rieng-duong-dang-van-bi-phuong-truong-tho-2-71/chdv-hem-xe-hoi-3-tang-uong-ang-thu-hon-30trieu-thang-gan-ga-metro-ngang-8-5m-pr46190809</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https://batdongsan.com.vn/ban-nha-rieng-duong-dang-van-bi-phuong-truong-tho-2-71/ngop-chu-inh-cu-ban-gap-3-tang-kien-co-73m2-ngang-5m-cach-ang-chi-70m-hem-xe-tai-pr46032096</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0978505213</w:t>
            </w:r>
            <w:r>
              <w:rPr>
                <w:sz w:val="22"/>
                <w:szCs w:val="22"/>
              </w:rPr>
              <w:t xml:space="preserve"> </w:t>
            </w:r>
            <w:r>
              <w:rPr>
                <w:sz w:val="22"/>
                <w:szCs w:val="22"/>
              </w:rPr>
              <w:br/>
              <w:t xml:space="preserve">(</w:t>
            </w:r>
            <w:r>
              <w:rPr>
                <w:sz w:val="22"/>
                <w:szCs w:val="22"/>
              </w:rPr>
              <w:t xml:space="preserve">Danh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0906605278</w:t>
            </w:r>
            <w:r>
              <w:rPr>
                <w:sz w:val="22"/>
                <w:szCs w:val="22"/>
              </w:rPr>
              <w:br/>
            </w:r>
            <w:r>
              <w:rPr>
                <w:sz w:val="22"/>
                <w:szCs w:val="22"/>
              </w:rPr>
              <w:t xml:space="preserve">(</w:t>
            </w:r>
            <w:r>
              <w:rPr>
                <w:sz w:val="22"/>
                <w:szCs w:val="22"/>
              </w:rPr>
              <w:t xml:space="preserve">Thy</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0933167499</w:t>
            </w:r>
            <w:r>
              <w:rPr>
                <w:sz w:val="22"/>
                <w:szCs w:val="22"/>
              </w:rPr>
              <w:br/>
            </w:r>
            <w:r>
              <w:rPr>
                <w:sz w:val="22"/>
                <w:szCs w:val="22"/>
              </w:rPr>
              <w:t xml:space="preserve">(</w:t>
            </w:r>
            <w:r>
              <w:rPr>
                <w:sz w:val="22"/>
                <w:szCs w:val="22"/>
              </w:rPr>
              <w:t xml:space="preserve">Tuyền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 (438,3m²), Đất trồng cây hàng năm khác (39,6m²)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Hẻm 99/8 Đặng Văn Bi, Phường Trường Thọ, Quận Thủ Đức, Thành phố Hồ Chí Minh (Nay là phường Thủ Đức, TP Hồ Chí Minh)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Hẻm Đặng Văn Bi, Phường Bình Thọ, Quận Thủ Đức, Thành phố Hồ Chí Minh; 10.843022712143295, 106.76330640323845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Hẻm Đặng Văn Bi, Phường Bình Thọ, Quận Thủ Đức, Thành phố Hồ Chí Minh; 10.8444608, 106.7622618</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Hẻm Đặng Văn Bi, Phường Trường Thọ, Quận Thủ Đức, Thành phố Hồ Chí Minh; 10.84469, 106.760428</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4,95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477,9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106,8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73,5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7,35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5,83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66,84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11,82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2017"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trên </w:t>
            </w:r>
            <w:r>
              <w:rPr>
                <w:color w:val="000000" w:themeColor="text1"/>
                <w:sz w:val="22"/>
                <w:szCs w:val="22"/>
              </w:rPr>
              <w:t xml:space="preserve">đất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568"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2017"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S</w:t>
            </w:r>
            <w:r>
              <w:rPr>
                <w:color w:val="000000" w:themeColor="text1"/>
                <w:sz w:val="22"/>
                <w:szCs w:val="22"/>
              </w:rPr>
              <w:t xml:space="preserve">ố </w:t>
            </w:r>
            <w:r>
              <w:rPr>
                <w:color w:val="000000" w:themeColor="text1"/>
                <w:sz w:val="22"/>
                <w:szCs w:val="22"/>
              </w:rPr>
              <w:t xml:space="preserve">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568"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3 </w:t>
            </w:r>
            <w:r>
              <w:rPr>
                <w:color w:val="000000" w:themeColor="text1"/>
                <w:sz w:val="22"/>
                <w:szCs w:val="22"/>
              </w:rPr>
              <w:t xml:space="preserve">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3 </w:t>
            </w:r>
            <w:r>
              <w:rPr>
                <w:color w:val="000000" w:themeColor="text1"/>
                <w:sz w:val="22"/>
                <w:szCs w:val="22"/>
              </w:rPr>
              <w:t xml:space="preserve">tầng </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2017"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Diện </w:t>
            </w:r>
            <w:r>
              <w:rPr>
                <w:color w:val="000000" w:themeColor="text1"/>
                <w:sz w:val="22"/>
                <w:szCs w:val="22"/>
              </w:rPr>
              <w:t xml:space="preserve">tích </w:t>
            </w:r>
            <w:r>
              <w:rPr>
                <w:color w:val="000000" w:themeColor="text1"/>
                <w:sz w:val="22"/>
                <w:szCs w:val="22"/>
              </w:rPr>
              <w:t xml:space="preserve">sàn </w:t>
            </w:r>
            <w:r>
              <w:rPr>
                <w:color w:val="000000" w:themeColor="text1"/>
                <w:sz w:val="22"/>
                <w:szCs w:val="22"/>
              </w:rPr>
              <w:t xml:space="preserve">sử </w:t>
            </w:r>
            <w:r>
              <w:rPr>
                <w:color w:val="000000" w:themeColor="text1"/>
                <w:sz w:val="22"/>
                <w:szCs w:val="22"/>
              </w:rPr>
              <w:t xml:space="preserve">dụng (</w:t>
            </w:r>
            <w:r>
              <w:rPr>
                <w:color w:val="000000" w:themeColor="text1"/>
                <w:sz w:val="22"/>
                <w:szCs w:val="22"/>
              </w:rPr>
              <w:t xml:space="preserve">m2)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568"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300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220,5</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11.250.000.000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11.700.000.000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9.900.000.000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1.700.175.330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1.338.888.073</w:t>
            </w:r>
            <w:r>
              <w:rPr>
                <w:color w:val="000000"/>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Đơn giá xây dựng theo Quyết định số 425/QĐ-BXD ngày 30/3/2026 của Bộ Xây Dựng (đồng/m²)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8.096.073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8.096.073</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tcPr>
          <w:p>
            <w:pPr>
              <w:pBdr/>
              <w:spacing/>
              <w:ind/>
              <w:rPr>
                <w:color w:val="000000"/>
                <w:sz w:val="22"/>
                <w:szCs w:val="22"/>
              </w:rPr>
            </w:pPr>
            <w:r>
              <w:rPr>
                <w:color w:val="000000"/>
                <w:sz w:val="22"/>
                <w:szCs w:val="22"/>
              </w:rPr>
              <w:t xml:space="preserve">Tỷ lệ % hoàn 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11.250.000.000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9.999.824.670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8.561.111.927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105.337.079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99.500.743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116.477.713</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568"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1660"/>
        <w:gridCol w:w="891"/>
        <w:gridCol w:w="1559"/>
        <w:gridCol w:w="1624"/>
        <w:gridCol w:w="1522"/>
        <w:gridCol w:w="1522"/>
      </w:tblGrid>
      <w:tr>
        <w:trPr>
          <w:trHeight w:val="20"/>
          <w:tblHeader/>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0"/>
                <w:szCs w:val="20"/>
              </w:rPr>
            </w:pPr>
            <w:r>
              <w:rPr>
                <w:color w:val="000000" w:themeColor="text1"/>
                <w:sz w:val="22"/>
                <w:szCs w:val="22"/>
              </w:rPr>
              <w:t xml:space="preserve">11.250.000.000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9.999.824.670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8.561.111.927</w:t>
            </w:r>
            <w:r>
              <w:rPr>
                <w:color w:val="000000"/>
                <w:sz w:val="20"/>
                <w:szCs w:val="20"/>
              </w:rPr>
            </w:r>
            <w:r>
              <w:rPr>
                <w:color w:val="000000"/>
                <w:sz w:val="20"/>
                <w:szCs w:val="20"/>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891"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105.337.079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99.500.743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116.477.713</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24"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105.337.079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99.500.743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116.477.713</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(438,3m²), Đất trồng cây hàng năm khác (39,6m²)</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105.337.079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99.500.743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116.477.713</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HNK: Đến tháng 6/2074; ODT: Lâu dài</w:t>
            </w:r>
            <w:r/>
          </w:p>
        </w:tc>
        <w:tc>
          <w:tcPr>
            <w:shd w:val="clear" w:color="000000" w:fill="ffffff"/>
            <w:tcBorders/>
            <w:tcW w:w="162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ODT: Lâu dài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ODT: Lâu dài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ODT: Lâu dài </w:t>
            </w: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105.337.079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99.500.743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116.477.713</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Hẻm 99/8 Đặng Văn Bi, Phường Trường Thọ, Quận Thủ Đức, Thành phố Hồ Chí Minh (Nay là phường Thủ Đức, TP Hồ Chí Minh) </w:t>
            </w:r>
            <w:r/>
          </w:p>
        </w:tc>
        <w:tc>
          <w:tcPr>
            <w:shd w:val="clear" w:color="000000" w:fill="ffffff"/>
            <w:tcBorders/>
            <w:tcW w:w="162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Hẻm Đặng Văn Bi, Phường Bình Thọ, Quận Thủ Đức, Thành phố Hồ Chí Minh; 10.843022712143295, 106.76330640323845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Hẻm Đặng Văn Bi, Phường Bình Thọ, Quận Thủ Đức, Thành phố Hồ Chí Minh; 10.8444608, 106.7622618</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Hẻm Đặng Văn Bi, Phường Trường Thọ, Quận Thủ Đức, Thành phố Hồ Chí Minh; 10.84469, 106.760428</w:t>
            </w: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105.337.079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99.500.743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116.477.713</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-3.160.112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-3.494.331</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102.176.967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99.500.743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112.983.382</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4,95</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4,84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-3.494.331</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102.176.967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99.500.743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109.489.051</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477,9</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106,8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73,5</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-8.426.966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-7.960.059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-11.647.771</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93.750.001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91.540.684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97.841.280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7,35</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5,83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7.373.596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8.153.440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101.123.597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91.540.684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105.994.720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66,84</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18,32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11,82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14,7</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-7.373.596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-9.950.074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-8.153.440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93.750.001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81.590.610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97.841.280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93.750.001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81.590.610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97.841.280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-5.266.854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-4.975.037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-5.823.886</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88.483.147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76.615.573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92.017.394</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660"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891"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59"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88.483.147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76.615.573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92.017.394</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668" w:type="dxa"/>
            <w:vAlign w:val="center"/>
            <w:textDirection w:val="lrTb"/>
            <w:noWrap w:val="false"/>
          </w:tcPr>
          <w:p>
            <w:pPr>
              <w:pBdr/>
              <w:spacing/>
              <w:ind/>
              <w:jc w:val="center"/>
              <w:rPr>
                <w:b/>
                <w:bCs/>
                <w:color w:val="000000"/>
                <w:sz w:val="22"/>
                <w:szCs w:val="22"/>
              </w:rPr>
            </w:pPr>
            <w:r>
              <w:rPr>
                <w:b/>
                <w:bCs/>
                <w:color w:val="000000" w:themeColor="text1"/>
                <w:lang w:val="vi-VN"/>
              </w:rPr>
            </w:r>
            <w:r>
              <w:rPr>
                <w:rFonts w:ascii="Times New Roman" w:hAnsi="Times New Roman" w:eastAsia="Times New Roman" w:cs="Times New Roman"/>
                <w:b/>
                <w:color w:val="000000"/>
                <w:sz w:val="22"/>
                <w:szCs w:val="22"/>
              </w:rPr>
              <w:t xml:space="preserve">85.129.661</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3,24%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-10,61%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7,36%</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891"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31.601.124</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22.885.170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40.767.199</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sz w:val="22"/>
                <w:szCs w:val="22"/>
              </w:rPr>
            </w:pPr>
            <w:r>
              <w:rPr>
                <w:color w:val="000000" w:themeColor="text1"/>
                <w:sz w:val="22"/>
                <w:szCs w:val="22"/>
              </w:rPr>
              <w:t xml:space="preserve">16.853.932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22.885.170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24.460.319</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-10,61</w:t>
      </w:r>
      <w:r>
        <w:t xml:space="preserve">% đến </w:t>
      </w:r>
      <w:r>
        <w:t xml:space="preserve">7,36</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88.483.147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29.500.281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76.615.573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25.535.970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92.017.394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30.669.397</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sz w:val="24"/>
                <w:szCs w:val="24"/>
              </w:rPr>
            </w:pPr>
            <w:r>
              <w:rPr>
                <w:b/>
                <w:bCs/>
                <w:color w:val="000000" w:themeColor="text1"/>
                <w:lang w:val="vi-VN"/>
              </w:rPr>
            </w:r>
            <w:r>
              <w:rPr>
                <w:rFonts w:ascii="Times New Roman" w:hAnsi="Times New Roman" w:eastAsia="Times New Roman" w:cs="Times New Roman"/>
                <w:b/>
                <w:color w:val="000000"/>
                <w:sz w:val="24"/>
                <w:szCs w:val="24"/>
              </w:rPr>
              <w:t xml:space="preserve">85.129.661 </w:t>
            </w:r>
            <w:r>
              <w:rPr>
                <w:b/>
                <w:bCs/>
                <w:color w:val="000000" w:themeColor="text1"/>
                <w:sz w:val="24"/>
                <w:szCs w:val="24"/>
                <w:lang w:val="vi-VN"/>
              </w:rPr>
            </w:r>
            <w:r>
              <w:rPr>
                <w:b/>
                <w:bCs/>
                <w:color w:val="000000"/>
                <w:sz w:val="24"/>
                <w:szCs w:val="24"/>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85.000.000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85.000.000</w:t>
      </w:r>
      <w:r>
        <w:rPr>
          <w:b/>
          <w:bCs/>
          <w:color w:val="000000" w:themeColor="text1"/>
        </w:rPr>
        <w:t xml:space="preserve"> </w:t>
      </w:r>
      <w:r>
        <w:rPr>
          <w:b/>
          <w:bCs/>
        </w:rPr>
        <w:t xml:space="preserve">đồng/m².</w:t>
      </w:r>
      <w:r>
        <w:rPr>
          <w:b/>
          <w:bCs/>
        </w:rPr>
      </w:r>
      <w:r>
        <w:rPr>
          <w:b/>
          <w:bCs/>
        </w:rPr>
      </w:r>
    </w:p>
    <w:p>
      <w:pPr>
        <w:pStyle w:val="1035"/>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pStyle w:val="1035"/>
        <w:numPr>
          <w:ilvl w:val="0"/>
          <w:numId w:val="43"/>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đơn giá xây mới của công trình xây dựng: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Qua tham khảo thị trường về đơn giá xây dựng mới đối với các công trình, cân nhắc và xem xét với kết cấu của công trình xây dựng hiện có, tổ thẩm định nhận thấy đơn giá vận dụng theo Quyết định số 425/QĐ-BXD ngày 30 tháng 03 năm 2026 của Bộ Xây dựng về việ</w:t>
      </w:r>
      <w:r>
        <w:rPr>
          <w:rFonts w:ascii="Times New Roman" w:hAnsi="Times New Roman" w:eastAsia="Times New Roman" w:cs="Times New Roman"/>
          <w:color w:val="000000"/>
          <w:sz w:val="24"/>
        </w:rPr>
        <w:t xml:space="preserve">c công bố suất vốn đầu tư xây dựng và giá xây dựng tổng hợp bộ phận kết cấu công trình năm 2025 là khá phù hợp với thị trường, cụ thể: </w:t>
      </w:r>
      <w:r/>
    </w:p>
    <w:p>
      <w:pPr>
        <w:numPr>
          <w:ilvl w:val="0"/>
          <w:numId w:val="40"/>
        </w:numPr>
        <w:pBdr>
          <w:top w:val="none" w:color="000000" w:sz="4" w:space="0"/>
          <w:left w:val="none" w:color="000000" w:sz="4" w:space="0"/>
          <w:bottom w:val="none" w:color="000000" w:sz="4" w:space="0"/>
          <w:right w:val="none" w:color="000000" w:sz="4" w:space="0"/>
        </w:pBdr>
        <w:spacing w:line="276" w:lineRule="auto"/>
        <w:ind/>
        <w:rPr/>
      </w:pPr>
      <w:r>
        <w:rPr>
          <w:rFonts w:ascii="Times New Roman" w:hAnsi="Times New Roman" w:eastAsia="Times New Roman" w:cs="Times New Roman"/>
          <w:i/>
          <w:color w:val="000000"/>
          <w:sz w:val="24"/>
        </w:rPr>
        <w:t xml:space="preserve">Đơn giá nhà kiểu biệt thự từ 2 đến 3 tầng, kết cấu khung chịu lực BTCT; tường bao xây gạch; sàn, mái BTCT đổ tại chỗ không có tầng hầm là 10.517.000 đồng/m².</w:t>
      </w:r>
      <w:r/>
    </w:p>
    <w:p>
      <w:pPr>
        <w:numPr>
          <w:ilvl w:val="0"/>
          <w:numId w:val="40"/>
        </w:numPr>
        <w:pBdr>
          <w:top w:val="none" w:color="000000" w:sz="4" w:space="0"/>
          <w:left w:val="none" w:color="000000" w:sz="4" w:space="0"/>
          <w:bottom w:val="none" w:color="000000" w:sz="4" w:space="0"/>
          <w:right w:val="none" w:color="000000" w:sz="4" w:space="0"/>
        </w:pBdr>
        <w:spacing w:line="276" w:lineRule="auto"/>
        <w:ind/>
        <w:rPr/>
      </w:pPr>
      <w:r>
        <w:rPr>
          <w:rFonts w:ascii="Times New Roman" w:hAnsi="Times New Roman" w:eastAsia="Times New Roman" w:cs="Times New Roman"/>
          <w:i/>
          <w:color w:val="000000"/>
          <w:sz w:val="24"/>
        </w:rPr>
        <w:t xml:space="preserve">Hệ số điều chỉnh tại vùng 8 - Thành phố Hồ Chí Minh là 1,064.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Tuy nhiên, qua khảo sát thực tế, công trình xây dựng chỉ hoàn thiện ở phần thô. Do đó, tổ thẩm định xác định tỷ lệ hoàn thiện là 60%. </w:t>
      </w:r>
      <w:r>
        <w:rPr>
          <w:rFonts w:ascii="Times New Roman" w:hAnsi="Times New Roman" w:eastAsia="Times New Roman" w:cs="Times New Roman"/>
          <w:color w:val="000000"/>
          <w:sz w:val="24"/>
        </w:rPr>
        <w:t xml:space="preserve">Như vậy, đơn giá xây mới của công trình xây dựng là: 10.517.000 x 1,064/1,1x 60% = </w:t>
      </w:r>
      <w:r>
        <w:rPr>
          <w:rFonts w:ascii="Times New Roman" w:hAnsi="Times New Roman" w:eastAsia="Times New Roman" w:cs="Times New Roman"/>
          <w:b/>
          <w:bCs/>
          <w:i/>
          <w:iCs/>
          <w:color w:val="000000"/>
          <w:sz w:val="24"/>
        </w:rPr>
        <w:t xml:space="preserve">6.103.684 </w:t>
      </w:r>
      <w:r>
        <w:rPr>
          <w:rFonts w:ascii="Times New Roman" w:hAnsi="Times New Roman" w:eastAsia="Times New Roman" w:cs="Times New Roman"/>
          <w:b/>
          <w:bCs/>
          <w:i/>
          <w:iCs/>
          <w:color w:val="000000"/>
          <w:sz w:val="24"/>
        </w:rPr>
        <w:t xml:space="preserve">đồng/m²</w:t>
      </w:r>
      <w:r>
        <w:rPr>
          <w:rFonts w:ascii="Times New Roman" w:hAnsi="Times New Roman" w:eastAsia="Times New Roman" w:cs="Times New Roman"/>
          <w:i/>
          <w:iCs/>
          <w:color w:val="000000"/>
          <w:sz w:val="24"/>
        </w:rPr>
        <w:t xml:space="preserve">.</w:t>
      </w:r>
      <w:r>
        <w:rPr>
          <w:i/>
          <w:iCs/>
        </w:rPr>
      </w:r>
      <w:r/>
    </w:p>
    <w:p>
      <w:pPr>
        <w:pStyle w:val="1035"/>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tỷ lệ hao mòn của công trình xây dựng: </w:t>
      </w:r>
      <w:r/>
    </w:p>
    <w:p>
      <w:pPr>
        <w:pBdr>
          <w:top w:val="none" w:color="000000" w:sz="4" w:space="0"/>
          <w:left w:val="none" w:color="000000" w:sz="4" w:space="0"/>
          <w:bottom w:val="none" w:color="000000" w:sz="4" w:space="0"/>
          <w:right w:val="none" w:color="000000" w:sz="4" w:space="0"/>
        </w:pBdr>
        <w:spacing w:after="120" w:before="120" w:line="288" w:lineRule="auto"/>
        <w:ind w:right="0" w:firstLine="0" w:left="0"/>
        <w:jc w:val="both"/>
        <w:rPr/>
      </w:pPr>
      <w:r>
        <w:rPr>
          <w:rFonts w:ascii="Times New Roman" w:hAnsi="Times New Roman" w:eastAsia="Times New Roman" w:cs="Times New Roman"/>
          <w:color w:val="000000"/>
          <w:sz w:val="24"/>
        </w:rPr>
        <w:t xml:space="preserve">Tổ thẩm định sử dụng phương pháp chuyên gia để xác định tỷ lệ hao mòn của công trình xây dựng. Theo Văn bản số 1326/BXD-QLN do Bộ Xây dựng ban hành ngày 08/8/2011 về việc hướng dẫn kiểm kê, đánh giá lại giá trị tài sản cố định là nhà, vật kiến trúc như sau</w:t>
      </w:r>
      <w:r>
        <w:rPr>
          <w:rFonts w:ascii="Times New Roman" w:hAnsi="Times New Roman" w:eastAsia="Times New Roman" w:cs="Times New Roman"/>
          <w:color w:val="000000"/>
          <w:sz w:val="24"/>
        </w:rPr>
        <w:t xml:space="preserve">: Tỷ lệ chất lượng còn lại của nhà, vật kiến trúc được xác định căn cứ vào tỷ lệ chất lượng còn lại của các kết cấu chính (nếu là nhà thì kết cấu chính gồm: móng, khung, cột, tường, nền, sàn, kết cấu đỡ mái và mái) tạo nên nhà đó và tỷ lệ giá trị của các k</w:t>
      </w:r>
      <w:r>
        <w:rPr>
          <w:rFonts w:ascii="Times New Roman" w:hAnsi="Times New Roman" w:eastAsia="Times New Roman" w:cs="Times New Roman"/>
          <w:color w:val="000000"/>
          <w:sz w:val="24"/>
        </w:rPr>
        <w:t xml:space="preserve">ết cấu chính đó so với tổng giá trị của nhà hoặc vật kiến trúc.</w:t>
      </w:r>
      <w:r/>
    </w:p>
    <w:p>
      <w:pPr>
        <w:pBdr>
          <w:top w:val="none" w:color="000000" w:sz="4" w:space="0"/>
          <w:left w:val="none" w:color="000000" w:sz="4" w:space="0"/>
          <w:bottom w:val="none" w:color="000000" w:sz="4" w:space="0"/>
          <w:right w:val="none" w:color="000000" w:sz="4" w:space="0"/>
        </w:pBdr>
        <w:spacing w:after="120" w:before="0"/>
        <w:ind w:right="0" w:firstLine="0" w:left="0"/>
        <w:rPr/>
      </w:pPr>
      <w:r>
        <w:rPr>
          <w:rFonts w:ascii="Times New Roman" w:hAnsi="Times New Roman" w:eastAsia="Times New Roman" w:cs="Times New Roman"/>
          <w:color w:val="000000"/>
          <w:sz w:val="24"/>
        </w:rPr>
        <w:t xml:space="preserve">Công thức tính:</w:t>
      </w:r>
      <w:r/>
    </w:p>
    <w:tbl>
      <w:tblPr>
        <w:tblStyle w:val="1039"/>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84"/>
        <w:gridCol w:w="474"/>
        <w:gridCol w:w="650"/>
        <w:gridCol w:w="2550"/>
        <w:gridCol w:w="522"/>
        <w:gridCol w:w="3069"/>
      </w:tblGrid>
      <w:tr>
        <w:trPr>
          <w:trHeight w:val="968"/>
        </w:trPr>
        <w:tc>
          <w:tcPr>
            <w:tcBorders/>
            <w:tcMar>
              <w:left w:w="108" w:type="dxa"/>
              <w:top w:w="0" w:type="dxa"/>
              <w:right w:w="108" w:type="dxa"/>
              <w:bottom w:w="0" w:type="dxa"/>
            </w:tcMar>
            <w:tcW w:w="19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before="0"/>
              <w:ind w:right="0" w:firstLine="0" w:left="0"/>
              <w:jc w:val="center"/>
              <w:rPr/>
            </w:pPr>
            <w:r>
              <w:rPr>
                <w:rFonts w:ascii="Times New Roman" w:hAnsi="Times New Roman" w:eastAsia="Times New Roman" w:cs="Times New Roman"/>
                <w:color w:val="000000"/>
                <w:sz w:val="24"/>
              </w:rPr>
              <w:t xml:space="preserve">Tỷ lệ chất lượng còn lại của nhà, vật kiến trúc (%)</w:t>
            </w:r>
            <w:r/>
          </w:p>
        </w:tc>
        <w:tc>
          <w:tcPr>
            <w:tcBorders/>
            <w:tcMar>
              <w:left w:w="108" w:type="dxa"/>
              <w:top w:w="0" w:type="dxa"/>
              <w:right w:w="108" w:type="dxa"/>
              <w:bottom w:w="0" w:type="dxa"/>
            </w:tcMar>
            <w:tcW w:w="47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before="0"/>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tcBorders>
            <w:tcMar>
              <w:left w:w="108" w:type="dxa"/>
              <w:top w:w="0" w:type="dxa"/>
              <w:right w:w="108" w:type="dxa"/>
              <w:bottom w:w="0" w:type="dxa"/>
            </w:tcMar>
            <w:tcW w:w="6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rPr/>
            </w:pPr>
            <w:r>
              <w:rPr>
                <w:rFonts w:ascii="Times New Roman" w:hAnsi="Times New Roman" w:eastAsia="Times New Roman" w:cs="Times New Roman"/>
                <w:color w:val="000000"/>
                <w:sz w:val="24"/>
              </w:rPr>
              <w:t xml:space="preserve"> </w:t>
            </w:r>
            <w:r/>
          </w:p>
        </w:tc>
        <w:tc>
          <w:tcPr>
            <w:tcBorders>
              <w:bottom w:val="single" w:color="000000" w:sz="8" w:space="0"/>
            </w:tcBorders>
            <w:tcMar>
              <w:left w:w="108" w:type="dxa"/>
              <w:top w:w="0" w:type="dxa"/>
              <w:right w:w="108" w:type="dxa"/>
              <w:bottom w:w="0" w:type="dxa"/>
            </w:tcMar>
            <w:tcW w:w="25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0"/>
              <w:ind w:right="0" w:firstLine="0" w:left="0"/>
              <w:jc w:val="center"/>
              <w:rPr/>
            </w:pPr>
            <w:r>
              <w:rPr>
                <w:rFonts w:ascii="Times New Roman" w:hAnsi="Times New Roman" w:eastAsia="Times New Roman" w:cs="Times New Roman"/>
                <w:color w:val="000000"/>
                <w:sz w:val="24"/>
              </w:rPr>
              <w:t xml:space="preserve">Tỷ lệ chất lượng còn lại của kết cấu chính thức I (%)</w:t>
            </w:r>
            <w:r/>
          </w:p>
        </w:tc>
        <w:tc>
          <w:tcPr>
            <w:tcBorders>
              <w:bottom w:val="single" w:color="000000" w:sz="8" w:space="0"/>
            </w:tcBorders>
            <w:tcMar>
              <w:left w:w="108" w:type="dxa"/>
              <w:top w:w="0" w:type="dxa"/>
              <w:right w:w="108" w:type="dxa"/>
              <w:bottom w:w="0" w:type="dxa"/>
            </w:tcMar>
            <w:tcW w:w="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0"/>
              <w:ind w:right="0" w:firstLine="0" w:left="0"/>
              <w:jc w:val="center"/>
              <w:rPr/>
            </w:pPr>
            <w:r>
              <w:rPr>
                <w:rFonts w:ascii="Times New Roman" w:hAnsi="Times New Roman" w:eastAsia="Times New Roman" w:cs="Times New Roman"/>
                <w:color w:val="000000"/>
                <w:sz w:val="24"/>
              </w:rPr>
              <w:t xml:space="preserve">x</w:t>
            </w:r>
            <w:r/>
          </w:p>
        </w:tc>
        <w:tc>
          <w:tcPr>
            <w:tcBorders>
              <w:bottom w:val="single" w:color="000000" w:sz="8" w:space="0"/>
            </w:tcBorders>
            <w:tcMar>
              <w:left w:w="108" w:type="dxa"/>
              <w:top w:w="0" w:type="dxa"/>
              <w:right w:w="108" w:type="dxa"/>
              <w:bottom w:w="0" w:type="dxa"/>
            </w:tcMar>
            <w:tcW w:w="30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0"/>
              <w:ind w:right="0" w:firstLine="0" w:left="0"/>
              <w:jc w:val="center"/>
              <w:rPr/>
            </w:pPr>
            <w:r>
              <w:rPr>
                <w:rFonts w:ascii="Times New Roman" w:hAnsi="Times New Roman" w:eastAsia="Times New Roman" w:cs="Times New Roman"/>
                <w:color w:val="000000"/>
                <w:sz w:val="24"/>
              </w:rPr>
              <w:t xml:space="preserve">Tỷ lệ giá trị của kết cấu chính thứ I so với tổng giá trị của ngôi nhà hoặc vật kiến trúc (%)</w:t>
            </w:r>
            <w:r/>
          </w:p>
        </w:tc>
      </w:tr>
      <w:tr>
        <w:trPr>
          <w:trHeight w:val="595"/>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6791"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0"/>
              <w:ind w:right="0" w:firstLine="0" w:left="0"/>
              <w:jc w:val="center"/>
              <w:rPr/>
            </w:pPr>
            <w:r>
              <w:rPr>
                <w:rFonts w:ascii="Times New Roman" w:hAnsi="Times New Roman" w:eastAsia="Times New Roman" w:cs="Times New Roman"/>
                <w:color w:val="000000"/>
                <w:sz w:val="24"/>
              </w:rPr>
              <w:t xml:space="preserve">Tổng tỷ lệ giá trị của các kết cấu chính so với tổng giá trị của ngôi nhà hoặc vật kiến trúc (%)</w:t>
            </w:r>
            <w:r/>
          </w:p>
        </w:tc>
      </w:tr>
    </w:tbl>
    <w:p>
      <w:pPr>
        <w:numPr>
          <w:ilvl w:val="0"/>
          <w:numId w:val="41"/>
        </w:numPr>
        <w:pBdr>
          <w:top w:val="none" w:color="000000" w:sz="4" w:space="0"/>
          <w:left w:val="none" w:color="000000" w:sz="4" w:space="0"/>
          <w:bottom w:val="none" w:color="000000" w:sz="4" w:space="0"/>
          <w:right w:val="none" w:color="000000" w:sz="4" w:space="0"/>
        </w:pBdr>
        <w:tabs>
          <w:tab w:val="left" w:leader="none" w:pos="720"/>
        </w:tabs>
        <w:spacing w:after="120" w:before="0"/>
        <w:ind/>
        <w:rPr/>
      </w:pPr>
      <w:r>
        <w:rPr>
          <w:rFonts w:ascii="Times New Roman" w:hAnsi="Times New Roman" w:eastAsia="Times New Roman" w:cs="Times New Roman"/>
          <w:i/>
          <w:color w:val="000000"/>
          <w:sz w:val="24"/>
        </w:rPr>
        <w:t xml:space="preserve">Trong đó:</w:t>
      </w:r>
      <w:r/>
    </w:p>
    <w:p>
      <w:pPr>
        <w:numPr>
          <w:ilvl w:val="0"/>
          <w:numId w:val="41"/>
        </w:numPr>
        <w:pBdr>
          <w:top w:val="none" w:color="000000" w:sz="4" w:space="0"/>
          <w:left w:val="none" w:color="000000" w:sz="4" w:space="0"/>
          <w:bottom w:val="none" w:color="000000" w:sz="4" w:space="0"/>
          <w:right w:val="none" w:color="000000" w:sz="4" w:space="0"/>
        </w:pBdr>
        <w:tabs>
          <w:tab w:val="left" w:leader="none" w:pos="720"/>
        </w:tabs>
        <w:spacing w:after="120" w:before="0"/>
        <w:ind/>
        <w:rPr/>
      </w:pPr>
      <w:r>
        <w:rPr>
          <w:rFonts w:ascii="Times New Roman" w:hAnsi="Times New Roman" w:eastAsia="Times New Roman" w:cs="Times New Roman"/>
          <w:color w:val="000000"/>
          <w:sz w:val="24"/>
        </w:rPr>
        <w:t xml:space="preserve">i: số thứ tự của kết cấu chính</w:t>
      </w:r>
      <w:r/>
    </w:p>
    <w:p>
      <w:pPr>
        <w:numPr>
          <w:ilvl w:val="0"/>
          <w:numId w:val="41"/>
        </w:numPr>
        <w:pBdr>
          <w:top w:val="none" w:color="000000" w:sz="4" w:space="0"/>
          <w:left w:val="none" w:color="000000" w:sz="4" w:space="0"/>
          <w:bottom w:val="none" w:color="000000" w:sz="4" w:space="0"/>
          <w:right w:val="none" w:color="000000" w:sz="4" w:space="0"/>
        </w:pBdr>
        <w:tabs>
          <w:tab w:val="left" w:leader="none" w:pos="720"/>
        </w:tabs>
        <w:spacing w:after="120" w:before="0"/>
        <w:ind/>
        <w:rPr/>
      </w:pPr>
      <w:r>
        <w:rPr>
          <w:rFonts w:ascii="Times New Roman" w:hAnsi="Times New Roman" w:eastAsia="Times New Roman" w:cs="Times New Roman"/>
          <w:color w:val="000000"/>
          <w:sz w:val="24"/>
        </w:rPr>
        <w:t xml:space="preserve">n: số các kết cấu chính</w:t>
      </w:r>
      <w:r>
        <w:rPr>
          <w:rFonts w:ascii="Times New Roman" w:hAnsi="Times New Roman" w:eastAsia="Times New Roman" w:cs="Times New Roman"/>
          <w:sz w:val="24"/>
        </w:rPr>
      </w: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37"/>
        <w:gridCol w:w="3144"/>
        <w:gridCol w:w="1843"/>
        <w:gridCol w:w="1395"/>
        <w:gridCol w:w="2322"/>
      </w:tblGrid>
      <w:tr>
        <w:trPr>
          <w:trHeight w:val="935"/>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1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KẾT CẤU CHÍNH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chất lượng còn lại các kết cấu chính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3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giá trị còn lại các kết cấu chính (%)</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a</w:t>
            </w:r>
            <w:r/>
          </w:p>
        </w:tc>
        <w:tc>
          <w:tcPr>
            <w:tcBorders>
              <w:bottom w:val="single" w:color="000000" w:sz="8" w:space="0"/>
              <w:right w:val="single" w:color="000000" w:sz="8" w:space="0"/>
            </w:tcBorders>
            <w:tcMar>
              <w:left w:w="108" w:type="dxa"/>
              <w:top w:w="0" w:type="dxa"/>
              <w:right w:w="108" w:type="dxa"/>
              <w:bottom w:w="0" w:type="dxa"/>
            </w:tcMar>
            <w:tcW w:w="31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b</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c</w:t>
            </w:r>
            <w:r/>
          </w:p>
        </w:tc>
        <w:tc>
          <w:tcPr>
            <w:tcBorders>
              <w:bottom w:val="single" w:color="000000" w:sz="8" w:space="0"/>
              <w:right w:val="single" w:color="000000" w:sz="8" w:space="0"/>
            </w:tcBorders>
            <w:tcMar>
              <w:left w:w="108" w:type="dxa"/>
              <w:top w:w="0" w:type="dxa"/>
              <w:right w:w="108" w:type="dxa"/>
              <w:bottom w:w="0" w:type="dxa"/>
            </w:tcMar>
            <w:tcW w:w="13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d</w:t>
            </w:r>
            <w:r/>
          </w:p>
        </w:tc>
        <w:tc>
          <w:tcPr>
            <w:tcBorders>
              <w:bottom w:val="single" w:color="000000" w:sz="8" w:space="0"/>
              <w:right w:val="single" w:color="000000" w:sz="8" w:space="0"/>
            </w:tcBorders>
            <w:tcMar>
              <w:left w:w="108" w:type="dxa"/>
              <w:top w:w="0" w:type="dxa"/>
              <w:right w:w="108" w:type="dxa"/>
              <w:bottom w:w="0" w:type="dxa"/>
            </w:tcMar>
            <w:tcW w:w="23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e = c x d/g</w:t>
            </w:r>
            <w:r/>
          </w:p>
        </w:tc>
      </w:tr>
      <w:tr>
        <w:trPr>
          <w:trHeight w:val="32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314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Móng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3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70%</w:t>
            </w:r>
            <w:r/>
          </w:p>
        </w:tc>
        <w:tc>
          <w:tcPr>
            <w:tcBorders>
              <w:bottom w:val="single" w:color="000000" w:sz="8" w:space="0"/>
              <w:right w:val="single" w:color="000000" w:sz="8" w:space="0"/>
            </w:tcBorders>
            <w:tcMar>
              <w:left w:w="108" w:type="dxa"/>
              <w:top w:w="0" w:type="dxa"/>
              <w:right w:w="108" w:type="dxa"/>
              <w:bottom w:w="0" w:type="dxa"/>
            </w:tcMar>
            <w:tcW w:w="23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314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Khung, cột</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3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r>
      <w:tr>
        <w:trPr>
          <w:trHeight w:val="32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314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Tường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13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70%</w:t>
            </w:r>
            <w:r/>
          </w:p>
        </w:tc>
        <w:tc>
          <w:tcPr>
            <w:tcBorders>
              <w:bottom w:val="single" w:color="000000" w:sz="8" w:space="0"/>
              <w:right w:val="single" w:color="000000" w:sz="8" w:space="0"/>
            </w:tcBorders>
            <w:tcMar>
              <w:left w:w="108" w:type="dxa"/>
              <w:top w:w="0" w:type="dxa"/>
              <w:right w:w="108" w:type="dxa"/>
              <w:bottom w:w="0" w:type="dxa"/>
            </w:tcMar>
            <w:tcW w:w="23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22%</w:t>
            </w:r>
            <w:r/>
          </w:p>
        </w:tc>
      </w:tr>
      <w:tr>
        <w:trPr>
          <w:trHeight w:val="32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314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Nền, sàn</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w:t>
            </w:r>
            <w:r/>
          </w:p>
        </w:tc>
        <w:tc>
          <w:tcPr>
            <w:tcBorders>
              <w:bottom w:val="single" w:color="000000" w:sz="8" w:space="0"/>
              <w:right w:val="single" w:color="000000" w:sz="8" w:space="0"/>
            </w:tcBorders>
            <w:tcMar>
              <w:left w:w="108" w:type="dxa"/>
              <w:top w:w="0" w:type="dxa"/>
              <w:right w:w="108" w:type="dxa"/>
              <w:bottom w:w="0" w:type="dxa"/>
            </w:tcMar>
            <w:tcW w:w="13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70%</w:t>
            </w:r>
            <w:r/>
          </w:p>
        </w:tc>
        <w:tc>
          <w:tcPr>
            <w:tcBorders>
              <w:bottom w:val="single" w:color="000000" w:sz="8" w:space="0"/>
              <w:right w:val="single" w:color="000000" w:sz="8" w:space="0"/>
            </w:tcBorders>
            <w:tcMar>
              <w:left w:w="108" w:type="dxa"/>
              <w:top w:w="0" w:type="dxa"/>
              <w:right w:w="108" w:type="dxa"/>
              <w:bottom w:w="0" w:type="dxa"/>
            </w:tcMar>
            <w:tcW w:w="23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314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Kết cấu đỡ mái</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3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r>
      <w:tr>
        <w:trPr>
          <w:trHeight w:val="32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314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Mái</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13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70%</w:t>
            </w:r>
            <w:r/>
          </w:p>
        </w:tc>
        <w:tc>
          <w:tcPr>
            <w:tcBorders>
              <w:bottom w:val="single" w:color="000000" w:sz="8" w:space="0"/>
              <w:right w:val="single" w:color="000000" w:sz="8" w:space="0"/>
            </w:tcBorders>
            <w:tcMar>
              <w:left w:w="108" w:type="dxa"/>
              <w:top w:w="0" w:type="dxa"/>
              <w:right w:w="108" w:type="dxa"/>
              <w:bottom w:w="0" w:type="dxa"/>
            </w:tcMar>
            <w:tcW w:w="23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w:t>
            </w:r>
            <w:r/>
          </w:p>
        </w:tc>
      </w:tr>
      <w:tr>
        <w:trPr>
          <w:trHeight w:val="32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1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Tổng cộng (g)</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57%</w:t>
            </w:r>
            <w:r/>
          </w:p>
        </w:tc>
        <w:tc>
          <w:tcPr>
            <w:tcBorders>
              <w:bottom w:val="single" w:color="000000" w:sz="8" w:space="0"/>
              <w:right w:val="single" w:color="000000" w:sz="8" w:space="0"/>
            </w:tcBorders>
            <w:tcMar>
              <w:left w:w="108" w:type="dxa"/>
              <w:top w:w="0" w:type="dxa"/>
              <w:right w:w="108" w:type="dxa"/>
              <w:bottom w:w="0" w:type="dxa"/>
            </w:tcMar>
            <w:tcW w:w="13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3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314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Tỷ lệ chất lượng còn lại:</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139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3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70%</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line="340" w:lineRule="atLeast"/>
        <w:ind w:right="0" w:firstLine="0" w:left="0"/>
        <w:jc w:val="both"/>
        <w:rPr/>
      </w:pPr>
      <w:r>
        <w:rPr>
          <w:rFonts w:ascii="Times New Roman" w:hAnsi="Times New Roman" w:eastAsia="Times New Roman" w:cs="Times New Roman"/>
          <w:color w:val="000000"/>
          <w:sz w:val="24"/>
        </w:rPr>
        <w:t xml:space="preserve">Tổ thẩm định xác định tỉ lệ hao mòn của tài sản thẩm định là: </w:t>
      </w:r>
      <w:r>
        <w:rPr>
          <w:rFonts w:ascii="Times New Roman" w:hAnsi="Times New Roman" w:eastAsia="Times New Roman" w:cs="Times New Roman"/>
          <w:b/>
          <w:color w:val="000000"/>
          <w:sz w:val="24"/>
        </w:rPr>
        <w:t xml:space="preserve">30%</w:t>
      </w:r>
      <w:r>
        <w:rPr>
          <w:rFonts w:ascii="Times New Roman" w:hAnsi="Times New Roman" w:eastAsia="Times New Roman" w:cs="Times New Roman"/>
          <w:color w:val="000000"/>
          <w:sz w:val="24"/>
        </w:rPr>
        <w:t xml:space="preserve">. Tương đương Tỷ lệ chất lượng còn lại của tài sản là: </w:t>
      </w:r>
      <w:r>
        <w:rPr>
          <w:rFonts w:ascii="Times New Roman" w:hAnsi="Times New Roman" w:eastAsia="Times New Roman" w:cs="Times New Roman"/>
          <w:b/>
          <w:color w:val="000000"/>
          <w:sz w:val="24"/>
        </w:rPr>
        <w:t xml:space="preserve">70%</w:t>
      </w: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BẢNG TÍNH GIÁ TRỊ CÔNG TRÌNH XÂY DỰNG</w:t>
      </w: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020"/>
        <w:gridCol w:w="850"/>
        <w:gridCol w:w="1417"/>
        <w:gridCol w:w="1559"/>
        <w:gridCol w:w="1134"/>
        <w:gridCol w:w="1559"/>
        <w:gridCol w:w="1701"/>
      </w:tblGrid>
      <w:tr>
        <w:trPr>
          <w:trHeight w:val="10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sàn</w:t>
              <w:br/>
              <w:t xml:space="preserve">  (m²</w:t>
            </w:r>
            <w:r>
              <w:rPr>
                <w:rFonts w:ascii="Times New Roman" w:hAnsi="Times New Roman" w:eastAsia="Times New Roman" w:cs="Times New Roman"/>
                <w:b/>
                <w:color w:val="000000"/>
                <w:sz w:val="28"/>
              </w:rPr>
              <w:t xml:space="preserve">)</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xây dựng mới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Chi phí thay thế (đồng)</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Tỷ lệ hao mòn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hao mòn (đồng)</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thẩm định tại thời điểm thẩm định giá (đồng)</w:t>
            </w: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(4) = (2) * (3)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 = (4) - (6)</w:t>
            </w: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0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Nhà biệt thự 3 tầng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85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395,3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6.103.684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2.412.786.429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723.835.929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1.688.950.500</w:t>
            </w:r>
            <w:r/>
          </w:p>
        </w:tc>
      </w:tr>
    </w:tbl>
    <w:p>
      <w:pPr>
        <w:pStyle w:val="1035"/>
        <w:pBdr/>
        <w:spacing w:after="120" w:before="120" w:line="276" w:lineRule="auto"/>
        <w:ind w:left="0"/>
        <w:jc w:val="both"/>
        <w:rPr>
          <w:b/>
          <w:lang w:val="pt-BR"/>
        </w:rPr>
      </w:pPr>
      <w:r>
        <w:rPr>
          <w:b/>
          <w:lang w:val="pt-BR"/>
        </w:rPr>
      </w:r>
      <w:r>
        <w:rPr>
          <w:b/>
          <w:lang w:val="pt-BR"/>
        </w:rPr>
      </w:r>
      <w:r>
        <w:rPr>
          <w:b/>
          <w:lang w:val="pt-BR"/>
        </w:rPr>
      </w:r>
    </w:p>
    <w:p>
      <w:pPr>
        <w:pStyle w:val="103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08/2026</w:t>
      </w:r>
      <w:r>
        <w:t xml:space="preserve"> </w:t>
      </w:r>
      <w:r>
        <w:t xml:space="preserve">ước tính </w:t>
      </w:r>
      <w:r>
        <w:t xml:space="preserve">như sau</w:t>
      </w:r>
      <w:r>
        <w:t xml:space="preserve">:</w:t>
      </w: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37"/>
        <w:gridCol w:w="2037"/>
        <w:gridCol w:w="1360"/>
        <w:gridCol w:w="1738"/>
        <w:gridCol w:w="1585"/>
        <w:gridCol w:w="1984"/>
      </w:tblGrid>
      <w:tr>
        <w:trPr>
          <w:trHeight w:val="68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Diện tích </w:t>
              <w:br/>
              <w:t xml:space="preserve"> (m²)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Đơn giá </w:t>
              <w:br/>
              <w:t xml:space="preserve"> (đồng/m²)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Tỷ lệ CLCL (%)</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Thành tiền </w:t>
              <w:br/>
              <w:t xml:space="preserve"> (đồng)</w:t>
            </w:r>
            <w:r/>
          </w:p>
        </w:tc>
      </w:tr>
      <w:tr>
        <w:trPr>
          <w:trHeight w:val="2507"/>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6720" w:type="dxa"/>
            <w:vAlign w:val="center"/>
            <w:textDirection w:val="lrTb"/>
            <w:noWrap w:val="false"/>
          </w:tcPr>
          <w:p>
            <w:pPr>
              <w:pBdr>
                <w:top w:val="none" w:color="000000" w:sz="4" w:space="0"/>
                <w:left w:val="none" w:color="000000" w:sz="4" w:space="0"/>
                <w:bottom w:val="none" w:color="000000" w:sz="4" w:space="0"/>
                <w:right w:val="none" w:color="000000" w:sz="4" w:space="0"/>
              </w:pBdr>
              <w:spacing w:line="240" w:lineRule="auto"/>
              <w:ind w:right="0" w:firstLine="0" w:left="0"/>
              <w:jc w:val="both"/>
              <w:rPr/>
            </w:pPr>
            <w:r>
              <w:rPr>
                <w:rFonts w:ascii="Times New Roman" w:hAnsi="Times New Roman" w:eastAsia="Times New Roman" w:cs="Times New Roman"/>
                <w:b/>
                <w:color w:val="000000"/>
                <w:sz w:val="24"/>
              </w:rPr>
              <w:t xml:space="preserve">Quyền sử dụng đất và công trình xây dựng tại thửa đất số 443, tờ bản đồ số 47, có địa chỉ: 99/8 Đặng Văn Bi, phường Trường Thọ, thành phố Thủ Đức, Thành phố Hồ Chí Minh (Nay là phường Thủ Đức, Thành phố Hồ Chí Minh) theo Giấy chứng nhận quyền sử dụng đất q</w:t>
            </w:r>
            <w:r>
              <w:rPr>
                <w:rFonts w:ascii="Times New Roman" w:hAnsi="Times New Roman" w:eastAsia="Times New Roman" w:cs="Times New Roman"/>
                <w:b/>
                <w:color w:val="000000"/>
                <w:sz w:val="24"/>
              </w:rPr>
              <w:t xml:space="preserve">uyền sở hữu nhà ở và tài sản khác gắn liền với đất số DR 083424,  số vào sổ cấp GCN: CN3991 do Chi nhánh văn phòng đăng ký đất đai TP. Thủ Đức cấp ngày 17/12/2024.</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 </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Đất ở tại đô thị </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477,9</w:t>
            </w:r>
            <w:r/>
          </w:p>
        </w:tc>
        <w:tc>
          <w:tcPr>
            <w:tcBorders>
              <w:bottom w:val="single" w:color="000000" w:sz="8" w:space="0"/>
              <w:right w:val="single" w:color="000000" w:sz="8" w:space="0"/>
            </w:tcBorders>
            <w:tcMar>
              <w:left w:w="108" w:type="dxa"/>
              <w:top w:w="0" w:type="dxa"/>
              <w:right w:w="108" w:type="dxa"/>
              <w:bottom w:w="0" w:type="dxa"/>
            </w:tcMar>
            <w:tcW w:w="17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85.000.000</w:t>
            </w:r>
            <w:r/>
          </w:p>
        </w:tc>
        <w:tc>
          <w:tcPr>
            <w:tcBorders>
              <w:bottom w:val="single" w:color="000000" w:sz="8" w:space="0"/>
              <w:right w:val="single" w:color="000000" w:sz="8" w:space="0"/>
            </w:tcBorders>
            <w:tcMar>
              <w:left w:w="108" w:type="dxa"/>
              <w:top w:w="0" w:type="dxa"/>
              <w:right w:w="108" w:type="dxa"/>
              <w:bottom w:w="0" w:type="dxa"/>
            </w:tcMar>
            <w:tcW w:w="15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40.621.500.000</w:t>
            </w:r>
            <w:r/>
          </w:p>
        </w:tc>
      </w:tr>
      <w:tr>
        <w:trPr>
          <w:trHeight w:val="34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20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Nhà ở</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395,3</w:t>
            </w:r>
            <w:r/>
          </w:p>
        </w:tc>
        <w:tc>
          <w:tcPr>
            <w:tcBorders>
              <w:bottom w:val="single" w:color="000000" w:sz="8" w:space="0"/>
              <w:right w:val="single" w:color="000000" w:sz="8" w:space="0"/>
            </w:tcBorders>
            <w:tcMar>
              <w:left w:w="108" w:type="dxa"/>
              <w:top w:w="0" w:type="dxa"/>
              <w:right w:w="108" w:type="dxa"/>
              <w:bottom w:w="0" w:type="dxa"/>
            </w:tcMar>
            <w:tcW w:w="17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6.103.684</w:t>
            </w:r>
            <w:r/>
          </w:p>
        </w:tc>
        <w:tc>
          <w:tcPr>
            <w:tcBorders>
              <w:bottom w:val="single" w:color="000000" w:sz="8" w:space="0"/>
              <w:right w:val="single" w:color="000000" w:sz="8" w:space="0"/>
            </w:tcBorders>
            <w:tcMar>
              <w:left w:w="108" w:type="dxa"/>
              <w:top w:w="0" w:type="dxa"/>
              <w:right w:w="108" w:type="dxa"/>
              <w:bottom w:w="0" w:type="dxa"/>
            </w:tcMar>
            <w:tcW w:w="15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70%</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1.688.950.500</w:t>
            </w:r>
            <w:r/>
          </w:p>
        </w:tc>
      </w:tr>
      <w:tr>
        <w:trPr>
          <w:trHeight w:val="46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672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42.310.450.500</w:t>
            </w:r>
            <w:r/>
          </w:p>
        </w:tc>
      </w:tr>
      <w:tr>
        <w:trPr>
          <w:trHeight w:val="460"/>
        </w:trPr>
        <w:tc>
          <w:tcPr>
            <w:tcBorders>
              <w:left w:val="single" w:color="000000" w:sz="8" w:space="0"/>
              <w:bottom w:val="single" w:color="000000" w:sz="8" w:space="0"/>
              <w:right w:val="single" w:color="000000" w:sz="8" w:space="0"/>
            </w:tcBorders>
            <w:tcMar>
              <w:left w:w="108" w:type="dxa"/>
              <w:top w:w="0" w:type="dxa"/>
              <w:right w:w="108" w:type="dxa"/>
              <w:bottom w:w="0" w:type="dxa"/>
            </w:tcMar>
            <w:tcW w:w="53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672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42.310.000.000</w:t>
            </w:r>
            <w:r/>
          </w:p>
        </w:tc>
      </w:tr>
      <w:tr>
        <w:trPr>
          <w:trHeight w:val="420"/>
        </w:trPr>
        <w:tc>
          <w:tcPr>
            <w:gridSpan w:val="6"/>
            <w:tcBorders>
              <w:left w:val="single" w:color="000000" w:sz="8" w:space="0"/>
              <w:bottom w:val="single" w:color="000000" w:sz="8" w:space="0"/>
              <w:right w:val="single" w:color="000000" w:sz="8" w:space="0"/>
            </w:tcBorders>
            <w:tcMar>
              <w:left w:w="108" w:type="dxa"/>
              <w:top w:w="0" w:type="dxa"/>
              <w:right w:w="108" w:type="dxa"/>
              <w:bottom w:w="0" w:type="dxa"/>
            </w:tcMar>
            <w:tcW w:w="924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4"/>
              </w:rPr>
              <w:t xml:space="preserve">Bằng chữ: Bốn mươi hai tỷ ba trăm mười triệu đồng./.</w:t>
            </w:r>
            <w:r/>
          </w:p>
        </w:tc>
      </w:tr>
    </w:tbl>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5"/>
        <w:numPr>
          <w:ilvl w:val="0"/>
          <w:numId w:val="5"/>
        </w:numPr>
        <w:pBdr/>
        <w:tabs>
          <w:tab w:val="left" w:leader="none" w:pos="993"/>
        </w:tabs>
        <w:spacing w:after="120" w:before="120" w:line="288" w:lineRule="auto"/>
        <w:ind/>
        <w:jc w:val="both"/>
        <w:rPr>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spacing w:val="-2"/>
          <w:lang w:val="pt-BR"/>
        </w:rPr>
      </w:r>
      <w:r>
        <w:rPr>
          <w:spacing w:val="-2"/>
          <w:lang w:val="pt-BR"/>
        </w:rPr>
      </w:r>
    </w:p>
    <w:p>
      <w:pPr>
        <w:pStyle w:val="1035"/>
        <w:numPr>
          <w:ilvl w:val="0"/>
          <w:numId w:val="5"/>
        </w:numPr>
        <w:pBdr/>
        <w:tabs>
          <w:tab w:val="left" w:leader="none" w:pos="993"/>
        </w:tabs>
        <w:spacing w:after="120" w:before="120" w:line="288" w:lineRule="auto"/>
        <w:ind/>
        <w:jc w:val="both"/>
        <w:rPr>
          <w:spacing w:val="-2"/>
          <w:lang w:val="pt-BR"/>
        </w:rPr>
      </w:pPr>
      <w:r>
        <w:rPr>
          <w:bCs/>
          <w:spacing w:val="-2"/>
          <w:lang w:val="pt-BR"/>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Meeymap, xác định vị trí tài sản không </w:t>
      </w:r>
      <w:r>
        <w:rPr>
          <w:rFonts w:ascii="Times New Roman" w:hAnsi="Times New Roman" w:eastAsia="Times New Roman" w:cs="Times New Roman"/>
          <w:color w:val="000000"/>
          <w:sz w:val="24"/>
        </w:rPr>
        <w:t xml:space="preserve">có thông tin quy hoạch. Đề nghị Khách hàng sử dụng kết quả lưu ý kiểm tra xác minh thêm thông tin quy hoạch nếu thấy cần thiết. Trong trường hợp Khách hàng/Ngân hàng cung cấp được Văn bản xác nhận rõ tình trạng quy hoạch thì kết quả thẩm định giá cần được </w:t>
      </w:r>
      <w:r>
        <w:rPr>
          <w:rFonts w:ascii="Times New Roman" w:hAnsi="Times New Roman" w:eastAsia="Times New Roman" w:cs="Times New Roman"/>
          <w:color w:val="000000"/>
          <w:sz w:val="24"/>
        </w:rPr>
        <w:t xml:space="preserve">xem xét, điều chỉnh phù hợp, đồng thời chúng tôi bảo lưu quyền xem xét lại kết quả thẩm định giá.</w:t>
      </w:r>
      <w:r>
        <w:rPr>
          <w:spacing w:val="-2"/>
          <w:lang w:val="pt-BR"/>
        </w:rPr>
      </w:r>
      <w:r>
        <w:rPr>
          <w:spacing w:val="-2"/>
          <w:lang w:val="pt-BR"/>
        </w:rPr>
      </w:r>
    </w:p>
    <w:p>
      <w:pPr>
        <w:pStyle w:val="1035"/>
        <w:numPr>
          <w:ilvl w:val="0"/>
          <w:numId w:val="5"/>
        </w:numPr>
        <w:pBdr/>
        <w:tabs>
          <w:tab w:val="left" w:leader="none" w:pos="993"/>
        </w:tabs>
        <w:spacing w:after="120" w:before="120" w:line="288" w:lineRule="auto"/>
        <w:ind/>
        <w:jc w:val="both"/>
        <w:rPr>
          <w:spacing w:val="-2"/>
          <w:lang w:val="pt-BR"/>
        </w:rPr>
      </w:pPr>
      <w:r>
        <w:rPr>
          <w:bCs/>
          <w:spacing w:val="-2"/>
          <w:lang w:val="pt-BR"/>
        </w:rPr>
      </w:r>
      <w:r>
        <w:rPr>
          <w:highlight w:val="white"/>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w:t>
      </w:r>
      <w:r>
        <w:rPr>
          <w:highlight w:val="white"/>
        </w:rPr>
        <w:t xml:space="preserve"> mô tả, nên nguồn định vị các tsss chỉ mang tính chính xác tương đối . Khách hàng và các bên thứ ba khi sử dụng kết quả thẩm định giá cần lưu ý khi sử dụng Chứng thư thẩm định giá.</w:t>
      </w:r>
      <w:r>
        <w:rPr>
          <w:bCs/>
          <w:spacing w:val="-2"/>
          <w:lang w:val="pt-BR"/>
        </w:rPr>
      </w:r>
      <w:r>
        <w:rPr>
          <w:spacing w:val="-2"/>
          <w:lang w:val="pt-BR"/>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5"/>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275/2026/1323/VFI-CT.69.A</w:t>
      </w:r>
      <w:r>
        <w:rPr>
          <w:color w:val="ff0000"/>
          <w:lang w:val="vi-VN"/>
        </w:rPr>
        <w:t xml:space="preserve"> </w:t>
      </w:r>
      <w:r>
        <w:rPr>
          <w:color w:val="000000" w:themeColor="text1"/>
        </w:rPr>
        <w:t xml:space="preserve">ngày 22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Thuỳ Nhật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275/2026/1323/VFI-BC.69.A</w:t>
      </w:r>
      <w:r>
        <w:rPr>
          <w:i/>
        </w:rPr>
        <w:t xml:space="preserve"> ngày</w:t>
      </w:r>
      <w:r>
        <w:rPr>
          <w:i/>
          <w:lang w:val="pt-BR"/>
        </w:rPr>
        <w:t xml:space="preserve"> </w:t>
      </w:r>
      <w:r>
        <w:rPr>
          <w:i/>
          <w:lang w:val="pt-BR"/>
        </w:rPr>
        <w:t xml:space="preserve">22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615093" cy="196755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57906" name=""/>
                              <pic:cNvPicPr>
                                <a:picLocks noChangeAspect="1"/>
                              </pic:cNvPicPr>
                              <pic:nvPr/>
                            </pic:nvPicPr>
                            <pic:blipFill rotWithShape="1">
                              <a:blip r:embed="rId19"/>
                              <a:stretch/>
                            </pic:blipFill>
                            <pic:spPr bwMode="auto">
                              <a:xfrm rot="0" flipH="0" flipV="0">
                                <a:off x="0" y="0"/>
                                <a:ext cx="1615092" cy="19675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27.17pt;height:154.93pt;mso-wrap-distance-left:0.00pt;mso-wrap-distance-top:0.00pt;mso-wrap-distance-right:0.00pt;mso-wrap-distance-bottom:0.00pt;rotation:0;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88562" cy="208923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216658" name=""/>
                              <pic:cNvPicPr>
                                <a:picLocks noChangeAspect="1"/>
                              </pic:cNvPicPr>
                              <pic:nvPr/>
                            </pic:nvPicPr>
                            <pic:blipFill rotWithShape="1">
                              <a:blip r:embed="rId20"/>
                              <a:stretch/>
                            </pic:blipFill>
                            <pic:spPr bwMode="auto">
                              <a:xfrm flipH="0" flipV="0">
                                <a:off x="0" y="0"/>
                                <a:ext cx="2788561" cy="20892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9.57pt;height:164.51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72508" cy="2077208"/>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702072" name=""/>
                              <pic:cNvPicPr>
                                <a:picLocks noChangeAspect="1"/>
                              </pic:cNvPicPr>
                              <pic:nvPr/>
                            </pic:nvPicPr>
                            <pic:blipFill rotWithShape="1">
                              <a:blip r:embed="rId21"/>
                              <a:stretch/>
                            </pic:blipFill>
                            <pic:spPr bwMode="auto">
                              <a:xfrm flipH="0" flipV="0">
                                <a:off x="0" y="0"/>
                                <a:ext cx="2772508" cy="20772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8.31pt;height:163.56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23200" cy="211518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658195" name=""/>
                              <pic:cNvPicPr>
                                <a:picLocks noChangeAspect="1"/>
                              </pic:cNvPicPr>
                              <pic:nvPr/>
                            </pic:nvPicPr>
                            <pic:blipFill rotWithShape="1">
                              <a:blip r:embed="rId22"/>
                              <a:stretch/>
                            </pic:blipFill>
                            <pic:spPr bwMode="auto">
                              <a:xfrm flipH="0" flipV="0">
                                <a:off x="0" y="0"/>
                                <a:ext cx="2823199" cy="21151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2.30pt;height:166.55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78512" cy="200678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267324" name=""/>
                              <pic:cNvPicPr>
                                <a:picLocks noChangeAspect="1"/>
                              </pic:cNvPicPr>
                              <pic:nvPr/>
                            </pic:nvPicPr>
                            <pic:blipFill rotWithShape="1">
                              <a:blip r:embed="rId23"/>
                              <a:stretch/>
                            </pic:blipFill>
                            <pic:spPr bwMode="auto">
                              <a:xfrm flipH="0" flipV="0">
                                <a:off x="0" y="0"/>
                                <a:ext cx="2678511" cy="20067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0.91pt;height:158.01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43143" cy="205520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468157" name=""/>
                              <pic:cNvPicPr>
                                <a:picLocks noChangeAspect="1"/>
                              </pic:cNvPicPr>
                              <pic:nvPr/>
                            </pic:nvPicPr>
                            <pic:blipFill rotWithShape="1">
                              <a:blip r:embed="rId24"/>
                              <a:stretch/>
                            </pic:blipFill>
                            <pic:spPr bwMode="auto">
                              <a:xfrm flipH="0" flipV="0">
                                <a:off x="0" y="0"/>
                                <a:ext cx="2743142" cy="20552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6.00pt;height:161.83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hd w:val="nil" w:color="auto"/>
        <w:spacing/>
        <w:ind/>
        <w:rPr/>
      </w:pPr>
      <w:r/>
      <w:r/>
    </w:p>
    <w:tbl>
      <w:tblPr>
        <w:tblStyle w:val="103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line="360" w:lineRule="auto"/>
              <w:ind/>
              <w:jc w:val="center"/>
              <w:rPr>
                <w:b/>
                <w:bCs/>
                <w:i/>
                <w:lang w:val="pt-BR"/>
              </w:rPr>
            </w:pPr>
            <w:r>
              <w:rPr>
                <w:b/>
                <w:bCs/>
                <w:i/>
                <w:lang w:val="pt-BR"/>
              </w:rPr>
              <w:t xml:space="preserve">Hiện </w:t>
            </w:r>
            <w:r>
              <w:rPr>
                <w:b/>
                <w:bCs/>
                <w:i/>
                <w:lang w:val="pt-BR"/>
              </w:rPr>
              <w:t xml:space="preserve">trạng </w:t>
            </w:r>
            <w:r>
              <w:rPr>
                <w:b/>
                <w:bCs/>
                <w:i/>
                <w:lang w:val="pt-BR"/>
              </w:rPr>
              <w:t xml:space="preserve">tài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line="360" w:lineRule="auto"/>
              <w:ind/>
              <w:jc w:val="center"/>
              <w:rPr>
                <w:b/>
                <w:bCs/>
                <w:i/>
                <w:lang w:val="pt-BR"/>
              </w:rPr>
            </w:pPr>
            <w:r>
              <w:rPr>
                <w:b/>
                <w:bCs/>
                <w:i/>
                <w:lang w:val="pt-BR"/>
              </w:rPr>
              <w:t xml:space="preserve">Hiện </w:t>
            </w:r>
            <w:r>
              <w:rPr>
                <w:b/>
                <w:bCs/>
                <w:i/>
                <w:lang w:val="pt-BR"/>
              </w:rPr>
              <w:t xml:space="preserve">trạng </w:t>
            </w:r>
            <w:r>
              <w:rPr>
                <w:b/>
                <w:bCs/>
                <w:i/>
                <w:lang w:val="pt-BR"/>
              </w:rPr>
              <w:t xml:space="preserve">tài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line="360" w:lineRule="auto"/>
              <w:ind/>
              <w:jc w:val="center"/>
              <w:rPr>
                <w:b/>
                <w:bCs/>
                <w:i/>
                <w:lang w:val="pt-BR"/>
              </w:rPr>
            </w:pPr>
            <w:r>
              <w:rPr>
                <w:i/>
                <w:lang w:val="pt-BR"/>
              </w:rPr>
            </w:r>
            <w:r>
              <mc:AlternateContent>
                <mc:Choice Requires="wpg">
                  <w:drawing>
                    <wp:inline xmlns:wp="http://schemas.openxmlformats.org/drawingml/2006/wordprocessingDrawing" distT="0" distB="0" distL="0" distR="0">
                      <wp:extent cx="2832386" cy="2122069"/>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936487" name=""/>
                              <pic:cNvPicPr>
                                <a:picLocks noChangeAspect="1"/>
                              </pic:cNvPicPr>
                              <pic:nvPr/>
                            </pic:nvPicPr>
                            <pic:blipFill rotWithShape="1">
                              <a:blip r:embed="rId25"/>
                              <a:stretch/>
                            </pic:blipFill>
                            <pic:spPr bwMode="auto">
                              <a:xfrm flipH="0" flipV="0">
                                <a:off x="0" y="0"/>
                                <a:ext cx="2832385" cy="21220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3.02pt;height:167.09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line="360" w:lineRule="auto"/>
              <w:ind/>
              <w:jc w:val="center"/>
              <w:rPr>
                <w:b/>
                <w:bCs/>
                <w:i/>
                <w:lang w:val="pt-BR"/>
              </w:rPr>
            </w:pPr>
            <w:r>
              <w:rPr>
                <w:i/>
                <w:lang w:val="pt-BR"/>
              </w:rPr>
            </w:r>
            <w:r>
              <mc:AlternateContent>
                <mc:Choice Requires="wpg">
                  <w:drawing>
                    <wp:inline xmlns:wp="http://schemas.openxmlformats.org/drawingml/2006/wordprocessingDrawing" distT="0" distB="0" distL="0" distR="0">
                      <wp:extent cx="2879861" cy="2139854"/>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96662" name=""/>
                              <pic:cNvPicPr>
                                <a:picLocks noChangeAspect="1"/>
                              </pic:cNvPicPr>
                              <pic:nvPr/>
                            </pic:nvPicPr>
                            <pic:blipFill rotWithShape="1">
                              <a:blip r:embed="rId26"/>
                              <a:stretch/>
                            </pic:blipFill>
                            <pic:spPr bwMode="auto">
                              <a:xfrm flipH="0" flipV="0">
                                <a:off x="0" y="0"/>
                                <a:ext cx="2879861" cy="21398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6.76pt;height:168.49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line="360" w:lineRule="auto"/>
              <w:ind/>
              <w:jc w:val="center"/>
              <w:rPr/>
            </w:pPr>
            <w:r>
              <w:rPr>
                <w:b/>
                <w:bCs/>
                <w:i/>
                <w:lang w:val="pt-BR"/>
              </w:rPr>
              <w:t xml:space="preserve">Hiện </w:t>
            </w:r>
            <w:r>
              <w:rPr>
                <w:b/>
                <w:bCs/>
                <w:i/>
                <w:lang w:val="pt-BR"/>
              </w:rPr>
              <w:t xml:space="preserve">trạng </w:t>
            </w:r>
            <w:r>
              <w:rPr>
                <w:b/>
                <w:bCs/>
                <w:i/>
                <w:lang w:val="pt-BR"/>
              </w:rPr>
              <w:t xml:space="preserve">tài </w:t>
            </w:r>
            <w:r>
              <w:rPr>
                <w:b/>
                <w:bCs/>
                <w:i/>
                <w:lang w:val="pt-BR"/>
              </w:rPr>
              <w:t xml:space="preserve">sản</w:t>
            </w:r>
            <w:r>
              <w:rPr>
                <w:b/>
                <w:bCs/>
                <w:i/>
                <w:lang w:val="pt-BR"/>
              </w:rPr>
            </w:r>
            <w:r/>
          </w:p>
        </w:tc>
        <w:tc>
          <w:tcPr>
            <w:tcBorders/>
            <w:tcW w:w="4757" w:type="dxa"/>
            <w:vAlign w:val="center"/>
            <w:textDirection w:val="lrTb"/>
            <w:noWrap w:val="false"/>
          </w:tcPr>
          <w:p>
            <w:pPr>
              <w:pBdr/>
              <w:spacing w:line="360" w:lineRule="auto"/>
              <w:ind/>
              <w:jc w:val="center"/>
              <w:rPr/>
            </w:pPr>
            <w:r>
              <w:rPr>
                <w:b/>
                <w:bCs/>
                <w:i/>
                <w:lang w:val="pt-BR"/>
              </w:rPr>
              <w:t xml:space="preserve">Hiện </w:t>
            </w:r>
            <w:r>
              <w:rPr>
                <w:b/>
                <w:bCs/>
                <w:i/>
                <w:lang w:val="pt-BR"/>
              </w:rPr>
              <w:t xml:space="preserve">trạng </w:t>
            </w:r>
            <w:r>
              <w:rPr>
                <w:b/>
                <w:bCs/>
                <w:i/>
                <w:lang w:val="pt-BR"/>
              </w:rPr>
              <w:t xml:space="preserve">tài </w:t>
            </w:r>
            <w:r>
              <w:rPr>
                <w:b/>
                <w:bCs/>
                <w:i/>
                <w:lang w:val="pt-BR"/>
              </w:rPr>
              <w:t xml:space="preserve">sản</w:t>
            </w:r>
            <w:r>
              <w:rPr>
                <w:b/>
                <w:bCs/>
                <w:i/>
                <w:lang w:val="pt-BR"/>
              </w:rPr>
            </w:r>
            <w:r/>
          </w:p>
        </w:tc>
      </w:tr>
      <w:tr>
        <w:trPr/>
        <w:tc>
          <w:tcPr>
            <w:tcBorders/>
            <w:tcW w:w="4758" w:type="dxa"/>
            <w:vAlign w:val="center"/>
            <w:textDirection w:val="lrTb"/>
            <w:noWrap w:val="false"/>
          </w:tcPr>
          <w:p>
            <w:pPr>
              <w:pBdr/>
              <w:spacing w:after="120" w:line="360" w:lineRule="auto"/>
              <w:ind/>
              <w:jc w:val="center"/>
              <w:rPr>
                <w:b/>
                <w:bCs/>
                <w:i/>
                <w:lang w:val="pt-BR"/>
              </w:rPr>
            </w:pPr>
            <w:r>
              <w:rPr>
                <w:i/>
                <w:lang w:val="pt-BR"/>
              </w:rPr>
            </w:r>
            <w:r>
              <mc:AlternateContent>
                <mc:Choice Requires="wpg">
                  <w:drawing>
                    <wp:inline xmlns:wp="http://schemas.openxmlformats.org/drawingml/2006/wordprocessingDrawing" distT="0" distB="0" distL="0" distR="0">
                      <wp:extent cx="2665206" cy="1996816"/>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954234" name=""/>
                              <pic:cNvPicPr>
                                <a:picLocks noChangeAspect="1"/>
                              </pic:cNvPicPr>
                              <pic:nvPr/>
                            </pic:nvPicPr>
                            <pic:blipFill rotWithShape="1">
                              <a:blip r:embed="rId27"/>
                              <a:stretch/>
                            </pic:blipFill>
                            <pic:spPr bwMode="auto">
                              <a:xfrm flipH="0" flipV="0">
                                <a:off x="0" y="0"/>
                                <a:ext cx="2665206" cy="19968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09.86pt;height:157.23pt;mso-wrap-distance-left:0.00pt;mso-wrap-distance-top:0.00pt;mso-wrap-distance-right:0.00pt;mso-wrap-distance-bottom:0.00pt;z-index:1;" stroked="false">
                      <v:imagedata r:id="rId27"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line="360" w:lineRule="auto"/>
              <w:ind/>
              <w:jc w:val="center"/>
              <w:rPr>
                <w:b/>
                <w:bCs/>
                <w:i/>
                <w:lang w:val="pt-BR"/>
              </w:rPr>
            </w:pPr>
            <w:r>
              <w:rPr>
                <w:i/>
                <w:lang w:val="pt-BR"/>
              </w:rPr>
            </w:r>
            <w:r>
              <mc:AlternateContent>
                <mc:Choice Requires="wpg">
                  <w:drawing>
                    <wp:inline xmlns:wp="http://schemas.openxmlformats.org/drawingml/2006/wordprocessingDrawing" distT="0" distB="0" distL="0" distR="0">
                      <wp:extent cx="2720462" cy="2038214"/>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617949" name=""/>
                              <pic:cNvPicPr>
                                <a:picLocks noChangeAspect="1"/>
                              </pic:cNvPicPr>
                              <pic:nvPr/>
                            </pic:nvPicPr>
                            <pic:blipFill rotWithShape="1">
                              <a:blip r:embed="rId28"/>
                              <a:stretch/>
                            </pic:blipFill>
                            <pic:spPr bwMode="auto">
                              <a:xfrm flipH="0" flipV="0">
                                <a:off x="0" y="0"/>
                                <a:ext cx="2720461" cy="20382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14.21pt;height:160.49pt;mso-wrap-distance-left:0.00pt;mso-wrap-distance-top:0.00pt;mso-wrap-distance-right:0.00pt;mso-wrap-distance-bottom:0.00pt;z-index:1;" stroked="false">
                      <v:imagedata r:id="rId28"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line="360" w:lineRule="auto"/>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line="360" w:lineRule="auto"/>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line="360" w:lineRule="auto"/>
              <w:ind/>
              <w:jc w:val="center"/>
              <w:rPr>
                <w:b/>
                <w:bCs/>
                <w:i/>
                <w:lang w:val="pt-BR"/>
              </w:rPr>
            </w:pPr>
            <w:r>
              <w:rPr>
                <w:i/>
                <w:lang w:val="pt-BR"/>
              </w:rPr>
            </w:r>
            <w:r>
              <mc:AlternateContent>
                <mc:Choice Requires="wpg">
                  <w:drawing>
                    <wp:inline xmlns:wp="http://schemas.openxmlformats.org/drawingml/2006/wordprocessingDrawing" distT="0" distB="0" distL="0" distR="0">
                      <wp:extent cx="2637716" cy="197622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384773" name=""/>
                              <pic:cNvPicPr>
                                <a:picLocks noChangeAspect="1"/>
                              </pic:cNvPicPr>
                              <pic:nvPr/>
                            </pic:nvPicPr>
                            <pic:blipFill rotWithShape="1">
                              <a:blip r:embed="rId29"/>
                              <a:stretch/>
                            </pic:blipFill>
                            <pic:spPr bwMode="auto">
                              <a:xfrm flipH="0" flipV="0">
                                <a:off x="0" y="0"/>
                                <a:ext cx="2637716" cy="19762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7.69pt;height:155.61pt;mso-wrap-distance-left:0.00pt;mso-wrap-distance-top:0.00pt;mso-wrap-distance-right:0.00pt;mso-wrap-distance-bottom:0.00pt;z-index:1;" stroked="false">
                      <v:imagedata r:id="rId2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line="360" w:lineRule="auto"/>
              <w:ind/>
              <w:jc w:val="center"/>
              <w:rPr>
                <w:b/>
                <w:bCs/>
                <w:i/>
                <w:lang w:val="pt-BR"/>
              </w:rPr>
            </w:pPr>
            <w:r>
              <w:rPr>
                <w:i/>
                <w:lang w:val="pt-BR"/>
              </w:rPr>
            </w:r>
            <w:r>
              <mc:AlternateContent>
                <mc:Choice Requires="wpg">
                  <w:drawing>
                    <wp:inline xmlns:wp="http://schemas.openxmlformats.org/drawingml/2006/wordprocessingDrawing" distT="0" distB="0" distL="0" distR="0">
                      <wp:extent cx="2679940" cy="200785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515697" name=""/>
                              <pic:cNvPicPr>
                                <a:picLocks noChangeAspect="1"/>
                              </pic:cNvPicPr>
                              <pic:nvPr/>
                            </pic:nvPicPr>
                            <pic:blipFill rotWithShape="1">
                              <a:blip r:embed="rId30"/>
                              <a:stretch/>
                            </pic:blipFill>
                            <pic:spPr bwMode="auto">
                              <a:xfrm flipH="0" flipV="0">
                                <a:off x="0" y="0"/>
                                <a:ext cx="2679940" cy="20078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11.02pt;height:158.10pt;mso-wrap-distance-left:0.00pt;mso-wrap-distance-top:0.00pt;mso-wrap-distance-right:0.00pt;mso-wrap-distance-bottom:0.00pt;z-index:1;" stroked="false">
                      <v:imagedata r:id="rId30" o:title=""/>
                      <o:lock v:ext="edit" rotation="t"/>
                    </v:shape>
                  </w:pict>
                </mc:Fallback>
              </mc:AlternateContent>
            </w:r>
            <w:r>
              <w:rPr>
                <w:b/>
                <w:bCs/>
                <w:i/>
                <w:lang w:val="pt-BR"/>
              </w:rPr>
            </w:r>
            <w:r>
              <w:rPr>
                <w:b/>
                <w:bCs/>
                <w:i/>
                <w:lang w:val="pt-BR"/>
              </w:rPr>
            </w:r>
          </w:p>
        </w:tc>
      </w:tr>
    </w:tbl>
    <w:p>
      <w:pPr>
        <w:pBdr/>
        <w:spacing w:after="200" w:line="276" w:lineRule="auto"/>
        <w:ind/>
        <w:rPr/>
      </w:pPr>
      <w:r>
        <w:rPr>
          <w:highlight w:val="none"/>
        </w:rPr>
      </w:r>
      <w:r>
        <w:rPr>
          <w:highlight w:val="none"/>
        </w:rPr>
      </w:r>
      <w:r/>
    </w:p>
    <w:p>
      <w:pPr>
        <w:pBdr/>
        <w:shd w:val="nil" w:color="auto"/>
        <w:spacing/>
        <w:ind/>
        <w:rPr>
          <w:bCs/>
          <w:i/>
          <w:lang w:val="pt-BR"/>
        </w:rPr>
      </w:pPr>
      <w:r>
        <w:rPr>
          <w:b/>
          <w:highlight w:val="none"/>
        </w:rPr>
        <w:br w:type="page" w:clear="all"/>
      </w:r>
      <w:r>
        <w:rPr>
          <w:bCs/>
          <w:i/>
          <w:lang w:val="pt-BR"/>
        </w:rPr>
      </w:r>
      <w:r>
        <w:rPr>
          <w:bCs/>
          <w:i/>
          <w:lang w:val="pt-BR"/>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275/2026/1323/VFI-BC.69.A</w:t>
      </w:r>
      <w:r>
        <w:rPr>
          <w:i/>
        </w:rPr>
        <w:t xml:space="preserve"> ngày</w:t>
      </w:r>
      <w:r>
        <w:rPr>
          <w:i/>
          <w:lang w:val="pt-BR"/>
        </w:rPr>
        <w:t xml:space="preserve"> </w:t>
      </w:r>
      <w:r>
        <w:rPr>
          <w:i/>
          <w:lang w:val="pt-BR"/>
        </w:rPr>
        <w:t xml:space="preserve">22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223"/>
        <w:gridCol w:w="576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https://web.facebook.com/groups/1451943655430894/permalink/1873255496633039/?rdid=lYDBYZOF2fXRojMI#</w:t>
            </w:r>
            <w:r>
              <w:rPr>
                <w:color w:val="000000" w:themeColor="text1"/>
                <w:sz w:val="22"/>
                <w:szCs w:val="22"/>
              </w:rPr>
              <w:br/>
              <w:t xml:space="preserve">0978505213</w:t>
            </w:r>
            <w:r>
              <w:rPr>
                <w:sz w:val="22"/>
                <w:szCs w:val="22"/>
              </w:rPr>
              <w:t xml:space="preserve"> </w:t>
            </w:r>
            <w:r>
              <w:rPr>
                <w:sz w:val="22"/>
                <w:szCs w:val="22"/>
              </w:rPr>
              <w:br/>
              <w:t xml:space="preserve">(Danh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12.500.000.000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11.250.000.000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(106,8m²)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Hẻm</w:t>
            </w:r>
            <w:r>
              <w:rPr>
                <w:color w:val="000000" w:themeColor="text1"/>
                <w:sz w:val="22"/>
                <w:szCs w:val="22"/>
              </w:rPr>
              <w:t xml:space="preserve"> Đặng Văn Bi, Phường Bình Thọ, Quận Thủ Đức, Thành phố Hồ Chí Minh, 10.843022712143295, 106.76330640323845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106,8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5,83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57665" cy="2037619"/>
                      <wp:effectExtent l="0" t="0" r="0" b="0"/>
                      <wp:docPr id="19" name=""/>
                      <wp:cNvGraphicFramePr/>
                      <a:graphic xmlns:a="http://schemas.openxmlformats.org/drawingml/2006/main">
                        <a:graphicData uri="http://schemas.openxmlformats.org/drawingml/2006/picture">
                          <pic:pic xmlns:pic="http://schemas.openxmlformats.org/drawingml/2006/picture">
                            <pic:nvPicPr>
                              <pic:cNvPr id="1779610561" name="" descr=""/>
                              <pic:cNvPicPr/>
                              <pic:nvPr/>
                            </pic:nvPicPr>
                            <pic:blipFill rotWithShape="1">
                              <a:blip r:embed="rId31"/>
                              <a:stretch/>
                            </pic:blipFill>
                            <pic:spPr bwMode="auto">
                              <a:xfrm flipH="0" flipV="0">
                                <a:off x="0" y="0"/>
                                <a:ext cx="2757664" cy="203761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7.14pt;height:160.44pt;mso-wrap-distance-left:0.00pt;mso-wrap-distance-top:0.00pt;mso-wrap-distance-right:0.00pt;mso-wrap-distance-bottom:0.00pt;z-index:1;" stroked="false">
                      <v:imagedata r:id="rId31"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527670" cy="2037619"/>
                      <wp:effectExtent l="0" t="0" r="0" b="0"/>
                      <wp:docPr id="20" name=""/>
                      <wp:cNvGraphicFramePr/>
                      <a:graphic xmlns:a="http://schemas.openxmlformats.org/drawingml/2006/main">
                        <a:graphicData uri="http://schemas.openxmlformats.org/drawingml/2006/picture">
                          <pic:pic xmlns:pic="http://schemas.openxmlformats.org/drawingml/2006/picture">
                            <pic:nvPicPr>
                              <pic:cNvPr id="387943607" name="" descr=""/>
                              <pic:cNvPicPr/>
                              <pic:nvPr/>
                            </pic:nvPicPr>
                            <pic:blipFill rotWithShape="1">
                              <a:blip r:embed="rId32"/>
                              <a:stretch/>
                            </pic:blipFill>
                            <pic:spPr bwMode="auto">
                              <a:xfrm flipH="0" flipV="0">
                                <a:off x="0" y="0"/>
                                <a:ext cx="2527669" cy="203761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99.03pt;height:160.44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mc:AlternateContent>
                <mc:Choice Requires="wpg">
                  <w:drawing>
                    <wp:inline xmlns:wp="http://schemas.openxmlformats.org/drawingml/2006/wordprocessingDrawing" distT="0" distB="0" distL="0" distR="0">
                      <wp:extent cx="1538143" cy="769072"/>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61083" name=""/>
                              <pic:cNvPicPr>
                                <a:picLocks noChangeAspect="1"/>
                              </pic:cNvPicPr>
                              <pic:nvPr/>
                            </pic:nvPicPr>
                            <pic:blipFill rotWithShape="1">
                              <a:blip r:embed="rId33"/>
                              <a:stretch/>
                            </pic:blipFill>
                            <pic:spPr bwMode="auto">
                              <a:xfrm rot="0" flipH="0" flipV="0">
                                <a:off x="0" y="0"/>
                                <a:ext cx="1538142" cy="7690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21.11pt;height:60.56pt;mso-wrap-distance-left:0.00pt;mso-wrap-distance-top:0.00pt;mso-wrap-distance-right:0.00pt;mso-wrap-distance-bottom:0.00pt;rotation:0;z-index:1;" stroked="false">
                      <v:imagedata r:id="rId33" o:title=""/>
                      <o:lock v:ext="edit" rotation="t"/>
                    </v:shape>
                  </w:pict>
                </mc:Fallback>
              </mc:AlternateContent>
            </w:r>
            <w:r/>
          </w:p>
          <w:p>
            <w:pPr>
              <w:pBdr/>
              <w:spacing/>
              <w:ind/>
              <w:jc w:val="center"/>
              <w:rPr/>
            </w:pPr>
            <w:r>
              <w:t xml:space="preserve">Nguyễn Thuỳ Nhật Anh</w:t>
            </w:r>
            <w:r/>
          </w:p>
          <w:p>
            <w:pPr>
              <w:pBdr/>
              <w:spacing/>
              <w:ind/>
              <w:jc w:val="center"/>
              <w:rPr/>
            </w:pPr>
            <w:r/>
            <w:r/>
          </w:p>
        </w:tc>
      </w:tr>
    </w:tbl>
    <w:p>
      <w:pPr>
        <w:pBdr/>
        <w:spacing/>
        <w:ind/>
        <w:rPr/>
      </w:pPr>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081"/>
        <w:gridCol w:w="590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jc w:val="left"/>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https://batdongsan.com.vn/ban-nha-rieng-duong-dang-van-bi-phuong-truong-tho-2-71/chdv-hem-xe-hoi-3-tang-uong-ang-thu-hon-30trieu-thang-gan-ga-metro-ngang-8-5m-pr46190809</w:t>
            </w:r>
            <w:r>
              <w:rPr>
                <w:color w:val="000000" w:themeColor="text1"/>
                <w:sz w:val="22"/>
                <w:szCs w:val="22"/>
              </w:rPr>
              <w:br/>
              <w:t xml:space="preserve">0906605278</w:t>
            </w:r>
            <w:r>
              <w:rPr>
                <w:sz w:val="22"/>
                <w:szCs w:val="22"/>
              </w:rPr>
              <w:t xml:space="preserve"> </w:t>
            </w:r>
            <w:r>
              <w:rPr>
                <w:sz w:val="22"/>
                <w:szCs w:val="22"/>
              </w:rPr>
              <w:t xml:space="preserve">(Thy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13.000.000.000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11.700.000.000</w:t>
            </w:r>
            <w:r>
              <w:rPr>
                <w:sz w:val="22"/>
                <w:szCs w:val="22"/>
              </w:rPr>
            </w:r>
            <w:r>
              <w:rPr>
                <w:sz w:val="22"/>
                <w:szCs w:val="22"/>
              </w:rPr>
            </w:r>
          </w:p>
        </w:tc>
      </w:tr>
      <w:tr>
        <w:trPr>
          <w:trHeight w:val="231"/>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(100,5m²)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Hẻm</w:t>
            </w:r>
            <w:r>
              <w:rPr>
                <w:color w:val="000000" w:themeColor="text1"/>
                <w:sz w:val="22"/>
                <w:szCs w:val="22"/>
              </w:rPr>
              <w:t xml:space="preserve"> Đặng Văn Bi, Phường Bình Thọ, Quận Thủ Đức, Thành phố Hồ Chí Minh; 10.8444608, 106.7622618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100,5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8,5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676324" cy="1896341"/>
                      <wp:effectExtent l="0" t="0" r="0" b="0"/>
                      <wp:docPr id="22" name=""/>
                      <wp:cNvGraphicFramePr/>
                      <a:graphic xmlns:a="http://schemas.openxmlformats.org/drawingml/2006/main">
                        <a:graphicData uri="http://schemas.openxmlformats.org/drawingml/2006/picture">
                          <pic:pic xmlns:pic="http://schemas.openxmlformats.org/drawingml/2006/picture">
                            <pic:nvPicPr>
                              <pic:cNvPr id="837692435" name="" descr=""/>
                              <pic:cNvPicPr/>
                              <pic:nvPr/>
                            </pic:nvPicPr>
                            <pic:blipFill rotWithShape="1">
                              <a:blip r:embed="rId34"/>
                              <a:stretch/>
                            </pic:blipFill>
                            <pic:spPr bwMode="auto">
                              <a:xfrm flipH="0" flipV="0">
                                <a:off x="0" y="0"/>
                                <a:ext cx="3676322" cy="18963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89.47pt;height:149.32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mc:AlternateContent>
                <mc:Choice Requires="wpg">
                  <w:drawing>
                    <wp:inline xmlns:wp="http://schemas.openxmlformats.org/drawingml/2006/wordprocessingDrawing" distT="0" distB="0" distL="0" distR="0">
                      <wp:extent cx="1842901" cy="921451"/>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103436" name=""/>
                              <pic:cNvPicPr>
                                <a:picLocks noChangeAspect="1"/>
                              </pic:cNvPicPr>
                              <pic:nvPr/>
                            </pic:nvPicPr>
                            <pic:blipFill rotWithShape="1">
                              <a:blip r:embed="rId33"/>
                              <a:stretch/>
                            </pic:blipFill>
                            <pic:spPr bwMode="auto">
                              <a:xfrm rot="0" flipH="0" flipV="0">
                                <a:off x="0" y="0"/>
                                <a:ext cx="1842900" cy="9214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45.11pt;height:72.56pt;mso-wrap-distance-left:0.00pt;mso-wrap-distance-top:0.00pt;mso-wrap-distance-right:0.00pt;mso-wrap-distance-bottom:0.00pt;rotation:0;z-index:1;" stroked="false">
                      <v:imagedata r:id="rId33" o:title=""/>
                      <o:lock v:ext="edit" rotation="t"/>
                    </v:shape>
                  </w:pict>
                </mc:Fallback>
              </mc:AlternateContent>
            </w:r>
            <w:r/>
          </w:p>
          <w:p>
            <w:pPr>
              <w:pBdr/>
              <w:spacing/>
              <w:ind/>
              <w:jc w:val="center"/>
              <w:rPr/>
            </w:pPr>
            <w:r>
              <w:t xml:space="preserve">Nguyễn Thuỳ Nhật Anh</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2939"/>
        <w:gridCol w:w="6048"/>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https://batdongsan.com.vn/ban-nha-rieng-duong-dang-van-bi-phuong-truong-tho-2-71/ngop-chu-inh-cu-ban-gap-3-tang-kien-co-73m2-ngang-5m-cach-ang-chi-70m-hem-xe-tai-pr46032096</w:t>
            </w:r>
            <w:r>
              <w:rPr>
                <w:color w:val="000000" w:themeColor="text1"/>
                <w:sz w:val="22"/>
                <w:szCs w:val="22"/>
              </w:rPr>
              <w:br/>
            </w:r>
            <w:r>
              <w:rPr>
                <w:sz w:val="22"/>
                <w:szCs w:val="22"/>
              </w:rPr>
              <w:t xml:space="preserve">SĐT: </w:t>
            </w:r>
            <w:r>
              <w:rPr>
                <w:color w:val="000000" w:themeColor="text1"/>
                <w:sz w:val="22"/>
                <w:szCs w:val="22"/>
              </w:rPr>
              <w:t xml:space="preserve">0933167499</w:t>
            </w:r>
            <w:r>
              <w:rPr>
                <w:sz w:val="22"/>
                <w:szCs w:val="22"/>
              </w:rPr>
              <w:t xml:space="preserve"> </w:t>
            </w:r>
            <w:r>
              <w:rPr>
                <w:sz w:val="22"/>
                <w:szCs w:val="22"/>
              </w:rPr>
              <w:t xml:space="preserve">(Tuyền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11.000.000.000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9.900.000.000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w:t>
            </w:r>
            <w:r>
              <w:rPr>
                <w:color w:val="000000" w:themeColor="text1"/>
                <w:sz w:val="22"/>
                <w:szCs w:val="22"/>
              </w:rPr>
              <w:t xml:space="preserve">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(73,5m²)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Đặng Văn Bi, Phường Trường Thọ, Quận Thủ Đức, Thành phố Hồ Chí Minh; 10.84469, 106.760428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73,5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left"/>
              <w:rPr>
                <w:b/>
                <w:bCs/>
                <w:color w:val="000000"/>
                <w:sz w:val="22"/>
                <w:szCs w:val="22"/>
              </w:rPr>
            </w:pPr>
            <w:r>
              <w:rPr>
                <w:b/>
                <w:bCs/>
                <w:color w:val="000000"/>
                <w:sz w:val="22"/>
                <w:szCs w:val="22"/>
              </w:rPr>
            </w:r>
            <w:r>
              <w:rPr>
                <w:color w:val="000000"/>
                <w:sz w:val="22"/>
                <w:szCs w:val="22"/>
              </w:rPr>
              <mc:AlternateContent>
                <mc:Choice Requires="wpg">
                  <w:drawing>
                    <wp:inline xmlns:wp="http://schemas.openxmlformats.org/drawingml/2006/wordprocessingDrawing" distT="0" distB="0" distL="0" distR="0">
                      <wp:extent cx="2931642" cy="2240240"/>
                      <wp:effectExtent l="0" t="0" r="0" b="0"/>
                      <wp:docPr id="24" name=""/>
                      <wp:cNvGraphicFramePr/>
                      <a:graphic xmlns:a="http://schemas.openxmlformats.org/drawingml/2006/main">
                        <a:graphicData uri="http://schemas.openxmlformats.org/drawingml/2006/picture">
                          <pic:pic xmlns:pic="http://schemas.openxmlformats.org/drawingml/2006/picture">
                            <pic:nvPicPr>
                              <pic:cNvPr id="1783521797" name="" descr=""/>
                              <pic:cNvPicPr/>
                              <pic:nvPr/>
                            </pic:nvPicPr>
                            <pic:blipFill rotWithShape="1">
                              <a:blip r:embed="rId35"/>
                              <a:stretch/>
                            </pic:blipFill>
                            <pic:spPr bwMode="auto">
                              <a:xfrm flipH="0" flipV="0">
                                <a:off x="0" y="0"/>
                                <a:ext cx="2931642" cy="22402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30.84pt;height:176.40pt;mso-wrap-distance-left:0.00pt;mso-wrap-distance-top:0.00pt;mso-wrap-distance-right:0.00pt;mso-wrap-distance-bottom:0.00pt;z-index:1;" stroked="false">
                      <v:imagedata r:id="rId35"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316847" cy="2240240"/>
                      <wp:effectExtent l="0" t="0" r="0" b="0"/>
                      <wp:docPr id="25" name=""/>
                      <wp:cNvGraphicFramePr/>
                      <a:graphic xmlns:a="http://schemas.openxmlformats.org/drawingml/2006/main">
                        <a:graphicData uri="http://schemas.openxmlformats.org/drawingml/2006/picture">
                          <pic:pic xmlns:pic="http://schemas.openxmlformats.org/drawingml/2006/picture">
                            <pic:nvPicPr>
                              <pic:cNvPr id="2036905082" name="" descr=""/>
                              <pic:cNvPicPr/>
                              <pic:nvPr/>
                            </pic:nvPicPr>
                            <pic:blipFill rotWithShape="1">
                              <a:blip r:embed="rId36"/>
                              <a:stretch/>
                            </pic:blipFill>
                            <pic:spPr bwMode="auto">
                              <a:xfrm rot="0" flipH="0" flipV="0">
                                <a:off x="0" y="0"/>
                                <a:ext cx="2316846" cy="22402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82.43pt;height:176.40pt;mso-wrap-distance-left:0.00pt;mso-wrap-distance-top:0.00pt;mso-wrap-distance-right:0.00pt;mso-wrap-distance-bottom:0.00pt;rotation:0;z-index:1;" stroked="false">
                      <v:imagedata r:id="rId36" o:title=""/>
                      <o:lock v:ext="edit" rotation="t"/>
                    </v:shape>
                  </w:pict>
                </mc:Fallback>
              </mc:AlternateContent>
            </w:r>
            <w:r>
              <w:rPr>
                <w:b/>
                <w:bCs/>
                <w:color w:val="000000"/>
                <w:sz w:val="22"/>
                <w:szCs w:val="22"/>
              </w:rPr>
            </w:r>
            <w:r>
              <w:rPr>
                <w:b/>
                <w:bCs/>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left"/>
              <w:rPr/>
            </w:pPr>
            <w:r/>
            <w:r/>
          </w:p>
          <w:p>
            <w:pPr>
              <w:pBdr/>
              <w:spacing/>
              <w:ind/>
              <w:jc w:val="center"/>
              <w:rPr/>
            </w:pPr>
            <w:r>
              <mc:AlternateContent>
                <mc:Choice Requires="wpg">
                  <w:drawing>
                    <wp:inline xmlns:wp="http://schemas.openxmlformats.org/drawingml/2006/wordprocessingDrawing" distT="0" distB="0" distL="0" distR="0">
                      <wp:extent cx="1842901" cy="92145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361847" name=""/>
                              <pic:cNvPicPr>
                                <a:picLocks noChangeAspect="1"/>
                              </pic:cNvPicPr>
                              <pic:nvPr/>
                            </pic:nvPicPr>
                            <pic:blipFill rotWithShape="1">
                              <a:blip r:embed="rId33"/>
                              <a:stretch/>
                            </pic:blipFill>
                            <pic:spPr bwMode="auto">
                              <a:xfrm flipH="0" flipV="0">
                                <a:off x="0" y="0"/>
                                <a:ext cx="1842900" cy="9214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45.11pt;height:72.56pt;mso-wrap-distance-left:0.00pt;mso-wrap-distance-top:0.00pt;mso-wrap-distance-right:0.00pt;mso-wrap-distance-bottom:0.00pt;z-index:1;" stroked="false">
                      <v:imagedata r:id="rId33" o:title=""/>
                      <o:lock v:ext="edit" rotation="t"/>
                    </v:shape>
                  </w:pict>
                </mc:Fallback>
              </mc:AlternateContent>
            </w:r>
            <w:r/>
          </w:p>
          <w:p>
            <w:pPr>
              <w:pBdr/>
              <w:spacing/>
              <w:ind/>
              <w:jc w:val="center"/>
              <w:rPr/>
            </w:pPr>
            <w:r>
              <w:t xml:space="preserve">Nguyễn Thuỳ Nhật Anh</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lang w:val="pt-BR"/>
        </w:rPr>
      </w:r>
      <w:r>
        <w:rPr>
          <w:lang w:val="pt-BR"/>
        </w:rPr>
      </w:r>
      <w:r>
        <w:rPr>
          <w:lang w:val="pt-BR"/>
        </w:rPr>
      </w:r>
    </w:p>
    <w:p>
      <w:pPr>
        <w:pBdr/>
        <w:spacing w:after="200" w:line="276" w:lineRule="auto"/>
        <w:ind/>
        <w:jc w:val="center"/>
        <w:rPr>
          <w:b/>
          <w:bCs/>
        </w:rPr>
      </w:pPr>
      <w:r>
        <w:rPr>
          <w:b/>
          <w:bCs/>
          <w:iCs/>
          <w:lang w:val="pt-BR"/>
        </w:rPr>
        <w:t xml:space="preserve">Hồ </w:t>
      </w:r>
      <w:r>
        <w:rPr>
          <w:b/>
          <w:bCs/>
          <w:iCs/>
          <w:lang w:val="pt-BR"/>
        </w:rPr>
        <w:t xml:space="preserve">sơ </w:t>
      </w:r>
      <w:r>
        <w:rPr>
          <w:b/>
          <w:bCs/>
          <w:iCs/>
          <w:lang w:val="pt-BR"/>
        </w:rPr>
        <w:t xml:space="preserve">pháp </w:t>
      </w:r>
      <w:r>
        <w:rPr>
          <w:b/>
          <w:bCs/>
          <w:iCs/>
          <w:lang w:val="pt-BR"/>
        </w:rPr>
        <w:t xml:space="preserve">lý</w:t>
      </w:r>
      <w:r>
        <w:rPr>
          <w:b/>
          <w:bCs/>
          <w:iCs/>
          <w:lang w:val="pt-BR"/>
        </w:rPr>
      </w:r>
      <w:r>
        <w:rPr>
          <w:b/>
          <w:bCs/>
        </w:rPr>
      </w:r>
    </w:p>
    <w:p>
      <w:pPr>
        <w:pBdr/>
        <w:spacing w:after="200" w:line="276" w:lineRule="auto"/>
        <w:ind/>
        <w:rPr>
          <w:iCs/>
          <w:highlight w:val="none"/>
          <w:lang w:val="pt-BR"/>
        </w:rPr>
      </w:pPr>
      <w:r>
        <w:rPr>
          <w:iCs/>
          <w:lang w:val="pt-BR"/>
        </w:rPr>
      </w:r>
      <w:r>
        <mc:AlternateContent>
          <mc:Choice Requires="wpg">
            <w:drawing>
              <wp:inline xmlns:wp="http://schemas.openxmlformats.org/drawingml/2006/wordprocessingDrawing" distT="0" distB="0" distL="0" distR="0">
                <wp:extent cx="6048375" cy="8375980"/>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078573" name=""/>
                        <pic:cNvPicPr>
                          <a:picLocks noChangeAspect="1"/>
                        </pic:cNvPicPr>
                        <pic:nvPr/>
                      </pic:nvPicPr>
                      <pic:blipFill rotWithShape="1">
                        <a:blip r:embed="rId37"/>
                        <a:stretch/>
                      </pic:blipFill>
                      <pic:spPr bwMode="auto">
                        <a:xfrm>
                          <a:off x="0" y="0"/>
                          <a:ext cx="6048374" cy="83759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25pt;height:659.53pt;mso-wrap-distance-left:0.00pt;mso-wrap-distance-top:0.00pt;mso-wrap-distance-right:0.00pt;mso-wrap-distance-bottom:0.00pt;z-index:1;" stroked="false">
                <v:imagedata r:id="rId37" o:title=""/>
                <o:lock v:ext="edit" rotation="t"/>
              </v:shape>
            </w:pict>
          </mc:Fallback>
        </mc:AlternateContent>
      </w:r>
      <w:r>
        <w:rPr>
          <w:iCs/>
          <w:lang w:val="pt-BR"/>
        </w:rPr>
      </w:r>
      <w:r>
        <w:rPr>
          <w:iCs/>
          <w:highlight w:val="none"/>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467725"/>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091821" name=""/>
                        <pic:cNvPicPr>
                          <a:picLocks noChangeAspect="1"/>
                        </pic:cNvPicPr>
                        <pic:nvPr/>
                      </pic:nvPicPr>
                      <pic:blipFill rotWithShape="1">
                        <a:blip r:embed="rId38"/>
                        <a:stretch/>
                      </pic:blipFill>
                      <pic:spPr bwMode="auto">
                        <a:xfrm>
                          <a:off x="0" y="0"/>
                          <a:ext cx="6048374" cy="84677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25pt;height:666.75pt;mso-wrap-distance-left:0.00pt;mso-wrap-distance-top:0.00pt;mso-wrap-distance-right:0.00pt;mso-wrap-distance-bottom:0.00pt;z-index:1;" stroked="false">
                <v:imagedata r:id="rId38" o:title=""/>
                <o:lock v:ext="edit" rotation="t"/>
              </v:shape>
            </w:pict>
          </mc:Fallback>
        </mc:AlternateContent>
      </w:r>
      <w:r>
        <w:rPr>
          <w:lang w:val="pt-BR"/>
        </w:rPr>
      </w:r>
      <w:r>
        <w:rPr>
          <w:highlight w:val="none"/>
          <w:lang w:val="pt-BR" w:bidi="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443939"/>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831000" name=""/>
                        <pic:cNvPicPr>
                          <a:picLocks noChangeAspect="1"/>
                        </pic:cNvPicPr>
                        <pic:nvPr/>
                      </pic:nvPicPr>
                      <pic:blipFill rotWithShape="1">
                        <a:blip r:embed="rId39"/>
                        <a:stretch/>
                      </pic:blipFill>
                      <pic:spPr bwMode="auto">
                        <a:xfrm>
                          <a:off x="0" y="0"/>
                          <a:ext cx="6048374" cy="84439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76.25pt;height:664.88pt;mso-wrap-distance-left:0.00pt;mso-wrap-distance-top:0.00pt;mso-wrap-distance-right:0.00pt;mso-wrap-distance-bottom:0.00pt;z-index:1;" stroked="false">
                <v:imagedata r:id="rId39" o:title=""/>
                <o:lock v:ext="edit" rotation="t"/>
              </v:shape>
            </w:pict>
          </mc:Fallback>
        </mc:AlternateContent>
      </w:r>
      <w:r>
        <w:rPr>
          <w:lang w:val="pt-BR"/>
        </w:rPr>
      </w:r>
      <w:r>
        <w:rPr>
          <w:highlight w:val="none"/>
          <w:lang w:val="pt-BR" w:bidi="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386402"/>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525109" name=""/>
                        <pic:cNvPicPr>
                          <a:picLocks noChangeAspect="1"/>
                        </pic:cNvPicPr>
                        <pic:nvPr/>
                      </pic:nvPicPr>
                      <pic:blipFill rotWithShape="1">
                        <a:blip r:embed="rId40"/>
                        <a:stretch/>
                      </pic:blipFill>
                      <pic:spPr bwMode="auto">
                        <a:xfrm>
                          <a:off x="0" y="0"/>
                          <a:ext cx="6048374" cy="83864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76.25pt;height:660.35pt;mso-wrap-distance-left:0.00pt;mso-wrap-distance-top:0.00pt;mso-wrap-distance-right:0.00pt;mso-wrap-distance-bottom:0.00pt;z-index:1;" stroked="false">
                <v:imagedata r:id="rId40" o:title=""/>
                <o:lock v:ext="edit" rotation="t"/>
              </v:shape>
            </w:pict>
          </mc:Fallback>
        </mc:AlternateContent>
      </w:r>
      <w:r>
        <w:rPr>
          <w:lang w:val="pt-BR"/>
        </w:rPr>
      </w:r>
      <w:r>
        <w:rPr>
          <w:highlight w:val="none"/>
          <w:lang w:val="pt-BR" w:bidi="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450444"/>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18478" name=""/>
                        <pic:cNvPicPr>
                          <a:picLocks noChangeAspect="1"/>
                        </pic:cNvPicPr>
                        <pic:nvPr/>
                      </pic:nvPicPr>
                      <pic:blipFill rotWithShape="1">
                        <a:blip r:embed="rId41"/>
                        <a:stretch/>
                      </pic:blipFill>
                      <pic:spPr bwMode="auto">
                        <a:xfrm>
                          <a:off x="0" y="0"/>
                          <a:ext cx="6048374" cy="84504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476.25pt;height:665.39pt;mso-wrap-distance-left:0.00pt;mso-wrap-distance-top:0.00pt;mso-wrap-distance-right:0.00pt;mso-wrap-distance-bottom:0.00pt;z-index:1;" stroked="false">
                <v:imagedata r:id="rId41" o:title=""/>
                <o:lock v:ext="edit" rotation="t"/>
              </v:shape>
            </w:pict>
          </mc:Fallback>
        </mc:AlternateContent>
      </w:r>
      <w:r>
        <w:rPr>
          <w:lang w:val="pt-BR"/>
        </w:rPr>
      </w:r>
      <w:r>
        <w:rPr>
          <w:highlight w:val="none"/>
          <w:lang w:val="pt-BR" w:bidi="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344359"/>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967838" name=""/>
                        <pic:cNvPicPr>
                          <a:picLocks noChangeAspect="1"/>
                        </pic:cNvPicPr>
                        <pic:nvPr/>
                      </pic:nvPicPr>
                      <pic:blipFill rotWithShape="1">
                        <a:blip r:embed="rId42"/>
                        <a:stretch/>
                      </pic:blipFill>
                      <pic:spPr bwMode="auto">
                        <a:xfrm>
                          <a:off x="0" y="0"/>
                          <a:ext cx="6048374" cy="83443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476.25pt;height:657.04pt;mso-wrap-distance-left:0.00pt;mso-wrap-distance-top:0.00pt;mso-wrap-distance-right:0.00pt;mso-wrap-distance-bottom:0.00pt;z-index:1;" stroked="false">
                <v:imagedata r:id="rId42" o:title=""/>
                <o:lock v:ext="edit" rotation="t"/>
              </v:shape>
            </w:pict>
          </mc:Fallback>
        </mc:AlternateContent>
      </w:r>
      <w:r>
        <w:rPr>
          <w:lang w:val="pt-BR"/>
        </w:rPr>
      </w:r>
      <w:r>
        <w:rPr>
          <w:highlight w:val="none"/>
          <w:lang w:val="pt-BR" w:bidi="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jc w:val="center"/>
        <w:rPr>
          <w:b/>
          <w:bCs/>
          <w:highlight w:val="none"/>
          <w:lang w:val="pt-BR" w:bidi="pt-BR"/>
        </w:rPr>
      </w:pPr>
      <w:r>
        <w:rPr>
          <w:b/>
          <w:bCs/>
          <w:iCs/>
          <w:highlight w:val="none"/>
          <w:lang w:val="pt-BR" w:bidi="pt-BR"/>
        </w:rPr>
        <w:t xml:space="preserve">B</w:t>
      </w:r>
      <w:r>
        <w:rPr>
          <w:b/>
          <w:bCs/>
          <w:iCs/>
          <w:highlight w:val="none"/>
          <w:lang w:val="pt-BR" w:bidi="pt-BR"/>
        </w:rPr>
        <w:t xml:space="preserve">iên </w:t>
      </w:r>
      <w:r>
        <w:rPr>
          <w:b/>
          <w:bCs/>
          <w:iCs/>
          <w:highlight w:val="none"/>
          <w:lang w:val="pt-BR" w:bidi="pt-BR"/>
        </w:rPr>
        <w:t xml:space="preserve">bản </w:t>
      </w:r>
      <w:r>
        <w:rPr>
          <w:b/>
          <w:bCs/>
          <w:iCs/>
          <w:highlight w:val="none"/>
          <w:lang w:val="pt-BR" w:bidi="pt-BR"/>
        </w:rPr>
        <w:t xml:space="preserve">khảo </w:t>
      </w:r>
      <w:r>
        <w:rPr>
          <w:b/>
          <w:bCs/>
          <w:iCs/>
          <w:highlight w:val="none"/>
          <w:lang w:val="pt-BR" w:bidi="pt-BR"/>
        </w:rPr>
        <w:t xml:space="preserve">sát</w:t>
      </w:r>
      <w:r>
        <w:rPr>
          <w:b/>
          <w:bCs/>
        </w:rPr>
      </w:r>
      <w:r>
        <w:rPr>
          <w:b/>
          <w:bCs/>
          <w:highlight w:val="none"/>
          <w:lang w:val="pt-BR" w:bidi="pt-BR"/>
        </w:rPr>
      </w:r>
    </w:p>
    <w:p>
      <w:pPr>
        <w:pBdr/>
        <w:spacing w:after="200" w:line="276" w:lineRule="auto"/>
        <w:ind/>
        <w:jc w:val="center"/>
        <w:rPr>
          <w:b/>
          <w:bCs/>
        </w:rPr>
      </w:pPr>
      <w:r>
        <w:rPr>
          <w:b/>
          <w:bCs/>
          <w:iCs/>
          <w:highlight w:val="none"/>
          <w:lang w:val="pt-BR" w:bidi="pt-BR"/>
        </w:rPr>
      </w:r>
      <w:r>
        <mc:AlternateContent>
          <mc:Choice Requires="wpg">
            <w:drawing>
              <wp:inline xmlns:wp="http://schemas.openxmlformats.org/drawingml/2006/wordprocessingDrawing" distT="0" distB="0" distL="0" distR="0">
                <wp:extent cx="6048375" cy="8512281"/>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731939" name=""/>
                        <pic:cNvPicPr>
                          <a:picLocks noChangeAspect="1"/>
                        </pic:cNvPicPr>
                        <pic:nvPr/>
                      </pic:nvPicPr>
                      <pic:blipFill rotWithShape="1">
                        <a:blip r:embed="rId43"/>
                        <a:stretch/>
                      </pic:blipFill>
                      <pic:spPr bwMode="auto">
                        <a:xfrm>
                          <a:off x="0" y="0"/>
                          <a:ext cx="6048374" cy="8512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476.25pt;height:670.26pt;mso-wrap-distance-left:0.00pt;mso-wrap-distance-top:0.00pt;mso-wrap-distance-right:0.00pt;mso-wrap-distance-bottom:0.00pt;z-index:1;" stroked="false">
                <v:imagedata r:id="rId43" o:title=""/>
                <o:lock v:ext="edit" rotation="t"/>
              </v:shape>
            </w:pict>
          </mc:Fallback>
        </mc:AlternateContent>
      </w:r>
      <w:r>
        <w:rPr>
          <w:b/>
          <w:bCs/>
          <w:iCs/>
          <w:highlight w:val="none"/>
          <w:lang w:val="pt-BR" w:bidi="pt-BR"/>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A8F2BB3"/>
    <w:lvl w:ilvl="0">
      <w:isLgl w:val="false"/>
      <w:lvlJc w:val="left"/>
      <w:lvlText w:val="v"/>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5404D77C"/>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9">
    <w:nsid w:val="2F824166"/>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Wingdings" w:hAnsi="Wingdings" w:eastAsia="Wingdings" w:cs="Wingdings"/>
      </w:rPr>
      <w:start w:val="1"/>
      <w:suff w:val="tab"/>
    </w:lvl>
    <w:lvl w:ilvl="4">
      <w:isLgl w:val="false"/>
      <w:lvlJc w:val="left"/>
      <w:lvlText w:val=""/>
      <w:numFmt w:val="bullet"/>
      <w:pPr>
        <w:pBdr/>
        <w:spacing/>
        <w:ind w:hanging="360" w:left="3600"/>
      </w:pPr>
      <w:rPr>
        <w:rFonts w:hint="default" w:ascii="Wingdings" w:hAnsi="Wingdings" w:eastAsia="Wingdings" w:cs="Wingdings"/>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Wingdings" w:hAnsi="Wingdings" w:eastAsia="Wingdings" w:cs="Wingdings"/>
      </w:rPr>
      <w:start w:val="1"/>
      <w:suff w:val="tab"/>
    </w:lvl>
    <w:lvl w:ilvl="7">
      <w:isLgl w:val="false"/>
      <w:lvlJc w:val="left"/>
      <w:lvlText w:val=""/>
      <w:numFmt w:val="bullet"/>
      <w:pPr>
        <w:pBdr/>
        <w:spacing/>
        <w:ind w:hanging="360" w:left="5760"/>
      </w:pPr>
      <w:rPr>
        <w:rFonts w:hint="default" w:ascii="Wingdings" w:hAnsi="Wingdings" w:eastAsia="Wingdings" w:cs="Wingdings"/>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0">
    <w:nsid w:val="1A109422"/>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7F7ABDBE"/>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jp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Thuỳ Nhật Anh</cp:lastModifiedBy>
  <cp:revision>513</cp:revision>
  <dcterms:created xsi:type="dcterms:W3CDTF">2025-09-15T02:01:00Z</dcterms:created>
  <dcterms:modified xsi:type="dcterms:W3CDTF">2026-09-17T03:39:24Z</dcterms:modified>
</cp:coreProperties>
</file>