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highlight w:val="white"/>
        </w:rPr>
      </w:pPr>
      <w:r>
        <w:rPr>
          <w:b/>
          <w:sz w:val="28"/>
          <w:highlight w:val="white"/>
          <w:lang w:val="vi-VN"/>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bCs/>
          <w:sz w:val="28"/>
          <w:szCs w:val="28"/>
          <w:highlight w:val="white"/>
        </w:rPr>
      </w:pPr>
      <w:r>
        <w:rPr>
          <w:b/>
          <w:sz w:val="28"/>
          <w:highlight w:val="white"/>
        </w:rPr>
      </w:r>
      <w:r>
        <w:rPr>
          <w:b/>
          <w:bCs/>
          <w:sz w:val="28"/>
          <w:szCs w:val="28"/>
          <w:highlight w:val="white"/>
        </w:rPr>
      </w:r>
      <w:r>
        <w:rPr>
          <w:b/>
          <w:bCs/>
          <w:sz w:val="28"/>
          <w:szCs w:val="28"/>
          <w:highlight w:val="white"/>
        </w:rPr>
      </w:r>
    </w:p>
    <w:p>
      <w:pPr>
        <w:pBdr/>
        <w:spacing/>
        <w:ind w:right="-1"/>
        <w:jc w:val="center"/>
        <w:rPr>
          <w:b/>
          <w:bCs/>
          <w:sz w:val="28"/>
          <w:szCs w:val="28"/>
          <w:highlight w:val="white"/>
        </w:rPr>
      </w:pPr>
      <w:r>
        <w:rPr>
          <w:b/>
          <w:sz w:val="28"/>
          <w:highlight w:val="white"/>
        </w:rPr>
      </w:r>
      <w:r>
        <w:rPr>
          <w:b/>
          <w:bCs/>
          <w:sz w:val="28"/>
          <w:szCs w:val="28"/>
          <w:highlight w:val="white"/>
        </w:rPr>
      </w:r>
      <w:r>
        <w:rPr>
          <w:b/>
          <w:bCs/>
          <w:sz w:val="28"/>
          <w:szCs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73446"/>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7344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275/2026/1384/VFI-CT.44.A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Quang Huy</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và tài sản gắn liền với đất tại thửa đất số: 375, tờ bản đồ số: 35, có địa chỉ: Đ</w:t>
                            </w:r>
                            <w:r>
                              <w:rPr>
                                <w:color w:val="000000"/>
                              </w:rPr>
                              <w:t xml:space="preserve">oàn Kết, phường Vạn Phúc, quận Hà Đông (nay là phường Hà Đông), thành phố Hà Nội theo Giấy chứng nhận q</w:t>
                            </w:r>
                            <w:r>
                              <w:rPr>
                                <w:color w:val="000000"/>
                              </w:rPr>
                              <w:t xml:space="preserve">uyền sử dụng đất, quyền sở hữu nhà ở  và tài sản khác gắn liền với đất số: DO963740, Số vào sổ cấp GCN: CN-03085 do Chi nhánh văn phòng đăng ký đất đai Hà Nội quận Hà Đông cấp ngày 31/07/2024; chủ sử dụng đất là Ông Nguyễn Quang Huy và bà Phạm Thị Ngọc Thu</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9.2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275/2026/1384/VFI-CT.44.A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Quang Huy</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và tài sản gắn liền với đất tại thửa đất số: 375, tờ bản đồ số: 35, có địa chỉ: Đ</w:t>
                      </w:r>
                      <w:r>
                        <w:rPr>
                          <w:color w:val="000000"/>
                        </w:rPr>
                        <w:t xml:space="preserve">oàn Kết, phường Vạn Phúc, quận Hà Đông (nay là phường Hà Đông), thành phố Hà Nội theo Giấy chứng nhận q</w:t>
                      </w:r>
                      <w:r>
                        <w:rPr>
                          <w:color w:val="000000"/>
                        </w:rPr>
                        <w:t xml:space="preserve">uyền sử dụng đất, quyền sở hữu nhà ở  và tài sản khác gắn liền với đất số: DO963740, Số vào sổ cấp GCN: CN-03085 do Chi nhánh văn phòng đăng ký đất đai Hà Nội quận Hà Đông cấp ngày 31/07/2024; chủ sử dụng đất là Ông Nguyễn Quang Huy và bà Phạm Thị Ngọc Thu</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 + </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24 - 29</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30 </w:t>
            </w:r>
            <w:r>
              <w:rPr>
                <w:b/>
                <w:bCs/>
                <w:highlight w:val="white"/>
              </w:rPr>
              <w:t xml:space="preserve">- 34</w:t>
            </w:r>
            <w:r>
              <w:rPr>
                <w:b/>
                <w:bCs/>
                <w:highlight w:val="white"/>
              </w:rPr>
            </w:r>
            <w:r>
              <w:rPr>
                <w:b/>
                <w:bCs/>
                <w:highlight w:val="white"/>
              </w:rPr>
            </w:r>
          </w:p>
        </w:tc>
      </w:tr>
    </w:tbl>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40"/>
        <w:pBdr/>
        <w:tabs>
          <w:tab w:val="left" w:leader="none" w:pos="5103"/>
        </w:tabs>
        <w:spacing w:line="360" w:lineRule="auto"/>
        <w:ind/>
        <w:rPr>
          <w:b/>
          <w:sz w:val="22"/>
          <w:szCs w:val="22"/>
          <w:highlight w:val="white"/>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rPr>
      </w:r>
    </w:p>
    <w:tbl>
      <w:tblPr>
        <w:tblInd w:w="-255" w:type="dxa"/>
        <w:tblW w:w="10070" w:type="dxa"/>
        <w:tblBorders/>
        <w:tblLayout w:type="fixed"/>
        <w:tblLook w:val="04A0" w:firstRow="1" w:lastRow="0" w:firstColumn="1" w:lastColumn="0" w:noHBand="0" w:noVBand="1"/>
      </w:tblPr>
      <w:tblGrid>
        <w:gridCol w:w="1829"/>
        <w:gridCol w:w="2388"/>
        <w:gridCol w:w="5846"/>
        <w:gridCol w:w="7"/>
      </w:tblGrid>
      <w:tr>
        <w:trPr>
          <w:trHeight w:val="1152"/>
        </w:trPr>
        <w:tc>
          <w:tcPr>
            <w:tcBorders/>
            <w:tcW w:w="1829"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highlight w:val="white"/>
                <w:lang w:eastAsia="zh-CN"/>
              </w:rPr>
            </w:r>
            <w:r>
              <w:rPr>
                <w:i/>
                <w:szCs w:val="26"/>
                <w:highlight w:val="white"/>
              </w:rPr>
            </w:r>
          </w:p>
        </w:tc>
        <w:tc>
          <w:tcPr>
            <w:gridSpan w:val="3"/>
            <w:tcBorders/>
            <w:tcW w:w="8241"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31"/>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After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40"/>
              <w:pBdr/>
              <w:spacing w:after="60"/>
              <w:ind/>
              <w:rPr>
                <w:color w:val="000000" w:themeColor="text1"/>
                <w:sz w:val="24"/>
                <w:szCs w:val="24"/>
                <w:highlight w:val="white"/>
              </w:rPr>
            </w:pPr>
            <w:r>
              <w:rPr>
                <w:rStyle w:val="1039"/>
                <w:rFonts w:ascii="Times New Roman" w:hAnsi="Times New Roman"/>
                <w:color w:val="000000" w:themeColor="text1"/>
                <w:highlight w:val="white"/>
                <w:lang w:val="pt-BR"/>
              </w:rPr>
              <w:t xml:space="preserve">Số: </w:t>
            </w:r>
            <w:r>
              <w:rPr>
                <w:rStyle w:val="1039"/>
                <w:rFonts w:ascii="Times New Roman" w:hAnsi="Times New Roman"/>
                <w:color w:val="000000" w:themeColor="text1"/>
                <w:highlight w:val="white"/>
                <w:lang w:val="pt-BR"/>
              </w:rPr>
              <w:t xml:space="preserve">275/2026/1384/VFI-CT.44.A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846" w:type="dxa"/>
            <w:textDirection w:val="lrTb"/>
            <w:noWrap w:val="false"/>
          </w:tcPr>
          <w:p>
            <w:pPr>
              <w:pStyle w:val="1040"/>
              <w:pBdr/>
              <w:spacing w:after="60"/>
              <w:ind w:right="-56"/>
              <w:jc w:val="right"/>
              <w:rPr>
                <w:color w:val="000000" w:themeColor="text1"/>
                <w:sz w:val="24"/>
                <w:szCs w:val="24"/>
                <w:highlight w:val="white"/>
              </w:rPr>
            </w:pPr>
            <w:r>
              <w:rPr>
                <w:rStyle w:val="1039"/>
                <w:rFonts w:ascii="Times New Roman" w:hAnsi="Times New Roman"/>
                <w:i/>
                <w:color w:val="auto"/>
                <w:highlight w:val="white"/>
              </w:rPr>
              <w:t xml:space="preserve">TP. Hà Nội</w:t>
            </w:r>
            <w:r>
              <w:rPr>
                <w:rStyle w:val="1039"/>
                <w:rFonts w:ascii="Times New Roman" w:hAnsi="Times New Roman"/>
                <w:i/>
                <w:color w:val="auto"/>
                <w:highlight w:val="white"/>
                <w:lang w:val="vi-VN"/>
              </w:rPr>
              <w:t xml:space="preserve">, </w:t>
            </w:r>
            <w:r>
              <w:rPr>
                <w:rStyle w:val="1039"/>
                <w:rFonts w:ascii="Times New Roman" w:hAnsi="Times New Roman"/>
                <w:i/>
                <w:color w:val="000000" w:themeColor="text1"/>
                <w:highlight w:val="white"/>
                <w:lang w:val="vi-VN"/>
              </w:rPr>
              <w:t xml:space="preserve">ngày 7 tháng 9 năm 2026</w:t>
            </w:r>
            <w:r>
              <w:rPr>
                <w:color w:val="000000" w:themeColor="text1"/>
                <w:sz w:val="24"/>
                <w:szCs w:val="24"/>
                <w:highlight w:val="white"/>
                <w:lang w:val="vi-VN"/>
              </w:rPr>
            </w:r>
            <w:r>
              <w:rPr>
                <w:color w:val="000000" w:themeColor="text1"/>
                <w:sz w:val="24"/>
                <w:szCs w:val="24"/>
                <w:highlight w:val="white"/>
              </w:rPr>
            </w:r>
          </w:p>
        </w:tc>
      </w:tr>
    </w:tbl>
    <w:p>
      <w:pPr>
        <w:pStyle w:val="1040"/>
        <w:pBdr/>
        <w:spacing w:after="120" w:before="200" w:line="288" w:lineRule="auto"/>
        <w:ind/>
        <w:jc w:val="center"/>
        <w:rPr>
          <w:rStyle w:val="1039"/>
          <w:rFonts w:ascii="Times New Roman" w:hAnsi="Times New Roman"/>
          <w:b/>
          <w:bCs/>
          <w:color w:val="auto"/>
          <w:sz w:val="30"/>
          <w:szCs w:val="30"/>
          <w:highlight w:val="white"/>
        </w:rPr>
      </w:pPr>
      <w:r>
        <w:rPr>
          <w:rStyle w:val="1039"/>
          <w:rFonts w:ascii="Times New Roman" w:hAnsi="Times New Roman"/>
          <w:b/>
          <w:bCs/>
          <w:color w:val="auto"/>
          <w:sz w:val="30"/>
          <w:szCs w:val="30"/>
          <w:highlight w:val="white"/>
          <w:lang w:val="vi-VN"/>
        </w:rPr>
        <w:t xml:space="preserve">CHỨNG THƯ THẨM ĐỊNH GIÁ</w:t>
      </w:r>
      <w:r>
        <w:rPr>
          <w:rStyle w:val="1039"/>
          <w:rFonts w:ascii="Times New Roman" w:hAnsi="Times New Roman"/>
          <w:b/>
          <w:bCs/>
          <w:color w:val="auto"/>
          <w:sz w:val="30"/>
          <w:szCs w:val="30"/>
          <w:highlight w:val="white"/>
          <w:lang w:val="vi-VN"/>
        </w:rPr>
      </w:r>
      <w:r>
        <w:rPr>
          <w:rStyle w:val="1039"/>
          <w:rFonts w:ascii="Times New Roman" w:hAnsi="Times New Roman"/>
          <w:b/>
          <w:bCs/>
          <w:color w:val="auto"/>
          <w:sz w:val="30"/>
          <w:szCs w:val="30"/>
          <w:highlight w:val="white"/>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Ông Nguyễn Quang Huy</w:t>
      </w:r>
      <w:r>
        <w:rPr>
          <w:rFonts w:ascii="Times New Roman Bold" w:hAnsi="Times New Roman Bold"/>
          <w:b/>
          <w:highlight w:val="white"/>
          <w:lang w:val="pt-BR"/>
        </w:rPr>
      </w:r>
      <w:r>
        <w:rPr>
          <w:rFonts w:ascii="Times New Roman Bold" w:hAnsi="Times New Roman Bold"/>
          <w:b/>
          <w:highlight w:val="white"/>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275/2026/1384/VFI-HĐTĐ.44.A</w:t>
      </w:r>
      <w:r>
        <w:rPr>
          <w:spacing w:val="-4"/>
          <w:highlight w:val="white"/>
          <w:lang w:val="vi-VN"/>
        </w:rPr>
        <w:t xml:space="preserve"> ký ngày 10</w:t>
      </w:r>
      <w:r>
        <w:rPr>
          <w:color w:val="000000" w:themeColor="text1"/>
          <w:spacing w:val="-4"/>
          <w:highlight w:val="white"/>
        </w:rPr>
        <w:t xml:space="preserve"> tháng 08 năm 2026</w:t>
      </w:r>
      <w:r>
        <w:rPr>
          <w:spacing w:val="-4"/>
          <w:highlight w:val="white"/>
          <w:lang w:val="vi-VN"/>
        </w:rPr>
        <w:t xml:space="preserve"> </w:t>
      </w:r>
      <w:r>
        <w:rPr>
          <w:spacing w:val="-4"/>
          <w:highlight w:val="white"/>
          <w:lang w:val="vi-VN"/>
        </w:rPr>
        <w:t xml:space="preserve">giữa </w:t>
      </w:r>
      <w:r>
        <w:rPr>
          <w:color w:val="000000" w:themeColor="text1"/>
          <w:spacing w:val="-4"/>
          <w:highlight w:val="white"/>
        </w:rPr>
        <w:t xml:space="preserve">Ông Nguyễn Quang Huy</w:t>
      </w:r>
      <w:r>
        <w:rPr>
          <w:bCs/>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275/2026/1384/VFI-BC.44.A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7 tháng 9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4964" w:type="pct"/>
        <w:tblBorders/>
        <w:tblLayout w:type="fixed"/>
        <w:tblLook w:val="04A0" w:firstRow="1" w:lastRow="0" w:firstColumn="1" w:lastColumn="0" w:noHBand="0" w:noVBand="1"/>
      </w:tblPr>
      <w:tblGrid>
        <w:gridCol w:w="2234"/>
        <w:gridCol w:w="283"/>
        <w:gridCol w:w="6940"/>
      </w:tblGrid>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ind/>
              <w:rPr>
                <w:highlight w:val="white"/>
              </w:rPr>
            </w:pPr>
            <w:r>
              <w:rPr>
                <w:b/>
                <w:bCs/>
                <w:highlight w:val="white"/>
              </w:rPr>
              <w:t xml:space="preserve">ÔNG NGUYỄN QUANG HUY</w:t>
            </w:r>
            <w:r>
              <w:rPr>
                <w:highlight w:val="white"/>
              </w:rPr>
            </w:r>
            <w:r>
              <w:rPr>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001080001180</w:t>
            </w:r>
            <w:r>
              <w:rPr>
                <w:color w:val="ff0000"/>
                <w:highlight w:val="white"/>
                <w:lang w:val="pt-BR"/>
              </w:rPr>
            </w:r>
            <w:r>
              <w:rPr>
                <w:color w:val="ff0000"/>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1980</w:t>
            </w:r>
            <w:r>
              <w:rPr>
                <w:color w:val="ff0000"/>
                <w:highlight w:val="white"/>
                <w:lang w:val="pt-BR"/>
              </w:rPr>
            </w:r>
            <w:r>
              <w:rPr>
                <w:color w:val="ff0000"/>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CH307, Block 31, Lô đất H-Tr5, KNO Hi-Brand, KĐT mới Văn Phú, phường Phú La, quận Hà Đông (nay là phường Hà Đông), thành phố Hà Nội</w:t>
            </w:r>
            <w:r>
              <w:rPr>
                <w:color w:val="ff0000"/>
                <w:highlight w:val="white"/>
                <w:lang w:val="pt-BR"/>
              </w:rPr>
            </w:r>
            <w:r>
              <w:rPr>
                <w:color w:val="ff0000"/>
                <w:highlight w:val="white"/>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lang w:val="vi-VN"/>
              </w:rPr>
              <w:t xml:space="preserve">Chức vụ: </w:t>
            </w:r>
            <w:r>
              <w:rPr>
                <w:b/>
                <w:bCs/>
                <w:highlight w:val="white"/>
              </w:rPr>
              <w:t xml:space="preserve">Chủ tịch HĐQT kiêm TGĐ</w:t>
            </w:r>
            <w:r>
              <w:rPr>
                <w:b/>
                <w:bCs/>
                <w:highlight w:val="white"/>
                <w:lang w:val="vi-VN"/>
              </w:rPr>
            </w:r>
            <w:r>
              <w:rPr>
                <w:b/>
                <w:bCs/>
                <w:highlight w:val="white"/>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color w:val="000000"/>
          <w:highlight w:val="white"/>
        </w:rPr>
        <w:t xml:space="preserve">Quyền sử dụng đất và tài sản gắn liền với đất tại thửa đất số: 375, tờ bản đồ số: 35, có địa chỉ: Đoàn Kết, phường Vạn Phúc, quận Hà Đông (nay là phường Hà Đông), thành phố Hà Nội theo Giấy chứng nhận q</w:t>
      </w:r>
      <w:r>
        <w:rPr>
          <w:color w:val="000000"/>
          <w:highlight w:val="white"/>
        </w:rPr>
        <w:t xml:space="preserve">uyền sử dụng đất, quyền sở hữu nhà ở  và tài sản khác gắn liền với đất số: DO963740, Số vào sổ cấp GCN: CN-03085 do Chi nhánh văn phòng đăng ký đất đai Hà Nội quận Hà Đông cấp ngày 31/07/2024; chủ sử dụng đất là Ông Nguyễn Quang Huy và bà Phạm Thị Ngọc Thu</w:t>
      </w:r>
      <w:r>
        <w:rPr>
          <w:bCs/>
          <w:i/>
          <w:iCs/>
          <w:highlight w:val="white"/>
        </w:rPr>
        <w:t xml:space="preserve">.</w:t>
      </w:r>
      <w:r>
        <w:rPr>
          <w:b/>
          <w:bCs/>
          <w:highlight w:val="white"/>
        </w:rPr>
      </w:r>
      <w:r>
        <w:rPr>
          <w:b/>
          <w:bCs/>
          <w:highlight w:val="white"/>
        </w:rPr>
      </w:r>
    </w:p>
    <w:p>
      <w:pPr>
        <w:pBdr/>
        <w:spacing w:after="120" w:before="120" w:line="276"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09/2026</w:t>
      </w:r>
      <w:r>
        <w:rPr>
          <w:bCs/>
          <w:highlight w:val="white"/>
          <w:lang w:val="nl-NL"/>
        </w:rPr>
        <w:t xml:space="preserve">.</w:t>
      </w:r>
      <w:r>
        <w:rPr>
          <w:b/>
          <w:bCs/>
          <w:highlight w:val="white"/>
        </w:rPr>
      </w:r>
      <w:r>
        <w:rPr>
          <w:b/>
          <w:bCs/>
          <w:highlight w:val="white"/>
        </w:rPr>
      </w:r>
    </w:p>
    <w:p>
      <w:pPr>
        <w:pBdr/>
        <w:tabs>
          <w:tab w:val="left" w:leader="none" w:pos="851"/>
        </w:tabs>
        <w:spacing w:after="120" w:before="120" w:line="276"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276"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rPr>
      </w:r>
    </w:p>
    <w:p>
      <w:pPr>
        <w:pBdr/>
        <w:tabs>
          <w:tab w:val="left" w:leader="none" w:pos="5202"/>
        </w:tabs>
        <w:spacing w:after="120" w:before="120" w:line="276"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rPr>
      </w:r>
    </w:p>
    <w:p>
      <w:pPr>
        <w:pBdr/>
        <w:tabs>
          <w:tab w:val="left" w:leader="none" w:pos="2430"/>
          <w:tab w:val="left" w:leader="none" w:pos="5130"/>
        </w:tabs>
        <w:spacing w:after="120" w:before="120" w:line="276"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276"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rPr>
      </w:r>
    </w:p>
    <w:p>
      <w:pPr>
        <w:pBdr/>
        <w:tabs>
          <w:tab w:val="left" w:leader="none" w:pos="2430"/>
          <w:tab w:val="left" w:leader="none" w:pos="5130"/>
        </w:tabs>
        <w:spacing w:after="120" w:before="120" w:line="276"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276"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rPr>
      </w:r>
    </w:p>
    <w:p>
      <w:pPr>
        <w:pBdr/>
        <w:tabs>
          <w:tab w:val="left" w:leader="none" w:pos="2430"/>
          <w:tab w:val="left" w:leader="none" w:pos="5130"/>
        </w:tabs>
        <w:spacing w:after="120" w:before="120" w:line="276"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09/2026</w:t>
      </w:r>
      <w:r>
        <w:rPr>
          <w:highlight w:val="white"/>
          <w:lang w:val="vi-VN"/>
        </w:rPr>
        <w:t xml:space="preserve"> ước tính</w:t>
      </w:r>
      <w:r>
        <w:rPr>
          <w:highlight w:val="white"/>
        </w:rPr>
        <w:t xml:space="preserve"> </w:t>
      </w:r>
      <w:r>
        <w:rPr>
          <w:highlight w:val="white"/>
          <w:lang w:val="vi-VN"/>
        </w:rPr>
        <w:t xml:space="preserve">như sau:</w:t>
      </w:r>
      <w:r>
        <w:rPr>
          <w:highlight w:val="white"/>
        </w:rPr>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white"/>
              </w:rPr>
            </w:pPr>
            <w:r>
              <w:rPr>
                <w:color w:val="000000"/>
                <w:highlight w:val="white"/>
              </w:rPr>
            </w:r>
            <w:r>
              <w:rPr>
                <w:color w:val="000000"/>
                <w:highlight w:val="white"/>
              </w:rPr>
              <w:t xml:space="preserve">Quyền sử dụng đất và tài sản gắn liền với đất tại thửa đất số: 375, tờ bản đồ số: 35, có địa chỉ: Đoàn Kết, phường Vạn Phúc, quận Hà Đông (nay là phường Hà Đông), thành phố Hà Nội theo Giấy chứng nhận q</w:t>
            </w:r>
            <w:r>
              <w:rPr>
                <w:color w:val="000000"/>
                <w:highlight w:val="white"/>
              </w:rPr>
              <w:t xml:space="preserve">uyền sử dụng đất, quyền sở hữu nhà ở  và tài sản khác gắn liền với đất số: DO963740, Số vào sổ cấp GCN: CN-03085 do Chi nhánh văn phòng đăng ký đất đai Hà Nội quận Hà Đông cấp ngày 31/07/2024; chủ sử dụng đất là Ông Nguyễn Quang Huy và bà Phạm Thị Ngọc Thu</w:t>
            </w:r>
            <w:r>
              <w:rPr>
                <w:bCs/>
                <w:i/>
                <w:iCs/>
                <w:highlight w:val="white"/>
              </w:rPr>
              <w:t xml:space="preserve">.</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64</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265.000.000</w:t>
            </w:r>
            <w:r>
              <w:rPr>
                <w:highlight w:val="white"/>
              </w:rPr>
            </w:r>
            <w:r>
              <w:rPr>
                <w:highlight w:val="white"/>
              </w:rPr>
            </w:r>
          </w:p>
        </w:tc>
        <w:tc>
          <w:tcPr>
            <w:shd w:val="clear" w:color="000000" w:fill="ffffff"/>
            <w:tcBorders/>
            <w:tcW w:w="1136" w:type="pct"/>
            <w:vAlign w:val="center"/>
            <w:textDirection w:val="lrTb"/>
            <w:noWrap w:val="false"/>
          </w:tcPr>
          <w:p>
            <w:pPr>
              <w:pBdr/>
              <w:spacing w:after="40" w:before="40" w:line="288" w:lineRule="auto"/>
              <w:ind/>
              <w:jc w:val="right"/>
              <w:rPr>
                <w:highlight w:val="white"/>
              </w:rPr>
            </w:pPr>
            <w:r>
              <w:rPr>
                <w:color w:val="000000" w:themeColor="text1"/>
                <w:highlight w:val="white"/>
              </w:rPr>
              <w:t xml:space="preserve">16.960.000.000</w:t>
            </w:r>
            <w:r>
              <w:rPr>
                <w:highlight w:val="white"/>
              </w:rPr>
            </w:r>
            <w:r>
              <w:rPr>
                <w:highlight w:val="white"/>
              </w:rPr>
            </w:r>
          </w:p>
        </w:tc>
      </w:tr>
      <w:tr>
        <w:trPr>
          <w:trHeight w:val="20"/>
        </w:trPr>
        <w:tc>
          <w:tcPr>
            <w:shd w:val="clear" w:color="000000" w:fill="ffffff"/>
            <w:tcBorders/>
            <w:tcW w:w="500" w:type="pct"/>
            <w:vAlign w:val="center"/>
            <w:vMerge w:val="restart"/>
            <w:textDirection w:val="lrTb"/>
            <w:noWrap w:val="false"/>
          </w:tcPr>
          <w:p>
            <w:pPr>
              <w:pBdr/>
              <w:spacing w:after="40" w:before="40" w:line="288" w:lineRule="auto"/>
              <w:ind/>
              <w:jc w:val="center"/>
              <w:rPr>
                <w:b w:val="0"/>
                <w:bCs w:val="0"/>
                <w:highlight w:val="white"/>
              </w:rPr>
            </w:pPr>
            <w:r>
              <w:rPr>
                <w:b w:val="0"/>
                <w:bCs w:val="0"/>
                <w:highlight w:val="white"/>
              </w:rPr>
              <w:t xml:space="preserve">2</w:t>
            </w:r>
            <w:r>
              <w:rPr>
                <w:b w:val="0"/>
                <w:bCs w:val="0"/>
                <w:highlight w:val="white"/>
              </w:rPr>
            </w:r>
            <w:r>
              <w:rPr>
                <w:b w:val="0"/>
                <w:bCs w:val="0"/>
                <w:highlight w:val="white"/>
              </w:rPr>
            </w:r>
          </w:p>
        </w:tc>
        <w:tc>
          <w:tcPr>
            <w:shd w:val="clear" w:color="000000" w:fill="ffffff"/>
            <w:tcBorders/>
            <w:tcW w:w="1063" w:type="pct"/>
            <w:vAlign w:val="center"/>
            <w:vMerge w:val="restart"/>
            <w:textDirection w:val="lrTb"/>
            <w:noWrap w:val="false"/>
          </w:tcPr>
          <w:p>
            <w:pPr>
              <w:pBdr/>
              <w:spacing w:after="40" w:before="40" w:line="288" w:lineRule="auto"/>
              <w:ind/>
              <w:rPr>
                <w:b w:val="0"/>
                <w:bCs w:val="0"/>
                <w:highlight w:val="white"/>
              </w:rPr>
            </w:pPr>
            <w:r>
              <w:rPr>
                <w:b w:val="0"/>
                <w:bCs w:val="0"/>
                <w:highlight w:val="white"/>
              </w:rPr>
              <w:t xml:space="preserve">Nhà 05 tầng</w:t>
            </w:r>
            <w:r>
              <w:rPr>
                <w:b w:val="0"/>
                <w:bCs w:val="0"/>
                <w:highlight w:val="white"/>
              </w:rPr>
            </w:r>
            <w:r>
              <w:rPr>
                <w:b w:val="0"/>
                <w:bCs w:val="0"/>
                <w:highlight w:val="white"/>
              </w:rPr>
            </w:r>
          </w:p>
        </w:tc>
        <w:tc>
          <w:tcPr>
            <w:tcBorders/>
            <w:tcW w:w="946" w:type="pct"/>
            <w:vAlign w:val="center"/>
            <w:vMerge w:val="restart"/>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320</w:t>
            </w:r>
            <w:r>
              <w:rPr>
                <w:color w:val="000000" w:themeColor="text1"/>
                <w:highlight w:val="white"/>
              </w:rPr>
            </w:r>
            <w:r>
              <w:rPr>
                <w:color w:val="000000" w:themeColor="text1"/>
                <w:highlight w:val="white"/>
              </w:rPr>
            </w:r>
          </w:p>
        </w:tc>
        <w:tc>
          <w:tcPr>
            <w:shd w:val="clear" w:color="000000" w:fill="ffffff"/>
            <w:tcBorders/>
            <w:tcW w:w="1355" w:type="pct"/>
            <w:vAlign w:val="center"/>
            <w:vMerge w:val="restart"/>
            <w:textDirection w:val="lrTb"/>
            <w:noWrap w:val="false"/>
          </w:tcPr>
          <w:p>
            <w:pPr>
              <w:pBdr/>
              <w:spacing w:after="40" w:before="40" w:line="288" w:lineRule="auto"/>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c>
          <w:tcPr>
            <w:shd w:val="clear" w:color="000000" w:fill="ffffff"/>
            <w:tcBorders/>
            <w:tcW w:w="1136" w:type="pct"/>
            <w:vAlign w:val="center"/>
            <w:vMerge w:val="restart"/>
            <w:textDirection w:val="lrTb"/>
            <w:noWrap w:val="false"/>
          </w:tcPr>
          <w:p>
            <w:pPr>
              <w:pBdr/>
              <w:spacing w:after="40" w:before="40" w:line="288" w:lineRule="auto"/>
              <w:ind/>
              <w:jc w:val="right"/>
              <w:rPr>
                <w:color w:val="000000" w:themeColor="text1"/>
                <w:highlight w:val="white"/>
              </w:rPr>
            </w:pPr>
            <w:r>
              <w:rPr>
                <w:color w:val="000000" w:themeColor="text1"/>
                <w:highlight w:val="white"/>
              </w:rPr>
              <w:t xml:space="preserve">2.329.673.472</w:t>
            </w:r>
            <w:r>
              <w:rPr>
                <w:color w:val="000000" w:themeColor="text1"/>
                <w:highlight w:val="white"/>
              </w:rPr>
            </w:r>
            <w:r>
              <w:rPr>
                <w:color w:val="000000" w:themeColor="text1"/>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right"/>
              <w:rPr>
                <w:b/>
                <w:bCs/>
                <w:color w:val="000000"/>
                <w:highlight w:val="white"/>
              </w:rPr>
            </w:pPr>
            <w:r>
              <w:rPr>
                <w:b/>
                <w:bCs/>
                <w:highlight w:val="white"/>
              </w:rPr>
              <w:t xml:space="preserve">19.289.673.472</w:t>
            </w:r>
            <w:r>
              <w:rPr>
                <w:b/>
                <w:bCs/>
                <w:color w:val="000000"/>
                <w:highlight w:val="white"/>
              </w:rPr>
            </w:r>
            <w:r>
              <w:rPr>
                <w:b/>
                <w:bCs/>
                <w:color w:val="000000"/>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right"/>
              <w:rPr>
                <w:b/>
                <w:bCs/>
                <w:color w:val="000000"/>
                <w:highlight w:val="white"/>
              </w:rPr>
            </w:pPr>
            <w:r>
              <w:rPr>
                <w:b/>
                <w:bCs/>
                <w:color w:val="000000"/>
                <w:highlight w:val="white"/>
              </w:rPr>
              <w:t xml:space="preserve">19.290.000.000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Mười chín tỷ hai trăm chín mươi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r>
        <w:rPr>
          <w:highlight w:val="white"/>
        </w:rPr>
      </w:r>
    </w:p>
    <w:p>
      <w:pPr>
        <w:pBdr/>
        <w:spacing w:after="120" w:before="120" w:line="312" w:lineRule="auto"/>
        <w:ind w:firstLine="360"/>
        <w:rPr>
          <w:highlight w:val="white"/>
        </w:rPr>
      </w:pPr>
      <w:r>
        <w:rPr>
          <w:highlight w:val="white"/>
          <w:lang w:val="pt-BR"/>
        </w:rPr>
        <w:t xml:space="preserve">- </w:t>
      </w:r>
      <w:r>
        <w:rPr>
          <w:highlight w:val="white"/>
          <w:lang w:val="pt-BR"/>
        </w:rPr>
        <w:t xml:space="preserve">Chi tiết như Báo cáo kèm theo.</w:t>
      </w:r>
      <w:r>
        <w:rPr>
          <w:rFonts w:eastAsia="Calibri"/>
          <w:b/>
          <w:spacing w:val="-4"/>
          <w:highlight w:val="white"/>
          <w:lang w:val="pt-BR"/>
        </w:rPr>
        <w:br w:type="page" w:clear="all"/>
      </w: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Nguyễn Thị Thùy Dương</w:t>
            </w:r>
            <w:r>
              <w:rPr>
                <w:rFonts w:eastAsia="Calibri"/>
                <w:b/>
                <w:bCs/>
                <w:highlight w:val="white"/>
                <w:lang w:val="vi-VN"/>
              </w:rPr>
            </w:r>
            <w:r>
              <w:rPr>
                <w:rFonts w:eastAsia="Calibri"/>
                <w:b/>
                <w:bCs/>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rPr>
            </w:r>
          </w:p>
        </w:tc>
      </w:tr>
    </w:tbl>
    <w:p>
      <w:pPr>
        <w:pBdr/>
        <w:spacing w:after="200" w:line="276" w:lineRule="auto"/>
        <w:ind/>
        <w:rPr>
          <w:highlight w:val="white"/>
        </w:rPr>
      </w:pPr>
      <w:r>
        <w:rPr>
          <w:highlight w:val="white"/>
        </w:rPr>
        <w:br w:type="page" w:clear="all"/>
      </w:r>
      <w:r>
        <w:rPr>
          <w:highlight w:val="white"/>
        </w:rPr>
      </w:r>
      <w:r>
        <w:rPr>
          <w:highlight w:val="white"/>
        </w:rPr>
      </w:r>
    </w:p>
    <w:tbl>
      <w:tblPr>
        <w:tblInd w:w="-284" w:type="dxa"/>
        <w:tblW w:w="9950" w:type="dxa"/>
        <w:tblBorders/>
        <w:tblLayout w:type="fixed"/>
        <w:tblLook w:val="04A0" w:firstRow="1" w:lastRow="0" w:firstColumn="1" w:lastColumn="0" w:noHBand="0" w:noVBand="1"/>
      </w:tblPr>
      <w:tblGrid>
        <w:gridCol w:w="29"/>
        <w:gridCol w:w="1787"/>
        <w:gridCol w:w="2335"/>
        <w:gridCol w:w="5799"/>
      </w:tblGrid>
      <w:tr>
        <w:trPr>
          <w:trHeight w:val="1843"/>
        </w:trPr>
        <w:tc>
          <w:tcPr>
            <w:gridSpan w:val="2"/>
            <w:tcBorders/>
            <w:tcW w:w="1816"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highlight w:val="white"/>
                <w:lang w:eastAsia="zh-CN"/>
              </w:rPr>
            </w:r>
            <w:r>
              <w:rPr>
                <w:i/>
                <w:szCs w:val="26"/>
                <w:highlight w:val="white"/>
              </w:rPr>
            </w:r>
          </w:p>
        </w:tc>
        <w:tc>
          <w:tcPr>
            <w:gridSpan w:val="2"/>
            <w:tcBorders/>
            <w:tcW w:w="8134"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7" w:tooltip="mailto:ilotus.contact@gmail.com" w:history="1">
              <w:r>
                <w:rPr>
                  <w:rStyle w:val="1031"/>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40"/>
              <w:pBdr/>
              <w:spacing w:after="60"/>
              <w:ind/>
              <w:rPr>
                <w:color w:val="000000" w:themeColor="text1"/>
                <w:sz w:val="24"/>
                <w:szCs w:val="24"/>
                <w:highlight w:val="white"/>
              </w:rPr>
            </w:pPr>
            <w:r>
              <w:rPr>
                <w:rStyle w:val="1039"/>
                <w:rFonts w:ascii="Times New Roman" w:hAnsi="Times New Roman"/>
                <w:color w:val="000000" w:themeColor="text1"/>
                <w:highlight w:val="white"/>
                <w:lang w:val="pt-BR"/>
              </w:rPr>
              <w:t xml:space="preserve">Số: </w:t>
            </w:r>
            <w:r>
              <w:rPr>
                <w:rStyle w:val="1039"/>
                <w:rFonts w:ascii="Times New Roman" w:hAnsi="Times New Roman"/>
                <w:color w:val="000000" w:themeColor="text1"/>
                <w:highlight w:val="white"/>
                <w:lang w:val="pt-BR"/>
              </w:rPr>
              <w:t xml:space="preserve">275/2026/13</w:t>
            </w:r>
            <w:r>
              <w:rPr>
                <w:rStyle w:val="1039"/>
                <w:rFonts w:ascii="Times New Roman" w:hAnsi="Times New Roman"/>
                <w:color w:val="000000" w:themeColor="text1"/>
                <w:highlight w:val="white"/>
                <w:lang w:val="pt-BR"/>
              </w:rPr>
              <w:t xml:space="preserve">84/VFI-BC.44.</w:t>
            </w:r>
            <w:r>
              <w:rPr>
                <w:rStyle w:val="1039"/>
                <w:rFonts w:ascii="Times New Roman" w:hAnsi="Times New Roman"/>
                <w:color w:val="000000" w:themeColor="text1"/>
                <w:highlight w:val="white"/>
                <w:lang w:val="pt-BR"/>
              </w:rPr>
              <w:t xml:space="preserve">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799" w:type="dxa"/>
            <w:textDirection w:val="lrTb"/>
            <w:noWrap w:val="false"/>
          </w:tcPr>
          <w:p>
            <w:pPr>
              <w:pStyle w:val="1040"/>
              <w:pBdr/>
              <w:spacing w:after="60"/>
              <w:ind w:right="-56"/>
              <w:jc w:val="right"/>
              <w:rPr>
                <w:color w:val="000000" w:themeColor="text1"/>
                <w:sz w:val="24"/>
                <w:szCs w:val="24"/>
                <w:highlight w:val="white"/>
              </w:rPr>
            </w:pPr>
            <w:r>
              <w:rPr>
                <w:rStyle w:val="1039"/>
                <w:rFonts w:ascii="Times New Roman" w:hAnsi="Times New Roman"/>
                <w:i/>
                <w:color w:val="auto"/>
                <w:highlight w:val="white"/>
              </w:rPr>
              <w:t xml:space="preserve">TP. Hà Nội</w:t>
            </w:r>
            <w:r>
              <w:rPr>
                <w:rStyle w:val="1039"/>
                <w:rFonts w:ascii="Times New Roman" w:hAnsi="Times New Roman"/>
                <w:i/>
                <w:color w:val="auto"/>
                <w:highlight w:val="white"/>
                <w:lang w:val="vi-VN"/>
              </w:rPr>
              <w:t xml:space="preserve">, </w:t>
            </w:r>
            <w:r>
              <w:rPr>
                <w:rStyle w:val="1039"/>
                <w:rFonts w:ascii="Times New Roman" w:hAnsi="Times New Roman"/>
                <w:i/>
                <w:color w:val="000000" w:themeColor="text1"/>
                <w:highlight w:val="white"/>
                <w:lang w:val="vi-VN"/>
              </w:rPr>
              <w:t xml:space="preserve">ngày 7 tháng 9 năm 2026</w:t>
            </w:r>
            <w:r>
              <w:rPr>
                <w:color w:val="000000" w:themeColor="text1"/>
                <w:sz w:val="24"/>
                <w:szCs w:val="24"/>
                <w:highlight w:val="white"/>
                <w:lang w:val="vi-VN"/>
              </w:rPr>
            </w:r>
            <w:r>
              <w:rPr>
                <w:color w:val="000000" w:themeColor="text1"/>
                <w:sz w:val="24"/>
                <w:szCs w:val="24"/>
                <w:highlight w:val="white"/>
              </w:rPr>
            </w:r>
          </w:p>
        </w:tc>
      </w:tr>
    </w:tbl>
    <w:p>
      <w:pPr>
        <w:pStyle w:val="1040"/>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rPr>
      </w:r>
    </w:p>
    <w:p>
      <w:pPr>
        <w:pStyle w:val="1020"/>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275/2026/1384/VFI-CT.44.A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7 tháng 9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rPr>
      </w:r>
    </w:p>
    <w:p>
      <w:pPr>
        <w:pStyle w:val="1020"/>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Giám Đốc</w:t>
            </w:r>
            <w:r>
              <w:rPr>
                <w:b/>
                <w:bCs/>
                <w:highlight w:val="white"/>
                <w:lang w:val="vi-VN"/>
              </w:rPr>
            </w:r>
            <w:r>
              <w:rPr>
                <w:b/>
                <w:bCs/>
                <w:highlight w:val="white"/>
              </w:rPr>
            </w:r>
          </w:p>
        </w:tc>
      </w:tr>
    </w:tbl>
    <w:p>
      <w:pPr>
        <w:pStyle w:val="1041"/>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Tên khách hàng</w:t>
            </w:r>
            <w:r>
              <w:rPr>
                <w:bCs/>
                <w:highlight w:val="white"/>
                <w:lang w:val="pt-BR"/>
              </w:rPr>
            </w:r>
            <w:r>
              <w:rPr>
                <w:bCs/>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ind/>
              <w:rPr>
                <w:highlight w:val="white"/>
              </w:rPr>
            </w:pPr>
            <w:r>
              <w:rPr>
                <w:b/>
                <w:bCs/>
                <w:highlight w:val="white"/>
              </w:rPr>
              <w:t xml:space="preserve">ÔNG NGUYỄN QUANG HUY</w:t>
            </w:r>
            <w:r>
              <w:rPr>
                <w:highlight w:val="white"/>
              </w:rPr>
            </w:r>
            <w:r>
              <w:rPr>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CCCD:</w:t>
            </w:r>
            <w:r>
              <w:rPr>
                <w:bCs/>
                <w:highlight w:val="white"/>
                <w:lang w:val="pt-BR"/>
              </w:rPr>
            </w:r>
            <w:r>
              <w:rPr>
                <w:bCs/>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001080001180</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Năm sinh:</w:t>
            </w:r>
            <w:r>
              <w:rPr>
                <w:bCs/>
                <w:highlight w:val="white"/>
                <w:lang w:val="pt-BR"/>
              </w:rPr>
            </w:r>
            <w:r>
              <w:rPr>
                <w:bCs/>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1980</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Địa chỉ</w:t>
            </w:r>
            <w:r>
              <w:rPr>
                <w:bCs/>
                <w:highlight w:val="white"/>
                <w:lang w:val="pt-BR"/>
              </w:rPr>
            </w:r>
            <w:r>
              <w:rPr>
                <w:bCs/>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CH307, Block 31, Lô đất H-Tr5, KNO Hi-Brand, KĐT mới Văn Phú, phường Phú La, quận Hà Đông (nay là phường Hà Đông), thành phố Hà Nội</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r>
            <w:r>
              <w:rPr>
                <w:color w:val="000000"/>
                <w:highlight w:val="white"/>
              </w:rPr>
              <w:t xml:space="preserve">Quyền sử dụng đất và tài sản gắn liền với đất tại thửa đất số: 375, tờ bản đồ số: 35, có địa chỉ: Đoàn Kết, phường Vạn Phúc, quận Hà Đông (nay là phường Hà Đông), thành phố Hà Nội theo Giấy chứng nhận q</w:t>
            </w:r>
            <w:r>
              <w:rPr>
                <w:color w:val="000000"/>
                <w:highlight w:val="white"/>
              </w:rPr>
              <w:t xml:space="preserve">uyền sử dụng đất, quyền sở hữu nhà ở  và tài sản khác gắn liền với đất số: DO963740, Số vào sổ cấp GCN: CN-03085 do Chi nhánh văn phòng đăng ký đất đai Hà Nội quận Hà Đông cấp ngày 31/07/2024; chủ sử dụng đất là Ông Nguyễn Quang Huy và bà Phạm Thị Ngọc Thu</w:t>
            </w:r>
            <w:r>
              <w:rPr>
                <w:bCs/>
                <w:i/>
                <w:iCs/>
                <w:highlight w:val="white"/>
              </w:rPr>
              <w:t xml:space="preserve">.</w:t>
            </w:r>
            <w:r>
              <w:rPr>
                <w:b/>
                <w:bCs/>
                <w:spacing w:val="2"/>
                <w:highlight w:val="white"/>
                <w:lang w:val="vi-VN"/>
              </w:rPr>
            </w:r>
            <w:r>
              <w:rPr>
                <w:b/>
                <w:bCs/>
                <w:spacing w:val="2"/>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09/2026</w:t>
            </w:r>
            <w:r>
              <w:rPr>
                <w:highlight w:val="white"/>
                <w:lang w:val="pt-BR"/>
              </w:rPr>
              <w:t xml:space="preserve">.</w:t>
            </w:r>
            <w:r>
              <w:rPr>
                <w:bCs/>
                <w:spacing w:val="-4"/>
                <w:highlight w:val="white"/>
                <w:lang w:val="pt-BR"/>
              </w:rPr>
            </w:r>
            <w:r>
              <w:rPr>
                <w:bCs/>
                <w:spacing w:val="-4"/>
                <w:highlight w:val="white"/>
              </w:rPr>
            </w:r>
          </w:p>
        </w:tc>
      </w:tr>
      <w:tr>
        <w:trPr>
          <w:trHeight w:val="732"/>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Đoàn Kết, Phường Vạn Phúc, Quận Hà Đông (nay là phường Hà Đông), Thành Phố Hà Nội</w:t>
            </w:r>
            <w:r>
              <w:rPr>
                <w:color w:val="ee0000"/>
                <w:highlight w:val="white"/>
                <w:lang w:val="pt-BR"/>
              </w:rPr>
            </w:r>
            <w:r>
              <w:rPr>
                <w:color w:val="ee0000"/>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Style w:val="1021"/>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20.976472222222, 105.77686111111</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rPr>
            </w:r>
          </w:p>
        </w:tc>
        <w:tc>
          <w:tcPr>
            <w:tcBorders/>
            <w:tcW w:w="284" w:type="dxa"/>
            <w:vAlign w:val="center"/>
            <w:textDirection w:val="lrTb"/>
            <w:noWrap w:val="false"/>
          </w:tcPr>
          <w:p>
            <w:pPr>
              <w:pStyle w:val="104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r>
            <w:r>
              <w:rPr>
                <w:highlight w:val="white"/>
                <w:lang w:val="pt-BR"/>
              </w:rPr>
              <w:t xml:space="preserve">11/</w:t>
            </w:r>
            <w:r>
              <w:rPr>
                <w:highlight w:val="white"/>
                <w:lang w:val="pt-BR"/>
              </w:rPr>
              <w:t xml:space="preserve">08/2026</w:t>
            </w:r>
            <w:r>
              <w:rPr>
                <w:highlight w:val="white"/>
                <w:lang w:val="pt-BR"/>
              </w:rPr>
              <w:t xml:space="preserve">.</w:t>
            </w:r>
            <w:r>
              <w:rPr>
                <w:highlight w:val="white"/>
                <w:lang w:val="pt-BR"/>
              </w:rPr>
            </w:r>
            <w:r>
              <w:rPr>
                <w:highlight w:val="white"/>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rPr>
      </w:r>
    </w:p>
    <w:p>
      <w:pPr>
        <w:pStyle w:val="1041"/>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rPr>
      </w:r>
    </w:p>
    <w:p>
      <w:pPr>
        <w:pStyle w:val="1041"/>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rPr>
      </w:r>
    </w:p>
    <w:p>
      <w:pPr>
        <w:pStyle w:val="1041"/>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rPr>
      </w:r>
    </w:p>
    <w:p>
      <w:pPr>
        <w:pStyle w:val="1041"/>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rPr>
      </w:r>
    </w:p>
    <w:p>
      <w:pPr>
        <w:pStyle w:val="1041"/>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rPr>
      </w:r>
    </w:p>
    <w:p>
      <w:pPr>
        <w:pStyle w:val="1041"/>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số 45/2013/TT-BTC ngày 24/5/2013 của Bộ Tài chính về việc hướng dẫn chế độ quản lý, sử dụng và trích khấu hao tài sản cố định;</w:t>
      </w:r>
      <w:r>
        <w:rPr>
          <w:b/>
          <w:highlight w:val="white"/>
          <w:lang w:val="pt-BR"/>
        </w:rPr>
      </w:r>
      <w:r>
        <w:rPr>
          <w:b/>
          <w:highlight w:val="white"/>
        </w:rPr>
      </w:r>
    </w:p>
    <w:p>
      <w:pPr>
        <w:pStyle w:val="1041"/>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white"/>
          <w:lang w:val="pt-BR"/>
        </w:rPr>
      </w:r>
      <w:r>
        <w:rPr>
          <w:b/>
          <w:highlight w:val="white"/>
        </w:rPr>
      </w:r>
    </w:p>
    <w:p>
      <w:pPr>
        <w:pStyle w:val="1041"/>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 tư số 28/</w:t>
      </w:r>
      <w:r>
        <w:rPr>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white"/>
          <w:lang w:val="pt-BR"/>
        </w:rPr>
      </w:r>
      <w:r>
        <w:rPr>
          <w:spacing w:val="-4"/>
          <w:highlight w:val="white"/>
        </w:rPr>
      </w:r>
    </w:p>
    <w:p>
      <w:pPr>
        <w:pStyle w:val="1041"/>
        <w:numPr>
          <w:ilvl w:val="0"/>
          <w:numId w:val="1"/>
        </w:numPr>
        <w:pBdr/>
        <w:spacing w:after="120" w:before="120" w:line="276" w:lineRule="auto"/>
        <w:ind/>
        <w:jc w:val="both"/>
        <w:rPr>
          <w:bCs/>
          <w:spacing w:val="-4"/>
          <w:highlight w:val="white"/>
        </w:rPr>
      </w:pPr>
      <w:r>
        <w:rPr>
          <w:bCs/>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highlight w:val="white"/>
          <w:lang w:val="pt-BR"/>
        </w:rPr>
      </w:r>
      <w:r>
        <w:rPr>
          <w:bCs/>
          <w:spacing w:val="-4"/>
          <w:highlight w:val="white"/>
        </w:rPr>
      </w:r>
    </w:p>
    <w:p>
      <w:pPr>
        <w:pStyle w:val="1041"/>
        <w:numPr>
          <w:ilvl w:val="0"/>
          <w:numId w:val="1"/>
        </w:numPr>
        <w:pBdr/>
        <w:tabs>
          <w:tab w:val="left" w:leader="none" w:pos="993"/>
        </w:tabs>
        <w:spacing w:after="120" w:before="120" w:line="276" w:lineRule="auto"/>
        <w:ind/>
        <w:jc w:val="both"/>
        <w:rPr>
          <w:b/>
          <w:highlight w:val="white"/>
        </w:rPr>
      </w:pPr>
      <w:r>
        <w:rPr>
          <w:highlight w:val="white"/>
          <w:lang w:val="pt-BR"/>
        </w:rPr>
        <w:t xml:space="preserve">Công văn số 1326/BXD-QLN của Bộ Xây dựng ban hành ngày 08/8/2011 về việc hướng dẫn kiểm kê, đánh giá lại giá trị tài sản cố định là nhà, vật kiến trúc;</w:t>
      </w:r>
      <w:r>
        <w:rPr>
          <w:b/>
          <w:highlight w:val="white"/>
          <w:lang w:val="pt-BR"/>
        </w:rPr>
      </w:r>
      <w:r>
        <w:rPr>
          <w:b/>
          <w:highlight w:val="white"/>
        </w:rPr>
      </w:r>
    </w:p>
    <w:p>
      <w:pPr>
        <w:pStyle w:val="1041"/>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rPr>
      </w:r>
    </w:p>
    <w:p>
      <w:pPr>
        <w:pStyle w:val="1041"/>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rPr>
      </w:r>
    </w:p>
    <w:p>
      <w:pPr>
        <w:pStyle w:val="1041"/>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rPr>
      </w:r>
    </w:p>
    <w:p>
      <w:pPr>
        <w:pStyle w:val="1041"/>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r>
      <w:r>
        <w:rPr>
          <w:color w:val="000000"/>
          <w:highlight w:val="white"/>
        </w:rPr>
        <w:t xml:space="preserve">Giấy chứng nhận q</w:t>
      </w:r>
      <w:r>
        <w:rPr>
          <w:color w:val="000000"/>
          <w:highlight w:val="white"/>
        </w:rPr>
        <w:t xml:space="preserve">uyền sử dụng đất, quyền sở hữu nhà ở và tài sản khác gắn liền với đất số: DO963740, Số vào sổ cấp GCN: CN-03085 do Chi nhánh văn phòng đăng ký đất đai Hà Nội quận Hà Đông cấp ngày 31/07/2024; chủ sử dụng đất là Ông Nguyễn Quang Huy và bà Phạm Thị Ngọc Thu</w:t>
      </w:r>
      <w:r>
        <w:rPr>
          <w:bCs/>
          <w:i/>
          <w:iCs/>
          <w:highlight w:val="white"/>
        </w:rPr>
        <w:t xml:space="preserve">.</w:t>
      </w:r>
      <w:r>
        <w:rPr>
          <w:i/>
          <w:iCs/>
          <w:highlight w:val="white"/>
          <w:lang w:val="pt-BR"/>
        </w:rPr>
      </w:r>
      <w:r>
        <w:rPr>
          <w:i/>
          <w:iCs/>
          <w:highlight w:val="white"/>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41"/>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275/2026/1384/VFI-HĐTĐ.44.A ngày 10/08/2026 g</w:t>
      </w:r>
      <w:r>
        <w:rPr>
          <w:color w:val="000000" w:themeColor="text1"/>
          <w:highlight w:val="white"/>
          <w:lang w:val="pt-BR"/>
        </w:rPr>
        <w:t xml:space="preserve">iữa Ông Nguy</w:t>
      </w:r>
      <w:r>
        <w:rPr>
          <w:color w:val="000000" w:themeColor="text1"/>
          <w:highlight w:val="white"/>
          <w:lang w:val="pt-BR"/>
        </w:rPr>
        <w:t xml:space="preserve">ễn Quang Huy với Công ty Cổ phần Thẩm định và Đầu tư Tài chính Hoa Sen.</w:t>
      </w:r>
      <w:r>
        <w:rPr>
          <w:b/>
          <w:highlight w:val="white"/>
          <w:lang w:val="pt-BR"/>
        </w:rPr>
      </w:r>
      <w:r>
        <w:rPr>
          <w:b/>
          <w:highlight w:val="white"/>
        </w:rPr>
      </w:r>
    </w:p>
    <w:p>
      <w:pPr>
        <w:pStyle w:val="1041"/>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highlight w:val="white"/>
        </w:rPr>
      </w:pPr>
      <w:r>
        <w:rPr>
          <w:highlight w:val="white"/>
          <w:lang w:val="pt-BR"/>
        </w:rPr>
        <w:tab/>
      </w:r>
      <w:r>
        <w:rPr>
          <w:rFonts w:ascii="Times New Roman" w:hAnsi="Times New Roman" w:eastAsia="Times New Roman" w:cs="Times New Roman"/>
          <w:color w:val="0d0d0d"/>
          <w:sz w:val="24"/>
          <w:highlight w:val="white"/>
        </w:rPr>
        <w:t xml:space="preserve">Thị trường bất động sản Hà Nội trong năm 2026 đang bước vào giai đoạn phục hồi nhưng có sự sàng lọc rõ rệt. Nguồn cung mới đã tăng trở lại, đặc biệt ở phân khúc căn hộ, tuy nhiên người mua không còn xuống tiền nhanh như giai đoạn 2024–2025. Lãi suất cho va</w:t>
      </w:r>
      <w:r>
        <w:rPr>
          <w:rFonts w:ascii="Times New Roman" w:hAnsi="Times New Roman" w:eastAsia="Times New Roman" w:cs="Times New Roman"/>
          <w:color w:val="0d0d0d"/>
          <w:sz w:val="24"/>
          <w:highlight w:val="white"/>
        </w:rPr>
        <w:t xml:space="preserve">y cao hơn và mặt bằng giá nhà tăng mạnh khiến người mua quan tâm nhiều hơn đến giá trị thực, pháp lý và khả năng khai thác của bất động sản.</w:t>
      </w:r>
      <w:r>
        <w:rPr>
          <w:highlight w:val="white"/>
        </w:rPr>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highlight w:val="white"/>
        </w:rPr>
      </w:pPr>
      <w:r>
        <w:rPr>
          <w:rFonts w:ascii="Times New Roman" w:hAnsi="Times New Roman" w:eastAsia="Times New Roman" w:cs="Times New Roman"/>
          <w:color w:val="0d0d0d"/>
          <w:sz w:val="24"/>
          <w:highlight w:val="white"/>
        </w:rPr>
        <w:t xml:space="preserve">Phân khúc căn hộ chung cư vẫn là một trong những phân khúc sôi động nhất. Trong 6 tháng đầu năm 2026, Hà Nội ghi nhận khoảng 16.600 căn hộ mở bán mới, mức cao nhất trong 6 tháng đầu năm kể từ năm 2020. Tuy nhiên, nguồn cung mới đang nghiêng mạnh về phân kh</w:t>
      </w:r>
      <w:r>
        <w:rPr>
          <w:rFonts w:ascii="Times New Roman" w:hAnsi="Times New Roman" w:eastAsia="Times New Roman" w:cs="Times New Roman"/>
          <w:color w:val="0d0d0d"/>
          <w:sz w:val="24"/>
          <w:highlight w:val="white"/>
        </w:rPr>
        <w:t xml:space="preserve">úc trung và cao cấp; thị trường gần như không còn sản phẩm mới dưới 60 triệu đồng/m². </w:t>
      </w:r>
      <w:r>
        <w:rPr>
          <w:highlight w:val="white"/>
        </w:rPr>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highlight w:val="white"/>
        </w:rPr>
      </w:pPr>
      <w:r>
        <w:rPr>
          <w:rFonts w:ascii="Times New Roman" w:hAnsi="Times New Roman" w:eastAsia="Times New Roman" w:cs="Times New Roman"/>
          <w:color w:val="0d0d0d"/>
          <w:sz w:val="24"/>
          <w:highlight w:val="white"/>
        </w:rPr>
        <w:t xml:space="preserve">Về giá bán, căn hộ sơ cấp tại Hà Nội tiếp tục duy trì ở mức cao. Trong quý II/2026, giá bán sơ cấp trung bình đạt khoảng 95 triệu đồng/m², tăng 12% so với quý trước và 21% so với cùng kỳ năm 2025. Ngược lại, giá căn hộ trên thị trường thứ cấp đã bắt đầu đi</w:t>
      </w:r>
      <w:r>
        <w:rPr>
          <w:rFonts w:ascii="Times New Roman" w:hAnsi="Times New Roman" w:eastAsia="Times New Roman" w:cs="Times New Roman"/>
          <w:color w:val="0d0d0d"/>
          <w:sz w:val="24"/>
          <w:highlight w:val="white"/>
        </w:rPr>
        <w:t xml:space="preserve">ều chỉnh, xuống khoảng 60 triệu đồng/m², giảm gần 3% so với quý trước. Điều này cho thấy thị trường đang có sự phân hóa rõ giữa sản phẩm mới và sản phẩm chuyển nhượng. Thanh khoản cũng là vấn đề đáng chú ý. Trong quý II/2026, lượng căn hộ bán được đạt hơn </w:t>
      </w:r>
      <w:r>
        <w:rPr>
          <w:rFonts w:ascii="Times New Roman" w:hAnsi="Times New Roman" w:eastAsia="Times New Roman" w:cs="Times New Roman"/>
          <w:color w:val="0d0d0d"/>
          <w:sz w:val="24"/>
          <w:highlight w:val="white"/>
        </w:rPr>
        <w:t xml:space="preserve">5.800 căn, tương đương khoảng 68% nguồn cung mở bán mới. Tỷ lệ này thấp hơn đáng kể so với giai đoạn 2024–2025, khi tỷ lệ hấp thụ thường xuyên trên 90%. Người mua hiện có xu hướng cân nhắc kỹ về dòng tiền và khả năng trả nợ trước khi quyết định mua. </w:t>
      </w:r>
      <w:r>
        <w:rPr>
          <w:highlight w:val="white"/>
        </w:rPr>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highlight w:val="white"/>
        </w:rPr>
      </w:pPr>
      <w:r>
        <w:rPr>
          <w:rFonts w:ascii="Times New Roman" w:hAnsi="Times New Roman" w:eastAsia="Times New Roman" w:cs="Times New Roman"/>
          <w:color w:val="0d0d0d"/>
          <w:sz w:val="24"/>
          <w:highlight w:val="white"/>
        </w:rPr>
        <w:t xml:space="preserve">Về khu vực phát triển, nguồn cung đang có xu hướng dịch chuyển từ khu vực lõi trung tâm sang các khu vực rìa trung tâm và ngoại thành. Các khu vực phía Tây, phía Đông và một số huyện ngoại thành tiếp tục được hưởng lợi từ quỹ đất lớn, tốc độ đô thị hóa và </w:t>
      </w:r>
      <w:r>
        <w:rPr>
          <w:rFonts w:ascii="Times New Roman" w:hAnsi="Times New Roman" w:eastAsia="Times New Roman" w:cs="Times New Roman"/>
          <w:color w:val="0d0d0d"/>
          <w:sz w:val="24"/>
          <w:highlight w:val="white"/>
        </w:rPr>
        <w:t xml:space="preserve">đầu tư hạ tầng. Cushman &amp; Wakefield nhận định nguồn cung nhà ở trong thời gian tới sẽ tiếp tục dịch chuyển ra ngoài trung tâm, phù hợp với xu hướng phát triển đô thị đa cực của Hà Nội. </w:t>
      </w:r>
      <w:r>
        <w:rPr>
          <w:highlight w:val="white"/>
        </w:rPr>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highlight w:val="white"/>
        </w:rPr>
      </w:pPr>
      <w:r>
        <w:rPr>
          <w:rFonts w:ascii="Times New Roman" w:hAnsi="Times New Roman" w:eastAsia="Times New Roman" w:cs="Times New Roman"/>
          <w:color w:val="0d0d0d"/>
          <w:sz w:val="24"/>
          <w:highlight w:val="white"/>
        </w:rPr>
        <w:t xml:space="preserve">Đối với nhà liền thổ và đất nền, thị trường cũng đang có xu hướng mở rộng ra vùng ven. Những khu vực như Đông Anh, Gia Lâm, Hoài Đức, Thường Tín, Đan Phượng và một số khu vực phía Tây Hà Nội được chú ý nhờ quỹ đất và sự phát triển của hệ thống giao thông. </w:t>
      </w:r>
      <w:r>
        <w:rPr>
          <w:rFonts w:ascii="Times New Roman" w:hAnsi="Times New Roman" w:eastAsia="Times New Roman" w:cs="Times New Roman"/>
          <w:color w:val="0d0d0d"/>
          <w:sz w:val="24"/>
          <w:highlight w:val="white"/>
        </w:rPr>
        <w:t xml:space="preserve">Tuy nhiên, giá đất tại từng khu vực có sự khác biệt lớn và nhà đầu tư cần đặc biệt quan tâm đến quy hoạch, pháp lý và khả năng hình thành nhu cầu ở thực.</w:t>
      </w:r>
      <w:r>
        <w:rPr>
          <w:highlight w:val="white"/>
        </w:rPr>
      </w:r>
      <w:r>
        <w:rPr>
          <w:highlight w:val="white"/>
        </w:rPr>
      </w:r>
    </w:p>
    <w:p>
      <w:pPr>
        <w:pBdr/>
        <w:tabs>
          <w:tab w:val="left" w:leader="none" w:pos="426"/>
        </w:tabs>
        <w:spacing w:after="120" w:before="120" w:line="276" w:lineRule="auto"/>
        <w:ind w:right="0" w:firstLine="283" w:left="0"/>
        <w:jc w:val="both"/>
        <w:rPr>
          <w:bCs/>
          <w:i/>
          <w:highlight w:val="white"/>
        </w:rPr>
      </w:pPr>
      <w:r>
        <w:rPr>
          <w:rFonts w:ascii="Times New Roman" w:hAnsi="Times New Roman" w:eastAsia="Times New Roman" w:cs="Times New Roman"/>
          <w:color w:val="0d0d0d"/>
          <w:sz w:val="24"/>
          <w:highlight w:val="white"/>
        </w:rPr>
        <w:t xml:space="preserve">Nhìn chung, thị trường bất động sản Hà Nội hiện không còn là thị trường tăng giá đồng loạt. Cơ hội đang tập trung nhiều hơn vào những dự án có vị trí tốt, pháp lý rõ ràng, hạ tầng hoàn thiện và mức giá phù hợp với khả năng tài chính của người mua. Trong tr</w:t>
      </w:r>
      <w:r>
        <w:rPr>
          <w:rFonts w:ascii="Times New Roman" w:hAnsi="Times New Roman" w:eastAsia="Times New Roman" w:cs="Times New Roman"/>
          <w:color w:val="0d0d0d"/>
          <w:sz w:val="24"/>
          <w:highlight w:val="white"/>
        </w:rPr>
        <w:t xml:space="preserve">ung và dài hạn, hạ tầng giao thông, quá trình mở rộng đô thị và sự dịch chuyển dân cư ra các khu vực phía Đông, phía Tây và vùng ven sẽ tiếp tục là những yếu tố quan trọng ảnh hưởng đến giá trị bất động sản</w:t>
      </w:r>
      <w:r>
        <w:rPr>
          <w:i/>
          <w:iCs/>
          <w:highlight w:val="white"/>
          <w:lang w:val="pt-BR"/>
        </w:rPr>
        <w:t xml:space="preserve">.</w:t>
      </w:r>
      <w:r>
        <w:rPr>
          <w:bCs/>
          <w:i/>
          <w:highlight w:val="white"/>
          <w:lang w:val="pt-BR"/>
        </w:rPr>
      </w:r>
      <w:r>
        <w:rPr>
          <w:bCs/>
          <w:i/>
          <w:highlight w:val="white"/>
        </w:rPr>
      </w:r>
    </w:p>
    <w:p>
      <w:pPr>
        <w:pStyle w:val="1041"/>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rPr>
      </w:r>
    </w:p>
    <w:tbl>
      <w:tblPr>
        <w:tblStyle w:val="104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984"/>
        <w:gridCol w:w="2238"/>
        <w:gridCol w:w="2159"/>
        <w:gridCol w:w="2549"/>
      </w:tblGrid>
      <w:tr>
        <w:trPr>
          <w:trHeight w:val="1633"/>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jc w:val="both"/>
              <w:rPr>
                <w:b/>
                <w:bCs/>
                <w:highlight w:val="white"/>
              </w:rPr>
            </w:pPr>
            <w:r>
              <w:rPr>
                <w:b/>
                <w:bCs/>
                <w:color w:val="000000"/>
                <w:highlight w:val="white"/>
              </w:rPr>
              <w:t xml:space="preserve">Quyền sử dụng đất và tài sản gắn liền với đất tại thửa đất số: 375, tờ bản đồ số: 35, có địa chỉ: Đoàn Kết, phường Vạn Phúc, quận Hà Đông (nay là phường Hà Đông), thành phố Hà Nội theo Giấy chứng nhận q</w:t>
            </w:r>
            <w:r>
              <w:rPr>
                <w:b/>
                <w:bCs/>
                <w:color w:val="000000"/>
                <w:highlight w:val="white"/>
              </w:rPr>
              <w:t xml:space="preserve">uyền sử dụng đất, quyền sở hữu nhà ở  và tài sản khác gắn liền với đất số: DO963740, Số vào sổ cấp GCN: CN-03085 do Chi nhánh văn phòng đăng ký đất đai Hà Nội quận Hà Đông cấp ngày 31/07/2024; chủ sử dụng đất là Ông Nguyễn Quang Huy và bà Phạm Thị Ngọc Thu</w:t>
            </w:r>
            <w:r>
              <w:rPr>
                <w:b/>
                <w:bCs/>
                <w:i/>
                <w:iCs/>
                <w:highlight w:val="white"/>
              </w:rPr>
              <w:t xml:space="preserve">.</w:t>
            </w:r>
            <w:r>
              <w:rPr>
                <w:b/>
                <w:bCs/>
                <w:highlight w:val="white"/>
              </w:rPr>
            </w:r>
            <w:r>
              <w:rPr>
                <w:b/>
                <w:bCs/>
                <w:highlight w:val="white"/>
              </w:rP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Nội dung Thửa đất theo Hồ sơ pháp lý</w:t>
            </w:r>
            <w:r>
              <w:rPr>
                <w:highlight w:val="white"/>
              </w:rPr>
            </w:r>
            <w:r>
              <w:rPr>
                <w:highlight w:val="white"/>
              </w:rP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1,1</w:t>
            </w:r>
            <w:r>
              <w:rPr>
                <w:highlight w:val="white"/>
              </w:rPr>
            </w:r>
            <w:r>
              <w:rPr>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Thửa đất:</w:t>
            </w:r>
            <w:r>
              <w:rPr>
                <w:highlight w:val="white"/>
              </w:rPr>
            </w:r>
            <w:r>
              <w:rPr>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Thửa đất số:</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375</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Tờ bản đồ số:</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35</w:t>
            </w:r>
            <w:r>
              <w:rPr>
                <w:highlight w:val="white"/>
              </w:rPr>
            </w:r>
            <w:r>
              <w:rPr>
                <w:highlight w:val="white"/>
              </w:rPr>
            </w:r>
          </w:p>
        </w:tc>
      </w:tr>
      <w:tr>
        <w:trPr>
          <w:trHeight w:val="61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946"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i w:val="0"/>
                <w:iCs w:val="0"/>
                <w:color w:val="000000"/>
                <w:sz w:val="24"/>
                <w:highlight w:val="white"/>
              </w:rPr>
              <w:t xml:space="preserve">Đoàn Kết, phường Vạn Phúc, quận Hà Đông, thành phố Hà Nội</w:t>
            </w:r>
            <w:r>
              <w:rPr>
                <w:rFonts w:ascii="Times New Roman" w:hAnsi="Times New Roman" w:eastAsia="Times New Roman" w:cs="Times New Roman"/>
                <w:i/>
                <w:color w:val="000000"/>
                <w:sz w:val="24"/>
                <w:highlight w:val="white"/>
              </w:rPr>
              <w:t xml:space="preserve"> (nay là phường Hà Đông)</w:t>
            </w:r>
            <w:r>
              <w:rPr>
                <w:highlight w:val="white"/>
              </w:rPr>
            </w:r>
            <w:r>
              <w:rPr>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Diện tích (m²):</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64,0</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Hình thức sử dụng</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Sử dụng riêng</w:t>
            </w:r>
            <w:r>
              <w:rPr>
                <w:highlight w:val="white"/>
              </w:rPr>
            </w:r>
            <w:r>
              <w:rPr>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Mục đích sử dụng:</w:t>
            </w:r>
            <w:r>
              <w:rPr>
                <w:highlight w:val="white"/>
              </w:rPr>
            </w:r>
            <w:r>
              <w:rPr>
                <w:highlight w:val="white"/>
              </w:rPr>
            </w:r>
          </w:p>
        </w:tc>
        <w:tc>
          <w:tcPr>
            <w:tcBorders/>
            <w:tcMar>
              <w:left w:w="0" w:type="dxa"/>
              <w:top w:w="0" w:type="dxa"/>
              <w:right w:w="0" w:type="dxa"/>
              <w:bottom w:w="0" w:type="dxa"/>
            </w:tcMar>
            <w:tcW w:w="2238" w:type="dxa"/>
            <w:vAlign w:val="bottom"/>
            <w:textDirection w:val="lrTb"/>
            <w:noWrap/>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Đất ở tại đô thị</w:t>
            </w:r>
            <w:r>
              <w:rPr>
                <w:highlight w:val="white"/>
              </w:rPr>
            </w:r>
            <w:r>
              <w:rPr>
                <w:highlight w:val="white"/>
              </w:rPr>
            </w:r>
          </w:p>
        </w:tc>
        <w:tc>
          <w:tcPr>
            <w:tcBorders>
              <w:left w:val="single" w:color="000000" w:sz="5" w:space="0"/>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Lâu dài </w:t>
            </w:r>
            <w:r>
              <w:rPr>
                <w:highlight w:val="white"/>
              </w:rPr>
            </w:r>
            <w:r>
              <w:rPr>
                <w:highlight w:val="white"/>
              </w:rPr>
            </w:r>
          </w:p>
        </w:tc>
      </w:tr>
      <w:tr>
        <w:trPr>
          <w:trHeight w:val="69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Nguồn gốc sử dụng đất:</w:t>
            </w:r>
            <w:r>
              <w:rPr>
                <w:highlight w:val="white"/>
              </w:rPr>
            </w:r>
            <w:r>
              <w:rPr>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946"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Nhận chuyển nhượng đất được Công nhận QSDĐ như giao đất có thu tiền sử dụng đất </w:t>
            </w:r>
            <w:r>
              <w:rPr>
                <w:highlight w:val="white"/>
              </w:rPr>
            </w:r>
            <w:r>
              <w:rPr>
                <w:highlight w:val="white"/>
              </w:rPr>
            </w:r>
          </w:p>
        </w:tc>
      </w:tr>
      <w:tr>
        <w:trPr>
          <w:trHeight w:val="55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1,2</w:t>
            </w:r>
            <w:r>
              <w:rPr>
                <w:highlight w:val="white"/>
              </w:rPr>
            </w:r>
            <w:r>
              <w:rPr>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Ghi chú: </w:t>
              <w:br/>
            </w:r>
            <w:r>
              <w:rPr>
                <w:rFonts w:ascii="Times New Roman" w:hAnsi="Times New Roman" w:eastAsia="Times New Roman" w:cs="Times New Roman"/>
                <w:color w:val="000000"/>
                <w:sz w:val="24"/>
                <w:highlight w:val="white"/>
              </w:rPr>
              <w:t xml:space="preserve">- Giấy chứng nhận này được cấp đổi từ Giấy chứng nhận số AP 459732, số vào sổ H-00361 do UBND quận Hà Đông cấp ngày 01/12/2009</w:t>
              <w:br/>
              <w:t xml:space="preserve"> - Số tờ, số thửa được ghi nhận theo Bản đồ dự án tổng thể (Số tờ cũ, số thửa cũ là: Thửa đất số 569A, tờ bản đồ số 03)</w:t>
            </w:r>
            <w:r>
              <w:rPr>
                <w:highlight w:val="white"/>
              </w:rPr>
            </w:r>
            <w:r>
              <w:rPr>
                <w:highlight w:val="white"/>
              </w:rPr>
            </w:r>
          </w:p>
        </w:tc>
      </w:tr>
      <w:tr>
        <w:trPr>
          <w:trHeight w:val="36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1.3.</w:t>
            </w:r>
            <w:r>
              <w:rPr>
                <w:highlight w:val="white"/>
              </w:rPr>
            </w:r>
            <w:r>
              <w:rPr>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Thông tin quy hoạch:</w:t>
            </w:r>
            <w:r>
              <w:rPr>
                <w:highlight w:val="white"/>
              </w:rPr>
            </w:r>
            <w:r>
              <w:rPr>
                <w:highlight w:val="white"/>
              </w:rPr>
            </w:r>
          </w:p>
        </w:tc>
      </w:tr>
      <w:tr>
        <w:trPr>
          <w:trHeight w:val="60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jc w:val="both"/>
              <w:rPr>
                <w:rFonts w:ascii="Times New Roman" w:hAnsi="Times New Roman" w:eastAsia="Times New Roman" w:cs="Times New Roman"/>
                <w:color w:val="000000"/>
                <w:sz w:val="24"/>
                <w:szCs w:val="24"/>
                <w:highlight w:val="white"/>
                <w14:ligatures w14:val="non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w:t>
            </w:r>
            <w:r>
              <w:rPr>
                <w:rFonts w:ascii="Times New Roman" w:hAnsi="Times New Roman" w:eastAsia="Times New Roman" w:cs="Times New Roman"/>
                <w:color w:val="000000"/>
                <w:sz w:val="24"/>
                <w:szCs w:val="24"/>
                <w:highlight w:val="white"/>
              </w:rPr>
              <w:t xml:space="preserve">ác tr</w:t>
            </w:r>
            <w:r>
              <w:rPr>
                <w:rFonts w:ascii="Times New Roman" w:hAnsi="Times New Roman" w:eastAsia="Times New Roman" w:cs="Times New Roman"/>
                <w:color w:val="000000"/>
                <w:sz w:val="24"/>
                <w:szCs w:val="24"/>
                <w:highlight w:val="white"/>
              </w:rPr>
              <w:t xml:space="preserve">ang mạng như Guland/Meeymap, xác </w:t>
            </w:r>
            <w:r>
              <w:rPr>
                <w:rFonts w:ascii="Times New Roman" w:hAnsi="Times New Roman" w:eastAsia="Times New Roman" w:cs="Times New Roman"/>
                <w:color w:val="000000"/>
                <w:sz w:val="24"/>
                <w:szCs w:val="24"/>
                <w:highlight w:val="white"/>
              </w:rPr>
              <w:t xml:space="preserve">định vị trí tài sản thuộc quy hoạch đất ở</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14:ligatures w14:val="none"/>
              </w:rPr>
            </w:r>
          </w:p>
        </w:tc>
      </w:tr>
      <w:tr>
        <w:trPr>
          <w:trHeight w:val="60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right="0" w:firstLine="0" w:left="0"/>
              <w:jc w:val="center"/>
              <w:rPr>
                <w:rFonts w:ascii="Times New Roman" w:hAnsi="Times New Roman" w:eastAsia="Times New Roman" w:cs="Times New Roman"/>
                <w:b/>
                <w:color w:val="000000"/>
                <w:sz w:val="24"/>
                <w:highlight w:val="white"/>
              </w:rPr>
            </w:pPr>
            <w:r>
              <w:rPr>
                <w:rFonts w:ascii="Times New Roman" w:hAnsi="Times New Roman" w:eastAsia="Times New Roman" w:cs="Times New Roman"/>
                <w:b/>
                <w:color w:val="000000"/>
                <w:sz w:val="24"/>
                <w:highlight w:val="white"/>
              </w:rPr>
            </w:r>
            <w:r>
              <w:rPr>
                <w:rFonts w:ascii="Times New Roman" w:hAnsi="Times New Roman" w:eastAsia="Times New Roman" w:cs="Times New Roman"/>
                <w:b/>
                <w:color w:val="000000"/>
                <w:sz w:val="24"/>
                <w:highlight w:val="white"/>
              </w:rP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vMerge w:val="restart"/>
            <w:textDirection w:val="lrTb"/>
            <w:noWrap w:val="false"/>
          </w:tcPr>
          <w:p>
            <w:pPr>
              <w:pBdr/>
              <w:spacing w:after="0" w:before="0" w:line="240" w:lineRule="auto"/>
              <w:ind w:right="0" w:firstLine="0" w:left="90"/>
              <w:jc w:val="both"/>
              <w:rPr>
                <w:rFonts w:ascii="Times New Roman" w:hAnsi="Times New Roman" w:eastAsia="Times New Roman" w:cs="Times New Roman"/>
                <w:color w:val="000000"/>
                <w:sz w:val="24"/>
                <w:highlight w:val="white"/>
              </w:rPr>
            </w:pPr>
            <w:r>
              <w:rPr>
                <w:rFonts w:ascii="Times New Roman" w:hAnsi="Times New Roman" w:eastAsia="Times New Roman" w:cs="Times New Roman"/>
                <w:color w:val="000000"/>
                <w:sz w:val="24"/>
                <w:highlight w:val="white"/>
              </w:rPr>
            </w:r>
            <w:r>
              <w:rPr>
                <w:highlight w:val="white"/>
              </w:rPr>
              <mc:AlternateContent>
                <mc:Choice Requires="wpg">
                  <w:drawing>
                    <wp:inline xmlns:wp="http://schemas.openxmlformats.org/drawingml/2006/wordprocessingDrawing" distT="0" distB="0" distL="0" distR="0">
                      <wp:extent cx="6048375" cy="291041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59031" name=""/>
                              <pic:cNvPicPr>
                                <a:picLocks noChangeAspect="1"/>
                              </pic:cNvPicPr>
                              <pic:nvPr/>
                            </pic:nvPicPr>
                            <pic:blipFill rotWithShape="1">
                              <a:blip r:embed="rId18"/>
                              <a:stretch/>
                            </pic:blipFill>
                            <pic:spPr bwMode="auto">
                              <a:xfrm>
                                <a:off x="0" y="0"/>
                                <a:ext cx="6048374" cy="29104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29.17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r>
          </w:p>
        </w:tc>
      </w:tr>
      <w:tr>
        <w:trPr>
          <w:trHeight w:val="63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Về đất:</w:t>
            </w:r>
            <w:r>
              <w:rPr>
                <w:highlight w:val="white"/>
              </w:rPr>
            </w:r>
            <w:r>
              <w:rPr>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2.1</w:t>
            </w:r>
            <w:r>
              <w:rPr>
                <w:highlight w:val="white"/>
              </w:rPr>
            </w:r>
            <w:r>
              <w:rPr>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Vị trí; Giao thông;</w:t>
            </w:r>
            <w:r>
              <w:rPr>
                <w:highlight w:val="white"/>
              </w:rPr>
            </w:r>
            <w:r>
              <w:rPr>
                <w:highlight w:val="white"/>
              </w:rPr>
            </w:r>
          </w:p>
        </w:tc>
      </w:tr>
      <w:tr>
        <w:trPr>
          <w:trHeight w:val="648"/>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Địa chỉ thực tế: </w:t>
            </w:r>
            <w:r>
              <w:rPr>
                <w:highlight w:val="white"/>
              </w:rPr>
            </w:r>
            <w:r>
              <w:rPr>
                <w:highlight w:val="white"/>
              </w:rP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946"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Đoàn Kết, phường Hà Đông, thành phố Hà Nội</w:t>
            </w:r>
            <w:r>
              <w:rPr>
                <w:highlight w:val="white"/>
              </w:rPr>
            </w:r>
            <w:r>
              <w:rPr>
                <w:highlight w:val="white"/>
              </w:rPr>
            </w:r>
          </w:p>
        </w:tc>
      </w:tr>
      <w:tr>
        <w:trPr>
          <w:trHeight w:val="38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Đường tiếp giáp chính:</w:t>
            </w:r>
            <w:r>
              <w:rPr>
                <w:highlight w:val="white"/>
              </w:rPr>
            </w:r>
            <w:r>
              <w:rPr>
                <w:highlight w:val="white"/>
              </w:rPr>
            </w:r>
          </w:p>
        </w:tc>
        <w:tc>
          <w:tcPr>
            <w:tcBorders>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ngõ giao thông </w:t>
            </w:r>
            <w:r>
              <w:rPr>
                <w:highlight w:val="white"/>
              </w:rPr>
            </w:r>
            <w:r>
              <w:rPr>
                <w:highlight w:val="white"/>
              </w:rPr>
            </w:r>
          </w:p>
        </w:tc>
        <w:tc>
          <w:tcPr>
            <w:tcBorders>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Số mặt tiền:</w:t>
            </w:r>
            <w:r>
              <w:rPr>
                <w:highlight w:val="white"/>
              </w:rPr>
            </w:r>
            <w:r>
              <w:rPr>
                <w:highlight w:val="white"/>
              </w:rPr>
            </w:r>
          </w:p>
        </w:tc>
        <w:tc>
          <w:tcPr>
            <w:tcBorders>
              <w:right w:val="single" w:color="000000" w:sz="5" w:space="0"/>
            </w:tcBorders>
            <w:tcMar>
              <w:left w:w="0" w:type="dxa"/>
              <w:top w:w="0" w:type="dxa"/>
              <w:right w:w="0" w:type="dxa"/>
              <w:bottom w:w="0" w:type="dxa"/>
            </w:tcMar>
            <w:tcW w:w="2549" w:type="dxa"/>
            <w:vAlign w:val="center"/>
            <w:textDirection w:val="lrTb"/>
            <w:noWrap w:val="false"/>
          </w:tcPr>
          <w:p>
            <w:pPr>
              <w:pBdr/>
              <w:spacing/>
              <w:ind/>
              <w:jc w:val="center"/>
              <w:rPr>
                <w:b/>
                <w:bCs/>
                <w:color w:val="000000"/>
                <w:sz w:val="22"/>
                <w:szCs w:val="22"/>
                <w:highlight w:val="white"/>
              </w:rPr>
            </w:pPr>
            <w:r>
              <w:rPr>
                <w:color w:val="000000"/>
                <w:sz w:val="22"/>
                <w:szCs w:val="22"/>
                <w:highlight w:val="white"/>
              </w:rPr>
            </w:r>
            <w:r>
              <w:rPr>
                <w:color w:val="000000" w:themeColor="text1"/>
                <w:sz w:val="22"/>
                <w:szCs w:val="22"/>
                <w:highlight w:val="white"/>
              </w:rPr>
              <w:t xml:space="preserve">Tiếp giáp 1 mặt tiền + 1 mặt thoáng</w:t>
            </w:r>
            <w:r>
              <w:rPr>
                <w:b/>
                <w:bCs/>
                <w:color w:val="000000"/>
                <w:sz w:val="22"/>
                <w:szCs w:val="22"/>
                <w:highlight w:val="white"/>
              </w:rPr>
            </w:r>
            <w:r>
              <w:rPr>
                <w:b/>
                <w:bCs/>
                <w:color w:val="000000"/>
                <w:sz w:val="22"/>
                <w:szCs w:val="22"/>
                <w:highlight w:val="white"/>
              </w:rPr>
            </w:r>
          </w:p>
        </w:tc>
      </w:tr>
      <w:tr>
        <w:trPr>
          <w:trHeight w:val="1245"/>
        </w:trPr>
        <w:tc>
          <w:tcPr>
            <w:tcBorders>
              <w:left w:val="single" w:color="000000" w:sz="5" w:space="0"/>
              <w:bottom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jc w:val="both"/>
              <w:rPr>
                <w:highlight w:val="white"/>
              </w:rPr>
            </w:pPr>
            <w:r>
              <w:rPr>
                <w:rFonts w:ascii="Times New Roman" w:hAnsi="Times New Roman" w:eastAsia="Times New Roman" w:cs="Times New Roman"/>
                <w:color w:val="000000"/>
                <w:sz w:val="24"/>
                <w:highlight w:val="white"/>
              </w:rPr>
              <w:t xml:space="preserve">Mặt cắt đường/ngõ nhỏ nhất từ đường chính dẫn đến tài sản thẩm định giá:</w:t>
            </w:r>
            <w:r>
              <w:rPr>
                <w:highlight w:val="white"/>
              </w:rPr>
            </w:r>
            <w:r>
              <w:rPr>
                <w:highlight w:val="whit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4,1m</w:t>
            </w:r>
            <w:r>
              <w:rPr>
                <w:highlight w:val="white"/>
              </w:rPr>
            </w:r>
            <w:r>
              <w:rPr>
                <w:highlight w:val="whit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jc w:val="both"/>
              <w:rPr>
                <w:highlight w:val="white"/>
              </w:rPr>
            </w:pPr>
            <w:r>
              <w:rPr>
                <w:rFonts w:ascii="Times New Roman" w:hAnsi="Times New Roman" w:eastAsia="Times New Roman" w:cs="Times New Roman"/>
                <w:color w:val="000000"/>
                <w:sz w:val="24"/>
                <w:highlight w:val="white"/>
              </w:rPr>
              <w:t xml:space="preserve">Mặt cắt đường/ngõ trước mặt tài sản thẩm định giá:</w:t>
            </w:r>
            <w:r>
              <w:rPr>
                <w:highlight w:val="white"/>
              </w:rPr>
            </w:r>
            <w:r>
              <w:rPr>
                <w:highlight w:val="whit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8m</w:t>
            </w:r>
            <w:r>
              <w:rPr>
                <w:highlight w:val="white"/>
              </w:rPr>
            </w:r>
            <w:r>
              <w:rPr>
                <w:highlight w:val="white"/>
              </w:rPr>
            </w:r>
          </w:p>
        </w:tc>
      </w:tr>
      <w:tr>
        <w:trPr>
          <w:trHeight w:val="697"/>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Khoảng cách đến trục đường chính:</w:t>
            </w:r>
            <w:r>
              <w:rPr>
                <w:highlight w:val="white"/>
              </w:rPr>
            </w:r>
            <w:r>
              <w:rPr>
                <w:highlight w:val="white"/>
              </w:rPr>
            </w:r>
          </w:p>
        </w:tc>
        <w:tc>
          <w:tcPr>
            <w:gridSpan w:val="3"/>
            <w:shd w:val="clear" w:color="ffffff" w:fill="ffffff"/>
            <w:tcBorders>
              <w:top w:val="single" w:color="000000" w:sz="5" w:space="0"/>
              <w:bottom w:val="single" w:color="000000" w:sz="5" w:space="0"/>
              <w:right w:val="single" w:color="000000" w:sz="4" w:space="0"/>
            </w:tcBorders>
            <w:tcMar>
              <w:left w:w="0" w:type="dxa"/>
              <w:top w:w="0" w:type="dxa"/>
              <w:right w:w="0" w:type="dxa"/>
              <w:bottom w:w="0" w:type="dxa"/>
            </w:tcMar>
            <w:tcW w:w="6946"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 Khoảng cách ra trục đường Vạn Phúc khoảng 10m</w:t>
            </w:r>
            <w:r>
              <w:rPr>
                <w:highlight w:val="white"/>
              </w:rPr>
            </w:r>
            <w:r>
              <w:rPr>
                <w:highlight w:val="white"/>
              </w:rPr>
            </w:r>
          </w:p>
        </w:tc>
      </w:tr>
      <w:tr>
        <w:trPr>
          <w:trHeight w:val="889"/>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Các hướng tiếp giáp:</w:t>
            </w:r>
            <w:r>
              <w:rPr>
                <w:highlight w:val="white"/>
              </w:rPr>
            </w:r>
            <w:r>
              <w:rPr>
                <w:highlight w:val="white"/>
              </w:rPr>
            </w:r>
          </w:p>
        </w:tc>
        <w:tc>
          <w:tcPr>
            <w:gridSpan w:val="3"/>
            <w:shd w:val="clear" w:color="ffffff" w:fill="ffffff"/>
            <w:tcBorders>
              <w:top w:val="single" w:color="000000" w:sz="5" w:space="0"/>
              <w:bottom w:val="single" w:color="000000" w:sz="5" w:space="0"/>
              <w:right w:val="single" w:color="000000" w:sz="4" w:space="0"/>
            </w:tcBorders>
            <w:tcMar>
              <w:left w:w="0" w:type="dxa"/>
              <w:top w:w="0" w:type="dxa"/>
              <w:right w:w="0" w:type="dxa"/>
              <w:bottom w:w="0" w:type="dxa"/>
            </w:tcMar>
            <w:tcW w:w="6946" w:type="dxa"/>
            <w:vAlign w:val="center"/>
            <w:textDirection w:val="lrTb"/>
            <w:noWrap w:val="false"/>
          </w:tcPr>
          <w:p>
            <w:pPr>
              <w:pBdr/>
              <w:spacing w:after="0" w:before="0" w:line="240" w:lineRule="auto"/>
              <w:ind w:right="0" w:firstLine="0" w:left="90"/>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Hướng  Đông Nam - Tiếp giáp ngõ giao thông </w:t>
            </w:r>
            <w:r>
              <w:rPr>
                <w:rFonts w:ascii="Times New Roman" w:hAnsi="Times New Roman" w:eastAsia="Times New Roman" w:cs="Times New Roman"/>
                <w:color w:val="000000"/>
                <w:sz w:val="24"/>
                <w:highlight w:val="white"/>
              </w:rPr>
              <w:t xml:space="preserve">rộng 8m;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spacing w:after="0" w:before="0" w:line="240" w:lineRule="auto"/>
              <w:ind w:right="0" w:firstLine="0" w:left="90"/>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Hướng Đông Bắc - Tiếp giap ngõ giao thông thộng 2,6m</w:t>
            </w: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szCs w:val="24"/>
                <w:highlight w:val="white"/>
              </w:rPr>
            </w:r>
          </w:p>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Các hướng còn lại tiếp giáp với các thửa đất kh</w:t>
            </w:r>
            <w:r>
              <w:rPr>
                <w:rFonts w:ascii="Times New Roman" w:hAnsi="Times New Roman" w:eastAsia="Times New Roman" w:cs="Times New Roman"/>
                <w:color w:val="000000"/>
                <w:sz w:val="24"/>
                <w:highlight w:val="white"/>
              </w:rPr>
              <w:t xml:space="preserve">ác </w:t>
            </w:r>
            <w:r>
              <w:rPr>
                <w:highlight w:val="white"/>
              </w:rPr>
            </w:r>
            <w:r>
              <w:rPr>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Vị trí trên bản đồ vệ tinh: (20.976472222222, 105.77686111111)</w:t>
            </w:r>
            <w:r>
              <w:rPr>
                <w:highlight w:val="white"/>
              </w:rPr>
            </w:r>
            <w:r>
              <w:rPr>
                <w:highlight w:val="white"/>
              </w:rPr>
            </w:r>
          </w:p>
        </w:tc>
      </w:tr>
      <w:tr>
        <w:trPr>
          <w:trHeight w:val="73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 </w:t>
            </w:r>
            <w:r/>
            <w:r/>
            <w:r>
              <mc:AlternateContent>
                <mc:Choice Requires="wpg">
                  <w:drawing>
                    <wp:inline xmlns:wp="http://schemas.openxmlformats.org/drawingml/2006/wordprocessingDrawing" distT="0" distB="0" distL="0" distR="0">
                      <wp:extent cx="5477782" cy="254994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12553" name=""/>
                              <pic:cNvPicPr>
                                <a:picLocks noChangeAspect="1"/>
                              </pic:cNvPicPr>
                              <pic:nvPr/>
                            </pic:nvPicPr>
                            <pic:blipFill rotWithShape="1">
                              <a:blip r:embed="rId19"/>
                              <a:stretch/>
                            </pic:blipFill>
                            <pic:spPr bwMode="auto">
                              <a:xfrm flipH="0" flipV="0">
                                <a:off x="0" y="0"/>
                                <a:ext cx="5477782" cy="25499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1.32pt;height:200.78pt;mso-wrap-distance-left:0.00pt;mso-wrap-distance-top:0.00pt;mso-wrap-distance-right:0.00pt;mso-wrap-distance-bottom:0.00pt;z-index:1;" stroked="false">
                      <v:imagedata r:id="rId19" o:title=""/>
                      <o:lock v:ext="edit" rotation="t"/>
                    </v:shape>
                  </w:pict>
                </mc:Fallback>
              </mc:AlternateContent>
            </w:r>
            <w:r/>
            <w:r/>
            <w:r>
              <w:rPr>
                <w:rFonts w:ascii="Times New Roman" w:hAnsi="Times New Roman" w:eastAsia="Times New Roman" w:cs="Times New Roman"/>
                <w:color w:val="000000"/>
                <w:sz w:val="24"/>
                <w:highlight w:val="white"/>
              </w:rPr>
            </w:r>
            <w:r>
              <w:rPr>
                <w:color w:val="000000"/>
                <w:highlight w:val="white"/>
              </w:rPr>
            </w:r>
            <w:r>
              <w:rPr>
                <w:highlight w:val="white"/>
              </w:rPr>
            </w:r>
            <w:r>
              <w:rPr>
                <w:highlight w:val="white"/>
              </w:rP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2.2.</w:t>
            </w:r>
            <w:r>
              <w:rPr>
                <w:highlight w:val="white"/>
              </w:rPr>
            </w:r>
            <w:r>
              <w:rPr>
                <w:highlight w:val="white"/>
              </w:rPr>
            </w:r>
          </w:p>
        </w:tc>
        <w:tc>
          <w:tcPr>
            <w:gridSpan w:val="4"/>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Diện tích; Kích thước; Hình dáng</w:t>
            </w:r>
            <w:r>
              <w:rPr>
                <w:highlight w:val="white"/>
              </w:rPr>
            </w:r>
            <w:r>
              <w:rPr>
                <w:highlight w:val="white"/>
              </w:rPr>
            </w:r>
          </w:p>
        </w:tc>
      </w:tr>
      <w:tr>
        <w:trPr>
          <w:trHeight w:val="73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Diện tích sử dụng riêng thực tế (m²):</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64,0</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Diện tích sử dụng chung thực tế (m²):</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0,00</w:t>
            </w:r>
            <w:r>
              <w:rPr>
                <w:highlight w:val="white"/>
              </w:rPr>
            </w:r>
            <w:r>
              <w:rPr>
                <w:highlight w:val="white"/>
              </w:rPr>
            </w:r>
          </w:p>
        </w:tc>
      </w:tr>
      <w:tr>
        <w:trPr>
          <w:trHeight w:val="9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KT mặt tiền (m):</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4,3</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Chiều sâu (m): </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13,9</w:t>
            </w:r>
            <w:r>
              <w:rPr>
                <w:highlight w:val="white"/>
              </w:rPr>
            </w:r>
            <w:r>
              <w:rPr>
                <w:highlight w:val="white"/>
              </w:rPr>
            </w:r>
          </w:p>
        </w:tc>
      </w:tr>
      <w:tr>
        <w:trPr>
          <w:trHeight w:val="61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Hình dáng</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Tương đối vuông vức</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Hướng chính</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Đông Nam</w:t>
            </w:r>
            <w:r>
              <w:rPr>
                <w:highlight w:val="white"/>
              </w:rPr>
            </w:r>
            <w:r>
              <w:rPr>
                <w:highlight w:val="white"/>
              </w:rP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2.3.</w:t>
            </w:r>
            <w:r>
              <w:rPr>
                <w:highlight w:val="white"/>
              </w:rPr>
            </w:r>
            <w:r>
              <w:rPr>
                <w:highlight w:val="white"/>
              </w:rPr>
            </w:r>
          </w:p>
        </w:tc>
        <w:tc>
          <w:tcPr>
            <w:gridSpan w:val="4"/>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Điều kiện kinh doanh; Hạ tầng nội bộ; Hạ tầng xung quanh</w:t>
            </w:r>
            <w:r>
              <w:rPr>
                <w:highlight w:val="white"/>
              </w:rPr>
            </w:r>
            <w:r>
              <w:rPr>
                <w:highlight w:val="white"/>
              </w:rPr>
            </w:r>
          </w:p>
        </w:tc>
      </w:tr>
      <w:tr>
        <w:trPr>
          <w:trHeight w:val="498"/>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Mật độ dân cư:</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Đông đúc</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Đời sống dân cư:</w:t>
            </w:r>
            <w:r>
              <w:rPr>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Ổn định</w:t>
            </w:r>
            <w:r>
              <w:rPr>
                <w:highlight w:val="white"/>
              </w:rPr>
            </w:r>
            <w:r>
              <w:rPr>
                <w:highlight w:val="white"/>
              </w:rPr>
            </w:r>
          </w:p>
        </w:tc>
      </w:tr>
      <w:tr>
        <w:trPr>
          <w:trHeight w:val="90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Lợi thế kinh doanh:</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none"/>
              </w:rPr>
              <w:t xml:space="preserve">Phù hợp để ở/Kinh doanh</w:t>
            </w:r>
            <w:r>
              <w:rPr>
                <w:rFonts w:ascii="Times New Roman" w:hAnsi="Times New Roman" w:eastAsia="Times New Roman" w:cs="Times New Roman"/>
                <w:color w:val="000000"/>
                <w:sz w:val="24"/>
                <w:highlight w:val="white"/>
              </w:rPr>
              <w:t xml:space="preserve"> </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Khả năng chuyển nhượng:</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Tốt </w:t>
            </w:r>
            <w:r>
              <w:rPr>
                <w:highlight w:val="white"/>
              </w:rPr>
            </w:r>
            <w:r>
              <w:rPr>
                <w:highlight w:val="white"/>
              </w:rPr>
            </w:r>
          </w:p>
        </w:tc>
      </w:tr>
      <w:tr>
        <w:trPr>
          <w:trHeight w:val="1467"/>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Điều kiện cơ sở hạ tầng kỹ thuật:</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238"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Hạ tầng khu dân cư thông thường: hệ thống cấp điện, cấp thoát nước đầy đủ</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15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Điều kiện môi trường an ninh:</w:t>
            </w:r>
            <w:r>
              <w:rPr>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0" w:left="90"/>
              <w:jc w:val="center"/>
              <w:rPr>
                <w:highlight w:val="white"/>
              </w:rPr>
            </w:pPr>
            <w:r>
              <w:rPr>
                <w:rFonts w:ascii="Times New Roman" w:hAnsi="Times New Roman" w:eastAsia="Times New Roman" w:cs="Times New Roman"/>
                <w:color w:val="000000"/>
                <w:sz w:val="24"/>
                <w:highlight w:val="white"/>
              </w:rPr>
              <w:t xml:space="preserve">Tốt </w:t>
            </w:r>
            <w:r>
              <w:rPr>
                <w:highlight w:val="white"/>
              </w:rPr>
            </w:r>
            <w:r>
              <w:rPr>
                <w:highlight w:val="white"/>
              </w:rP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b/>
                <w:color w:val="000000"/>
                <w:sz w:val="24"/>
                <w:highlight w:val="white"/>
              </w:rPr>
              <w:t xml:space="preserve">3.</w:t>
            </w:r>
            <w:r>
              <w:rPr>
                <w:highlight w:val="white"/>
              </w:rPr>
            </w:r>
            <w:r>
              <w:rPr>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 Tài sản gắn liền với đất: Nhà 5 tầng </w:t>
            </w:r>
            <w:r>
              <w:rPr>
                <w:highlight w:val="white"/>
              </w:rPr>
            </w:r>
            <w:r>
              <w:rPr>
                <w:highlight w:val="white"/>
              </w:rPr>
            </w:r>
          </w:p>
        </w:tc>
      </w:tr>
      <w:tr>
        <w:trPr>
          <w:trHeight w:val="96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pPr>
              <w:pBdr/>
              <w:spacing w:after="0" w:before="0" w:line="240" w:lineRule="auto"/>
              <w:ind w:right="0" w:firstLine="0" w:left="90"/>
              <w:jc w:val="both"/>
              <w:rPr>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t xml:space="preserve">Tại thời điểm khảo sát, dưới sự hướng dẫn của chủ tài sản, trên đất </w:t>
            </w:r>
            <w:r>
              <w:rPr>
                <w:rFonts w:ascii="Times New Roman" w:hAnsi="Times New Roman" w:eastAsia="Times New Roman" w:cs="Times New Roman"/>
                <w:color w:val="000000"/>
                <w:sz w:val="24"/>
                <w:highlight w:val="white"/>
              </w:rPr>
              <w:t xml:space="preserve">có CTXD nhà 05 tầng, </w:t>
            </w:r>
            <w:r>
              <w:rPr>
                <w:rFonts w:ascii="Times New Roman" w:hAnsi="Times New Roman" w:eastAsia="Times New Roman" w:cs="Times New Roman"/>
                <w:color w:val="000000"/>
                <w:sz w:val="24"/>
                <w:highlight w:val="white"/>
              </w:rPr>
              <w:t xml:space="preserve">diện tích xây dựng khoảng 64m2, tổng diện tích sàn khoảng 320 m2. Công trình chưa được công nhận trên GCN QSDĐ số: </w:t>
            </w:r>
            <w:r>
              <w:rPr>
                <w:color w:val="000000"/>
                <w:highlight w:val="white"/>
              </w:rPr>
              <w:t xml:space="preserve">DO 963740</w:t>
            </w:r>
            <w:r>
              <w:rPr>
                <w:highlight w:val="white"/>
              </w:rPr>
            </w:r>
            <w:r>
              <w:rPr>
                <w:highlight w:val="white"/>
              </w:rPr>
            </w:r>
          </w:p>
        </w:tc>
      </w:tr>
    </w:tbl>
    <w:p>
      <w:pPr>
        <w:pBdr/>
        <w:spacing w:line="235" w:lineRule="auto"/>
        <w:ind w:left="0"/>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rPr>
            </w:r>
          </w:p>
        </w:tc>
        <w:tc>
          <w:tcPr>
            <w:tcBorders/>
            <w:tcW w:w="1560" w:type="dxa"/>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3571"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rPr>
            </w:r>
          </w:p>
        </w:tc>
        <w:tc>
          <w:tcPr>
            <w:tcBorders/>
            <w:tcW w:w="1560" w:type="dxa"/>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3571"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Style w:val="1041"/>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rPr>
      </w:r>
    </w:p>
    <w:p>
      <w:pPr>
        <w:pStyle w:val="1041"/>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rPr>
      </w:r>
      <w:r>
        <w:rPr>
          <w:spacing w:val="-2"/>
          <w:highlight w:val="white"/>
        </w:rPr>
      </w:r>
    </w:p>
    <w:p>
      <w:pPr>
        <w:pStyle w:val="1041"/>
        <w:numPr>
          <w:ilvl w:val="0"/>
          <w:numId w:val="3"/>
        </w:numPr>
        <w:pBdr/>
        <w:tabs>
          <w:tab w:val="left" w:leader="none" w:pos="993"/>
        </w:tabs>
        <w:spacing w:after="120" w:before="120" w:line="264" w:lineRule="auto"/>
        <w:ind/>
        <w:jc w:val="both"/>
        <w:rPr>
          <w:spacing w:val="-2"/>
          <w:highlight w:val="white"/>
          <w14:ligatures w14:val="none"/>
        </w:rPr>
      </w:pPr>
      <w:r>
        <w:rPr>
          <w:spacing w:val="-2"/>
          <w:highlight w:val="white"/>
          <w:lang w:val="pt-BR" w:bidi="pt-BR"/>
        </w:rPr>
      </w:r>
      <w:r>
        <w:rPr>
          <w:spacing w:val="-2"/>
          <w:highlight w:val="white"/>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highlight w:val="white"/>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highlight w:val="white"/>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highlight w:val="white"/>
          <w:lang w:val="pt-BR" w:bidi="pt-BR"/>
        </w:rPr>
        <w:t xml:space="preserve">.</w:t>
      </w:r>
      <w:r>
        <w:rPr>
          <w:spacing w:val="-2"/>
          <w:highlight w:val="white"/>
          <w:lang w:val="pt-BR"/>
        </w:rPr>
      </w:r>
      <w:r>
        <w:rPr>
          <w:spacing w:val="-2"/>
          <w:highlight w:val="white"/>
          <w:lang w:val="pt-BR"/>
          <w14:ligatures w14:val="none"/>
        </w:rPr>
      </w:r>
    </w:p>
    <w:p>
      <w:pPr>
        <w:pStyle w:val="1041"/>
        <w:numPr>
          <w:ilvl w:val="0"/>
          <w:numId w:val="3"/>
        </w:numPr>
        <w:pBdr/>
        <w:spacing w:after="0" w:before="0" w:line="240" w:lineRule="auto"/>
        <w:ind w:right="0"/>
        <w:jc w:val="both"/>
        <w:rPr>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t xml:space="preserve">Tại thời điểm khảo sát, dưới sự hướng dẫn của chủ tài sản, trên đất </w:t>
      </w:r>
      <w:r>
        <w:rPr>
          <w:rFonts w:ascii="Times New Roman" w:hAnsi="Times New Roman" w:eastAsia="Times New Roman" w:cs="Times New Roman"/>
          <w:color w:val="000000"/>
          <w:sz w:val="24"/>
          <w:highlight w:val="white"/>
        </w:rPr>
        <w:t xml:space="preserve">có CTXD nhà 05 tầng, </w:t>
      </w:r>
      <w:r>
        <w:rPr>
          <w:rFonts w:ascii="Times New Roman" w:hAnsi="Times New Roman" w:eastAsia="Times New Roman" w:cs="Times New Roman"/>
          <w:color w:val="000000"/>
          <w:sz w:val="24"/>
          <w:highlight w:val="white"/>
        </w:rPr>
        <w:t xml:space="preserve">diện tích xây dựng khoảng 64m2, tổng diện tích sàn khoảng 320 m2. Công trình chưa được công nhận trên GCN QSDĐ số: </w:t>
      </w:r>
      <w:r>
        <w:rPr>
          <w:color w:val="000000"/>
          <w:highlight w:val="white"/>
        </w:rPr>
        <w:t xml:space="preserve">DO 963740</w:t>
      </w:r>
      <w:r>
        <w:rPr>
          <w:spacing w:val="-2"/>
          <w:highlight w:val="white"/>
          <w:lang w:val="pt-BR"/>
        </w:rPr>
        <w:t xml:space="preserve">, Tổ thẩm định thực hiện ước tính gi</w:t>
      </w:r>
      <w:r>
        <w:rPr>
          <w:spacing w:val="-2"/>
          <w:highlight w:val="white"/>
          <w:lang w:val="pt-BR"/>
        </w:rPr>
        <w:t xml:space="preserve">á trị công trình xây dựng theo thực tế khảo sát được khách hàng hướng dẫn khảo sát và xác nhận. Việc ảnh hưởng của giá trị này (nếu có) do diện tích và hiện trạng của công trình xây dựng sai khác với hiện trạng, tổ thẩm định đã khảo sát và có sự xác nhận c</w:t>
      </w:r>
      <w:r>
        <w:rPr>
          <w:spacing w:val="-2"/>
          <w:highlight w:val="white"/>
          <w:lang w:val="pt-BR"/>
        </w:rPr>
        <w:t xml:space="preserve">ủa khách hàng tại Biên bản khảo sát tài sản kèm theo chứng thư này nằm ngoài phạm vi trách nhiệm của chúng tôi. Khách hàng hoặc bên thứ ba khi sử dụng chứng thư, báo cáo này cần lưu ý, cân nhắc thận trọng và chịu trách nhiệm hoàn toàn trước khi đưa ra quyế</w:t>
      </w:r>
      <w:r>
        <w:rPr>
          <w:spacing w:val="-2"/>
          <w:highlight w:val="white"/>
          <w:lang w:val="pt-BR"/>
        </w:rPr>
        <w:t xml:space="preserve">t định cuối cùng.</w:t>
      </w:r>
      <w:r>
        <w:rPr>
          <w:highlight w:val="white"/>
        </w:rPr>
      </w:r>
      <w:r>
        <w:rPr>
          <w:highlight w:val="white"/>
        </w:rPr>
      </w:r>
    </w:p>
    <w:p>
      <w:pPr>
        <w:pStyle w:val="1041"/>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rPr>
      </w:r>
    </w:p>
    <w:p>
      <w:pPr>
        <w:pStyle w:val="1041"/>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rPr>
      </w:r>
    </w:p>
    <w:p>
      <w:pPr>
        <w:pStyle w:val="1041"/>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rPr>
      </w:r>
    </w:p>
    <w:p>
      <w:pPr>
        <w:pStyle w:val="1041"/>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rPr>
      </w:r>
    </w:p>
    <w:p>
      <w:pPr>
        <w:pStyle w:val="1041"/>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rPr>
      </w:r>
      <w:r>
        <w:rPr>
          <w:bCs/>
          <w:highlight w:val="white"/>
        </w:rPr>
      </w:r>
    </w:p>
    <w:p>
      <w:pPr>
        <w:pStyle w:val="1041"/>
        <w:numPr>
          <w:ilvl w:val="0"/>
          <w:numId w:val="3"/>
        </w:numPr>
        <w:pBdr/>
        <w:tabs>
          <w:tab w:val="left" w:leader="none" w:pos="993"/>
        </w:tabs>
        <w:spacing w:after="120" w:before="120" w:line="276" w:lineRule="auto"/>
        <w:ind w:left="357"/>
        <w:jc w:val="both"/>
        <w:rPr>
          <w:highlight w:val="white"/>
        </w:rPr>
      </w:pPr>
      <w:r>
        <w:rPr>
          <w:bCs/>
          <w:highlight w:val="white"/>
          <w:lang w:val="pt-BR"/>
        </w:rPr>
      </w:r>
      <w:r>
        <w:rPr>
          <w:highlight w:val="white"/>
        </w:rPr>
        <w:t xml:space="preserve">Cách tiếp cận từ chi phí: 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highlight w:val="white"/>
        </w:rPr>
      </w:r>
      <w:r>
        <w:rPr>
          <w:highlight w:val="white"/>
        </w:rPr>
      </w:r>
    </w:p>
    <w:p>
      <w:pPr>
        <w:pStyle w:val="1041"/>
        <w:numPr>
          <w:ilvl w:val="0"/>
          <w:numId w:val="3"/>
        </w:numPr>
        <w:pBdr/>
        <w:tabs>
          <w:tab w:val="left" w:leader="none" w:pos="993"/>
        </w:tabs>
        <w:spacing w:after="120" w:before="120" w:line="276" w:lineRule="auto"/>
        <w:ind w:left="357"/>
        <w:jc w:val="both"/>
        <w:rPr>
          <w:highlight w:val="white"/>
        </w:rPr>
      </w:pPr>
      <w:r>
        <w:rPr>
          <w:highlight w:val="white"/>
        </w:rPr>
        <w:t xml:space="preserve">Phương pháp chi phí tha</w:t>
      </w:r>
      <w:r>
        <w:rPr>
          <w:highlight w:val="white"/>
        </w:rPr>
        <w:t xml:space="preserve">y thế: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w:t>
      </w:r>
      <w:r>
        <w:rPr>
          <w:highlight w:val="white"/>
        </w:rPr>
        <w:t xml:space="preserve">n của tài sản thẩm định giá.</w:t>
      </w:r>
      <w:r>
        <w:rPr>
          <w:bCs/>
          <w:highlight w:val="white"/>
          <w:lang w:val="pt-BR"/>
        </w:rPr>
      </w:r>
      <w:r>
        <w:rPr>
          <w:highlight w:val="white"/>
        </w:rPr>
      </w:r>
    </w:p>
    <w:p>
      <w:pPr>
        <w:pStyle w:val="1041"/>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rPr>
      </w:r>
    </w:p>
    <w:p>
      <w:pPr>
        <w:pStyle w:val="1041"/>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rPr>
      </w:r>
      <w:r>
        <w:rPr>
          <w:spacing w:val="-4"/>
          <w:highlight w:val="white"/>
        </w:rPr>
      </w:r>
    </w:p>
    <w:p>
      <w:pPr>
        <w:pStyle w:val="1041"/>
        <w:numPr>
          <w:ilvl w:val="0"/>
          <w:numId w:val="3"/>
        </w:numPr>
        <w:pBdr/>
        <w:spacing w:after="120" w:before="120" w:line="276" w:lineRule="auto"/>
        <w:ind w:left="357"/>
        <w:jc w:val="both"/>
        <w:rPr>
          <w:spacing w:val="-4"/>
          <w:highlight w:val="white"/>
        </w:rPr>
      </w:pPr>
      <w:r>
        <w:rPr>
          <w:spacing w:val="-4"/>
          <w:highlight w:val="white"/>
          <w:lang w:val="pt-BR"/>
        </w:rPr>
      </w:r>
      <w:r>
        <w:rPr>
          <w:highlight w:val="white"/>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w:t>
      </w:r>
      <w:r>
        <w:rPr>
          <w:highlight w:val="white"/>
        </w:rPr>
        <w:t xml:space="preserve">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w:t>
      </w:r>
      <w:r>
        <w:rPr>
          <w:highlight w:val="white"/>
        </w:rPr>
        <w:t xml:space="preserve">ổ thẩm định sử dụng cách tiếp cận từ chi phí (phương pháp chi phí thay thế) để xác định giá trị công trình gắn liền trên đất của tài sản so sánh và tài sản thẩm định.</w:t>
      </w:r>
      <w:r>
        <w:rPr>
          <w:spacing w:val="-4"/>
          <w:highlight w:val="white"/>
          <w:lang w:val="pt-BR"/>
        </w:rPr>
      </w:r>
      <w:r>
        <w:rPr>
          <w:spacing w:val="-4"/>
          <w:highlight w:val="white"/>
        </w:rPr>
      </w:r>
    </w:p>
    <w:p>
      <w:pPr>
        <w:pStyle w:val="1041"/>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rPr>
      </w:r>
    </w:p>
    <w:p>
      <w:pPr>
        <w:pStyle w:val="1041"/>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rPr>
      </w:r>
    </w:p>
    <w:p>
      <w:pPr>
        <w:pStyle w:val="1041"/>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lang w:val="pt-BR"/>
        </w:rPr>
      </w:r>
      <w:r>
        <w:rPr>
          <w:bCs/>
          <w:highlight w:val="white"/>
        </w:rPr>
      </w:r>
    </w:p>
    <w:p>
      <w:pPr>
        <w:pStyle w:val="1041"/>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rPr>
      </w:r>
    </w:p>
    <w:tbl>
      <w:tblPr>
        <w:tblW w:w="0" w:type="auto"/>
        <w:tblBorders/>
        <w:tblLayout w:type="fixed"/>
        <w:tblLook w:val="04A0" w:firstRow="1" w:lastRow="0" w:firstColumn="1" w:lastColumn="0" w:noHBand="0" w:noVBand="1"/>
      </w:tblPr>
      <w:tblGrid>
        <w:gridCol w:w="704"/>
        <w:gridCol w:w="1843"/>
        <w:gridCol w:w="1733"/>
        <w:gridCol w:w="1751"/>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02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Hà Đông,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Hà Đông,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Hà Đông,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Hà Đông, Thành phố Hà Nội</w:t>
            </w:r>
            <w:r>
              <w:rPr>
                <w:sz w:val="22"/>
                <w:szCs w:val="22"/>
                <w:highlight w:val="white"/>
              </w:rPr>
            </w:r>
            <w:r>
              <w:rPr>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https://batdongsan.com.vn/ban-nha-biet-thu-lien-ke-duong-ngo-quyen-phuong-van-phuc-1-prj-khu-nha-o-phu-my/ban-rieng-kdt-dream-huse-95m2-thang-may-thich-pr44748010</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0936416216</w:t>
            </w:r>
            <w:r>
              <w:rPr>
                <w:sz w:val="22"/>
                <w:szCs w:val="22"/>
                <w:highlight w:val="white"/>
              </w:rPr>
              <w:t xml:space="preserve"> </w:t>
            </w:r>
            <w:r>
              <w:rPr>
                <w:sz w:val="22"/>
                <w:szCs w:val="22"/>
                <w:highlight w:val="white"/>
              </w:rPr>
              <w:br/>
              <w:t xml:space="preserve">(</w:t>
            </w:r>
            <w:r>
              <w:rPr>
                <w:sz w:val="22"/>
                <w:szCs w:val="22"/>
                <w:highlight w:val="white"/>
              </w:rPr>
              <w:t xml:space="preserve">Nguyễn Hữu Xế</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0946657688</w:t>
            </w:r>
            <w:r>
              <w:rPr>
                <w:sz w:val="22"/>
                <w:szCs w:val="22"/>
                <w:highlight w:val="white"/>
              </w:rPr>
              <w:br/>
            </w:r>
            <w:r>
              <w:rPr>
                <w:sz w:val="22"/>
                <w:szCs w:val="22"/>
                <w:highlight w:val="white"/>
              </w:rPr>
              <w:t xml:space="preserve">(</w:t>
            </w:r>
            <w:r>
              <w:rPr>
                <w:sz w:val="22"/>
                <w:szCs w:val="22"/>
                <w:highlight w:val="white"/>
              </w:rPr>
              <w:t xml:space="preserve">Kim Phượng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0981558574</w:t>
            </w:r>
            <w:r>
              <w:rPr>
                <w:sz w:val="22"/>
                <w:szCs w:val="22"/>
                <w:highlight w:val="white"/>
              </w:rPr>
              <w:br/>
            </w:r>
            <w:r>
              <w:rPr>
                <w:sz w:val="22"/>
                <w:szCs w:val="22"/>
                <w:highlight w:val="white"/>
              </w:rPr>
              <w:t xml:space="preserve">(</w:t>
            </w:r>
            <w:r>
              <w:rPr>
                <w:sz w:val="22"/>
                <w:szCs w:val="22"/>
                <w:highlight w:val="white"/>
              </w:rPr>
              <w:t xml:space="preserve">Ngân</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sz w:val="22"/>
                <w:szCs w:val="22"/>
                <w:highlight w:val="white"/>
              </w:rPr>
              <w:t xml:space="preserve"> </w:t>
            </w:r>
            <w:r>
              <w:rPr>
                <w:color w:val="000000" w:themeColor="text1"/>
                <w:sz w:val="22"/>
                <w:szCs w:val="22"/>
                <w:highlight w:val="white"/>
              </w:rPr>
              <w:t xml:space="preserve">Đang giao dịch</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sz w:val="22"/>
                <w:szCs w:val="22"/>
                <w:highlight w:val="white"/>
              </w:rPr>
              <w:t xml:space="preserve"> </w:t>
            </w:r>
            <w:r>
              <w:rPr>
                <w:color w:val="000000" w:themeColor="text1"/>
                <w:sz w:val="22"/>
                <w:szCs w:val="22"/>
                <w:highlight w:val="white"/>
              </w:rPr>
              <w:t xml:space="preserve">Đang giao dịch</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highlight w:val="white"/>
              </w:rPr>
            </w:pPr>
            <w:r>
              <w:rPr>
                <w:color w:val="000000"/>
                <w:sz w:val="22"/>
                <w:szCs w:val="22"/>
                <w:highlight w:val="white"/>
              </w:rPr>
              <w:t xml:space="preserve"> </w:t>
            </w:r>
            <w:r>
              <w:rPr>
                <w:color w:val="000000" w:themeColor="text1"/>
                <w:sz w:val="22"/>
                <w:szCs w:val="22"/>
                <w:highlight w:val="white"/>
              </w:rPr>
              <w:t xml:space="preserve">Tháng 09/2025</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highlight w:val="white"/>
              </w:rPr>
            </w:pPr>
            <w:r>
              <w:rPr>
                <w:color w:val="000000"/>
                <w:sz w:val="22"/>
                <w:szCs w:val="22"/>
                <w:highlight w:val="white"/>
              </w:rPr>
              <w:t xml:space="preserve"> </w:t>
            </w:r>
            <w:r>
              <w:rPr>
                <w:color w:val="000000" w:themeColor="text1"/>
                <w:sz w:val="22"/>
                <w:szCs w:val="22"/>
                <w:highlight w:val="white"/>
              </w:rPr>
              <w:t xml:space="preserve">Tháng 09/2025</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Hà Đông, Thành phố Hà Nội, cách đường Vạn Phúc khoảng 10m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Hà Đông, Thành phố Hà Nội</w:t>
            </w:r>
            <w:r>
              <w:rPr>
                <w:color w:val="000000" w:themeColor="text1"/>
                <w:sz w:val="22"/>
                <w:szCs w:val="22"/>
                <w:highlight w:val="none"/>
              </w:rPr>
              <w:t xml:space="preserve">, cách đường Vạn Phúc khoảng 100m</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Hà Đông, Thành phố Hà Nội</w:t>
            </w:r>
            <w:r>
              <w:rPr>
                <w:color w:val="000000" w:themeColor="text1"/>
                <w:sz w:val="22"/>
                <w:szCs w:val="22"/>
                <w:highlight w:val="none"/>
              </w:rPr>
              <w:t xml:space="preserve">, cách đường Vạn Phúc khoảng 50m</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Hà Đông, Thành phố Hà Nội, Cách đường Vạn Phúc khoảng 300m</w:t>
            </w:r>
            <w:r>
              <w:rPr>
                <w:color w:val="000000" w:themeColor="text1"/>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highlight w:val="white"/>
              </w:rPr>
            </w:pPr>
            <w:r>
              <w:rPr>
                <w:color w:val="000000"/>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nhỏ nhất từ đường chính vào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hd w:val="nil" w:color="auto"/>
              <w:spacing/>
              <w:ind/>
              <w:jc w:val="center"/>
              <w:rPr>
                <w:highlight w:val="white"/>
                <w14:ligatures w14:val="none"/>
              </w:rPr>
            </w:pPr>
            <w:r>
              <w:rPr>
                <w:highlight w:val="white"/>
              </w:rPr>
              <w:t xml:space="preserve">4,1</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hd w:val="nil" w:color="auto"/>
              <w:spacing/>
              <w:ind/>
              <w:jc w:val="center"/>
              <w:rPr>
                <w:highlight w:val="white"/>
                <w14:ligatures w14:val="none"/>
              </w:rPr>
            </w:pPr>
            <w:r>
              <w:rPr>
                <w:highlight w:val="white"/>
              </w:rPr>
              <w:t xml:space="preserve">5</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highlight w:val="white"/>
                <w14:ligatures w14:val="none"/>
              </w:rPr>
            </w:pPr>
            <w:r>
              <w:rPr>
                <w:highlight w:val="white"/>
              </w:rPr>
              <w:t xml:space="preserve">6</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highlight w:val="white"/>
                <w14:ligatures w14:val="none"/>
              </w:rPr>
            </w:pPr>
            <w:r>
              <w:rPr>
                <w:highlight w:val="white"/>
              </w:rPr>
              <w:t xml:space="preserve">7</w:t>
            </w:r>
            <w:r>
              <w:rPr>
                <w:highlight w:val="white"/>
                <w14:ligatures w14:val="none"/>
              </w:rPr>
            </w:r>
            <w:r>
              <w:rPr>
                <w:highlight w:val="whit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Cơ sở hạ tầng kỹ thuật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82,5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92</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b/>
                <w:bCs/>
                <w:color w:val="000000"/>
                <w:sz w:val="22"/>
                <w:szCs w:val="22"/>
                <w:highlight w:val="white"/>
              </w:rPr>
            </w:pPr>
            <w:r>
              <w:rPr>
                <w:color w:val="000000"/>
                <w:sz w:val="22"/>
                <w:szCs w:val="22"/>
                <w:highlight w:val="white"/>
              </w:rPr>
            </w:r>
            <w:r>
              <w:rPr>
                <w:color w:val="000000" w:themeColor="text1"/>
                <w:sz w:val="22"/>
                <w:szCs w:val="22"/>
                <w:highlight w:val="white"/>
              </w:rPr>
              <w:t xml:space="preserve">Tiếp giáp 1 mặt tiền + 1 mặt thoáng</w:t>
            </w:r>
            <w:r>
              <w:rPr>
                <w:b/>
                <w:bCs/>
                <w:color w:val="000000"/>
                <w:sz w:val="22"/>
                <w:szCs w:val="22"/>
                <w:highlight w:val="white"/>
              </w:rPr>
            </w:r>
            <w:r>
              <w:rPr>
                <w:b/>
                <w:bCs/>
                <w:color w:val="000000"/>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góc 1 mặt đường, phố + 1 mặt ngõ</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đối vuông vức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CTXD </w:t>
            </w:r>
            <w:r>
              <w:rPr>
                <w:color w:val="000000" w:themeColor="text1"/>
                <w:sz w:val="22"/>
                <w:szCs w:val="22"/>
                <w:highlight w:val="white"/>
              </w:rPr>
              <w:t xml:space="preserve">trên </w:t>
            </w:r>
            <w:r>
              <w:rPr>
                <w:color w:val="000000" w:themeColor="text1"/>
                <w:sz w:val="22"/>
                <w:szCs w:val="22"/>
                <w:highlight w:val="white"/>
              </w:rPr>
              <w:t xml:space="preserve">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w:t>
            </w:r>
            <w:r>
              <w:rPr>
                <w:color w:val="000000" w:themeColor="text1"/>
                <w:sz w:val="22"/>
                <w:szCs w:val="22"/>
                <w:highlight w:val="white"/>
              </w:rPr>
              <w:t xml:space="preserve">5 </w:t>
            </w:r>
            <w:r>
              <w:rPr>
                <w:color w:val="000000" w:themeColor="text1"/>
                <w:sz w:val="22"/>
                <w:szCs w:val="22"/>
                <w:highlight w:val="white"/>
              </w:rPr>
              <w:t xml:space="preserve">tầng, tổng diện tích sàn khoảng 365,6m2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w:t>
            </w:r>
            <w:r>
              <w:rPr>
                <w:color w:val="000000" w:themeColor="text1"/>
                <w:sz w:val="22"/>
                <w:szCs w:val="22"/>
                <w:highlight w:val="white"/>
              </w:rPr>
              <w:t xml:space="preserve">5 </w:t>
            </w:r>
            <w:r>
              <w:rPr>
                <w:color w:val="000000" w:themeColor="text1"/>
                <w:sz w:val="22"/>
                <w:szCs w:val="22"/>
                <w:highlight w:val="white"/>
              </w:rPr>
              <w:t xml:space="preserve">tầng, tổng diện tích sàn khoảng 339,1m2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w:t>
            </w:r>
            <w:r>
              <w:rPr>
                <w:color w:val="000000" w:themeColor="text1"/>
                <w:sz w:val="22"/>
                <w:szCs w:val="22"/>
                <w:highlight w:val="white"/>
              </w:rPr>
              <w:t xml:space="preserve">4</w:t>
            </w:r>
            <w:r>
              <w:rPr>
                <w:color w:val="000000" w:themeColor="text1"/>
                <w:sz w:val="22"/>
                <w:szCs w:val="22"/>
                <w:highlight w:val="white"/>
              </w:rPr>
              <w:t xml:space="preserve"> </w:t>
            </w:r>
            <w:r>
              <w:rPr>
                <w:color w:val="000000" w:themeColor="text1"/>
                <w:sz w:val="22"/>
                <w:szCs w:val="22"/>
                <w:highlight w:val="white"/>
              </w:rPr>
              <w:t xml:space="preserve">tầng, tổng diện tích sàn khoảng 368m2</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30.000.000.000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25.500.000.000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33.000.000.000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27.000.000.000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24.225.000.000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29.700.000.000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hd w:val="nil" w:color="auto"/>
              <w:spacing/>
              <w:ind/>
              <w:jc w:val="center"/>
              <w:rPr>
                <w:highlight w:val="white"/>
                <w14:ligatures w14:val="none"/>
              </w:rPr>
            </w:pPr>
            <w:r>
              <w:rPr>
                <w:highlight w:val="white"/>
              </w:rPr>
              <w:t xml:space="preserve">2.661.651.941</w:t>
            </w:r>
            <w:r>
              <w:rPr>
                <w:highlight w:val="white"/>
                <w14:ligatures w14:val="none"/>
              </w:rPr>
            </w:r>
            <w:r>
              <w:rPr>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highlight w:val="white"/>
                <w14:ligatures w14:val="none"/>
              </w:rPr>
            </w:pPr>
            <w:r>
              <w:rPr>
                <w:highlight w:val="white"/>
              </w:rPr>
              <w:t xml:space="preserve">2.523.586.432</w:t>
            </w:r>
            <w:r>
              <w:rPr>
                <w:highlight w:val="white"/>
                <w14:ligatures w14:val="none"/>
              </w:rPr>
            </w:r>
            <w:r>
              <w:rPr>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highlight w:val="white"/>
                <w14:ligatures w14:val="none"/>
              </w:rPr>
            </w:pPr>
            <w:r>
              <w:rPr>
                <w:highlight w:val="white"/>
              </w:rPr>
              <w:t xml:space="preserve">1.134.107.986</w:t>
            </w:r>
            <w:r>
              <w:rPr>
                <w:highlight w:val="white"/>
                <w14:ligatures w14:val="none"/>
              </w:rPr>
            </w:r>
            <w:r>
              <w:rPr>
                <w:highlight w:val="whit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rPr>
                <w:highlight w:val="white"/>
                <w14:ligatures w14:val="none"/>
              </w:rPr>
            </w:pPr>
            <w:r>
              <w:rPr>
                <w:highlight w:val="white"/>
              </w:rPr>
              <w:t xml:space="preserve">Đơn giá xây dựng theo Quyết định số 425/QĐ-BXD ngày 30/</w:t>
            </w:r>
            <w:r>
              <w:rPr>
                <w:highlight w:val="white"/>
              </w:rPr>
              <w:t xml:space="preserve">0</w:t>
            </w:r>
            <w:r>
              <w:rPr>
                <w:highlight w:val="white"/>
              </w:rPr>
              <w:t xml:space="preserve">3/2026 của Bộ Xây Dựng (đồng/m²)</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hd w:val="nil"/>
              <w:spacing/>
              <w:ind/>
              <w:jc w:val="center"/>
              <w:rPr>
                <w:highlight w:val="white"/>
                <w14:ligatures w14:val="none"/>
              </w:rPr>
            </w:pPr>
            <w:r>
              <w:rPr>
                <w:highlight w:val="white"/>
                <w:lang w:val="undefined"/>
              </w:rPr>
              <w:t xml:space="preserve">    8.089.144 </w:t>
            </w:r>
            <w:r>
              <w:rPr>
                <w:highlight w:val="white"/>
                <w:lang w:val="undefined"/>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spacing/>
              <w:ind/>
              <w:jc w:val="center"/>
              <w:rPr>
                <w:highlight w:val="white"/>
                <w:lang w:val="undefined"/>
                <w14:ligatures w14:val="none"/>
              </w:rPr>
            </w:pPr>
            <w:r>
              <w:rPr>
                <w:highlight w:val="white"/>
                <w:lang w:val="undefined"/>
              </w:rPr>
              <w:t xml:space="preserve">    8.089.144 </w:t>
            </w:r>
            <w:r>
              <w:rPr>
                <w:highlight w:val="white"/>
                <w:lang w:val="undefined"/>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spacing/>
              <w:ind/>
              <w:jc w:val="left"/>
              <w:rPr>
                <w:highlight w:val="white"/>
                <w:lang w:val="undefined"/>
                <w14:ligatures w14:val="none"/>
              </w:rPr>
            </w:pPr>
            <w:r>
              <w:rPr>
                <w:highlight w:val="none"/>
                <w:lang w:val="undefined"/>
              </w:rPr>
              <w:t xml:space="preserve">   </w:t>
            </w:r>
            <w:r>
              <w:rPr>
                <w:highlight w:val="white"/>
                <w:lang w:val="undefined"/>
              </w:rPr>
              <w:t xml:space="preserve"> 7.263.760 </w:t>
            </w:r>
            <w:r>
              <w:rPr>
                <w:highlight w:val="white"/>
                <w:lang w:val="undefined"/>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rPr>
                <w:highlight w:val="white"/>
                <w14:ligatures w14:val="none"/>
              </w:rPr>
            </w:pPr>
            <w:r>
              <w:rPr>
                <w:highlight w:val="white"/>
              </w:rPr>
              <w:t xml:space="preserve">Tỷ </w:t>
            </w:r>
            <w:r>
              <w:rPr>
                <w:highlight w:val="white"/>
              </w:rPr>
              <w:t xml:space="preserve">lệ </w:t>
            </w:r>
            <w:r>
              <w:rPr>
                <w:highlight w:val="white"/>
              </w:rPr>
              <w:t xml:space="preserve">hao </w:t>
            </w:r>
            <w:r>
              <w:rPr>
                <w:highlight w:val="white"/>
              </w:rPr>
              <w:t xml:space="preserve">mòn </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hd w:val="nil" w:color="auto"/>
              <w:spacing/>
              <w:ind/>
              <w:jc w:val="center"/>
              <w:rPr>
                <w:highlight w:val="white"/>
                <w14:ligatures w14:val="none"/>
              </w:rPr>
            </w:pPr>
            <w:r>
              <w:rPr>
                <w:highlight w:val="white"/>
              </w:rPr>
              <w:t xml:space="preserve">10%</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highlight w:val="white"/>
                <w14:ligatures w14:val="none"/>
              </w:rPr>
            </w:pPr>
            <w:r>
              <w:rPr>
                <w:highlight w:val="white"/>
              </w:rPr>
              <w:t xml:space="preserve">8%</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highlight w:val="white"/>
                <w14:ligatures w14:val="none"/>
              </w:rPr>
            </w:pPr>
            <w:r>
              <w:rPr>
                <w:highlight w:val="white"/>
              </w:rPr>
              <w:t xml:space="preserve">53,33%</w:t>
            </w:r>
            <w:r>
              <w:rPr>
                <w:highlight w:val="white"/>
                <w14:ligatures w14:val="none"/>
              </w:rPr>
            </w:r>
            <w:r>
              <w:rPr>
                <w:highlight w:val="white"/>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27.000.000.000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24.225.000.000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29.700.000.000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QSDĐ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256.193.137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263.047.437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310.498.826</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nhỏ nhất từ đường chính vào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Cơ sở hạ tầng kỹ thuật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r>
      <w:r>
        <w:rPr>
          <w:highlight w:val="none"/>
          <w:lang w:val="it-IT"/>
        </w:rPr>
      </w:r>
    </w:p>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r>
      <w:r>
        <w:rPr>
          <w:highlight w:val="none"/>
          <w:lang w:val="it-IT"/>
        </w:rPr>
      </w:r>
    </w:p>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r>
      <w:r>
        <w:rPr>
          <w:highlight w:val="none"/>
          <w:lang w:val="it-IT"/>
        </w:rPr>
      </w:r>
    </w:p>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r>
      <w:r>
        <w:rPr>
          <w:highlight w:val="none"/>
          <w:lang w:val="it-IT"/>
        </w:rPr>
      </w:r>
    </w:p>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r>
      <w:r>
        <w:rPr>
          <w:highlight w:val="none"/>
          <w:lang w:val="it-IT"/>
        </w:rPr>
      </w:r>
    </w:p>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r>
      <w:r>
        <w:rPr>
          <w:highlight w:val="none"/>
          <w:lang w:val="it-IT"/>
        </w:rPr>
      </w:r>
    </w:p>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r>
      <w:r>
        <w:rPr>
          <w:highlight w:val="none"/>
          <w:lang w:val="it-IT"/>
        </w:rPr>
      </w:r>
    </w:p>
    <w:p>
      <w:pPr>
        <w:pBdr/>
        <w:tabs>
          <w:tab w:val="left" w:leader="none" w:pos="90"/>
          <w:tab w:val="left" w:leader="none" w:pos="180"/>
        </w:tabs>
        <w:spacing w:after="120" w:before="120" w:line="264" w:lineRule="auto"/>
        <w:ind/>
        <w:jc w:val="both"/>
        <w:rPr>
          <w:highlight w:val="none"/>
          <w:lang w:val="it-IT"/>
        </w:rPr>
      </w:pPr>
      <w:r>
        <w:rPr>
          <w:highlight w:val="none"/>
          <w:lang w:val="it-IT"/>
        </w:rPr>
      </w:r>
      <w:r>
        <w:rPr>
          <w:highlight w:val="none"/>
          <w:lang w:val="it-IT"/>
        </w:rPr>
        <w:t xml:space="preserve">Vị trí tương quan giữa TSTĐ và các TSSS</w:t>
      </w:r>
      <w:r>
        <w:rPr>
          <w:b/>
          <w:bCs/>
          <w:highlight w:val="white"/>
        </w:rPr>
        <w:t xml:space="preserve">:</w:t>
      </w:r>
      <w:r>
        <w:rPr>
          <w:b/>
          <w:bCs/>
          <w:highlight w:val="white"/>
        </w:rPr>
      </w:r>
    </w:p>
    <w:p>
      <w:pPr>
        <w:pBdr/>
        <w:tabs>
          <w:tab w:val="left" w:leader="none" w:pos="90"/>
          <w:tab w:val="left" w:leader="none" w:pos="180"/>
        </w:tabs>
        <w:spacing w:after="120" w:before="120" w:line="264" w:lineRule="auto"/>
        <w:ind/>
        <w:jc w:val="both"/>
        <w:rPr>
          <w:b/>
          <w:bCs/>
          <w:highlight w:val="white"/>
        </w:rPr>
      </w:pPr>
      <w:r>
        <w:rPr>
          <w:highlight w:val="none"/>
          <w:lang w:val="it-IT"/>
        </w:rPr>
      </w:r>
      <w:r>
        <w:rPr>
          <w:color w:val="000000"/>
          <w:highlight w:val="white"/>
        </w:rPr>
      </w:r>
      <w:r>
        <w:rPr>
          <w:color w:val="000000"/>
          <w:highlight w:val="white"/>
        </w:rPr>
        <mc:AlternateContent>
          <mc:Choice Requires="wpg">
            <w:drawing>
              <wp:inline xmlns:wp="http://schemas.openxmlformats.org/drawingml/2006/wordprocessingDrawing" distT="0" distB="0" distL="0" distR="0">
                <wp:extent cx="6048715" cy="3140441"/>
                <wp:effectExtent l="0" t="0" r="0" b="0"/>
                <wp:docPr id="7" name=""/>
                <wp:cNvGraphicFramePr/>
                <a:graphic xmlns:a="http://schemas.openxmlformats.org/drawingml/2006/main">
                  <a:graphicData uri="http://schemas.openxmlformats.org/drawingml/2006/picture">
                    <pic:pic xmlns:pic="http://schemas.openxmlformats.org/drawingml/2006/picture">
                      <pic:nvPicPr>
                        <pic:cNvPr id="225024640" name="" descr=""/>
                        <pic:cNvPicPr/>
                        <pic:nvPr/>
                      </pic:nvPicPr>
                      <pic:blipFill rotWithShape="1">
                        <a:blip r:embed="rId20"/>
                        <a:stretch/>
                      </pic:blipFill>
                      <pic:spPr bwMode="auto">
                        <a:xfrm rot="0" flipH="0" flipV="0">
                          <a:off x="0" y="0"/>
                          <a:ext cx="6048714" cy="31404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76.28pt;height:247.28pt;mso-wrap-distance-left:0.00pt;mso-wrap-distance-top:0.00pt;mso-wrap-distance-right:0.00pt;mso-wrap-distance-bottom:0.00pt;rotation:0;z-index:1;" stroked="false">
                <v:imagedata r:id="rId20" o:title=""/>
                <o:lock v:ext="edit" rotation="t"/>
              </v:shape>
            </w:pict>
          </mc:Fallback>
        </mc:AlternateContent>
      </w:r>
      <w:r>
        <w:rPr>
          <w:color w:val="000000"/>
          <w:highlight w:val="white"/>
        </w:rPr>
      </w:r>
      <w:r>
        <w:rPr>
          <w:highlight w:val="none"/>
          <w:lang w:val="it-IT"/>
        </w:rPr>
      </w:r>
      <w:r>
        <w:rPr>
          <w:color w:val="000000"/>
          <w:highlight w:val="white"/>
        </w:rPr>
      </w:r>
      <w:r>
        <w:rPr>
          <w:highlight w:val="none"/>
          <w:lang w:val="it-IT"/>
        </w:rPr>
      </w:r>
      <w:r>
        <w:rPr>
          <w:color w:val="000000"/>
          <w:highlight w:val="white"/>
        </w:rPr>
      </w:r>
      <w:r>
        <w:rPr>
          <w:highlight w:val="none"/>
          <w:lang w:val="it-IT"/>
        </w:rPr>
      </w:r>
      <w:r>
        <w:rPr>
          <w:color w:val="000000"/>
          <w:highlight w:val="white"/>
        </w:rPr>
      </w:r>
      <w:r>
        <w:rPr>
          <w:color w:val="000000"/>
          <w:highlight w:val="white"/>
        </w:rPr>
      </w:r>
      <w:r>
        <w:rPr>
          <w:color w:val="000000"/>
          <w:highlight w:val="white"/>
        </w:rPr>
      </w:r>
      <w:r>
        <w:rPr>
          <w:highlight w:val="none"/>
          <w:lang w:val="it-IT"/>
        </w:rPr>
      </w:r>
      <w:r/>
      <w:r>
        <w:rPr>
          <w:highlight w:val="none"/>
          <w:lang w:val="it-IT"/>
        </w:rPr>
      </w:r>
      <w:r>
        <w:rPr>
          <w:highlight w:val="none"/>
          <w:lang w:val="it-IT"/>
        </w:rPr>
      </w:r>
      <w:r>
        <w:rPr>
          <w:color w:val="000000"/>
          <w:highlight w:val="white"/>
        </w:rPr>
      </w:r>
      <w:r/>
      <w:r>
        <w:rPr>
          <w:highlight w:val="none"/>
          <w:lang w:val="it-IT"/>
        </w:rPr>
      </w:r>
      <w:r>
        <w:rPr>
          <w:highlight w:val="none"/>
          <w:lang w:val="it-IT"/>
        </w:rPr>
      </w:r>
    </w:p>
    <w:p>
      <w:pPr>
        <w:pBdr/>
        <w:tabs>
          <w:tab w:val="left" w:leader="none" w:pos="90"/>
          <w:tab w:val="left" w:leader="none" w:pos="180"/>
        </w:tabs>
        <w:spacing w:after="120" w:before="120" w:line="264" w:lineRule="auto"/>
        <w:ind/>
        <w:jc w:val="both"/>
        <w:rPr>
          <w:highlight w:val="none"/>
          <w:lang w:val="it-IT"/>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rPr>
      </w:r>
    </w:p>
    <w:p>
      <w:pPr>
        <w:pStyle w:val="1041"/>
        <w:numPr>
          <w:ilvl w:val="0"/>
          <w:numId w:val="6"/>
        </w:numPr>
        <w:pBdr/>
        <w:tabs>
          <w:tab w:val="left" w:leader="none" w:pos="720"/>
        </w:tabs>
        <w:spacing w:after="120" w:before="120" w:line="276" w:lineRule="auto"/>
        <w:ind w:hanging="284" w:left="284"/>
        <w:jc w:val="both"/>
        <w:rPr>
          <w:b/>
          <w:bCs/>
          <w:highlight w:val="white"/>
        </w:rPr>
      </w:pPr>
      <w:r>
        <w:rPr>
          <w:b/>
          <w:highlight w:val="white"/>
          <w:lang w:val="nl-NL"/>
        </w:rPr>
        <w:t xml:space="preserve">Bảng điều chỉnh</w:t>
      </w:r>
      <w:r>
        <w:rPr>
          <w:b/>
          <w:highlight w:val="white"/>
          <w:lang w:val="nl-NL"/>
        </w:rPr>
        <w:t xml:space="preserve">:</w:t>
      </w:r>
      <w:r>
        <w:rPr>
          <w:b/>
          <w:highlight w:val="white"/>
        </w:rPr>
      </w:r>
      <w:r>
        <w:rPr>
          <w:b/>
          <w:bCs/>
          <w:highlight w:val="white"/>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QSDĐ thị trường (Ước tính sau thương lượng)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24.338.348.059</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21.701.413.568</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28.565.892.014</w:t>
            </w:r>
            <w:r>
              <w:rPr>
                <w:color w:val="000000"/>
                <w:sz w:val="20"/>
                <w:szCs w:val="20"/>
                <w:highlight w:val="white"/>
              </w:rPr>
            </w:r>
            <w:r>
              <w:rPr>
                <w:color w:val="000000"/>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đất ước tính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256.193.137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263.047.437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310.498.826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256.193.137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263.047.437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310.498.826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256.193.137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263.047.437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310.498.826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Thời hạn sử dụng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256.193.137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263.047.437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310.498.826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Hà Đông, Thành phố Hà Nội, cách đường Vạn Phúc khoảng 10m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Hà Đông, Thành phố Hà Nội</w:t>
            </w:r>
            <w:r>
              <w:rPr>
                <w:color w:val="000000" w:themeColor="text1"/>
                <w:sz w:val="22"/>
                <w:szCs w:val="22"/>
                <w:highlight w:val="none"/>
              </w:rPr>
              <w:t xml:space="preserve">, cách đường Vạn Phúc khoảng 100m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Hà Đông, Thành phố Hà Nội</w:t>
            </w:r>
            <w:r>
              <w:rPr>
                <w:color w:val="000000" w:themeColor="text1"/>
                <w:sz w:val="22"/>
                <w:szCs w:val="22"/>
                <w:highlight w:val="none"/>
              </w:rPr>
              <w:t xml:space="preserve">, cách đường Vạn Phúc khoảng 50m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Hà Đông, Thành phố Hà Nội, Cách đường Vạn Phúc khoảng 300m</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256.193.137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263.047.437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310.498.826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Giao thông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không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-7.685.794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-7.891.423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-9.314.965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248.507.343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255.156.014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301.183.861</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đường trước tài sản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20.495.451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10.521.897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6.209.977</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269.002.794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265.677.911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307.393.838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nhỏ nhất từ đường chính vào tài sản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hd w:val="nil" w:color="000000"/>
              <w:spacing/>
              <w:ind/>
              <w:jc w:val="center"/>
              <w:rPr>
                <w:highlight w:val="white"/>
                <w14:ligatures w14:val="none"/>
              </w:rPr>
            </w:pPr>
            <w:r>
              <w:rPr>
                <w:highlight w:val="white"/>
              </w:rPr>
              <w:t xml:space="preserve">4,1</w:t>
            </w:r>
            <w:r>
              <w:rPr>
                <w:highlight w:val="white"/>
                <w14:ligatures w14:val="none"/>
              </w:rPr>
            </w:r>
            <w:r>
              <w:rPr>
                <w:highlight w:val="white"/>
                <w14:ligatures w14:val="none"/>
              </w:rPr>
            </w:r>
          </w:p>
        </w:tc>
        <w:tc>
          <w:tcPr>
            <w:shd w:val="clear" w:color="000000" w:fill="ffffff"/>
            <w:tcBorders/>
            <w:tcW w:w="1522" w:type="dxa"/>
            <w:vAlign w:val="center"/>
            <w:textDirection w:val="lrTb"/>
            <w:noWrap w:val="false"/>
          </w:tcPr>
          <w:p>
            <w:pPr>
              <w:pBdr/>
              <w:shd w:val="nil" w:color="000000"/>
              <w:spacing/>
              <w:ind/>
              <w:jc w:val="center"/>
              <w:rPr>
                <w:highlight w:val="white"/>
                <w14:ligatures w14:val="none"/>
              </w:rPr>
            </w:pPr>
            <w:r>
              <w:rPr>
                <w:highlight w:val="white"/>
              </w:rPr>
              <w:t xml:space="preserve">5</w:t>
            </w:r>
            <w:r>
              <w:rPr>
                <w:highlight w:val="white"/>
                <w14:ligatures w14:val="none"/>
              </w:rPr>
            </w:r>
            <w:r>
              <w:rPr>
                <w:highlight w:val="white"/>
                <w14:ligatures w14:val="none"/>
              </w:rPr>
            </w:r>
          </w:p>
        </w:tc>
        <w:tc>
          <w:tcPr>
            <w:shd w:val="clear" w:color="000000" w:fill="ffffff"/>
            <w:tcBorders/>
            <w:tcW w:w="1522" w:type="dxa"/>
            <w:vAlign w:val="center"/>
            <w:textDirection w:val="lrTb"/>
            <w:noWrap w:val="false"/>
          </w:tcPr>
          <w:p>
            <w:pPr>
              <w:pBdr/>
              <w:shd w:val="nil" w:color="000000"/>
              <w:spacing/>
              <w:ind/>
              <w:jc w:val="center"/>
              <w:rPr>
                <w:highlight w:val="white"/>
                <w14:ligatures w14:val="none"/>
              </w:rPr>
            </w:pPr>
            <w:r>
              <w:rPr>
                <w:highlight w:val="white"/>
              </w:rPr>
              <w:t xml:space="preserve">6</w:t>
            </w:r>
            <w:r>
              <w:rPr>
                <w:highlight w:val="white"/>
                <w14:ligatures w14:val="none"/>
              </w:rPr>
            </w:r>
            <w:r>
              <w:rPr>
                <w:highlight w:val="white"/>
                <w14:ligatures w14:val="none"/>
              </w:rPr>
            </w:r>
          </w:p>
        </w:tc>
        <w:tc>
          <w:tcPr>
            <w:shd w:val="clear" w:color="000000" w:fill="ffffff"/>
            <w:tcBorders/>
            <w:tcW w:w="1522" w:type="dxa"/>
            <w:vAlign w:val="center"/>
            <w:textDirection w:val="lrTb"/>
            <w:noWrap w:val="false"/>
          </w:tcPr>
          <w:p>
            <w:pPr>
              <w:pBdr/>
              <w:shd w:val="nil" w:color="000000"/>
              <w:spacing/>
              <w:ind/>
              <w:jc w:val="center"/>
              <w:rPr>
                <w:highlight w:val="white"/>
                <w14:ligatures w14:val="none"/>
              </w:rPr>
            </w:pPr>
            <w:r>
              <w:rPr>
                <w:highlight w:val="white"/>
              </w:rPr>
              <w:t xml:space="preserve">7</w:t>
            </w:r>
            <w:r>
              <w:rPr>
                <w:highlight w:val="white"/>
                <w14:ligatures w14:val="none"/>
              </w:rPr>
            </w:r>
            <w:r>
              <w:rPr>
                <w:highlight w:val="whit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-7.685.794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-15.782.846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-24.839.906</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261.317.000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249.895.065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282.553.932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Cơ sở hạ tầng kỹ thuật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Hạ tầng khu dân cư thông thường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Hạ tầng khu đô thị, khu phân lô/tái định cư</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Hạ tầng khu dân cư thông thường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Hạ tầng khu dân cư thông thường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-12.809.657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248.507.343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249.895.065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282.553.932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82,5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92</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15.371.588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13.152.372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18.629.930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263.878.931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263.047.437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301.183.862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tiền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-5.123.863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-5.260.949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258.755.068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257.786.488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301.183.862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 + 1 mặt thoáng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góc 1 mặt đường, phố + 1 mặt ngõ</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5.123.863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5.260.949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-15.524.941</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263.878.931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263.047.437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285.658.921</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Tương đối vuông vức</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-5.123.863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-5.260.949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-6.209.977</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258.755.068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257.786.488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279.448.944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258.755.068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257.786.488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279.448.944</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265.330.167</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-2,84%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5,32%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79.419.873</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63.131.385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80.729.696</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8</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7</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6</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- 8%</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- 6%</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- 8%</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2.561.931</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5.260.949</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31.049.882</w:t>
            </w:r>
            <w:r>
              <w:rPr>
                <w:sz w:val="22"/>
                <w:szCs w:val="22"/>
                <w:highlight w:val="white"/>
              </w:rPr>
            </w:r>
            <w:r>
              <w:rPr>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-2,84</w:t>
      </w:r>
      <w:r>
        <w:rPr>
          <w:highlight w:val="white"/>
        </w:rPr>
        <w:t xml:space="preserve">% đến</w:t>
      </w:r>
      <w:r>
        <w:rPr>
          <w:highlight w:val="white"/>
        </w:rPr>
        <w:t xml:space="preserve"> </w:t>
      </w:r>
      <w:r>
        <w:rPr>
          <w:highlight w:val="white"/>
        </w:rPr>
        <w:t xml:space="preserve"> </w:t>
      </w:r>
      <w:r>
        <w:rPr>
          <w:highlight w:val="white"/>
        </w:rPr>
        <w:t xml:space="preserve">5,32</w:t>
      </w:r>
      <w:r>
        <w:rPr>
          <w:highlight w:val="white"/>
        </w:rPr>
        <w:t xml:space="preserve">%,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258.755.068</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86.268.940</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257.786.488</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85.920.236</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279.448.944</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93.140.333</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265.329.509</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265.000.000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265.000.000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41"/>
        <w:numPr>
          <w:ilvl w:val="0"/>
          <w:numId w:val="26"/>
        </w:numPr>
        <w:pBdr/>
        <w:spacing w:after="120" w:before="120" w:line="276" w:lineRule="auto"/>
        <w:ind w:hanging="357" w:left="357"/>
        <w:jc w:val="both"/>
        <w:rPr>
          <w:b/>
          <w:bCs/>
          <w:highlight w:val="white"/>
        </w:rPr>
      </w:pPr>
      <w:r>
        <w:rPr>
          <w:b/>
          <w:bCs/>
          <w:highlight w:val="white"/>
        </w:rPr>
        <w:t xml:space="preserve">Xác định giá trị tài sản gắn liền với đất</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spacing w:before="52"/>
        <w:ind w:right="0" w:firstLine="425" w:left="0"/>
        <w:jc w:val="both"/>
        <w:rPr>
          <w:highlight w:val="white"/>
        </w:rPr>
      </w:pPr>
      <w:r>
        <w:rPr>
          <w:rFonts w:ascii="Times New Roman" w:hAnsi="Times New Roman" w:eastAsia="Times New Roman" w:cs="Times New Roman"/>
          <w:color w:val="000000"/>
          <w:sz w:val="24"/>
          <w:highlight w:val="white"/>
        </w:rPr>
        <w:t xml:space="preserve">Qua</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tham</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khảo</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thị</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trường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về</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đơn</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giá</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xây</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dựng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mới</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đối</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với</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công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trình</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nhà</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riêng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lẻ, cân nhắc và xem xét với mức độ hoàn thiện của công trình xây dựng hiện có, Tổ thẩm định nhận thấy đơn giá vận dụng theo Quyết định số 425/QĐ-BXD ngày 30 tháng 3 năm 2026 của Bộ Xây</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dựng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về</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việc</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công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bố</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suất</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vốn</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đầu</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tư</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xây</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dựng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và</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giá</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xây</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dựng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tổng</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hợp</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bộ</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phận</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kết</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cấu</w:t>
      </w:r>
      <w:r>
        <w:rPr>
          <w:rFonts w:ascii="Times New Roman" w:hAnsi="Times New Roman" w:eastAsia="Times New Roman" w:cs="Times New Roman"/>
          <w:color w:val="000000"/>
          <w:spacing w:val="-6"/>
          <w:sz w:val="24"/>
          <w:highlight w:val="white"/>
        </w:rPr>
        <w:t xml:space="preserve"> </w:t>
      </w:r>
      <w:r>
        <w:rPr>
          <w:rFonts w:ascii="Times New Roman" w:hAnsi="Times New Roman" w:eastAsia="Times New Roman" w:cs="Times New Roman"/>
          <w:color w:val="000000"/>
          <w:sz w:val="24"/>
          <w:highlight w:val="white"/>
        </w:rPr>
        <w:t xml:space="preserve">công trình năm 2025 là khá phù hợp với thị trường, theo đó:</w:t>
      </w:r>
      <w:r>
        <w:rPr>
          <w:highlight w:val="white"/>
        </w:rPr>
      </w:r>
      <w:r>
        <w:rPr>
          <w:highlight w:val="white"/>
        </w:rPr>
      </w:r>
    </w:p>
    <w:p>
      <w:pPr>
        <w:pBdr>
          <w:top w:val="none" w:color="000000" w:sz="4" w:space="0"/>
          <w:left w:val="none" w:color="000000" w:sz="4" w:space="0"/>
          <w:bottom w:val="none" w:color="000000" w:sz="4" w:space="0"/>
          <w:right w:val="none" w:color="000000" w:sz="4" w:space="0"/>
        </w:pBdr>
        <w:spacing w:before="60"/>
        <w:ind w:right="0" w:firstLine="425" w:left="0"/>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i/>
          <w:color w:val="000000"/>
          <w:sz w:val="24"/>
          <w:highlight w:val="white"/>
        </w:rPr>
        <w:t xml:space="preserve">Nhà từ 4 đến 5 tầng, kết cấu khung chịu lực BTCT; tường bao xây gạch; sàn, mái BTCT đổ tại chỗ, không có tầng hầm</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i/>
          <w:color w:val="000000"/>
          <w:sz w:val="24"/>
          <w:highlight w:val="white"/>
        </w:rPr>
        <w:t xml:space="preserve">Diện tích xây dựng từ 50 - dưới 70m</w:t>
      </w:r>
      <w:r>
        <w:rPr>
          <w:rFonts w:ascii="Times New Roman" w:hAnsi="Times New Roman" w:eastAsia="Times New Roman" w:cs="Times New Roman"/>
          <w:i/>
          <w:color w:val="000000"/>
          <w:sz w:val="20"/>
          <w:highlight w:val="white"/>
          <w:vertAlign w:val="superscript"/>
        </w:rPr>
        <w:t xml:space="preserve">2</w:t>
      </w:r>
      <w:r>
        <w:rPr>
          <w:rFonts w:ascii="Times New Roman" w:hAnsi="Times New Roman" w:eastAsia="Times New Roman" w:cs="Times New Roman"/>
          <w:i/>
          <w:color w:val="000000"/>
          <w:sz w:val="24"/>
          <w:highlight w:val="white"/>
        </w:rPr>
        <w:t xml:space="preserve"> là 8.497.000 đồng/m² sàn, hệ số vùng 7 – Thành phố Hà Nội là 0,952, tương đương đơn giá: </w:t>
      </w:r>
      <w:r>
        <w:rPr>
          <w:rFonts w:ascii="Times New Roman" w:hAnsi="Times New Roman" w:eastAsia="Times New Roman" w:cs="Times New Roman"/>
          <w:b/>
          <w:i/>
          <w:color w:val="000000"/>
          <w:sz w:val="24"/>
          <w:highlight w:val="white"/>
        </w:rPr>
        <w:t xml:space="preserve">8.089.144 đồng/m</w:t>
      </w:r>
      <w:r>
        <w:rPr>
          <w:rFonts w:ascii="Times New Roman" w:hAnsi="Times New Roman" w:eastAsia="Times New Roman" w:cs="Times New Roman"/>
          <w:b/>
          <w:i/>
          <w:color w:val="000000"/>
          <w:sz w:val="20"/>
          <w:highlight w:val="white"/>
          <w:vertAlign w:val="superscript"/>
        </w:rPr>
        <w:t xml:space="preserve">2</w:t>
      </w:r>
      <w:r>
        <w:rPr>
          <w:rFonts w:ascii="Times New Roman" w:hAnsi="Times New Roman" w:eastAsia="Times New Roman" w:cs="Times New Roman"/>
          <w:b/>
          <w:i/>
          <w:color w:val="000000"/>
          <w:sz w:val="24"/>
          <w:highlight w:val="white"/>
        </w:rPr>
        <w:t xml:space="preserve">”.</w:t>
      </w:r>
      <w:r>
        <w:rPr>
          <w:highlight w:val="white"/>
        </w:rPr>
      </w:r>
      <w:r>
        <w:rPr>
          <w:rFonts w:ascii="Times New Roman" w:hAnsi="Times New Roman" w:eastAsia="Times New Roman" w:cs="Times New Roman"/>
          <w:sz w:val="24"/>
          <w:highlight w:val="white"/>
        </w:rPr>
      </w:r>
    </w:p>
    <w:p>
      <w:pPr>
        <w:pStyle w:val="1022"/>
        <w:numPr>
          <w:ilvl w:val="0"/>
          <w:numId w:val="39"/>
        </w:numPr>
        <w:pBdr>
          <w:top w:val="none" w:color="000000" w:sz="4" w:space="0"/>
          <w:left w:val="none" w:color="000000" w:sz="4" w:space="0"/>
          <w:bottom w:val="none" w:color="000000" w:sz="4" w:space="0"/>
          <w:right w:val="none" w:color="000000" w:sz="4" w:space="0"/>
        </w:pBdr>
        <w:tabs>
          <w:tab w:val="left" w:leader="none" w:pos="1619"/>
        </w:tabs>
        <w:spacing w:after="0" w:before="25"/>
        <w:ind/>
        <w:rPr>
          <w:highlight w:val="white"/>
        </w:rPr>
      </w:pPr>
      <w:r>
        <w:rPr>
          <w:rFonts w:ascii="Times New Roman" w:hAnsi="Times New Roman" w:eastAsia="Times New Roman" w:cs="Times New Roman"/>
          <w:b/>
          <w:color w:val="000000"/>
          <w:sz w:val="24"/>
          <w:highlight w:val="white"/>
        </w:rPr>
        <w:t xml:space="preserve">Xác</w:t>
      </w:r>
      <w:r>
        <w:rPr>
          <w:rFonts w:ascii="Times New Roman" w:hAnsi="Times New Roman" w:eastAsia="Times New Roman" w:cs="Times New Roman"/>
          <w:b/>
          <w:color w:val="000000"/>
          <w:spacing w:val="-2"/>
          <w:sz w:val="24"/>
          <w:highlight w:val="white"/>
        </w:rPr>
        <w:t xml:space="preserve"> </w:t>
      </w:r>
      <w:r>
        <w:rPr>
          <w:rFonts w:ascii="Times New Roman" w:hAnsi="Times New Roman" w:eastAsia="Times New Roman" w:cs="Times New Roman"/>
          <w:b/>
          <w:color w:val="000000"/>
          <w:sz w:val="24"/>
          <w:highlight w:val="white"/>
        </w:rPr>
        <w:t xml:space="preserve">định</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giá</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trị</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hao</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pacing w:val="-4"/>
          <w:sz w:val="24"/>
          <w:highlight w:val="white"/>
        </w:rPr>
        <w:t xml:space="preserve">mòn:</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ab/>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08/8/2011 về việc hướng dẫn kiểm</w:t>
      </w:r>
      <w:r>
        <w:rPr>
          <w:rFonts w:ascii="Times New Roman" w:hAnsi="Times New Roman" w:eastAsia="Times New Roman" w:cs="Times New Roman"/>
          <w:color w:val="000000"/>
          <w:sz w:val="24"/>
          <w:highlight w:val="white"/>
        </w:rPr>
        <w:t xml:space="preserve"> kê, đánh giá lại giá trị tài sản cố định là nhà, vật kiến trúc như sau:</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line="276" w:lineRule="auto"/>
        <w:ind w:right="0" w:firstLine="360" w:left="0"/>
        <w:rPr>
          <w:highlight w:val="white"/>
        </w:rPr>
      </w:pPr>
      <w:r>
        <w:rPr>
          <w:rFonts w:ascii="Times New Roman" w:hAnsi="Times New Roman" w:eastAsia="Times New Roman" w:cs="Times New Roman"/>
          <w:color w:val="000000"/>
          <w:sz w:val="24"/>
          <w:highlight w:val="white"/>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highlight w:val="white"/>
        </w:rPr>
        <w:t xml:space="preserve"> cấu chính đó so với tổng giá trị của nhà hoặc vật kiến trúc.</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line="276" w:lineRule="auto"/>
        <w:ind w:right="0" w:firstLine="0" w:left="0"/>
        <w:rPr>
          <w:highlight w:val="white"/>
        </w:rPr>
      </w:pPr>
      <w:r>
        <w:rPr>
          <w:rFonts w:ascii="Times New Roman" w:hAnsi="Times New Roman" w:eastAsia="Times New Roman" w:cs="Times New Roman"/>
          <w:color w:val="000000"/>
          <w:sz w:val="24"/>
          <w:highlight w:val="white"/>
        </w:rPr>
        <w:t xml:space="preserve">Công thức tính như sau:</w:t>
      </w:r>
      <w:r>
        <w:rPr>
          <w:highlight w:val="white"/>
        </w:rPr>
      </w:r>
      <w:r>
        <w:rPr>
          <w:highlight w:val="white"/>
        </w:rPr>
      </w:r>
    </w:p>
    <w:tbl>
      <w:tblPr>
        <w:tblStyle w:val="1045"/>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838"/>
      </w:tblGrid>
      <w:tr>
        <w:trPr/>
        <w:tc>
          <w:tcPr>
            <w:tcBorders/>
            <w:tcMar>
              <w:left w:w="108" w:type="dxa"/>
              <w:top w:w="0" w:type="dxa"/>
              <w:right w:w="108" w:type="dxa"/>
              <w:bottom w:w="0" w:type="dxa"/>
            </w:tcMar>
            <w:tcW w:w="20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Tỷ lệ chất lượng còn lại của nhà, vật kiến trúc (%)</w:t>
            </w:r>
            <w:r>
              <w:rPr>
                <w:highlight w:val="white"/>
              </w:rPr>
            </w:r>
            <w:r>
              <w:rPr>
                <w:highlight w:val="white"/>
              </w:rPr>
            </w:r>
          </w:p>
        </w:tc>
        <w:tc>
          <w:tcPr>
            <w:tcBorders/>
            <w:tcMar>
              <w:left w:w="108" w:type="dxa"/>
              <w:top w:w="0" w:type="dxa"/>
              <w:right w:w="108" w:type="dxa"/>
              <w:bottom w:w="0" w:type="dxa"/>
            </w:tcMar>
            <w:tcW w:w="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highlight w:val="white"/>
              </w:rPr>
            </w:pPr>
            <w:r>
              <w:rPr>
                <w:highlight w:val="white"/>
              </w:rPr>
              <mc:AlternateContent>
                <mc:Choice Requires="wpg">
                  <w:drawing>
                    <wp:inline xmlns:wp="http://schemas.openxmlformats.org/drawingml/2006/wordprocessingDrawing" distT="0" distB="0" distL="0" distR="0">
                      <wp:extent cx="371475" cy="5334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93673" name=""/>
                              <pic:cNvPicPr>
                                <a:picLocks noChangeAspect="1"/>
                              </pic:cNvPicPr>
                              <pic:nvPr/>
                            </pic:nvPicPr>
                            <pic:blipFill rotWithShape="1">
                              <a:blip r:embed="rId21"/>
                              <a:stretch/>
                            </pic:blipFill>
                            <pic:spPr bwMode="auto">
                              <a:xfrm>
                                <a:off x="0" y="0"/>
                                <a:ext cx="371475" cy="533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9.25pt;height:42.00pt;mso-wrap-distance-left:0.00pt;mso-wrap-distance-top:0.00pt;mso-wrap-distance-right:0.00pt;mso-wrap-distance-bottom:0.00pt;z-index:1;" stroked="false">
                      <v:imagedata r:id="rId21" o:title=""/>
                      <o:lock v:ext="edit" rotation="t"/>
                    </v:shape>
                  </w:pict>
                </mc:Fallback>
              </mc:AlternateContent>
            </w:r>
            <w:r>
              <w:rPr>
                <w:highlight w:val="white"/>
              </w:rPr>
            </w:r>
            <w:r>
              <w:rPr>
                <w:highlight w:val="white"/>
              </w:rPr>
            </w:r>
          </w:p>
        </w:tc>
        <w:tc>
          <w:tcPr>
            <w:tcBorders>
              <w:bottom w:val="single" w:color="000000" w:sz="8" w:space="0"/>
            </w:tcBorders>
            <w:tcMar>
              <w:left w:w="108" w:type="dxa"/>
              <w:top w:w="0" w:type="dxa"/>
              <w:right w:w="108" w:type="dxa"/>
              <w:bottom w:w="0" w:type="dxa"/>
            </w:tcMar>
            <w:tcW w:w="28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Tỷ lệ chất lượng còn lại của kết cấu chính thức i (%)</w:t>
            </w:r>
            <w:r>
              <w:rPr>
                <w:highlight w:val="white"/>
              </w:rPr>
            </w:r>
            <w:r>
              <w:rPr>
                <w:highlight w:val="white"/>
              </w:rPr>
            </w:r>
          </w:p>
        </w:tc>
        <w:tc>
          <w:tcPr>
            <w:tcBorders>
              <w:bottom w:val="single" w:color="000000" w:sz="8" w:space="0"/>
            </w:tcBorders>
            <w:tcMar>
              <w:left w:w="108" w:type="dxa"/>
              <w:top w:w="0" w:type="dxa"/>
              <w:right w:w="108" w:type="dxa"/>
              <w:bottom w:w="0" w:type="dxa"/>
            </w:tcMar>
            <w:tcW w:w="6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x</w:t>
            </w:r>
            <w:r>
              <w:rPr>
                <w:highlight w:val="white"/>
              </w:rPr>
            </w:r>
            <w:r>
              <w:rPr>
                <w:highlight w:val="white"/>
              </w:rPr>
            </w:r>
          </w:p>
        </w:tc>
        <w:tc>
          <w:tcPr>
            <w:tcBorders>
              <w:bottom w:val="single" w:color="000000" w:sz="8" w:space="0"/>
            </w:tcBorders>
            <w:tcMar>
              <w:left w:w="108" w:type="dxa"/>
              <w:top w:w="0" w:type="dxa"/>
              <w:right w:w="108" w:type="dxa"/>
              <w:bottom w:w="0" w:type="dxa"/>
            </w:tcMar>
            <w:tcW w:w="28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Tỷ lệ giá trị của kết cấu chính thứ i so với tổng giá trị của ngôi nhà hoặc vật kiến trúc(%)</w:t>
            </w:r>
            <w:r>
              <w:rPr>
                <w:highlight w:val="white"/>
              </w:rPr>
            </w:r>
            <w:r>
              <w:rPr>
                <w:highlight w:val="white"/>
              </w:rPr>
            </w:r>
          </w:p>
        </w:tc>
      </w:tr>
      <w:tr>
        <w:trPr>
          <w:trHeight w:val="50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70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highlight w:val="white"/>
              </w:rPr>
            </w:pPr>
            <w:r>
              <w:rPr>
                <w:rFonts w:ascii="Times New Roman" w:hAnsi="Times New Roman" w:eastAsia="Times New Roman" w:cs="Times New Roman"/>
                <w:color w:val="000000"/>
                <w:sz w:val="24"/>
                <w:highlight w:val="white"/>
              </w:rPr>
              <w:t xml:space="preserve">Tổng tỷ lệ giá trị của các kết cấu chính so với tổng giá trị của ngôi nhà hoặc vật kiến trúc (%)</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after="120" w:line="276" w:lineRule="auto"/>
        <w:ind w:right="0" w:firstLine="0" w:left="0"/>
        <w:rPr>
          <w:highlight w:val="white"/>
        </w:rPr>
      </w:pPr>
      <w:r>
        <w:rPr>
          <w:rFonts w:ascii="Times New Roman" w:hAnsi="Times New Roman" w:eastAsia="Times New Roman" w:cs="Times New Roman"/>
          <w:i/>
          <w:color w:val="000000"/>
          <w:sz w:val="24"/>
          <w:highlight w:val="white"/>
        </w:rPr>
        <w:t xml:space="preserve">Trong đó:</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120" w:line="276" w:lineRule="auto"/>
        <w:ind w:right="0" w:firstLine="0" w:left="0"/>
        <w:rPr>
          <w:highlight w:val="white"/>
        </w:rPr>
      </w:pPr>
      <w:r>
        <w:rPr>
          <w:rFonts w:ascii="Times New Roman" w:hAnsi="Times New Roman" w:eastAsia="Times New Roman" w:cs="Times New Roman"/>
          <w:color w:val="000000"/>
          <w:sz w:val="24"/>
          <w:highlight w:val="white"/>
        </w:rPr>
        <w:t xml:space="preserve">i: số thứ tự của kết cấu chính</w:t>
      </w:r>
      <w:r>
        <w:rPr>
          <w:highlight w:val="white"/>
        </w:rPr>
      </w:r>
      <w:r>
        <w:rPr>
          <w:highlight w:val="white"/>
        </w:rPr>
      </w:r>
    </w:p>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n: số các kết cấu chính.</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Căn cứ Công văn số 1326/BXD-QLN của Bộ xây dựng ngày 08/8/2011 về việc hướng dẫn kiểm kê, đánh giá lại giá trị tài sản cố định là nhà, vật kiến trúc</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Chất lượng còn lại của tài sản được xác định như sau: </w:t>
      </w:r>
      <w:r>
        <w:rPr>
          <w:highlight w:val="white"/>
        </w:rPr>
      </w:r>
      <w:r>
        <w:rPr>
          <w:highlight w:val="white"/>
        </w:rP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highlight w:val="white"/>
        </w:rPr>
      </w:pPr>
      <w:r>
        <w:rPr>
          <w:rFonts w:ascii="Times New Roman" w:hAnsi="Times New Roman" w:eastAsia="Times New Roman" w:cs="Times New Roman"/>
          <w:b/>
          <w:color w:val="000000"/>
          <w:sz w:val="24"/>
          <w:highlight w:val="white"/>
        </w:rPr>
        <w:t xml:space="preserve">* </w:t>
      </w:r>
      <w:r>
        <w:rPr>
          <w:rFonts w:ascii="Times New Roman" w:hAnsi="Times New Roman" w:eastAsia="Times New Roman" w:cs="Times New Roman"/>
          <w:b/>
          <w:color w:val="000000"/>
          <w:sz w:val="24"/>
          <w:highlight w:val="white"/>
        </w:rPr>
        <w:t xml:space="preserve">Nhà 05 tầng:</w:t>
      </w:r>
      <w:r>
        <w:rPr>
          <w:highlight w:val="white"/>
        </w:rPr>
      </w:r>
      <w:r>
        <w:rPr>
          <w:highlight w:val="white"/>
        </w:rP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1"/>
        <w:gridCol w:w="2506"/>
        <w:gridCol w:w="1802"/>
        <w:gridCol w:w="1440"/>
        <w:gridCol w:w="2451"/>
      </w:tblGrid>
      <w:tr>
        <w:trPr/>
        <w:tc>
          <w:tcPr>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b/>
                <w:color w:val="000000"/>
                <w:sz w:val="24"/>
                <w:highlight w:val="white"/>
              </w:rPr>
              <w:t xml:space="preserve">TT</w:t>
            </w:r>
            <w:r>
              <w:rPr>
                <w:highlight w:val="white"/>
              </w:rPr>
            </w:r>
            <w:r>
              <w:rPr>
                <w:highlight w:val="white"/>
              </w:rPr>
            </w:r>
          </w:p>
        </w:tc>
        <w:tc>
          <w:tcPr>
            <w:tcBorders>
              <w:top w:val="single" w:color="000000" w:sz="8" w:space="0"/>
              <w:bottom w:val="single" w:color="000000" w:sz="8" w:space="0"/>
              <w:right w:val="single" w:color="000000" w:sz="8" w:space="0"/>
            </w:tcBorders>
            <w:tcMar>
              <w:left w:w="15" w:type="dxa"/>
              <w:top w:w="15" w:type="dxa"/>
              <w:right w:w="15" w:type="dxa"/>
              <w:bottom w:w="0" w:type="dxa"/>
            </w:tcMar>
            <w:tcW w:w="2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b/>
                <w:color w:val="000000"/>
                <w:sz w:val="24"/>
                <w:highlight w:val="white"/>
              </w:rPr>
              <w:t xml:space="preserve">TÊN KẾT CẤU CHÍNH</w:t>
            </w:r>
            <w:r>
              <w:rPr>
                <w:highlight w:val="white"/>
              </w:rPr>
            </w:r>
            <w:r>
              <w:rPr>
                <w:highlight w:val="white"/>
              </w:rPr>
            </w:r>
          </w:p>
        </w:tc>
        <w:tc>
          <w:tcPr>
            <w:tcBorders>
              <w:top w:val="single" w:color="000000" w:sz="8" w:space="0"/>
              <w:bottom w:val="single" w:color="000000" w:sz="8" w:space="0"/>
              <w:right w:val="single" w:color="000000" w:sz="8" w:space="0"/>
            </w:tcBorders>
            <w:tcMar>
              <w:left w:w="15" w:type="dxa"/>
              <w:top w:w="15" w:type="dxa"/>
              <w:right w:w="15"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b/>
                <w:color w:val="000000"/>
                <w:sz w:val="24"/>
                <w:highlight w:val="white"/>
              </w:rPr>
              <w:t xml:space="preserve">Tỷ lệ giá trị các kết cấu chính (%)</w:t>
            </w:r>
            <w:r>
              <w:rPr>
                <w:highlight w:val="white"/>
              </w:rPr>
            </w:r>
            <w:r>
              <w:rPr>
                <w:highlight w:val="white"/>
              </w:rPr>
            </w:r>
          </w:p>
        </w:tc>
        <w:tc>
          <w:tcPr>
            <w:tcBorders>
              <w:top w:val="single" w:color="000000" w:sz="8" w:space="0"/>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b/>
                <w:color w:val="000000"/>
                <w:sz w:val="24"/>
                <w:highlight w:val="white"/>
              </w:rPr>
              <w:t xml:space="preserve">Tỷ lệ chất lượng còn lại các kết cấu chính (%)</w:t>
            </w:r>
            <w:r>
              <w:rPr>
                <w:highlight w:val="white"/>
              </w:rPr>
            </w:r>
            <w:r>
              <w:rPr>
                <w:highlight w:val="white"/>
              </w:rPr>
            </w:r>
          </w:p>
        </w:tc>
        <w:tc>
          <w:tcPr>
            <w:tcBorders>
              <w:top w:val="single" w:color="000000" w:sz="8" w:space="0"/>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b/>
                <w:color w:val="000000"/>
                <w:sz w:val="24"/>
                <w:highlight w:val="white"/>
              </w:rPr>
              <w:t xml:space="preserve">Tỷ lệ giá trị còn lại các kết cấu chính (%)</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i/>
                <w:color w:val="000000"/>
                <w:sz w:val="24"/>
                <w:highlight w:val="white"/>
              </w:rPr>
              <w:t xml:space="preserve">a</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i/>
                <w:color w:val="000000"/>
                <w:sz w:val="24"/>
                <w:highlight w:val="white"/>
              </w:rPr>
              <w:t xml:space="preserve">b</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i/>
                <w:color w:val="000000"/>
                <w:sz w:val="24"/>
                <w:highlight w:val="white"/>
              </w:rPr>
              <w:t xml:space="preserve">c</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i/>
                <w:color w:val="000000"/>
                <w:sz w:val="24"/>
                <w:highlight w:val="white"/>
              </w:rPr>
              <w:t xml:space="preserve">d</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i/>
                <w:color w:val="000000"/>
                <w:sz w:val="24"/>
                <w:highlight w:val="white"/>
              </w:rPr>
              <w:t xml:space="preserve">e = c x d/g</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1</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Móng</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10%</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90%</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16%</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2</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Khung, cột</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0%</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spacing/>
              <w:ind/>
              <w:rPr>
                <w:highlight w:val="white"/>
              </w:rPr>
            </w:pP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spacing/>
              <w:ind/>
              <w:rPr>
                <w:highlight w:val="white"/>
              </w:rPr>
            </w:pP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3</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Tường</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18%</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90%</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28%</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4</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Nền, sàn</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17%</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90%</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27%</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5</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Kết cấu đỡ mái</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0%</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spacing/>
              <w:ind/>
              <w:rPr>
                <w:highlight w:val="white"/>
              </w:rPr>
            </w:pP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spacing/>
              <w:ind/>
              <w:rPr>
                <w:highlight w:val="white"/>
              </w:rPr>
            </w:pP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6</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Mái</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12%</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90%</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19%</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b/>
                <w:color w:val="000000"/>
                <w:sz w:val="24"/>
                <w:highlight w:val="white"/>
              </w:rPr>
              <w:t xml:space="preserve">Tổng cộng (g):</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color w:val="000000"/>
                <w:sz w:val="24"/>
                <w:highlight w:val="white"/>
              </w:rPr>
              <w:t xml:space="preserve">57%</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gridSpan w:val="3"/>
            <w:tcBorders>
              <w:bottom w:val="single" w:color="000000" w:sz="8" w:space="0"/>
              <w:right w:val="single" w:color="000000" w:sz="8" w:space="0"/>
            </w:tcBorders>
            <w:tcMar>
              <w:left w:w="15" w:type="dxa"/>
              <w:top w:w="15" w:type="dxa"/>
              <w:right w:w="15" w:type="dxa"/>
              <w:bottom w:w="0" w:type="dxa"/>
            </w:tcMar>
            <w:tcW w:w="57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b/>
                <w:color w:val="000000"/>
                <w:sz w:val="24"/>
                <w:highlight w:val="white"/>
              </w:rPr>
              <w:t xml:space="preserve">Tỷ lệ chất lượng còn lại:</w:t>
            </w:r>
            <w:r>
              <w:rPr>
                <w:highlight w:val="white"/>
              </w:rPr>
            </w:r>
            <w:r>
              <w:rPr>
                <w:highlight w:val="white"/>
              </w:rP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highlight w:val="white"/>
              </w:rPr>
            </w:pPr>
            <w:r>
              <w:rPr>
                <w:rFonts w:ascii="Times New Roman" w:hAnsi="Times New Roman" w:eastAsia="Times New Roman" w:cs="Times New Roman"/>
                <w:b/>
                <w:color w:val="000000"/>
                <w:sz w:val="24"/>
                <w:highlight w:val="white"/>
              </w:rPr>
              <w:t xml:space="preserve">90%</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before="72"/>
        <w:ind w:right="0" w:firstLine="426" w:left="0"/>
        <w:rPr>
          <w:highlight w:val="white"/>
        </w:rPr>
      </w:pPr>
      <w:r>
        <w:rPr>
          <w:rFonts w:ascii="Times New Roman" w:hAnsi="Times New Roman" w:eastAsia="Times New Roman" w:cs="Times New Roman"/>
          <w:color w:val="000000"/>
          <w:sz w:val="24"/>
          <w:highlight w:val="white"/>
        </w:rPr>
        <w:t xml:space="preserve">Tổ</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thẩm</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định</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xác</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định</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tỉ</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lệ</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chất</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lượng</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còn lại</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của</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tài</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sản</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thẩm</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định</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là:</w:t>
      </w:r>
      <w:r>
        <w:rPr>
          <w:rFonts w:ascii="Times New Roman" w:hAnsi="Times New Roman" w:eastAsia="Times New Roman" w:cs="Times New Roman"/>
          <w:color w:val="000000"/>
          <w:spacing w:val="-4"/>
          <w:sz w:val="24"/>
          <w:highlight w:val="white"/>
        </w:rPr>
        <w:t xml:space="preserve"> </w:t>
      </w:r>
      <w:r>
        <w:rPr>
          <w:rFonts w:ascii="Times New Roman" w:hAnsi="Times New Roman" w:eastAsia="Times New Roman" w:cs="Times New Roman"/>
          <w:b/>
          <w:color w:val="000000"/>
          <w:sz w:val="24"/>
          <w:highlight w:val="white"/>
        </w:rPr>
        <w:t xml:space="preserve">90%</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theo</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đó</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tỷ</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lệ h</w:t>
      </w:r>
      <w:r>
        <w:rPr>
          <w:rFonts w:ascii="Times New Roman" w:hAnsi="Times New Roman" w:eastAsia="Times New Roman" w:cs="Times New Roman"/>
          <w:color w:val="000000"/>
          <w:sz w:val="24"/>
          <w:highlight w:val="white"/>
        </w:rPr>
        <w:t xml:space="preserve">ao</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mòn</w:t>
      </w:r>
      <w:r>
        <w:rPr>
          <w:rFonts w:ascii="Times New Roman" w:hAnsi="Times New Roman" w:eastAsia="Times New Roman" w:cs="Times New Roman"/>
          <w:color w:val="000000"/>
          <w:spacing w:val="-7"/>
          <w:sz w:val="24"/>
          <w:highlight w:val="white"/>
        </w:rPr>
        <w:t xml:space="preserve"> </w:t>
      </w:r>
      <w:r>
        <w:rPr>
          <w:rFonts w:ascii="Times New Roman" w:hAnsi="Times New Roman" w:eastAsia="Times New Roman" w:cs="Times New Roman"/>
          <w:color w:val="000000"/>
          <w:sz w:val="24"/>
          <w:highlight w:val="white"/>
        </w:rPr>
        <w:t xml:space="preserve">của tài sản</w:t>
      </w:r>
      <w:r>
        <w:rPr>
          <w:rFonts w:ascii="Times New Roman" w:hAnsi="Times New Roman" w:eastAsia="Times New Roman" w:cs="Times New Roman"/>
          <w:color w:val="000000"/>
          <w:sz w:val="24"/>
          <w:highlight w:val="white"/>
        </w:rPr>
        <w:t xml:space="preserve"> là: </w:t>
      </w:r>
      <w:r>
        <w:rPr>
          <w:rFonts w:ascii="Times New Roman" w:hAnsi="Times New Roman" w:eastAsia="Times New Roman" w:cs="Times New Roman"/>
          <w:b/>
          <w:color w:val="000000"/>
          <w:sz w:val="24"/>
          <w:highlight w:val="white"/>
        </w:rPr>
        <w:t xml:space="preserve">10%</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sz w:val="24"/>
          <w:highlight w:val="white"/>
        </w:rPr>
      </w:r>
      <w:r>
        <w:rPr>
          <w:highlight w:val="white"/>
        </w:rPr>
      </w:r>
    </w:p>
    <w:p>
      <w:pPr>
        <w:pStyle w:val="1022"/>
        <w:numPr>
          <w:ilvl w:val="0"/>
          <w:numId w:val="39"/>
        </w:numPr>
        <w:pBdr>
          <w:top w:val="none" w:color="000000" w:sz="4" w:space="0"/>
          <w:left w:val="none" w:color="000000" w:sz="4" w:space="0"/>
          <w:bottom w:val="none" w:color="000000" w:sz="4" w:space="0"/>
          <w:right w:val="none" w:color="000000" w:sz="4" w:space="0"/>
        </w:pBdr>
        <w:tabs>
          <w:tab w:val="left" w:leader="none" w:pos="1106"/>
        </w:tabs>
        <w:spacing w:after="0" w:before="85"/>
        <w:ind/>
        <w:rPr>
          <w:highlight w:val="white"/>
        </w:rPr>
      </w:pPr>
      <w:r>
        <w:rPr>
          <w:rFonts w:ascii="Times New Roman" w:hAnsi="Times New Roman" w:eastAsia="Times New Roman" w:cs="Times New Roman"/>
          <w:b/>
          <w:color w:val="000000"/>
          <w:sz w:val="24"/>
          <w:highlight w:val="white"/>
        </w:rPr>
        <w:t xml:space="preserve">Xác</w:t>
      </w:r>
      <w:r>
        <w:rPr>
          <w:rFonts w:ascii="Times New Roman" w:hAnsi="Times New Roman" w:eastAsia="Times New Roman" w:cs="Times New Roman"/>
          <w:b/>
          <w:color w:val="000000"/>
          <w:spacing w:val="-2"/>
          <w:sz w:val="24"/>
          <w:highlight w:val="white"/>
        </w:rPr>
        <w:t xml:space="preserve"> </w:t>
      </w:r>
      <w:r>
        <w:rPr>
          <w:rFonts w:ascii="Times New Roman" w:hAnsi="Times New Roman" w:eastAsia="Times New Roman" w:cs="Times New Roman"/>
          <w:b/>
          <w:color w:val="000000"/>
          <w:sz w:val="24"/>
          <w:highlight w:val="white"/>
        </w:rPr>
        <w:t xml:space="preserve">định</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giá</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trị</w:t>
      </w:r>
      <w:r>
        <w:rPr>
          <w:rFonts w:ascii="Times New Roman" w:hAnsi="Times New Roman" w:eastAsia="Times New Roman" w:cs="Times New Roman"/>
          <w:b/>
          <w:color w:val="000000"/>
          <w:spacing w:val="-2"/>
          <w:sz w:val="24"/>
          <w:highlight w:val="white"/>
        </w:rPr>
        <w:t xml:space="preserve"> </w:t>
      </w:r>
      <w:r>
        <w:rPr>
          <w:rFonts w:ascii="Times New Roman" w:hAnsi="Times New Roman" w:eastAsia="Times New Roman" w:cs="Times New Roman"/>
          <w:b/>
          <w:color w:val="000000"/>
          <w:sz w:val="24"/>
          <w:highlight w:val="white"/>
        </w:rPr>
        <w:t xml:space="preserve">công</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trình</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xây</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pacing w:val="-2"/>
          <w:sz w:val="24"/>
          <w:highlight w:val="white"/>
        </w:rPr>
        <w:t xml:space="preserve">dựng:</w:t>
      </w:r>
      <w:r>
        <w:rPr>
          <w:highlight w:val="white"/>
        </w:rPr>
      </w:r>
      <w:r>
        <w:rPr>
          <w:highlight w:val="white"/>
        </w:rPr>
      </w:r>
    </w:p>
    <w:p>
      <w:pPr>
        <w:pBdr>
          <w:top w:val="none" w:color="000000" w:sz="4" w:space="0"/>
          <w:left w:val="none" w:color="000000" w:sz="4" w:space="0"/>
          <w:bottom w:val="none" w:color="000000" w:sz="4" w:space="0"/>
          <w:right w:val="none" w:color="000000" w:sz="4" w:space="0"/>
        </w:pBdr>
        <w:spacing w:before="153"/>
        <w:ind w:right="0" w:firstLine="0" w:left="0"/>
        <w:rPr>
          <w:highlight w:val="white"/>
        </w:rPr>
      </w:pPr>
      <w:r>
        <w:rPr>
          <w:rFonts w:ascii="Times New Roman" w:hAnsi="Times New Roman" w:eastAsia="Times New Roman" w:cs="Times New Roman"/>
          <w:color w:val="000000"/>
          <w:sz w:val="24"/>
          <w:highlight w:val="white"/>
        </w:rPr>
        <w:t xml:space="preserve">Công</w:t>
      </w:r>
      <w:r>
        <w:rPr>
          <w:rFonts w:ascii="Times New Roman" w:hAnsi="Times New Roman" w:eastAsia="Times New Roman" w:cs="Times New Roman"/>
          <w:color w:val="000000"/>
          <w:spacing w:val="10"/>
          <w:sz w:val="24"/>
          <w:highlight w:val="white"/>
        </w:rPr>
        <w:t xml:space="preserve"> </w:t>
      </w:r>
      <w:r>
        <w:rPr>
          <w:rFonts w:ascii="Times New Roman" w:hAnsi="Times New Roman" w:eastAsia="Times New Roman" w:cs="Times New Roman"/>
          <w:color w:val="000000"/>
          <w:spacing w:val="-2"/>
          <w:sz w:val="24"/>
          <w:highlight w:val="white"/>
        </w:rPr>
        <w:t xml:space="preserve">thức:</w:t>
      </w:r>
      <w:r>
        <w:rPr>
          <w:highlight w:val="white"/>
        </w:rPr>
      </w:r>
      <w:r>
        <w:rPr>
          <w:highlight w:val="white"/>
        </w:rPr>
      </w:r>
    </w:p>
    <w:tbl>
      <w:tblPr>
        <w:tblStyle w:val="1045"/>
        <w:tblInd w:w="45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722"/>
        <w:gridCol w:w="538"/>
        <w:gridCol w:w="3685"/>
        <w:gridCol w:w="567"/>
        <w:gridCol w:w="1559"/>
      </w:tblGrid>
      <w:tr>
        <w:trPr/>
        <w:tc>
          <w:tcPr>
            <w:tcBorders/>
            <w:tcMar>
              <w:left w:w="108" w:type="dxa"/>
              <w:top w:w="0" w:type="dxa"/>
              <w:right w:w="108" w:type="dxa"/>
              <w:bottom w:w="0" w:type="dxa"/>
            </w:tcMar>
            <w:tcW w:w="272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016"/>
              </w:tabs>
              <w:spacing w:before="181"/>
              <w:ind w:right="0" w:firstLine="0" w:left="0"/>
              <w:rPr>
                <w:highlight w:val="white"/>
              </w:rPr>
            </w:pPr>
            <w:r>
              <w:rPr>
                <w:rFonts w:ascii="Times New Roman" w:hAnsi="Times New Roman" w:eastAsia="Times New Roman" w:cs="Times New Roman"/>
                <w:color w:val="000000"/>
                <w:sz w:val="24"/>
                <w:highlight w:val="white"/>
              </w:rPr>
              <w:t xml:space="preserve">Giá trị ước</w:t>
            </w:r>
            <w:r>
              <w:rPr>
                <w:rFonts w:ascii="Times New Roman" w:hAnsi="Times New Roman" w:eastAsia="Times New Roman" w:cs="Times New Roman"/>
                <w:color w:val="000000"/>
                <w:spacing w:val="40"/>
                <w:sz w:val="24"/>
                <w:highlight w:val="white"/>
              </w:rPr>
              <w:t xml:space="preserve"> </w:t>
            </w:r>
            <w:r>
              <w:rPr>
                <w:rFonts w:ascii="Times New Roman" w:hAnsi="Times New Roman" w:eastAsia="Times New Roman" w:cs="Times New Roman"/>
                <w:color w:val="000000"/>
                <w:sz w:val="24"/>
                <w:highlight w:val="white"/>
              </w:rPr>
              <w:t xml:space="preserve">tính của tài sản</w:t>
            </w:r>
            <w:r>
              <w:rPr>
                <w:highlight w:val="white"/>
              </w:rPr>
            </w:r>
            <w:r>
              <w:rPr>
                <w:highlight w:val="white"/>
              </w:rPr>
            </w:r>
          </w:p>
        </w:tc>
        <w:tc>
          <w:tcPr>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Mar>
              <w:left w:w="108" w:type="dxa"/>
              <w:top w:w="0" w:type="dxa"/>
              <w:right w:w="108" w:type="dxa"/>
              <w:bottom w:w="0" w:type="dxa"/>
            </w:tcMar>
            <w:tcW w:w="368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1"/>
              <w:ind w:right="0" w:firstLine="0" w:left="0"/>
              <w:jc w:val="center"/>
              <w:rPr>
                <w:highlight w:val="white"/>
              </w:rPr>
            </w:pPr>
            <w:r>
              <w:rPr>
                <w:rFonts w:ascii="Times New Roman" w:hAnsi="Times New Roman" w:eastAsia="Times New Roman" w:cs="Times New Roman"/>
                <w:color w:val="000000"/>
                <w:sz w:val="24"/>
                <w:highlight w:val="white"/>
              </w:rPr>
              <w:t xml:space="preserve">Chi</w:t>
            </w:r>
            <w:r>
              <w:rPr>
                <w:rFonts w:ascii="Times New Roman" w:hAnsi="Times New Roman" w:eastAsia="Times New Roman" w:cs="Times New Roman"/>
                <w:color w:val="000000"/>
                <w:spacing w:val="-2"/>
                <w:sz w:val="24"/>
                <w:highlight w:val="white"/>
              </w:rPr>
              <w:t xml:space="preserve"> </w:t>
            </w:r>
            <w:r>
              <w:rPr>
                <w:rFonts w:ascii="Times New Roman" w:hAnsi="Times New Roman" w:eastAsia="Times New Roman" w:cs="Times New Roman"/>
                <w:color w:val="000000"/>
                <w:sz w:val="24"/>
                <w:highlight w:val="white"/>
              </w:rPr>
              <w:t xml:space="preserve">phí</w:t>
            </w:r>
            <w:r>
              <w:rPr>
                <w:rFonts w:ascii="Times New Roman" w:hAnsi="Times New Roman" w:eastAsia="Times New Roman" w:cs="Times New Roman"/>
                <w:color w:val="000000"/>
                <w:spacing w:val="-2"/>
                <w:sz w:val="24"/>
                <w:highlight w:val="white"/>
              </w:rPr>
              <w:t xml:space="preserve"> </w:t>
            </w:r>
            <w:r>
              <w:rPr>
                <w:rFonts w:ascii="Times New Roman" w:hAnsi="Times New Roman" w:eastAsia="Times New Roman" w:cs="Times New Roman"/>
                <w:color w:val="000000"/>
                <w:sz w:val="24"/>
                <w:highlight w:val="white"/>
              </w:rPr>
              <w:t xml:space="preserve">thay</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pacing w:val="-5"/>
                <w:sz w:val="24"/>
                <w:highlight w:val="white"/>
              </w:rPr>
              <w:t xml:space="preserve">thế</w:t>
            </w:r>
            <w:r>
              <w:rPr>
                <w:highlight w:val="white"/>
              </w:rPr>
            </w:r>
            <w:r>
              <w:rPr>
                <w:highlight w:val="white"/>
              </w:rPr>
            </w:r>
          </w:p>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2"/>
                <w:highlight w:val="white"/>
              </w:rPr>
              <w:t xml:space="preserve">(Giá</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trị</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xây</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mới</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tài</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sản</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đã</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bao</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gồm</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lợi nhuận của nhà sản xuất/nhà đầu tư)</w:t>
            </w:r>
            <w:r>
              <w:rPr>
                <w:highlight w:val="white"/>
              </w:rPr>
            </w:r>
            <w:r>
              <w:rPr>
                <w:highlight w:val="white"/>
              </w:rPr>
            </w:r>
          </w:p>
        </w:tc>
        <w:tc>
          <w:tcPr>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2"/>
                <w:highlight w:val="white"/>
              </w:rPr>
              <w:t xml:space="preserve">Tổng</w:t>
            </w:r>
            <w:r>
              <w:rPr>
                <w:rFonts w:ascii="Times New Roman" w:hAnsi="Times New Roman" w:eastAsia="Times New Roman" w:cs="Times New Roman"/>
                <w:color w:val="000000"/>
                <w:spacing w:val="-15"/>
                <w:sz w:val="22"/>
                <w:highlight w:val="white"/>
              </w:rPr>
              <w:t xml:space="preserve"> </w:t>
            </w:r>
            <w:r>
              <w:rPr>
                <w:rFonts w:ascii="Times New Roman" w:hAnsi="Times New Roman" w:eastAsia="Times New Roman" w:cs="Times New Roman"/>
                <w:color w:val="000000"/>
                <w:sz w:val="22"/>
                <w:highlight w:val="white"/>
              </w:rPr>
              <w:t xml:space="preserve">giá</w:t>
            </w:r>
            <w:r>
              <w:rPr>
                <w:rFonts w:ascii="Times New Roman" w:hAnsi="Times New Roman" w:eastAsia="Times New Roman" w:cs="Times New Roman"/>
                <w:color w:val="000000"/>
                <w:spacing w:val="-15"/>
                <w:sz w:val="22"/>
                <w:highlight w:val="white"/>
              </w:rPr>
              <w:t xml:space="preserve"> </w:t>
            </w:r>
            <w:r>
              <w:rPr>
                <w:rFonts w:ascii="Times New Roman" w:hAnsi="Times New Roman" w:eastAsia="Times New Roman" w:cs="Times New Roman"/>
                <w:color w:val="000000"/>
                <w:sz w:val="22"/>
                <w:highlight w:val="white"/>
              </w:rPr>
              <w:t xml:space="preserve">trị hao mòn</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spacing w:before="153"/>
        <w:ind w:right="0" w:firstLine="0" w:left="0"/>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bl>
      <w:tblPr>
        <w:tblStyle w:val="1045"/>
        <w:tblInd w:w="-66"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086"/>
        <w:gridCol w:w="920"/>
        <w:gridCol w:w="1560"/>
        <w:gridCol w:w="1701"/>
        <w:gridCol w:w="921"/>
        <w:gridCol w:w="1701"/>
        <w:gridCol w:w="1701"/>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Tài sản</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Diện tích sàn (m²)</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Đơn giá xây dựng mới (đồng/m² sàn)</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Chi phí thay thế (đồng)</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Tỷ lệ hao mòn (%)</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Giá trị hao mòn (đồng)</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Giá trị thẩm định tại thời điểm thẩm định giá (đồng)</w:t>
            </w:r>
            <w:r>
              <w:rPr>
                <w:highlight w:val="white"/>
              </w:rPr>
            </w:r>
            <w:r>
              <w:rPr>
                <w:highlight w:val="white"/>
              </w:rP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(1)</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(2)</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(3)</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(4) = (2) * (3)</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(5)</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(6)=(4)*(5)</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highlight w:val="white"/>
              </w:rPr>
            </w:pPr>
            <w:r>
              <w:rPr>
                <w:rFonts w:ascii="Times New Roman" w:hAnsi="Times New Roman" w:eastAsia="Times New Roman" w:cs="Times New Roman"/>
                <w:b/>
                <w:color w:val="000000"/>
                <w:sz w:val="22"/>
                <w:highlight w:val="white"/>
              </w:rPr>
              <w:t xml:space="preserve">(7) = (4) - (6)</w:t>
            </w:r>
            <w:r>
              <w:rPr>
                <w:highlight w:val="white"/>
              </w:rPr>
            </w:r>
            <w:r>
              <w:rPr>
                <w:highlight w:val="white"/>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8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highlight w:val="white"/>
              </w:rPr>
            </w:pPr>
            <w:r>
              <w:rPr>
                <w:rFonts w:ascii="Times New Roman" w:hAnsi="Times New Roman" w:eastAsia="Times New Roman" w:cs="Times New Roman"/>
                <w:color w:val="000000"/>
                <w:sz w:val="22"/>
                <w:highlight w:val="white"/>
              </w:rPr>
              <w:t xml:space="preserve">Nhà 05 tầng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920"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highlight w:val="white"/>
              </w:rPr>
            </w:pPr>
            <w:r>
              <w:rPr>
                <w:rFonts w:ascii="Times New Roman" w:hAnsi="Times New Roman" w:eastAsia="Times New Roman" w:cs="Times New Roman"/>
                <w:color w:val="000000"/>
                <w:sz w:val="22"/>
                <w:highlight w:val="white"/>
              </w:rPr>
              <w:t xml:space="preserve">320</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eastAsia="Times New Roman" w:cs="Times New Roman"/>
                <w:color w:val="000000"/>
                <w:sz w:val="22"/>
                <w:szCs w:val="22"/>
                <w:highlight w:val="white"/>
                <w14:ligatures w14:val="none"/>
              </w:rPr>
            </w:pPr>
            <w:r>
              <w:rPr>
                <w:rFonts w:ascii="Times New Roman" w:hAnsi="Times New Roman" w:eastAsia="Times New Roman" w:cs="Times New Roman"/>
                <w:color w:val="000000"/>
                <w:sz w:val="22"/>
                <w:szCs w:val="22"/>
                <w:highlight w:val="white"/>
              </w:rPr>
              <w:t xml:space="preserve">        8.089.144 </w:t>
            </w:r>
            <w:r>
              <w:rPr>
                <w:rFonts w:ascii="Times New Roman" w:hAnsi="Times New Roman" w:eastAsia="Times New Roman" w:cs="Times New Roman"/>
                <w:color w:val="000000"/>
                <w:sz w:val="22"/>
                <w:szCs w:val="22"/>
                <w:highlight w:val="white"/>
              </w:rPr>
            </w:r>
            <w:r>
              <w:rPr>
                <w:rFonts w:ascii="Times New Roman" w:hAnsi="Times New Roman" w:eastAsia="Times New Roman" w:cs="Times New Roman"/>
                <w:color w:val="000000"/>
                <w:sz w:val="22"/>
                <w:szCs w:val="22"/>
                <w:highlight w:val="white"/>
                <w14:ligatures w14:val="none"/>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eastAsia="Times New Roman" w:cs="Times New Roman"/>
                <w:color w:val="000000"/>
                <w:sz w:val="22"/>
                <w:szCs w:val="22"/>
                <w:highlight w:val="white"/>
                <w14:ligatures w14:val="none"/>
              </w:rPr>
            </w:pPr>
            <w:r>
              <w:rPr>
                <w:rFonts w:ascii="Times New Roman" w:hAnsi="Times New Roman" w:eastAsia="Times New Roman" w:cs="Times New Roman"/>
                <w:color w:val="000000"/>
                <w:sz w:val="22"/>
                <w:szCs w:val="22"/>
                <w:highlight w:val="white"/>
              </w:rPr>
              <w:t xml:space="preserve">  2.588.526.080 </w:t>
            </w:r>
            <w:r>
              <w:rPr>
                <w:rFonts w:ascii="Times New Roman" w:hAnsi="Times New Roman" w:eastAsia="Times New Roman" w:cs="Times New Roman"/>
                <w:color w:val="000000"/>
                <w:sz w:val="22"/>
                <w:szCs w:val="22"/>
                <w:highlight w:val="white"/>
              </w:rPr>
            </w:r>
            <w:r>
              <w:rPr>
                <w:rFonts w:ascii="Times New Roman" w:hAnsi="Times New Roman" w:eastAsia="Times New Roman" w:cs="Times New Roman"/>
                <w:color w:val="000000"/>
                <w:sz w:val="22"/>
                <w:szCs w:val="22"/>
                <w:highlight w:val="white"/>
                <w14:ligatures w14:val="none"/>
              </w:rPr>
            </w:r>
          </w:p>
        </w:tc>
        <w:tc>
          <w:tcPr>
            <w:tcBorders>
              <w:bottom w:val="single" w:color="000000" w:sz="8" w:space="0"/>
              <w:right w:val="single" w:color="000000" w:sz="8" w:space="0"/>
            </w:tcBorders>
            <w:tcMar>
              <w:left w:w="108" w:type="dxa"/>
              <w:top w:w="0" w:type="dxa"/>
              <w:right w:w="108" w:type="dxa"/>
              <w:bottom w:w="0" w:type="dxa"/>
            </w:tcMar>
            <w:tcW w:w="9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eastAsia="Times New Roman" w:cs="Times New Roman"/>
                <w:color w:val="000000"/>
                <w:sz w:val="22"/>
                <w:szCs w:val="22"/>
                <w:highlight w:val="white"/>
                <w14:ligatures w14:val="none"/>
              </w:rPr>
            </w:pPr>
            <w:r>
              <w:rPr>
                <w:rFonts w:ascii="Times New Roman" w:hAnsi="Times New Roman" w:eastAsia="Times New Roman" w:cs="Times New Roman"/>
                <w:color w:val="000000"/>
                <w:sz w:val="22"/>
                <w:szCs w:val="22"/>
                <w:highlight w:val="white"/>
              </w:rPr>
              <w:t xml:space="preserve">10%</w:t>
            </w:r>
            <w:r>
              <w:rPr>
                <w:rFonts w:ascii="Times New Roman" w:hAnsi="Times New Roman" w:eastAsia="Times New Roman" w:cs="Times New Roman"/>
                <w:color w:val="000000"/>
                <w:sz w:val="22"/>
                <w:szCs w:val="22"/>
                <w:highlight w:val="white"/>
              </w:rPr>
            </w:r>
            <w:r>
              <w:rPr>
                <w:rFonts w:ascii="Times New Roman" w:hAnsi="Times New Roman" w:eastAsia="Times New Roman" w:cs="Times New Roman"/>
                <w:color w:val="000000"/>
                <w:sz w:val="22"/>
                <w:szCs w:val="22"/>
                <w:highlight w:val="white"/>
                <w14:ligatures w14:val="none"/>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eastAsia="Times New Roman" w:cs="Times New Roman"/>
                <w:color w:val="000000"/>
                <w:sz w:val="22"/>
                <w:szCs w:val="22"/>
                <w:highlight w:val="white"/>
                <w14:ligatures w14:val="none"/>
              </w:rPr>
            </w:pPr>
            <w:r>
              <w:rPr>
                <w:rFonts w:ascii="Times New Roman" w:hAnsi="Times New Roman" w:eastAsia="Times New Roman" w:cs="Times New Roman"/>
                <w:color w:val="000000"/>
                <w:sz w:val="22"/>
                <w:szCs w:val="22"/>
                <w:highlight w:val="white"/>
              </w:rPr>
              <w:t xml:space="preserve">    258.852.608 </w:t>
            </w:r>
            <w:r>
              <w:rPr>
                <w:rFonts w:ascii="Times New Roman" w:hAnsi="Times New Roman" w:eastAsia="Times New Roman" w:cs="Times New Roman"/>
                <w:color w:val="000000"/>
                <w:sz w:val="22"/>
                <w:szCs w:val="22"/>
                <w:highlight w:val="white"/>
              </w:rPr>
            </w:r>
            <w:r>
              <w:rPr>
                <w:rFonts w:ascii="Times New Roman" w:hAnsi="Times New Roman" w:eastAsia="Times New Roman" w:cs="Times New Roman"/>
                <w:color w:val="000000"/>
                <w:sz w:val="22"/>
                <w:szCs w:val="22"/>
                <w:highlight w:val="white"/>
                <w14:ligatures w14:val="none"/>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eastAsia="Times New Roman" w:cs="Times New Roman"/>
                <w:color w:val="000000"/>
                <w:sz w:val="22"/>
                <w:szCs w:val="22"/>
                <w:highlight w:val="white"/>
                <w14:ligatures w14:val="none"/>
              </w:rPr>
            </w:pPr>
            <w:r>
              <w:rPr>
                <w:rFonts w:ascii="Times New Roman" w:hAnsi="Times New Roman" w:eastAsia="Times New Roman" w:cs="Times New Roman"/>
                <w:color w:val="000000"/>
                <w:sz w:val="22"/>
                <w:szCs w:val="22"/>
                <w:highlight w:val="white"/>
              </w:rPr>
              <w:t xml:space="preserve">   2.329.673.472 </w:t>
            </w:r>
            <w:r>
              <w:rPr>
                <w:rFonts w:ascii="Times New Roman" w:hAnsi="Times New Roman" w:eastAsia="Times New Roman" w:cs="Times New Roman"/>
                <w:color w:val="000000"/>
                <w:sz w:val="22"/>
                <w:szCs w:val="22"/>
                <w:highlight w:val="white"/>
              </w:rPr>
            </w:r>
            <w:r>
              <w:rPr>
                <w:rFonts w:ascii="Times New Roman" w:hAnsi="Times New Roman" w:eastAsia="Times New Roman" w:cs="Times New Roman"/>
                <w:color w:val="000000"/>
                <w:sz w:val="22"/>
                <w:szCs w:val="22"/>
                <w:highlight w:val="white"/>
                <w14:ligatures w14:val="none"/>
              </w:rPr>
            </w:r>
          </w:p>
        </w:tc>
      </w:tr>
    </w:tbl>
    <w:p>
      <w:pPr>
        <w:pStyle w:val="1041"/>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rPr>
      </w:r>
    </w:p>
    <w:p>
      <w:pPr>
        <w:pStyle w:val="1041"/>
        <w:pBdr/>
        <w:tabs>
          <w:tab w:val="left" w:leader="none" w:pos="993"/>
        </w:tabs>
        <w:spacing w:after="120" w:before="120" w:line="276" w:lineRule="auto"/>
        <w:ind w:left="0"/>
        <w:jc w:val="both"/>
        <w:rPr>
          <w:highlight w:val="whit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09/2026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r>
        <w:rPr>
          <w:highlight w:val="white"/>
        </w:rPr>
      </w:r>
    </w:p>
    <w:tbl>
      <w:tblPr>
        <w:tblW w:w="5073"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68"/>
        <w:gridCol w:w="2659"/>
        <w:gridCol w:w="1843"/>
        <w:gridCol w:w="2268"/>
        <w:gridCol w:w="2126"/>
      </w:tblGrid>
      <w:tr>
        <w:trPr>
          <w:trHeight w:val="20"/>
        </w:trPr>
        <w:tc>
          <w:tcPr>
            <w:shd w:val="clear" w:color="000000" w:fill="ffffff"/>
            <w:tcBorders/>
            <w:tcW w:w="768" w:type="dxa"/>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2659" w:type="dxa"/>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1843" w:type="dxa"/>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2268" w:type="dxa"/>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2126" w:type="dxa"/>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768" w:type="dxa"/>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6769" w:type="dxa"/>
            <w:vAlign w:val="center"/>
            <w:textDirection w:val="lrTb"/>
            <w:noWrap w:val="false"/>
          </w:tcPr>
          <w:p>
            <w:pPr>
              <w:pBdr/>
              <w:spacing w:after="40" w:before="40" w:line="288" w:lineRule="auto"/>
              <w:ind/>
              <w:jc w:val="both"/>
              <w:rPr>
                <w:b/>
                <w:bCs/>
                <w:highlight w:val="white"/>
              </w:rPr>
            </w:pPr>
            <w:r>
              <w:rPr>
                <w:color w:val="000000"/>
                <w:highlight w:val="white"/>
              </w:rPr>
            </w:r>
            <w:r>
              <w:rPr>
                <w:color w:val="000000"/>
                <w:highlight w:val="white"/>
              </w:rPr>
              <w:t xml:space="preserve">Quyền sử dụng đất và tài sản gắn liền với đất tại thửa đất số: 375, tờ bản đồ số: 35, có địa chỉ: Đoàn Kết, phường Vạn Phúc, quận Hà Đông (nay là phường Hà Đông), thành phố Hà Nội theo Giấy chứng nhận q</w:t>
            </w:r>
            <w:r>
              <w:rPr>
                <w:color w:val="000000"/>
                <w:highlight w:val="white"/>
              </w:rPr>
              <w:t xml:space="preserve">uyền sử dụng đất, quyền sở hữu nhà ở  và tài sản khác gắn liền với đất số: DO963740, Số vào sổ cấp GCN: CN-03085 do Chi nhánh văn phòng đăng ký đất đai Hà Nội quận Hà Đông cấp ngày 31/07/2024; chủ sử dụng đất là Ông Nguyễn Quang Huy và bà Phạm Thị Ngọc Thu</w:t>
            </w:r>
            <w:r>
              <w:rPr>
                <w:bCs/>
                <w:i/>
                <w:iCs/>
                <w:highlight w:val="white"/>
              </w:rPr>
              <w:t xml:space="preserve">.</w:t>
            </w:r>
            <w:r>
              <w:rPr>
                <w:b/>
                <w:bCs/>
                <w:highlight w:val="white"/>
              </w:rPr>
            </w:r>
            <w:r>
              <w:rPr>
                <w:b/>
                <w:bCs/>
                <w:highlight w:val="white"/>
              </w:rPr>
            </w:r>
          </w:p>
        </w:tc>
        <w:tc>
          <w:tcPr>
            <w:shd w:val="clear" w:color="000000" w:fill="ffffff"/>
            <w:tcBorders/>
            <w:tcW w:w="2126" w:type="dxa"/>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768"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2659"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1843"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64</w:t>
            </w:r>
            <w:r>
              <w:rPr>
                <w:color w:val="000000"/>
                <w:highlight w:val="white"/>
              </w:rPr>
            </w:r>
            <w:r>
              <w:rPr>
                <w:color w:val="000000"/>
                <w:highlight w:val="white"/>
              </w:rPr>
            </w:r>
          </w:p>
        </w:tc>
        <w:tc>
          <w:tcPr>
            <w:shd w:val="clear" w:color="000000" w:fill="ffffff"/>
            <w:tcBorders/>
            <w:tcW w:w="2268" w:type="dxa"/>
            <w:vAlign w:val="center"/>
            <w:textDirection w:val="lrTb"/>
            <w:noWrap w:val="false"/>
          </w:tcPr>
          <w:p>
            <w:pPr>
              <w:pBdr/>
              <w:spacing w:after="40" w:before="40" w:line="288" w:lineRule="auto"/>
              <w:ind/>
              <w:jc w:val="right"/>
              <w:rPr>
                <w:highlight w:val="white"/>
              </w:rPr>
            </w:pPr>
            <w:r>
              <w:rPr>
                <w:color w:val="000000" w:themeColor="text1"/>
                <w:highlight w:val="white"/>
              </w:rPr>
              <w:t xml:space="preserve">265.000.000</w:t>
            </w:r>
            <w:r>
              <w:rPr>
                <w:highlight w:val="white"/>
              </w:rPr>
            </w:r>
            <w:r>
              <w:rPr>
                <w:highlight w:val="white"/>
              </w:rPr>
            </w:r>
          </w:p>
        </w:tc>
        <w:tc>
          <w:tcPr>
            <w:shd w:val="clear" w:color="000000" w:fill="ffffff"/>
            <w:tcBorders/>
            <w:tcW w:w="2126" w:type="dxa"/>
            <w:vAlign w:val="center"/>
            <w:textDirection w:val="lrTb"/>
            <w:noWrap w:val="false"/>
          </w:tcPr>
          <w:p>
            <w:pPr>
              <w:pBdr/>
              <w:spacing w:after="40" w:before="40" w:line="288" w:lineRule="auto"/>
              <w:ind/>
              <w:jc w:val="right"/>
              <w:rPr>
                <w:highlight w:val="white"/>
              </w:rPr>
            </w:pPr>
            <w:r>
              <w:rPr>
                <w:color w:val="000000" w:themeColor="text1"/>
                <w:highlight w:val="white"/>
              </w:rPr>
              <w:t xml:space="preserve">16.960.000.000</w:t>
            </w:r>
            <w:r>
              <w:rPr>
                <w:highlight w:val="white"/>
              </w:rPr>
            </w:r>
            <w:r>
              <w:rPr>
                <w:highlight w:val="white"/>
              </w:rPr>
            </w:r>
          </w:p>
        </w:tc>
      </w:tr>
      <w:tr>
        <w:trPr>
          <w:trHeight w:val="20"/>
        </w:trPr>
        <w:tc>
          <w:tcPr>
            <w:shd w:val="clear" w:color="000000" w:fill="ffffff"/>
            <w:tcBorders/>
            <w:tcW w:w="768" w:type="dxa"/>
            <w:vAlign w:val="center"/>
            <w:vMerge w:val="restart"/>
            <w:textDirection w:val="lrTb"/>
            <w:noWrap w:val="false"/>
          </w:tcPr>
          <w:p>
            <w:pPr>
              <w:pBdr/>
              <w:spacing w:after="40" w:before="40" w:line="288" w:lineRule="auto"/>
              <w:ind/>
              <w:jc w:val="center"/>
              <w:rPr>
                <w:b w:val="0"/>
                <w:bCs w:val="0"/>
                <w:highlight w:val="white"/>
              </w:rPr>
            </w:pPr>
            <w:r>
              <w:rPr>
                <w:b w:val="0"/>
                <w:bCs w:val="0"/>
                <w:highlight w:val="white"/>
              </w:rPr>
              <w:t xml:space="preserve">2</w:t>
            </w:r>
            <w:r>
              <w:rPr>
                <w:b w:val="0"/>
                <w:bCs w:val="0"/>
                <w:highlight w:val="white"/>
              </w:rPr>
            </w:r>
            <w:r>
              <w:rPr>
                <w:b w:val="0"/>
                <w:bCs w:val="0"/>
                <w:highlight w:val="white"/>
              </w:rPr>
            </w:r>
          </w:p>
        </w:tc>
        <w:tc>
          <w:tcPr>
            <w:shd w:val="clear" w:color="000000" w:fill="ffffff"/>
            <w:tcBorders/>
            <w:tcW w:w="2659" w:type="dxa"/>
            <w:vAlign w:val="center"/>
            <w:vMerge w:val="restart"/>
            <w:textDirection w:val="lrTb"/>
            <w:noWrap w:val="false"/>
          </w:tcPr>
          <w:p>
            <w:pPr>
              <w:pBdr/>
              <w:spacing w:after="40" w:before="40" w:line="288" w:lineRule="auto"/>
              <w:ind/>
              <w:rPr>
                <w:b w:val="0"/>
                <w:bCs w:val="0"/>
                <w:highlight w:val="white"/>
              </w:rPr>
            </w:pPr>
            <w:r>
              <w:rPr>
                <w:b w:val="0"/>
                <w:bCs w:val="0"/>
                <w:highlight w:val="white"/>
              </w:rPr>
              <w:t xml:space="preserve">Nhà 05 tầng</w:t>
            </w:r>
            <w:r>
              <w:rPr>
                <w:b w:val="0"/>
                <w:bCs w:val="0"/>
                <w:highlight w:val="white"/>
              </w:rPr>
            </w:r>
            <w:r>
              <w:rPr>
                <w:b w:val="0"/>
                <w:bCs w:val="0"/>
                <w:highlight w:val="white"/>
              </w:rPr>
            </w:r>
          </w:p>
        </w:tc>
        <w:tc>
          <w:tcPr>
            <w:tcBorders/>
            <w:tcW w:w="1843" w:type="dxa"/>
            <w:vAlign w:val="center"/>
            <w:vMerge w:val="restart"/>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320</w:t>
            </w:r>
            <w:r>
              <w:rPr>
                <w:color w:val="000000" w:themeColor="text1"/>
                <w:highlight w:val="white"/>
              </w:rPr>
            </w:r>
            <w:r>
              <w:rPr>
                <w:color w:val="000000" w:themeColor="text1"/>
                <w:highlight w:val="white"/>
              </w:rPr>
            </w:r>
          </w:p>
        </w:tc>
        <w:tc>
          <w:tcPr>
            <w:shd w:val="clear" w:color="000000" w:fill="ffffff"/>
            <w:tcBorders/>
            <w:tcW w:w="2268" w:type="dxa"/>
            <w:vAlign w:val="center"/>
            <w:vMerge w:val="restart"/>
            <w:textDirection w:val="lrTb"/>
            <w:noWrap w:val="false"/>
          </w:tcPr>
          <w:p>
            <w:pPr>
              <w:pBdr/>
              <w:spacing w:after="40" w:before="40" w:line="288" w:lineRule="auto"/>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c>
          <w:tcPr>
            <w:shd w:val="clear" w:color="000000" w:fill="ffffff"/>
            <w:tcBorders/>
            <w:tcW w:w="2126" w:type="dxa"/>
            <w:vAlign w:val="center"/>
            <w:vMerge w:val="restart"/>
            <w:textDirection w:val="lrTb"/>
            <w:noWrap w:val="false"/>
          </w:tcPr>
          <w:p>
            <w:pPr>
              <w:pBdr/>
              <w:spacing w:after="40" w:before="40" w:line="288" w:lineRule="auto"/>
              <w:ind/>
              <w:jc w:val="right"/>
              <w:rPr>
                <w:color w:val="000000" w:themeColor="text1"/>
                <w:highlight w:val="white"/>
              </w:rPr>
            </w:pPr>
            <w:r>
              <w:rPr>
                <w:color w:val="000000" w:themeColor="text1"/>
                <w:highlight w:val="white"/>
              </w:rPr>
              <w:t xml:space="preserve">2.329.673.472</w:t>
            </w:r>
            <w:r>
              <w:rPr>
                <w:color w:val="000000" w:themeColor="text1"/>
                <w:highlight w:val="white"/>
              </w:rPr>
            </w:r>
            <w:r>
              <w:rPr>
                <w:color w:val="000000" w:themeColor="text1"/>
                <w:highlight w:val="white"/>
              </w:rPr>
            </w:r>
          </w:p>
        </w:tc>
      </w:tr>
      <w:tr>
        <w:trPr>
          <w:trHeight w:val="20"/>
        </w:trPr>
        <w:tc>
          <w:tcPr>
            <w:gridSpan w:val="4"/>
            <w:tcBorders/>
            <w:tcW w:w="7538"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126" w:type="dxa"/>
            <w:vAlign w:val="center"/>
            <w:textDirection w:val="lrTb"/>
            <w:noWrap/>
          </w:tcPr>
          <w:p>
            <w:pPr>
              <w:pBdr/>
              <w:spacing w:after="40" w:before="40" w:line="288" w:lineRule="auto"/>
              <w:ind/>
              <w:jc w:val="right"/>
              <w:rPr>
                <w:b/>
                <w:bCs/>
                <w:color w:val="000000"/>
                <w:highlight w:val="white"/>
              </w:rPr>
            </w:pPr>
            <w:r>
              <w:rPr>
                <w:highlight w:val="white"/>
              </w:rPr>
              <w:t xml:space="preserve">19.289.673.472</w:t>
            </w:r>
            <w:r>
              <w:rPr>
                <w:b/>
                <w:bCs/>
                <w:color w:val="000000"/>
                <w:highlight w:val="white"/>
              </w:rPr>
            </w:r>
            <w:r>
              <w:rPr>
                <w:b/>
                <w:bCs/>
                <w:color w:val="000000"/>
                <w:highlight w:val="white"/>
              </w:rPr>
            </w:r>
          </w:p>
        </w:tc>
      </w:tr>
      <w:tr>
        <w:trPr>
          <w:trHeight w:val="20"/>
        </w:trPr>
        <w:tc>
          <w:tcPr>
            <w:gridSpan w:val="4"/>
            <w:tcBorders/>
            <w:tcW w:w="7538"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2126" w:type="dxa"/>
            <w:vAlign w:val="center"/>
            <w:textDirection w:val="lrTb"/>
            <w:noWrap/>
          </w:tcPr>
          <w:p>
            <w:pPr>
              <w:pBdr/>
              <w:spacing w:after="40" w:before="40" w:line="288" w:lineRule="auto"/>
              <w:ind/>
              <w:jc w:val="right"/>
              <w:rPr>
                <w:b/>
                <w:bCs/>
                <w:color w:val="000000"/>
                <w:highlight w:val="white"/>
              </w:rPr>
            </w:pPr>
            <w:r>
              <w:rPr>
                <w:b/>
                <w:bCs/>
                <w:color w:val="000000"/>
                <w:highlight w:val="white"/>
              </w:rPr>
              <w:t xml:space="preserve">19.290.000.000</w:t>
            </w:r>
            <w:r>
              <w:rPr>
                <w:b/>
                <w:bCs/>
                <w:color w:val="000000"/>
                <w:highlight w:val="white"/>
              </w:rPr>
            </w:r>
            <w:r>
              <w:rPr>
                <w:b/>
                <w:bCs/>
                <w:color w:val="000000"/>
                <w:highlight w:val="white"/>
              </w:rPr>
            </w:r>
          </w:p>
        </w:tc>
      </w:tr>
      <w:tr>
        <w:trPr>
          <w:trHeight w:val="20"/>
        </w:trPr>
        <w:tc>
          <w:tcPr>
            <w:gridSpan w:val="5"/>
            <w:tcBorders/>
            <w:tcW w:w="9664"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Mười chín tỷ hai trăm chín mươi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41"/>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rPr>
      </w:r>
    </w:p>
    <w:p>
      <w:pPr>
        <w:pStyle w:val="1041"/>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rPr>
      </w:r>
    </w:p>
    <w:p>
      <w:pPr>
        <w:pStyle w:val="1041"/>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rPr>
      </w:r>
    </w:p>
    <w:p>
      <w:pPr>
        <w:pStyle w:val="1041"/>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rPr>
      </w:r>
    </w:p>
    <w:p>
      <w:pPr>
        <w:pStyle w:val="1041"/>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rPr>
      </w:r>
    </w:p>
    <w:p>
      <w:pPr>
        <w:pStyle w:val="1041"/>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rPr>
      </w:r>
    </w:p>
    <w:p>
      <w:pPr>
        <w:pStyle w:val="1041"/>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rPr>
      </w:r>
    </w:p>
    <w:p>
      <w:pPr>
        <w:pStyle w:val="1041"/>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rPr>
      </w:r>
    </w:p>
    <w:p>
      <w:pPr>
        <w:pStyle w:val="1041"/>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rPr>
      </w:r>
    </w:p>
    <w:p>
      <w:pPr>
        <w:pStyle w:val="1041"/>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rPr>
      </w:r>
    </w:p>
    <w:p>
      <w:pPr>
        <w:pStyle w:val="1041"/>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rPr>
      </w:r>
    </w:p>
    <w:p>
      <w:pPr>
        <w:pStyle w:val="1041"/>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rPr>
      </w:r>
    </w:p>
    <w:p>
      <w:pPr>
        <w:pStyle w:val="1041"/>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rPr>
      </w:r>
    </w:p>
    <w:p>
      <w:pPr>
        <w:pStyle w:val="1041"/>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rPr>
      </w:r>
    </w:p>
    <w:p>
      <w:pPr>
        <w:pStyle w:val="1041"/>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rPr>
      </w:r>
    </w:p>
    <w:p>
      <w:pPr>
        <w:pStyle w:val="1041"/>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rPr>
      </w:r>
    </w:p>
    <w:p>
      <w:pPr>
        <w:pStyle w:val="1041"/>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rPr>
      </w:r>
    </w:p>
    <w:p>
      <w:pPr>
        <w:pStyle w:val="1041"/>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rPr>
      </w:r>
    </w:p>
    <w:p>
      <w:pPr>
        <w:pStyle w:val="1041"/>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lang w:val="pt-BR"/>
        </w:rPr>
      </w:r>
      <w:r>
        <w:rPr>
          <w:highlight w:val="white"/>
          <w:shd w:val="clear" w:color="auto" w:fill="ffffff"/>
        </w:rPr>
      </w:r>
    </w:p>
    <w:p>
      <w:pPr>
        <w:pStyle w:val="1041"/>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rPr>
      </w:r>
      <w:r>
        <w:rPr>
          <w:highlight w:val="white"/>
        </w:rPr>
      </w:r>
    </w:p>
    <w:p>
      <w:pPr>
        <w:pStyle w:val="1041"/>
        <w:numPr>
          <w:ilvl w:val="0"/>
          <w:numId w:val="41"/>
        </w:numPr>
        <w:pBdr/>
        <w:tabs>
          <w:tab w:val="left" w:leader="none" w:pos="993"/>
        </w:tabs>
        <w:spacing w:after="120" w:before="120" w:line="264" w:lineRule="auto"/>
        <w:ind/>
        <w:jc w:val="both"/>
        <w:rPr>
          <w:spacing w:val="-2"/>
          <w:highlight w:val="white"/>
          <w14:ligatures w14:val="none"/>
        </w:rPr>
      </w:pPr>
      <w:r>
        <w:rPr>
          <w:spacing w:val="-2"/>
          <w:highlight w:val="white"/>
          <w:lang w:val="pt-BR" w:bidi="pt-BR"/>
        </w:rPr>
      </w:r>
      <w:r>
        <w:rPr>
          <w:spacing w:val="-2"/>
          <w:highlight w:val="white"/>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highlight w:val="white"/>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highlight w:val="white"/>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highlight w:val="white"/>
          <w:lang w:val="pt-BR" w:bidi="pt-BR"/>
        </w:rPr>
        <w:t xml:space="preserve">.</w:t>
      </w:r>
      <w:r>
        <w:rPr>
          <w:spacing w:val="-2"/>
          <w:highlight w:val="white"/>
          <w:lang w:val="pt-BR"/>
          <w14:ligatures w14:val="none"/>
        </w:rPr>
      </w:r>
      <w:r>
        <w:rPr>
          <w:spacing w:val="-2"/>
          <w:highlight w:val="white"/>
          <w:lang w:val="pt-BR"/>
          <w14:ligatures w14:val="none"/>
        </w:rPr>
      </w:r>
    </w:p>
    <w:p>
      <w:pPr>
        <w:pStyle w:val="1041"/>
        <w:numPr>
          <w:ilvl w:val="0"/>
          <w:numId w:val="41"/>
        </w:numPr>
        <w:pBdr/>
        <w:spacing w:after="0" w:before="0" w:line="240" w:lineRule="auto"/>
        <w:ind w:right="0"/>
        <w:jc w:val="both"/>
        <w:rPr>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t xml:space="preserve">Tại thời điểm khảo sát, dưới sự hướng dẫn của chủ tài sản, trên đất </w:t>
      </w:r>
      <w:r>
        <w:rPr>
          <w:rFonts w:ascii="Times New Roman" w:hAnsi="Times New Roman" w:eastAsia="Times New Roman" w:cs="Times New Roman"/>
          <w:color w:val="000000"/>
          <w:sz w:val="24"/>
          <w:highlight w:val="white"/>
        </w:rPr>
        <w:t xml:space="preserve">có CTXD nhà 05 tầng, </w:t>
      </w:r>
      <w:r>
        <w:rPr>
          <w:rFonts w:ascii="Times New Roman" w:hAnsi="Times New Roman" w:eastAsia="Times New Roman" w:cs="Times New Roman"/>
          <w:color w:val="000000"/>
          <w:sz w:val="24"/>
          <w:highlight w:val="white"/>
        </w:rPr>
        <w:t xml:space="preserve">diện tích xây dựng khoảng 64m2, tổng diện tích sàn khoảng 320 m2. Công trình chưa được công nhận trên GCN QSDĐ số: </w:t>
      </w:r>
      <w:r>
        <w:rPr>
          <w:color w:val="000000"/>
          <w:highlight w:val="white"/>
        </w:rPr>
        <w:t xml:space="preserve">DO 963740</w:t>
      </w:r>
      <w:r>
        <w:rPr>
          <w:spacing w:val="-2"/>
          <w:highlight w:val="white"/>
          <w:lang w:val="pt-BR"/>
        </w:rPr>
        <w:t xml:space="preserve">, Tổ thẩm định thực hiện ước tính gi</w:t>
      </w:r>
      <w:r>
        <w:rPr>
          <w:spacing w:val="-2"/>
          <w:highlight w:val="white"/>
          <w:lang w:val="pt-BR"/>
        </w:rPr>
        <w:t xml:space="preserve">á trị công trình xây dựng theo thực tế khảo sát được khách hàng hướng dẫn khảo sát và xác nhận. Việc ảnh hưởng của giá trị này (nếu có) do diện tích và hiện trạng của công trình xây dựng sai khác với hiện trạng, tổ thẩm định đã khảo sát và có sự xác nhận c</w:t>
      </w:r>
      <w:r>
        <w:rPr>
          <w:spacing w:val="-2"/>
          <w:highlight w:val="white"/>
          <w:lang w:val="pt-BR"/>
        </w:rPr>
        <w:t xml:space="preserve">ủa khách hàng tại Biên bản khảo sát tài sản kèm theo chứng thư này nằm ngoài phạm vi trách nhiệm của chúng tôi. Khách hàng hoặc bên thứ ba khi sử dụng chứng thư, báo cáo này cần lưu ý, cân nhắc thận trọng và chịu trách nhiệm hoàn toàn trước khi đưa ra quyế</w:t>
      </w:r>
      <w:r>
        <w:rPr>
          <w:spacing w:val="-2"/>
          <w:highlight w:val="white"/>
          <w:lang w:val="pt-BR"/>
        </w:rPr>
        <w:t xml:space="preserve">t định cuối cùng.</w:t>
      </w:r>
      <w:r>
        <w:rPr>
          <w:highlight w:val="white"/>
        </w:rPr>
      </w:r>
      <w:r>
        <w:rPr>
          <w:highlight w:val="white"/>
        </w:rPr>
      </w:r>
    </w:p>
    <w:p>
      <w:pPr>
        <w:pStyle w:val="1041"/>
        <w:numPr>
          <w:ilvl w:val="0"/>
          <w:numId w:val="5"/>
        </w:numPr>
        <w:pBdr/>
        <w:tabs>
          <w:tab w:val="left" w:leader="none" w:pos="993"/>
        </w:tabs>
        <w:spacing w:after="120" w:before="120" w:line="288" w:lineRule="auto"/>
        <w:ind/>
        <w:jc w:val="both"/>
        <w:rPr>
          <w:bCs/>
          <w:spacing w:val="-2"/>
          <w:highlight w:val="white"/>
        </w:rPr>
      </w:pPr>
      <w:r>
        <w:rPr>
          <w:bCs/>
          <w:spacing w:val="-2"/>
          <w:highlight w:val="white"/>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highlight w:val="white"/>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highlight w:val="white"/>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highlight w:val="white"/>
          <w:lang w:val="pt-BR"/>
        </w:rPr>
      </w:r>
      <w:r>
        <w:rPr>
          <w:bCs/>
          <w:spacing w:val="-2"/>
          <w:highlight w:val="white"/>
        </w:rPr>
      </w:r>
    </w:p>
    <w:p>
      <w:pPr>
        <w:pStyle w:val="1041"/>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rPr>
      </w:r>
    </w:p>
    <w:p>
      <w:pPr>
        <w:pStyle w:val="1041"/>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rPr>
      </w:r>
    </w:p>
    <w:p>
      <w:pPr>
        <w:pStyle w:val="1041"/>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rPr>
      </w:r>
    </w:p>
    <w:p>
      <w:pPr>
        <w:pStyle w:val="1041"/>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rPr>
      </w:r>
    </w:p>
    <w:p>
      <w:pPr>
        <w:pStyle w:val="1041"/>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rPr>
      </w:r>
      <w:r>
        <w:rPr>
          <w:highlight w:val="white"/>
          <w:lang w:val="pt-BR"/>
        </w:rPr>
      </w:r>
    </w:p>
    <w:p>
      <w:pPr>
        <w:pBdr/>
        <w:shd w:val="nil" w:color="auto"/>
        <w:spacing/>
        <w:ind/>
        <w:rPr>
          <w:highlight w:val="white"/>
        </w:rPr>
      </w:pPr>
      <w:r>
        <w:rPr>
          <w:highlight w:val="white"/>
        </w:rPr>
      </w: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275/2026/1384/VFI-CT.44.A</w:t>
      </w:r>
      <w:r>
        <w:rPr>
          <w:color w:val="ff0000"/>
          <w:highlight w:val="white"/>
          <w:lang w:val="vi-VN"/>
        </w:rPr>
        <w:t xml:space="preserve"> </w:t>
      </w:r>
      <w:r>
        <w:rPr>
          <w:color w:val="000000" w:themeColor="text1"/>
          <w:highlight w:val="white"/>
        </w:rPr>
        <w:t xml:space="preserve">ngày 7 tháng 9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rPr>
      </w:r>
      <w:r>
        <w:rPr>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rPr>
            </w:r>
          </w:p>
        </w:tc>
      </w:tr>
    </w:tbl>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275/2026/1384/VFI-BC.44.A</w:t>
      </w:r>
      <w:r>
        <w:rPr>
          <w:i/>
          <w:highlight w:val="white"/>
          <w:lang w:val="pt-BR"/>
        </w:rPr>
        <w:t xml:space="preserve"> </w:t>
      </w:r>
      <w:r>
        <w:rPr>
          <w:i/>
          <w:highlight w:val="white"/>
          <w:lang w:val="pt-BR"/>
        </w:rPr>
        <w:t xml:space="preserve">ngày</w:t>
      </w:r>
      <w:r>
        <w:rPr>
          <w:i/>
          <w:highlight w:val="white"/>
          <w:lang w:val="pt-BR"/>
        </w:rPr>
        <w:t xml:space="preserve"> </w:t>
      </w:r>
      <w:r>
        <w:rPr>
          <w:i/>
          <w:highlight w:val="white"/>
          <w:lang w:val="pt-BR"/>
        </w:rPr>
        <w:t xml:space="preserve">7 tháng 9 năm 2026</w:t>
      </w:r>
      <w:r>
        <w:rPr>
          <w:i/>
          <w:highlight w:val="white"/>
          <w:lang w:val="pt-BR"/>
        </w:rPr>
        <w:t xml:space="preserve"> </w:t>
      </w:r>
      <w:r>
        <w:rPr>
          <w:i/>
          <w:highlight w:val="white"/>
          <w:lang w:val="pt-BR"/>
        </w:rPr>
        <w:t xml:space="preserve">của </w:t>
      </w:r>
      <w:r>
        <w:rPr>
          <w:i/>
          <w:highlight w:val="white"/>
          <w:lang w:val="pt-BR"/>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rPr>
      </w:r>
    </w:p>
    <w:tbl>
      <w:tblPr>
        <w:tblStyle w:val="104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227455" cy="207885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59898" name=""/>
                              <pic:cNvPicPr>
                                <a:picLocks noChangeAspect="1"/>
                              </pic:cNvPicPr>
                              <pic:nvPr/>
                            </pic:nvPicPr>
                            <pic:blipFill rotWithShape="1">
                              <a:blip r:embed="rId22"/>
                              <a:stretch/>
                            </pic:blipFill>
                            <pic:spPr bwMode="auto">
                              <a:xfrm flipH="0" flipV="0">
                                <a:off x="0" y="0"/>
                                <a:ext cx="2227455" cy="20788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75.39pt;height:163.69pt;mso-wrap-distance-left:0.00pt;mso-wrap-distance-top:0.00pt;mso-wrap-distance-right:0.00pt;mso-wrap-distance-bottom:0.00pt;z-index:1;" stroked="false">
                      <v:imagedata r:id="rId22"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93468" cy="209291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8824" name=""/>
                              <pic:cNvPicPr>
                                <a:picLocks noChangeAspect="1"/>
                              </pic:cNvPicPr>
                              <pic:nvPr/>
                            </pic:nvPicPr>
                            <pic:blipFill rotWithShape="1">
                              <a:blip r:embed="rId23"/>
                              <a:stretch/>
                            </pic:blipFill>
                            <pic:spPr bwMode="auto">
                              <a:xfrm flipH="0" flipV="0">
                                <a:off x="0" y="0"/>
                                <a:ext cx="2793467" cy="20929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9.96pt;height:164.80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74985" cy="158807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79887" name=""/>
                              <pic:cNvPicPr>
                                <a:picLocks noChangeAspect="1"/>
                              </pic:cNvPicPr>
                              <pic:nvPr/>
                            </pic:nvPicPr>
                            <pic:blipFill rotWithShape="1">
                              <a:blip r:embed="rId24"/>
                              <a:stretch/>
                            </pic:blipFill>
                            <pic:spPr bwMode="auto">
                              <a:xfrm flipH="0" flipV="0">
                                <a:off x="0" y="0"/>
                                <a:ext cx="2874983" cy="15880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38pt;height:125.04pt;mso-wrap-distance-left:0.00pt;mso-wrap-distance-top:0.00pt;mso-wrap-distance-right:0.00pt;mso-wrap-distance-bottom:0.00pt;z-index:1;" stroked="false">
                      <v:imagedata r:id="rId24"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61169" cy="163881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77708" name=""/>
                              <pic:cNvPicPr>
                                <a:picLocks noChangeAspect="1"/>
                              </pic:cNvPicPr>
                              <pic:nvPr/>
                            </pic:nvPicPr>
                            <pic:blipFill rotWithShape="1">
                              <a:blip r:embed="rId25"/>
                              <a:stretch/>
                            </pic:blipFill>
                            <pic:spPr bwMode="auto">
                              <a:xfrm flipH="0" flipV="0">
                                <a:off x="0" y="0"/>
                                <a:ext cx="2761168" cy="16388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41pt;height:129.04pt;mso-wrap-distance-left:0.00pt;mso-wrap-distance-top:0.00pt;mso-wrap-distance-right:0.00pt;mso-wrap-distance-bottom:0.00pt;z-index:1;" stroked="false">
                      <v:imagedata r:id="rId25" o:title=""/>
                      <o:lock v:ext="edit" rotation="t"/>
                    </v:shape>
                  </w:pict>
                </mc:Fallback>
              </mc:AlternateContent>
            </w:r>
            <w:r>
              <w:rPr>
                <w:i/>
                <w:highlight w:val="white"/>
                <w:lang w:val="pt-BR"/>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04738" cy="173475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650805" name=""/>
                              <pic:cNvPicPr>
                                <a:picLocks noChangeAspect="1"/>
                              </pic:cNvPicPr>
                              <pic:nvPr/>
                            </pic:nvPicPr>
                            <pic:blipFill rotWithShape="1">
                              <a:blip r:embed="rId26"/>
                              <a:stretch/>
                            </pic:blipFill>
                            <pic:spPr bwMode="auto">
                              <a:xfrm flipH="0" flipV="0">
                                <a:off x="0" y="0"/>
                                <a:ext cx="2804738" cy="17347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0.85pt;height:136.60pt;mso-wrap-distance-left:0.00pt;mso-wrap-distance-top:0.00pt;mso-wrap-distance-right:0.00pt;mso-wrap-distance-bottom:0.00pt;z-index:1;" stroked="false">
                      <v:imagedata r:id="rId26"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681190" cy="175722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57653" name=""/>
                              <pic:cNvPicPr>
                                <a:picLocks noChangeAspect="1"/>
                              </pic:cNvPicPr>
                              <pic:nvPr/>
                            </pic:nvPicPr>
                            <pic:blipFill rotWithShape="1">
                              <a:blip r:embed="rId27"/>
                              <a:stretch/>
                            </pic:blipFill>
                            <pic:spPr bwMode="auto">
                              <a:xfrm flipH="0" flipV="0">
                                <a:off x="0" y="0"/>
                                <a:ext cx="2681190" cy="17572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1.12pt;height:138.36pt;mso-wrap-distance-left:0.00pt;mso-wrap-distance-top:0.00pt;mso-wrap-distance-right:0.00pt;mso-wrap-distance-bottom:0.00pt;z-index:1;" stroked="false">
                      <v:imagedata r:id="rId27" o:title=""/>
                      <o:lock v:ext="edit" rotation="t"/>
                    </v:shape>
                  </w:pict>
                </mc:Fallback>
              </mc:AlternateContent>
            </w:r>
            <w:r>
              <w:rPr>
                <w:b/>
                <w:bCs/>
                <w:i/>
                <w:highlight w:val="white"/>
                <w:lang w:val="pt-BR"/>
              </w:rPr>
            </w:r>
            <w:r>
              <w:rPr>
                <w:b/>
                <w:bCs/>
                <w:i/>
                <w:highlight w:val="white"/>
              </w:rPr>
            </w:r>
          </w:p>
        </w:tc>
      </w:tr>
      <w:tr>
        <w:trPr/>
        <w:tc>
          <w:tcPr>
            <w:tcBorders/>
            <w:tcW w:w="4758" w:type="dxa"/>
            <w:vAlign w:val="center"/>
            <w:vMerge w:val="restart"/>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c>
          <w:tcPr>
            <w:tcBorders/>
            <w:tcW w:w="4757" w:type="dxa"/>
            <w:vAlign w:val="center"/>
            <w:vMerge w:val="restart"/>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r>
      <w:tr>
        <w:trPr/>
        <w:tc>
          <w:tcPr>
            <w:tcBorders/>
            <w:tcW w:w="4758" w:type="dxa"/>
            <w:vAlign w:val="center"/>
            <w:vMerge w:val="restart"/>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20650" cy="162823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01265" name=""/>
                              <pic:cNvPicPr>
                                <a:picLocks noChangeAspect="1"/>
                              </pic:cNvPicPr>
                              <pic:nvPr/>
                            </pic:nvPicPr>
                            <pic:blipFill rotWithShape="1">
                              <a:blip r:embed="rId28"/>
                              <a:stretch/>
                            </pic:blipFill>
                            <pic:spPr bwMode="auto">
                              <a:xfrm flipH="0" flipV="0">
                                <a:off x="0" y="0"/>
                                <a:ext cx="2720649" cy="16282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4.22pt;height:128.21pt;mso-wrap-distance-left:0.00pt;mso-wrap-distance-top:0.00pt;mso-wrap-distance-right:0.00pt;mso-wrap-distance-bottom:0.00pt;z-index:1;" stroked="false">
                      <v:imagedata r:id="rId28" o:title=""/>
                      <o:lock v:ext="edit" rotation="t"/>
                    </v:shape>
                  </w:pict>
                </mc:Fallback>
              </mc:AlternateContent>
            </w:r>
            <w:r>
              <w:rPr>
                <w:i/>
                <w:highlight w:val="white"/>
                <w:lang w:val="pt-BR"/>
              </w:rPr>
            </w:r>
            <w:r>
              <w:rPr>
                <w:i/>
                <w:highlight w:val="white"/>
              </w:rPr>
            </w:r>
          </w:p>
        </w:tc>
        <w:tc>
          <w:tcPr>
            <w:tcBorders/>
            <w:tcW w:w="4757" w:type="dxa"/>
            <w:vAlign w:val="center"/>
            <w:vMerge w:val="restart"/>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80580" cy="159013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971946" name=""/>
                              <pic:cNvPicPr>
                                <a:picLocks noChangeAspect="1"/>
                              </pic:cNvPicPr>
                              <pic:nvPr/>
                            </pic:nvPicPr>
                            <pic:blipFill rotWithShape="1">
                              <a:blip r:embed="rId29"/>
                              <a:stretch/>
                            </pic:blipFill>
                            <pic:spPr bwMode="auto">
                              <a:xfrm flipH="0" flipV="0">
                                <a:off x="0" y="0"/>
                                <a:ext cx="2780579" cy="1590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8.94pt;height:125.21pt;mso-wrap-distance-left:0.00pt;mso-wrap-distance-top:0.00pt;mso-wrap-distance-right:0.00pt;mso-wrap-distance-bottom:0.00pt;z-index:1;" stroked="false">
                      <v:imagedata r:id="rId29" o:title=""/>
                      <o:lock v:ext="edit" rotation="t"/>
                    </v:shape>
                  </w:pict>
                </mc:Fallback>
              </mc:AlternateContent>
            </w:r>
            <w:r>
              <w:rPr>
                <w:i/>
                <w:highlight w:val="white"/>
                <w:lang w:val="pt-BR"/>
              </w:rPr>
            </w:r>
            <w:r>
              <w:rPr>
                <w:i/>
                <w:highlight w:val="white"/>
              </w:rPr>
            </w:r>
          </w:p>
        </w:tc>
      </w:tr>
    </w:tbl>
    <w:p>
      <w:pPr>
        <w:pBdr/>
        <w:spacing/>
        <w:ind/>
        <w:jc w:val="center"/>
        <w:rPr>
          <w:b/>
          <w:bCs/>
          <w:highlight w:val="white"/>
        </w:rPr>
      </w:pPr>
      <w:r>
        <w:rPr>
          <w:b/>
          <w:bCs/>
          <w:highlight w:val="white"/>
        </w:rPr>
        <w:t xml:space="preserve">Giấy chứng nhận quyền sử dụng đất </w:t>
      </w:r>
      <w:r>
        <w:rPr>
          <w:b/>
          <w:bCs/>
          <w:highlight w:val="white"/>
        </w:rPr>
        <w:t xml:space="preserve">và tài sản gắn liền với đất </w:t>
      </w:r>
      <w:r>
        <w:rPr>
          <w:b/>
          <w:bCs/>
          <w:highlight w:val="white"/>
        </w:rPr>
      </w:r>
      <w:r>
        <w:rPr>
          <w:b/>
          <w:bCs/>
          <w:highlight w:val="white"/>
        </w:rPr>
      </w:r>
    </w:p>
    <w:p>
      <w:pPr>
        <w:pBdr/>
        <w:spacing/>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mc:AlternateContent>
          <mc:Choice Requires="wpg">
            <w:drawing>
              <wp:inline xmlns:wp="http://schemas.openxmlformats.org/drawingml/2006/wordprocessingDrawing" distT="0" distB="0" distL="0" distR="0">
                <wp:extent cx="5886790" cy="838212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59675" name=""/>
                        <pic:cNvPicPr>
                          <a:picLocks noChangeAspect="1"/>
                        </pic:cNvPicPr>
                        <pic:nvPr/>
                      </pic:nvPicPr>
                      <pic:blipFill rotWithShape="1">
                        <a:blip r:embed="rId30"/>
                        <a:stretch/>
                      </pic:blipFill>
                      <pic:spPr bwMode="auto">
                        <a:xfrm flipH="0" flipV="0">
                          <a:off x="0" y="0"/>
                          <a:ext cx="5886789" cy="83821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63.53pt;height:660.01pt;mso-wrap-distance-left:0.00pt;mso-wrap-distance-top:0.00pt;mso-wrap-distance-right:0.00pt;mso-wrap-distance-bottom:0.00pt;z-index:1;" stroked="false">
                <v:imagedata r:id="rId30" o:title=""/>
                <o:lock v:ext="edit" rotation="t"/>
              </v:shape>
            </w:pict>
          </mc:Fallback>
        </mc:AlternateContent>
      </w:r>
      <w:r>
        <w:rPr>
          <w:highlight w:val="white"/>
        </w:rPr>
      </w:r>
      <w:r>
        <w:rPr>
          <w:highlight w:val="white"/>
        </w:rPr>
      </w:r>
    </w:p>
    <w:p>
      <w:pPr>
        <w:pBdr/>
        <w:spacing w:after="200" w:line="276" w:lineRule="auto"/>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5991565" cy="899106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640" name=""/>
                        <pic:cNvPicPr>
                          <a:picLocks noChangeAspect="1"/>
                        </pic:cNvPicPr>
                        <pic:nvPr/>
                      </pic:nvPicPr>
                      <pic:blipFill rotWithShape="1">
                        <a:blip r:embed="rId31"/>
                        <a:stretch/>
                      </pic:blipFill>
                      <pic:spPr bwMode="auto">
                        <a:xfrm flipH="0" flipV="0">
                          <a:off x="0" y="0"/>
                          <a:ext cx="5991564" cy="8991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1.78pt;height:707.96pt;mso-wrap-distance-left:0.00pt;mso-wrap-distance-top:0.00pt;mso-wrap-distance-right:0.00pt;mso-wrap-distance-bottom:0.00pt;z-index:1;" stroked="false">
                <v:imagedata r:id="rId31" o:title=""/>
                <o:lock v:ext="edit" rotation="t"/>
              </v:shape>
            </w:pict>
          </mc:Fallback>
        </mc:AlternateContent>
      </w:r>
      <w:r>
        <w:rPr>
          <w:highlight w:val="white"/>
        </w:rPr>
      </w:r>
      <w:r>
        <w:rPr>
          <w:highlight w:val="white"/>
        </w:rPr>
      </w:r>
    </w:p>
    <w:p>
      <w:pPr>
        <w:pBdr/>
        <w:spacing w:after="200" w:line="276" w:lineRule="auto"/>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5991565" cy="8395828"/>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0524" name=""/>
                        <pic:cNvPicPr>
                          <a:picLocks noChangeAspect="1"/>
                        </pic:cNvPicPr>
                        <pic:nvPr/>
                      </pic:nvPicPr>
                      <pic:blipFill rotWithShape="1">
                        <a:blip r:embed="rId32"/>
                        <a:stretch/>
                      </pic:blipFill>
                      <pic:spPr bwMode="auto">
                        <a:xfrm flipH="0" flipV="0">
                          <a:off x="0" y="0"/>
                          <a:ext cx="5991564" cy="83958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1.78pt;height:661.09pt;mso-wrap-distance-left:0.00pt;mso-wrap-distance-top:0.00pt;mso-wrap-distance-right:0.00pt;mso-wrap-distance-bottom:0.00pt;z-index:1;" stroked="false">
                <v:imagedata r:id="rId32" o:title=""/>
                <o:lock v:ext="edit" rotation="t"/>
              </v:shape>
            </w:pict>
          </mc:Fallback>
        </mc:AlternateContent>
      </w:r>
      <w:r>
        <w:rPr>
          <w:highlight w:val="white"/>
        </w:rPr>
      </w:r>
      <w:r>
        <w:rPr>
          <w:highlight w:val="white"/>
        </w:rPr>
      </w:r>
    </w:p>
    <w:p>
      <w:pPr>
        <w:pBdr/>
        <w:spacing w:after="200" w:line="276" w:lineRule="auto"/>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mc:AlternateContent>
          <mc:Choice Requires="wpg">
            <w:drawing>
              <wp:inline xmlns:wp="http://schemas.openxmlformats.org/drawingml/2006/wordprocessingDrawing" distT="0" distB="0" distL="0" distR="0">
                <wp:extent cx="6251427" cy="890533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50221" name=""/>
                        <pic:cNvPicPr>
                          <a:picLocks noChangeAspect="1"/>
                        </pic:cNvPicPr>
                        <pic:nvPr/>
                      </pic:nvPicPr>
                      <pic:blipFill rotWithShape="1">
                        <a:blip r:embed="rId33"/>
                        <a:stretch/>
                      </pic:blipFill>
                      <pic:spPr bwMode="auto">
                        <a:xfrm flipH="0" flipV="0">
                          <a:off x="0" y="0"/>
                          <a:ext cx="6251427" cy="89053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92.24pt;height:701.21pt;mso-wrap-distance-left:0.00pt;mso-wrap-distance-top:0.00pt;mso-wrap-distance-right:0.00pt;mso-wrap-distance-bottom:0.00pt;z-index:1;" stroked="false">
                <v:imagedata r:id="rId33" o:title=""/>
                <o:lock v:ext="edit" rotation="t"/>
              </v:shape>
            </w:pict>
          </mc:Fallback>
        </mc:AlternateContent>
      </w:r>
      <w:r>
        <w:rPr>
          <w:highlight w:val="white"/>
        </w:rPr>
      </w:r>
      <w:r>
        <w:rPr>
          <w:highlight w:val="white"/>
        </w:rPr>
      </w:r>
    </w:p>
    <w:p>
      <w:pPr>
        <w:pBdr/>
        <w:spacing w:after="200" w:line="276" w:lineRule="auto"/>
        <w:ind/>
        <w:jc w:val="center"/>
        <w:rPr>
          <w:highlight w:val="white"/>
        </w:rPr>
      </w:pPr>
      <w:r>
        <w:rPr>
          <w:b/>
          <w:bCs/>
          <w:highlight w:val="white"/>
        </w:rPr>
        <w:t xml:space="preserve">Biên bản khảo sát</w:t>
      </w:r>
      <w:r>
        <w:rPr>
          <w:highlight w:val="white"/>
        </w:rPr>
      </w:r>
      <w:r>
        <w:rPr>
          <w:highlight w:val="white"/>
        </w:rPr>
      </w:r>
    </w:p>
    <w:p>
      <w:pPr>
        <w:pBdr/>
        <w:spacing w:after="200" w:line="276" w:lineRule="auto"/>
        <w:ind/>
        <w:jc w:val="center"/>
        <w:rPr>
          <w:highlight w:val="white"/>
        </w:rPr>
      </w:pPr>
      <w:r>
        <w:rPr>
          <w:highlight w:val="white"/>
        </w:rPr>
        <mc:AlternateContent>
          <mc:Choice Requires="wpg">
            <w:drawing>
              <wp:inline xmlns:wp="http://schemas.openxmlformats.org/drawingml/2006/wordprocessingDrawing" distT="0" distB="0" distL="0" distR="0">
                <wp:extent cx="6048375" cy="8520193"/>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89624" name=""/>
                        <pic:cNvPicPr>
                          <a:picLocks noChangeAspect="1"/>
                        </pic:cNvPicPr>
                        <pic:nvPr/>
                      </pic:nvPicPr>
                      <pic:blipFill rotWithShape="1">
                        <a:blip r:embed="rId34"/>
                        <a:stretch/>
                      </pic:blipFill>
                      <pic:spPr bwMode="auto">
                        <a:xfrm flipH="0" flipV="0">
                          <a:off x="0" y="0"/>
                          <a:ext cx="6048374" cy="85201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70.88pt;mso-wrap-distance-left:0.00pt;mso-wrap-distance-top:0.00pt;mso-wrap-distance-right:0.00pt;mso-wrap-distance-bottom:0.00pt;z-index:1;" stroked="false">
                <v:imagedata r:id="rId34" o:title=""/>
                <o:lock v:ext="edit" rotation="t"/>
              </v:shape>
            </w:pict>
          </mc:Fallback>
        </mc:AlternateContent>
      </w:r>
      <w:r>
        <w:rPr>
          <w:highlight w:val="white"/>
        </w:rPr>
        <w:br w:type="page" w:clear="all"/>
      </w:r>
      <w:r>
        <w:rPr>
          <w:highlight w:val="white"/>
        </w:rPr>
      </w:r>
      <w:r>
        <w:rPr>
          <w:highlight w:val="white"/>
        </w:rPr>
      </w:r>
    </w:p>
    <w:p>
      <w:pPr>
        <w:pBdr/>
        <w:spacing w:after="200" w:line="276" w:lineRule="auto"/>
        <w:ind/>
        <w:jc w:val="center"/>
        <w:rPr>
          <w:i/>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w:t>
      </w:r>
      <w:r>
        <w:rPr>
          <w:b/>
          <w:highlight w:val="white"/>
          <w:lang w:val="vi-VN"/>
        </w:rPr>
        <w:t xml:space="preserve">HU THẬP THỊ TRƯỜN</w:t>
      </w:r>
      <w:r>
        <w:rPr>
          <w:b/>
          <w:highlight w:val="white"/>
        </w:rPr>
        <w:t xml:space="preserve">G</w:t>
      </w:r>
      <w:r>
        <w:rPr>
          <w:i/>
          <w:highlight w:val="white"/>
          <w:lang w:val="pt-BR"/>
        </w:rPr>
      </w:r>
      <w:r>
        <w:rPr>
          <w:i/>
          <w:highlight w:val="white"/>
        </w:rPr>
      </w:r>
    </w:p>
    <w:p>
      <w:pPr>
        <w:pBdr/>
        <w:spacing/>
        <w:ind/>
        <w:jc w:val="center"/>
        <w:rPr>
          <w:i/>
          <w:highlight w:val="white"/>
        </w:rPr>
      </w:pPr>
      <w:r>
        <w:rPr>
          <w:i/>
          <w:highlight w:val="white"/>
          <w:lang w:val="pt-BR"/>
        </w:rPr>
        <w:t xml:space="preserve">(Kèm theo Báo cáo thẩm định số </w:t>
      </w:r>
      <w:r>
        <w:rPr>
          <w:i/>
          <w:highlight w:val="white"/>
        </w:rPr>
        <w:t xml:space="preserve">275/2026/1384/VFI-BC.44.A</w:t>
      </w:r>
      <w:r>
        <w:rPr>
          <w:i/>
          <w:highlight w:val="white"/>
          <w:lang w:val="pt-BR"/>
        </w:rPr>
        <w:t xml:space="preserve"> </w:t>
      </w:r>
      <w:r>
        <w:rPr>
          <w:i/>
          <w:highlight w:val="white"/>
          <w:lang w:val="pt-BR"/>
        </w:rPr>
        <w:t xml:space="preserve">ngày </w:t>
      </w:r>
      <w:r>
        <w:rPr>
          <w:i/>
          <w:highlight w:val="white"/>
          <w:lang w:val="pt-BR"/>
        </w:rPr>
        <w:t xml:space="preserve">7 tháng 9 năm 2026</w:t>
      </w:r>
      <w:r>
        <w:rPr>
          <w:i/>
          <w:highlight w:val="white"/>
          <w:lang w:val="pt-BR"/>
        </w:rPr>
        <w:t xml:space="preserve"> </w:t>
      </w:r>
      <w:r>
        <w:rPr>
          <w:i/>
          <w:highlight w:val="white"/>
          <w:lang w:val="pt-BR"/>
        </w:rPr>
        <w:t xml:space="preserve">của </w:t>
      </w:r>
      <w:r>
        <w:rPr>
          <w:i/>
          <w:highlight w:val="white"/>
          <w:lang w:val="pt-BR"/>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https://batdongsan.com.vn/ban-nha-biet-thu-lien-ke-duong-ngo-quyen-phuong-van-phuc-1-prj-khu-nha-o-phu-my/ban-rieng-kdt-dream-huse-95m2-thang-may-thich-pr44748010</w:t>
            </w:r>
            <w:r>
              <w:rPr>
                <w:color w:val="000000" w:themeColor="text1"/>
                <w:sz w:val="22"/>
                <w:szCs w:val="22"/>
                <w:highlight w:val="white"/>
              </w:rPr>
              <w:br/>
              <w:t xml:space="preserve">0936416216</w:t>
            </w:r>
            <w:r>
              <w:rPr>
                <w:sz w:val="22"/>
                <w:szCs w:val="22"/>
                <w:highlight w:val="white"/>
              </w:rPr>
              <w:t xml:space="preserve"> </w:t>
            </w:r>
            <w:r>
              <w:rPr>
                <w:sz w:val="22"/>
                <w:szCs w:val="22"/>
                <w:highlight w:val="white"/>
              </w:rPr>
              <w:br/>
              <w:t xml:space="preserve">(Nguyễn Hữu Xế</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30.000.000.000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27.000.000.000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9/2025</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(95m²)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Phường  Hà Đông, Thành phố Hà Nội, </w:t>
            </w:r>
            <w:r>
              <w:rPr>
                <w:color w:val="000000" w:themeColor="text1"/>
                <w:sz w:val="22"/>
                <w:szCs w:val="22"/>
                <w:highlight w:val="none"/>
              </w:rPr>
              <w:t xml:space="preserve">cách đường Vạn Phúc khoảng 100m</w:t>
            </w:r>
            <w:r/>
            <w:r>
              <w:rPr>
                <w:color w:val="000000" w:themeColor="text1"/>
                <w:sz w:val="22"/>
                <w:szCs w:val="22"/>
                <w:highlight w:val="none"/>
              </w:rPr>
              <w:t xml:space="preserve">, </w:t>
            </w:r>
            <w:r>
              <w:rPr>
                <w:color w:val="000000" w:themeColor="text1"/>
                <w:sz w:val="22"/>
                <w:szCs w:val="22"/>
                <w:highlight w:val="white"/>
              </w:rPr>
              <w:t xml:space="preserve">độ rộng đường trước mặt tài sản 5m, mặt tiền 5,5m</w:t>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95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CXTD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Nhà 05 tầng, tổng diện tích sàn khoảng 365,6m2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mc:AlternateContent>
                <mc:Choice Requires="wpg">
                  <w:drawing>
                    <wp:inline xmlns:wp="http://schemas.openxmlformats.org/drawingml/2006/wordprocessingDrawing" distT="0" distB="0" distL="0" distR="0">
                      <wp:extent cx="3482949"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60695008" name="" descr=""/>
                              <pic:cNvPicPr/>
                              <pic:nvPr/>
                            </pic:nvPicPr>
                            <pic:blipFill rotWithShape="1">
                              <a:blip r:embed="rId35"/>
                              <a:stretch/>
                            </pic:blipFill>
                            <pic:spPr bwMode="auto">
                              <a:xfrm flipH="0" flipV="0">
                                <a:off x="0" y="0"/>
                                <a:ext cx="348294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74.25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489987"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48072683" name="" descr=""/>
                              <pic:cNvPicPr/>
                              <pic:nvPr/>
                            </pic:nvPicPr>
                            <pic:blipFill rotWithShape="1">
                              <a:blip r:embed="rId36"/>
                              <a:stretch/>
                            </pic:blipFill>
                            <pic:spPr bwMode="auto">
                              <a:xfrm flipH="0" flipV="0">
                                <a:off x="0" y="0"/>
                                <a:ext cx="148998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7.32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tc>
      </w:tr>
    </w:tbl>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0946657688</w:t>
            </w:r>
            <w:r>
              <w:rPr>
                <w:sz w:val="22"/>
                <w:szCs w:val="22"/>
                <w:highlight w:val="white"/>
              </w:rPr>
              <w:t xml:space="preserve"> </w:t>
            </w:r>
            <w:r>
              <w:rPr>
                <w:sz w:val="22"/>
                <w:szCs w:val="22"/>
                <w:highlight w:val="white"/>
              </w:rPr>
              <w:br/>
              <w:t xml:space="preserve">(Kim Phượng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25.500.000.000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24.225.000.000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(82,5m²)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Phường Hà Đông, Thành phố Hà Nội, </w:t>
            </w:r>
            <w:r>
              <w:rPr>
                <w:color w:val="000000" w:themeColor="text1"/>
                <w:sz w:val="22"/>
                <w:szCs w:val="22"/>
                <w:highlight w:val="none"/>
              </w:rPr>
              <w:t xml:space="preserve">cách đường Vạn Phúc khoảng 50m</w:t>
            </w:r>
            <w:r>
              <w:rPr>
                <w:color w:val="000000" w:themeColor="text1"/>
                <w:sz w:val="22"/>
                <w:szCs w:val="22"/>
                <w:highlight w:val="none"/>
              </w:rPr>
              <w:t xml:space="preserve">, </w:t>
            </w:r>
            <w:r>
              <w:rPr>
                <w:color w:val="000000" w:themeColor="text1"/>
                <w:sz w:val="22"/>
                <w:szCs w:val="22"/>
                <w:highlight w:val="white"/>
              </w:rPr>
              <w:t xml:space="preserve">độ rộng đường trước mặt tài sản 6,5m, mặt tiền 5m</w:t>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82.5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Nhà 05 tầng, tổng diện tích sàn khoảng 339,1m2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540715" cy="2936335"/>
                      <wp:effectExtent l="0" t="0" r="0" b="0"/>
                      <wp:docPr id="24" name=""/>
                      <wp:cNvGraphicFramePr/>
                      <a:graphic xmlns:a="http://schemas.openxmlformats.org/drawingml/2006/main">
                        <a:graphicData uri="http://schemas.openxmlformats.org/drawingml/2006/picture">
                          <pic:pic xmlns:pic="http://schemas.openxmlformats.org/drawingml/2006/picture">
                            <pic:nvPicPr>
                              <pic:cNvPr id="1356553298" name="" descr=""/>
                              <pic:cNvPicPr/>
                              <pic:nvPr/>
                            </pic:nvPicPr>
                            <pic:blipFill rotWithShape="1">
                              <a:blip r:embed="rId37"/>
                              <a:stretch/>
                            </pic:blipFill>
                            <pic:spPr bwMode="auto">
                              <a:xfrm flipH="0" flipV="0">
                                <a:off x="0" y="0"/>
                                <a:ext cx="5540715" cy="29363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36.28pt;height:231.21pt;mso-wrap-distance-left:0.00pt;mso-wrap-distance-top:0.00pt;mso-wrap-distance-right:0.00pt;mso-wrap-distance-bottom:0.00pt;z-index:1;" stroked="false">
                      <v:imagedata r:id="rId37" o:title=""/>
                      <o:lock v:ext="edit" rotation="t"/>
                    </v:shape>
                  </w:pict>
                </mc:Fallback>
              </mc:AlternateConten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831560" cy="5451818"/>
                      <wp:effectExtent l="0" t="0" r="0" b="0"/>
                      <wp:docPr id="25" name=""/>
                      <wp:cNvGraphicFramePr/>
                      <a:graphic xmlns:a="http://schemas.openxmlformats.org/drawingml/2006/main">
                        <a:graphicData uri="http://schemas.openxmlformats.org/drawingml/2006/picture">
                          <pic:pic xmlns:pic="http://schemas.openxmlformats.org/drawingml/2006/picture">
                            <pic:nvPicPr>
                              <pic:cNvPr id="1409123461" name="" descr=""/>
                              <pic:cNvPicPr/>
                              <pic:nvPr/>
                            </pic:nvPicPr>
                            <pic:blipFill rotWithShape="1">
                              <a:blip r:embed="rId38"/>
                              <a:stretch/>
                            </pic:blipFill>
                            <pic:spPr bwMode="auto">
                              <a:xfrm rot="5399976" flipH="0" flipV="0">
                                <a:off x="0" y="0"/>
                                <a:ext cx="2831559" cy="545181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22.96pt;height:429.28pt;mso-wrap-distance-left:0.00pt;mso-wrap-distance-top:0.00pt;mso-wrap-distance-right:0.00pt;mso-wrap-distance-bottom:0.00pt;rotation:89;z-index:1;" stroked="false">
                      <v:imagedata r:id="rId38" o:title=""/>
                      <o:lock v:ext="edit" rotation="t"/>
                    </v:shape>
                  </w:pict>
                </mc:Fallback>
              </mc:AlternateConten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540329" cy="2082212"/>
                      <wp:effectExtent l="0" t="0" r="0" b="0"/>
                      <wp:docPr id="26" name=""/>
                      <wp:cNvGraphicFramePr/>
                      <a:graphic xmlns:a="http://schemas.openxmlformats.org/drawingml/2006/main">
                        <a:graphicData uri="http://schemas.openxmlformats.org/drawingml/2006/picture">
                          <pic:pic xmlns:pic="http://schemas.openxmlformats.org/drawingml/2006/picture">
                            <pic:nvPicPr>
                              <pic:cNvPr id="444077018" name="" descr=""/>
                              <pic:cNvPicPr/>
                              <pic:nvPr/>
                            </pic:nvPicPr>
                            <pic:blipFill rotWithShape="1">
                              <a:blip r:embed="rId39"/>
                              <a:stretch/>
                            </pic:blipFill>
                            <pic:spPr bwMode="auto">
                              <a:xfrm flipH="0" flipV="0">
                                <a:off x="0" y="0"/>
                                <a:ext cx="2540328" cy="20822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00.03pt;height:163.95pt;mso-wrap-distance-left:0.00pt;mso-wrap-distance-top:0.00pt;mso-wrap-distance-right:0.00pt;mso-wrap-distance-bottom:0.00pt;z-index:1;" stroked="false">
                      <v:imagedata r:id="rId39"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560769" cy="2082212"/>
                      <wp:effectExtent l="0" t="0" r="0" b="0"/>
                      <wp:docPr id="27" name=""/>
                      <wp:cNvGraphicFramePr/>
                      <a:graphic xmlns:a="http://schemas.openxmlformats.org/drawingml/2006/main">
                        <a:graphicData uri="http://schemas.openxmlformats.org/drawingml/2006/picture">
                          <pic:pic xmlns:pic="http://schemas.openxmlformats.org/drawingml/2006/picture">
                            <pic:nvPicPr>
                              <pic:cNvPr id="1706348180" name="" descr=""/>
                              <pic:cNvPicPr/>
                              <pic:nvPr/>
                            </pic:nvPicPr>
                            <pic:blipFill rotWithShape="1">
                              <a:blip r:embed="rId40"/>
                              <a:stretch/>
                            </pic:blipFill>
                            <pic:spPr bwMode="auto">
                              <a:xfrm flipH="0" flipV="0">
                                <a:off x="0" y="0"/>
                                <a:ext cx="2560768" cy="20822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01.64pt;height:163.95pt;mso-wrap-distance-left:0.00pt;mso-wrap-distance-top:0.00pt;mso-wrap-distance-right:0.00pt;mso-wrap-distance-bottom:0.00pt;z-index:1;" stroked="false">
                      <v:imagedata r:id="rId40"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rPr>
          <w:iCs/>
          <w:highlight w:val="white"/>
        </w:rPr>
      </w:pPr>
      <w:r>
        <w:rPr>
          <w:iCs/>
          <w:highlight w:val="white"/>
          <w:lang w:val="pt-BR"/>
        </w:rPr>
        <w:br w:type="page" w:clear="all"/>
      </w:r>
      <w:r>
        <w:rPr>
          <w:iCs/>
          <w:highlight w:val="white"/>
          <w:lang w:val="pt-BR"/>
        </w:rPr>
      </w:r>
      <w:r>
        <w:rPr>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0981558574</w:t>
            </w:r>
            <w:r>
              <w:rPr>
                <w:sz w:val="22"/>
                <w:szCs w:val="22"/>
                <w:highlight w:val="white"/>
              </w:rPr>
              <w:t xml:space="preserve"> </w:t>
            </w:r>
            <w:r>
              <w:rPr>
                <w:sz w:val="22"/>
                <w:szCs w:val="22"/>
                <w:highlight w:val="white"/>
              </w:rPr>
              <w:br/>
              <w:t xml:space="preserve">(Ngân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33.000.000.000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29.700.000.000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08/2026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(92m²)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Ngô Quyền, Phường Hà Đông, Thành phố Hà Nội, </w:t>
            </w:r>
            <w:r>
              <w:rPr>
                <w:color w:val="000000" w:themeColor="text1"/>
                <w:sz w:val="22"/>
                <w:szCs w:val="22"/>
                <w:highlight w:val="none"/>
              </w:rPr>
              <w:t xml:space="preserve">cách đường Vạn Phúc khoảng 300m</w:t>
            </w:r>
            <w:r>
              <w:rPr>
                <w:color w:val="000000" w:themeColor="text1"/>
                <w:sz w:val="22"/>
                <w:szCs w:val="22"/>
                <w:highlight w:val="white"/>
              </w:rPr>
              <w:t xml:space="preserve">độ rộng đường trước mặt tài sản 7m, mặt tiền 4m</w:t>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92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góc 1 mặt đường, phố + 1 mặt ngõ</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Nhà 04 tầng, tổng diện tích sàn khoảng 368m2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445465" cy="296479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5445464" cy="29647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28.78pt;height:233.45pt;mso-wrap-distance-left:0.00pt;mso-wrap-distance-top:0.00pt;mso-wrap-distance-right:0.00pt;mso-wrap-distance-bottom:0.00pt;z-index:1;" stroked="false">
                      <v:imagedata r:id="rId41"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mc:AlternateContent>
                <mc:Choice Requires="wpg">
                  <w:drawing>
                    <wp:inline xmlns:wp="http://schemas.openxmlformats.org/drawingml/2006/wordprocessingDrawing" distT="0" distB="0" distL="0" distR="0">
                      <wp:extent cx="2749890" cy="1800225"/>
                      <wp:effectExtent l="0" t="0" r="0" b="0"/>
                      <wp:docPr id="29" name=""/>
                      <wp:cNvGraphicFramePr/>
                      <a:graphic xmlns:a="http://schemas.openxmlformats.org/drawingml/2006/main">
                        <a:graphicData uri="http://schemas.openxmlformats.org/drawingml/2006/picture">
                          <pic:pic xmlns:pic="http://schemas.openxmlformats.org/drawingml/2006/picture">
                            <pic:nvPicPr>
                              <pic:cNvPr id="1490965516" name="" descr=""/>
                              <pic:cNvPicPr/>
                              <pic:nvPr/>
                            </pic:nvPicPr>
                            <pic:blipFill rotWithShape="1">
                              <a:blip r:embed="rId42"/>
                              <a:stretch/>
                            </pic:blipFill>
                            <pic:spPr bwMode="auto">
                              <a:xfrm flipH="0" flipV="0">
                                <a:off x="0" y="0"/>
                                <a:ext cx="2749889" cy="18002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16.53pt;height:141.75pt;mso-wrap-distance-left:0.00pt;mso-wrap-distance-top:0.00pt;mso-wrap-distance-right:0.00pt;mso-wrap-distance-bottom:0.00pt;z-index:1;" stroked="false">
                      <v:imagedata r:id="rId42"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660652" cy="1800225"/>
                      <wp:effectExtent l="0" t="0" r="0" b="0"/>
                      <wp:docPr id="30" name=""/>
                      <wp:cNvGraphicFramePr/>
                      <a:graphic xmlns:a="http://schemas.openxmlformats.org/drawingml/2006/main">
                        <a:graphicData uri="http://schemas.openxmlformats.org/drawingml/2006/picture">
                          <pic:pic xmlns:pic="http://schemas.openxmlformats.org/drawingml/2006/picture">
                            <pic:nvPicPr>
                              <pic:cNvPr id="1887194171" name="" descr=""/>
                              <pic:cNvPicPr/>
                              <pic:nvPr/>
                            </pic:nvPicPr>
                            <pic:blipFill rotWithShape="1">
                              <a:blip r:embed="rId43"/>
                              <a:stretch/>
                            </pic:blipFill>
                            <pic:spPr bwMode="auto">
                              <a:xfrm flipH="0" flipV="0">
                                <a:off x="0" y="0"/>
                                <a:ext cx="2660651" cy="18002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09.50pt;height:141.75pt;mso-wrap-distance-left:0.00pt;mso-wrap-distance-top:0.00pt;mso-wrap-distance-right:0.00pt;mso-wrap-distance-bottom:0.00pt;z-index:1;" stroked="false">
                      <v:imagedata r:id="rId43"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749890" cy="1628775"/>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flipH="0" flipV="0">
                                <a:off x="0" y="0"/>
                                <a:ext cx="2749889" cy="16287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16.53pt;height:128.25pt;mso-wrap-distance-left:0.00pt;mso-wrap-distance-top:0.00pt;mso-wrap-distance-right:0.00pt;mso-wrap-distance-bottom:0.00pt;z-index:1;" stroked="false">
                      <v:imagedata r:id="rId44"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625728" cy="1628775"/>
                      <wp:effectExtent l="0" t="0" r="0" b="0"/>
                      <wp:docPr id="32" name=""/>
                      <wp:cNvGraphicFramePr/>
                      <a:graphic xmlns:a="http://schemas.openxmlformats.org/drawingml/2006/main">
                        <a:graphicData uri="http://schemas.openxmlformats.org/drawingml/2006/picture">
                          <pic:pic xmlns:pic="http://schemas.openxmlformats.org/drawingml/2006/picture">
                            <pic:nvPicPr>
                              <pic:cNvPr id="221782081" name="" descr=""/>
                              <pic:cNvPicPr/>
                              <pic:nvPr/>
                            </pic:nvPicPr>
                            <pic:blipFill rotWithShape="1">
                              <a:blip r:embed="rId45"/>
                              <a:stretch/>
                            </pic:blipFill>
                            <pic:spPr bwMode="auto">
                              <a:xfrm rot="0" flipH="0" flipV="0">
                                <a:off x="0" y="0"/>
                                <a:ext cx="2625728" cy="16287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06.75pt;height:128.25pt;mso-wrap-distance-left:0.00pt;mso-wrap-distance-top:0.00pt;mso-wrap-distance-right:0.00pt;mso-wrap-distance-bottom:0.00pt;rotation:0;z-index:1;" stroked="false">
                      <v:imagedata r:id="rId45" o:title=""/>
                      <o:lock v:ext="edit" rotation="t"/>
                    </v:shape>
                  </w:pict>
                </mc:Fallback>
              </mc:AlternateContent>
            </w:r>
            <w:r>
              <w:rPr>
                <w:color w:val="000000"/>
                <w:sz w:val="22"/>
                <w:szCs w:val="22"/>
                <w:highlight w:val="white"/>
              </w:rPr>
              <mc:AlternateContent>
                <mc:Choice Requires="wpg">
                  <w:drawing>
                    <wp:inline xmlns:wp="http://schemas.openxmlformats.org/drawingml/2006/wordprocessingDrawing" distT="0" distB="0" distL="0" distR="0">
                      <wp:extent cx="2749890" cy="17145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1325313532" name="" descr=""/>
                              <pic:cNvPicPr/>
                              <pic:nvPr/>
                            </pic:nvPicPr>
                            <pic:blipFill rotWithShape="1">
                              <a:blip r:embed="rId46"/>
                              <a:stretch/>
                            </pic:blipFill>
                            <pic:spPr bwMode="auto">
                              <a:xfrm flipH="0" flipV="0">
                                <a:off x="0" y="0"/>
                                <a:ext cx="2749889" cy="17145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16.53pt;height:135.00pt;mso-wrap-distance-left:0.00pt;mso-wrap-distance-top:0.00pt;mso-wrap-distance-right:0.00pt;mso-wrap-distance-bottom:0.00pt;z-index:1;" stroked="false">
                      <v:imagedata r:id="rId46"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749890" cy="17145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286906879" name="" descr=""/>
                              <pic:cNvPicPr/>
                              <pic:nvPr/>
                            </pic:nvPicPr>
                            <pic:blipFill rotWithShape="1">
                              <a:blip r:embed="rId47"/>
                              <a:stretch/>
                            </pic:blipFill>
                            <pic:spPr bwMode="auto">
                              <a:xfrm flipH="0" flipV="0">
                                <a:off x="0" y="0"/>
                                <a:ext cx="2749889" cy="17145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216.53pt;height:135.00pt;mso-wrap-distance-left:0.00pt;mso-wrap-distance-top:0.00pt;mso-wrap-distance-right:0.00pt;mso-wrap-distance-bottom:0.00pt;z-index:1;" stroked="false">
                      <v:imagedata r:id="rId47" o:title=""/>
                      <o:lock v:ext="edit" rotation="t"/>
                    </v:shape>
                  </w:pict>
                </mc:Fallback>
              </mc:AlternateConten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val="0"/>
                <w:bCs w:val="0"/>
                <w:highlight w:val="white"/>
              </w:rPr>
            </w:pPr>
            <w:r>
              <w:rPr>
                <w:b w:val="0"/>
                <w:bCs w:val="0"/>
                <w:highlight w:val="white"/>
              </w:rPr>
              <w:t xml:space="preserve">Lê Đình Duy</w:t>
            </w:r>
            <w:r>
              <w:rPr>
                <w:b w:val="0"/>
                <w:bCs w:val="0"/>
                <w:highlight w:val="white"/>
              </w:rPr>
            </w:r>
            <w:r>
              <w:rPr>
                <w:b w:val="0"/>
                <w:bCs w:val="0"/>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9A5D77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271681A8"/>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3">
    <w:name w:val="Table Grid Light"/>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10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10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1"/>
    <w:basedOn w:val="10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2"/>
    <w:basedOn w:val="10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3"/>
    <w:basedOn w:val="10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4"/>
    <w:basedOn w:val="10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5"/>
    <w:basedOn w:val="10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6"/>
    <w:basedOn w:val="10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1"/>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2"/>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3"/>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4"/>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5"/>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6"/>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5">
    <w:name w:val="Grid Table 6 Colorful - Accent 1"/>
    <w:basedOn w:val="10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6">
    <w:name w:val="Grid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7">
    <w:name w:val="Grid Table 6 Colorful - Accent 3"/>
    <w:basedOn w:val="10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8">
    <w:name w:val="Grid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9">
    <w:name w:val="Grid Table 6 Colorful - Accent 5"/>
    <w:basedOn w:val="10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6 Colorful - Accent 6"/>
    <w:basedOn w:val="10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1">
    <w:name w:val="Grid Table 7 Colorful"/>
    <w:basedOn w:val="10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1"/>
    <w:basedOn w:val="10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5"/>
    <w:basedOn w:val="10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6"/>
    <w:basedOn w:val="10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1"/>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2"/>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3"/>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4"/>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5"/>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6"/>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10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1"/>
    <w:basedOn w:val="10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2"/>
    <w:basedOn w:val="10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3"/>
    <w:basedOn w:val="10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4"/>
    <w:basedOn w:val="10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5"/>
    <w:basedOn w:val="10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6"/>
    <w:basedOn w:val="10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1"/>
    <w:basedOn w:val="10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3"/>
    <w:basedOn w:val="10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5"/>
    <w:basedOn w:val="10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6"/>
    <w:basedOn w:val="10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1"/>
    <w:basedOn w:val="10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2"/>
    <w:basedOn w:val="10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3"/>
    <w:basedOn w:val="10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4"/>
    <w:basedOn w:val="10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5"/>
    <w:basedOn w:val="10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6"/>
    <w:basedOn w:val="10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10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1"/>
    <w:basedOn w:val="10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2"/>
    <w:basedOn w:val="10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3"/>
    <w:basedOn w:val="10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4"/>
    <w:basedOn w:val="10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5"/>
    <w:basedOn w:val="10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6"/>
    <w:basedOn w:val="10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1"/>
    <w:basedOn w:val="10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10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10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10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10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1">
    <w:name w:val="List Table 7 Colorful - Accent 1"/>
    <w:basedOn w:val="10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2">
    <w:name w:val="List Table 7 Colorful - Accent 2"/>
    <w:basedOn w:val="10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3">
    <w:name w:val="List Table 7 Colorful - Accent 3"/>
    <w:basedOn w:val="10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4">
    <w:name w:val="List Table 7 Colorful - Accent 4"/>
    <w:basedOn w:val="10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5">
    <w:name w:val="List Table 7 Colorful - Accent 5"/>
    <w:basedOn w:val="10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6">
    <w:name w:val="List Table 7 Colorful - Accent 6"/>
    <w:basedOn w:val="10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7">
    <w:name w:val="Lined - Accent"/>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1"/>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2"/>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3"/>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4"/>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5"/>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6"/>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w:basedOn w:val="10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1"/>
    <w:basedOn w:val="10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2"/>
    <w:basedOn w:val="10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3"/>
    <w:basedOn w:val="10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4"/>
    <w:basedOn w:val="10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5"/>
    <w:basedOn w:val="10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6"/>
    <w:basedOn w:val="10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w:basedOn w:val="10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Heading 5"/>
    <w:basedOn w:val="1019"/>
    <w:next w:val="1019"/>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9">
    <w:name w:val="Heading 6"/>
    <w:basedOn w:val="1019"/>
    <w:next w:val="1019"/>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0">
    <w:name w:val="Heading 7"/>
    <w:basedOn w:val="1019"/>
    <w:next w:val="1019"/>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1">
    <w:name w:val="Heading 8"/>
    <w:basedOn w:val="1019"/>
    <w:next w:val="1019"/>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2">
    <w:name w:val="Heading 9"/>
    <w:basedOn w:val="1019"/>
    <w:next w:val="1019"/>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3">
    <w:name w:val="Heading 5 Char"/>
    <w:basedOn w:val="1024"/>
    <w:link w:val="978"/>
    <w:uiPriority w:val="9"/>
    <w:pPr>
      <w:pBdr/>
      <w:spacing/>
      <w:ind/>
    </w:pPr>
    <w:rPr>
      <w:rFonts w:ascii="Arial" w:hAnsi="Arial" w:eastAsia="Arial" w:cs="Arial"/>
      <w:color w:val="0f4761" w:themeColor="accent1" w:themeShade="BF"/>
    </w:rPr>
  </w:style>
  <w:style w:type="character" w:styleId="984">
    <w:name w:val="Heading 6 Char"/>
    <w:basedOn w:val="1024"/>
    <w:link w:val="979"/>
    <w:uiPriority w:val="9"/>
    <w:pPr>
      <w:pBdr/>
      <w:spacing/>
      <w:ind/>
    </w:pPr>
    <w:rPr>
      <w:rFonts w:ascii="Arial" w:hAnsi="Arial" w:eastAsia="Arial" w:cs="Arial"/>
      <w:i/>
      <w:iCs/>
      <w:color w:val="595959" w:themeColor="text1" w:themeTint="A6"/>
    </w:rPr>
  </w:style>
  <w:style w:type="character" w:styleId="985">
    <w:name w:val="Heading 7 Char"/>
    <w:basedOn w:val="1024"/>
    <w:link w:val="980"/>
    <w:uiPriority w:val="9"/>
    <w:pPr>
      <w:pBdr/>
      <w:spacing/>
      <w:ind/>
    </w:pPr>
    <w:rPr>
      <w:rFonts w:ascii="Arial" w:hAnsi="Arial" w:eastAsia="Arial" w:cs="Arial"/>
      <w:color w:val="595959" w:themeColor="text1" w:themeTint="A6"/>
    </w:rPr>
  </w:style>
  <w:style w:type="character" w:styleId="986">
    <w:name w:val="Heading 8 Char"/>
    <w:basedOn w:val="1024"/>
    <w:link w:val="981"/>
    <w:uiPriority w:val="9"/>
    <w:pPr>
      <w:pBdr/>
      <w:spacing/>
      <w:ind/>
    </w:pPr>
    <w:rPr>
      <w:rFonts w:ascii="Arial" w:hAnsi="Arial" w:eastAsia="Arial" w:cs="Arial"/>
      <w:i/>
      <w:iCs/>
      <w:color w:val="272727" w:themeColor="text1" w:themeTint="D8"/>
    </w:rPr>
  </w:style>
  <w:style w:type="character" w:styleId="987">
    <w:name w:val="Heading 9 Char"/>
    <w:basedOn w:val="1024"/>
    <w:link w:val="982"/>
    <w:uiPriority w:val="9"/>
    <w:pPr>
      <w:pBdr/>
      <w:spacing/>
      <w:ind/>
    </w:pPr>
    <w:rPr>
      <w:rFonts w:ascii="Arial" w:hAnsi="Arial" w:eastAsia="Arial" w:cs="Arial"/>
      <w:i/>
      <w:iCs/>
      <w:color w:val="272727" w:themeColor="text1" w:themeTint="D8"/>
    </w:rPr>
  </w:style>
  <w:style w:type="paragraph" w:styleId="988">
    <w:name w:val="Subtitle"/>
    <w:basedOn w:val="1019"/>
    <w:next w:val="1019"/>
    <w:link w:val="989"/>
    <w:uiPriority w:val="11"/>
    <w:qFormat/>
    <w:pPr>
      <w:numPr>
        <w:ilvl w:val="1"/>
      </w:numPr>
      <w:pBdr/>
      <w:spacing/>
      <w:ind/>
    </w:pPr>
    <w:rPr>
      <w:color w:val="595959" w:themeColor="text1" w:themeTint="A6"/>
      <w:spacing w:val="15"/>
      <w:sz w:val="28"/>
      <w:szCs w:val="28"/>
    </w:rPr>
  </w:style>
  <w:style w:type="character" w:styleId="989">
    <w:name w:val="Subtitle Char"/>
    <w:basedOn w:val="1024"/>
    <w:link w:val="988"/>
    <w:uiPriority w:val="11"/>
    <w:pPr>
      <w:pBdr/>
      <w:spacing/>
      <w:ind/>
    </w:pPr>
    <w:rPr>
      <w:color w:val="595959" w:themeColor="text1" w:themeTint="A6"/>
      <w:spacing w:val="15"/>
      <w:sz w:val="28"/>
      <w:szCs w:val="28"/>
    </w:rPr>
  </w:style>
  <w:style w:type="paragraph" w:styleId="990">
    <w:name w:val="Quote"/>
    <w:basedOn w:val="1019"/>
    <w:next w:val="1019"/>
    <w:link w:val="991"/>
    <w:uiPriority w:val="29"/>
    <w:qFormat/>
    <w:pPr>
      <w:pBdr/>
      <w:spacing w:before="160"/>
      <w:ind/>
      <w:jc w:val="center"/>
    </w:pPr>
    <w:rPr>
      <w:i/>
      <w:iCs/>
      <w:color w:val="404040" w:themeColor="text1" w:themeTint="BF"/>
    </w:rPr>
  </w:style>
  <w:style w:type="character" w:styleId="991">
    <w:name w:val="Quote Char"/>
    <w:basedOn w:val="1024"/>
    <w:link w:val="990"/>
    <w:uiPriority w:val="29"/>
    <w:pPr>
      <w:pBdr/>
      <w:spacing/>
      <w:ind/>
    </w:pPr>
    <w:rPr>
      <w:i/>
      <w:iCs/>
      <w:color w:val="404040" w:themeColor="text1" w:themeTint="BF"/>
    </w:rPr>
  </w:style>
  <w:style w:type="character" w:styleId="992">
    <w:name w:val="Intense Emphasis"/>
    <w:basedOn w:val="1024"/>
    <w:uiPriority w:val="21"/>
    <w:qFormat/>
    <w:pPr>
      <w:pBdr/>
      <w:spacing/>
      <w:ind/>
    </w:pPr>
    <w:rPr>
      <w:i/>
      <w:iCs/>
      <w:color w:val="0f4761" w:themeColor="accent1" w:themeShade="BF"/>
    </w:rPr>
  </w:style>
  <w:style w:type="paragraph" w:styleId="993">
    <w:name w:val="Intense Quote"/>
    <w:basedOn w:val="1019"/>
    <w:next w:val="1019"/>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4"/>
    <w:link w:val="993"/>
    <w:uiPriority w:val="30"/>
    <w:pPr>
      <w:pBdr/>
      <w:spacing/>
      <w:ind/>
    </w:pPr>
    <w:rPr>
      <w:i/>
      <w:iCs/>
      <w:color w:val="0f4761" w:themeColor="accent1" w:themeShade="BF"/>
    </w:rPr>
  </w:style>
  <w:style w:type="character" w:styleId="995">
    <w:name w:val="Intense Reference"/>
    <w:basedOn w:val="1024"/>
    <w:uiPriority w:val="32"/>
    <w:qFormat/>
    <w:pPr>
      <w:pBdr/>
      <w:spacing/>
      <w:ind/>
    </w:pPr>
    <w:rPr>
      <w:b/>
      <w:bCs/>
      <w:smallCaps/>
      <w:color w:val="0f4761" w:themeColor="accent1" w:themeShade="BF"/>
      <w:spacing w:val="5"/>
    </w:rPr>
  </w:style>
  <w:style w:type="paragraph" w:styleId="996">
    <w:name w:val="No Spacing"/>
    <w:basedOn w:val="1019"/>
    <w:uiPriority w:val="1"/>
    <w:qFormat/>
    <w:pPr>
      <w:pBdr/>
      <w:spacing w:after="0" w:line="240" w:lineRule="auto"/>
      <w:ind/>
    </w:pPr>
  </w:style>
  <w:style w:type="character" w:styleId="997">
    <w:name w:val="Subtle Emphasis"/>
    <w:basedOn w:val="1024"/>
    <w:uiPriority w:val="19"/>
    <w:qFormat/>
    <w:pPr>
      <w:pBdr/>
      <w:spacing/>
      <w:ind/>
    </w:pPr>
    <w:rPr>
      <w:i/>
      <w:iCs/>
      <w:color w:val="404040" w:themeColor="text1" w:themeTint="BF"/>
    </w:rPr>
  </w:style>
  <w:style w:type="character" w:styleId="998">
    <w:name w:val="Subtle Reference"/>
    <w:basedOn w:val="1024"/>
    <w:uiPriority w:val="31"/>
    <w:qFormat/>
    <w:pPr>
      <w:pBdr/>
      <w:spacing/>
      <w:ind/>
    </w:pPr>
    <w:rPr>
      <w:smallCaps/>
      <w:color w:val="5a5a5a" w:themeColor="text1" w:themeTint="A5"/>
    </w:rPr>
  </w:style>
  <w:style w:type="character" w:styleId="999">
    <w:name w:val="Book Title"/>
    <w:basedOn w:val="1024"/>
    <w:uiPriority w:val="33"/>
    <w:qFormat/>
    <w:pPr>
      <w:pBdr/>
      <w:spacing/>
      <w:ind/>
    </w:pPr>
    <w:rPr>
      <w:b/>
      <w:bCs/>
      <w:i/>
      <w:iCs/>
      <w:spacing w:val="5"/>
    </w:rPr>
  </w:style>
  <w:style w:type="paragraph" w:styleId="1000">
    <w:name w:val="Caption"/>
    <w:basedOn w:val="1019"/>
    <w:next w:val="1019"/>
    <w:uiPriority w:val="35"/>
    <w:unhideWhenUsed/>
    <w:qFormat/>
    <w:pPr>
      <w:pBdr/>
      <w:spacing w:after="200" w:line="240" w:lineRule="auto"/>
      <w:ind/>
    </w:pPr>
    <w:rPr>
      <w:i/>
      <w:iCs/>
      <w:color w:val="0e2841" w:themeColor="text2"/>
      <w:sz w:val="18"/>
      <w:szCs w:val="18"/>
    </w:rPr>
  </w:style>
  <w:style w:type="paragraph" w:styleId="1001">
    <w:name w:val="footnote text"/>
    <w:basedOn w:val="1019"/>
    <w:link w:val="1002"/>
    <w:uiPriority w:val="99"/>
    <w:semiHidden/>
    <w:unhideWhenUsed/>
    <w:pPr>
      <w:pBdr/>
      <w:spacing w:after="0" w:line="240" w:lineRule="auto"/>
      <w:ind/>
    </w:pPr>
    <w:rPr>
      <w:sz w:val="20"/>
      <w:szCs w:val="20"/>
    </w:rPr>
  </w:style>
  <w:style w:type="character" w:styleId="1002">
    <w:name w:val="Footnote Text Char"/>
    <w:basedOn w:val="1024"/>
    <w:link w:val="1001"/>
    <w:uiPriority w:val="99"/>
    <w:semiHidden/>
    <w:pPr>
      <w:pBdr/>
      <w:spacing/>
      <w:ind/>
    </w:pPr>
    <w:rPr>
      <w:sz w:val="20"/>
      <w:szCs w:val="20"/>
    </w:rPr>
  </w:style>
  <w:style w:type="character" w:styleId="1003">
    <w:name w:val="footnote reference"/>
    <w:basedOn w:val="1024"/>
    <w:uiPriority w:val="99"/>
    <w:semiHidden/>
    <w:unhideWhenUsed/>
    <w:pPr>
      <w:pBdr/>
      <w:spacing/>
      <w:ind/>
    </w:pPr>
    <w:rPr>
      <w:vertAlign w:val="superscript"/>
    </w:rPr>
  </w:style>
  <w:style w:type="paragraph" w:styleId="1004">
    <w:name w:val="endnote text"/>
    <w:basedOn w:val="1019"/>
    <w:link w:val="1005"/>
    <w:uiPriority w:val="99"/>
    <w:semiHidden/>
    <w:unhideWhenUsed/>
    <w:pPr>
      <w:pBdr/>
      <w:spacing w:after="0" w:line="240" w:lineRule="auto"/>
      <w:ind/>
    </w:pPr>
    <w:rPr>
      <w:sz w:val="20"/>
      <w:szCs w:val="20"/>
    </w:rPr>
  </w:style>
  <w:style w:type="character" w:styleId="1005">
    <w:name w:val="Endnote Text Char"/>
    <w:basedOn w:val="1024"/>
    <w:link w:val="1004"/>
    <w:uiPriority w:val="99"/>
    <w:semiHidden/>
    <w:pPr>
      <w:pBdr/>
      <w:spacing/>
      <w:ind/>
    </w:pPr>
    <w:rPr>
      <w:sz w:val="20"/>
      <w:szCs w:val="20"/>
    </w:rPr>
  </w:style>
  <w:style w:type="character" w:styleId="1006">
    <w:name w:val="endnote reference"/>
    <w:basedOn w:val="1024"/>
    <w:uiPriority w:val="99"/>
    <w:semiHidden/>
    <w:unhideWhenUsed/>
    <w:pPr>
      <w:pBdr/>
      <w:spacing/>
      <w:ind/>
    </w:pPr>
    <w:rPr>
      <w:vertAlign w:val="superscript"/>
    </w:rPr>
  </w:style>
  <w:style w:type="paragraph" w:styleId="1007">
    <w:name w:val="toc 1"/>
    <w:basedOn w:val="1019"/>
    <w:next w:val="1019"/>
    <w:uiPriority w:val="39"/>
    <w:unhideWhenUsed/>
    <w:pPr>
      <w:pBdr/>
      <w:spacing w:after="100"/>
      <w:ind/>
    </w:pPr>
  </w:style>
  <w:style w:type="paragraph" w:styleId="1008">
    <w:name w:val="toc 2"/>
    <w:basedOn w:val="1019"/>
    <w:next w:val="1019"/>
    <w:uiPriority w:val="39"/>
    <w:unhideWhenUsed/>
    <w:pPr>
      <w:pBdr/>
      <w:spacing w:after="100"/>
      <w:ind w:left="220"/>
    </w:pPr>
  </w:style>
  <w:style w:type="paragraph" w:styleId="1009">
    <w:name w:val="toc 3"/>
    <w:basedOn w:val="1019"/>
    <w:next w:val="1019"/>
    <w:uiPriority w:val="39"/>
    <w:unhideWhenUsed/>
    <w:pPr>
      <w:pBdr/>
      <w:spacing w:after="100"/>
      <w:ind w:left="440"/>
    </w:pPr>
  </w:style>
  <w:style w:type="paragraph" w:styleId="1010">
    <w:name w:val="toc 4"/>
    <w:basedOn w:val="1019"/>
    <w:next w:val="1019"/>
    <w:uiPriority w:val="39"/>
    <w:unhideWhenUsed/>
    <w:pPr>
      <w:pBdr/>
      <w:spacing w:after="100"/>
      <w:ind w:left="660"/>
    </w:pPr>
  </w:style>
  <w:style w:type="paragraph" w:styleId="1011">
    <w:name w:val="toc 5"/>
    <w:basedOn w:val="1019"/>
    <w:next w:val="1019"/>
    <w:uiPriority w:val="39"/>
    <w:unhideWhenUsed/>
    <w:pPr>
      <w:pBdr/>
      <w:spacing w:after="100"/>
      <w:ind w:left="880"/>
    </w:pPr>
  </w:style>
  <w:style w:type="paragraph" w:styleId="1012">
    <w:name w:val="toc 6"/>
    <w:basedOn w:val="1019"/>
    <w:next w:val="1019"/>
    <w:uiPriority w:val="39"/>
    <w:unhideWhenUsed/>
    <w:pPr>
      <w:pBdr/>
      <w:spacing w:after="100"/>
      <w:ind w:left="1100"/>
    </w:pPr>
  </w:style>
  <w:style w:type="paragraph" w:styleId="1013">
    <w:name w:val="toc 7"/>
    <w:basedOn w:val="1019"/>
    <w:next w:val="1019"/>
    <w:uiPriority w:val="39"/>
    <w:unhideWhenUsed/>
    <w:pPr>
      <w:pBdr/>
      <w:spacing w:after="100"/>
      <w:ind w:left="1320"/>
    </w:pPr>
  </w:style>
  <w:style w:type="paragraph" w:styleId="1014">
    <w:name w:val="toc 8"/>
    <w:basedOn w:val="1019"/>
    <w:next w:val="1019"/>
    <w:uiPriority w:val="39"/>
    <w:unhideWhenUsed/>
    <w:pPr>
      <w:pBdr/>
      <w:spacing w:after="100"/>
      <w:ind w:left="1540"/>
    </w:pPr>
  </w:style>
  <w:style w:type="paragraph" w:styleId="1015">
    <w:name w:val="toc 9"/>
    <w:basedOn w:val="1019"/>
    <w:next w:val="1019"/>
    <w:uiPriority w:val="39"/>
    <w:unhideWhenUsed/>
    <w:pPr>
      <w:pBdr/>
      <w:spacing w:after="100"/>
      <w:ind w:left="1760"/>
    </w:pPr>
  </w:style>
  <w:style w:type="character" w:styleId="1016">
    <w:name w:val="Placeholder Text"/>
    <w:basedOn w:val="1024"/>
    <w:uiPriority w:val="99"/>
    <w:semiHidden/>
    <w:pPr>
      <w:pBdr/>
      <w:spacing/>
      <w:ind/>
    </w:pPr>
    <w:rPr>
      <w:color w:val="666666"/>
    </w:rPr>
  </w:style>
  <w:style w:type="paragraph" w:styleId="1017">
    <w:name w:val="TOC Heading"/>
    <w:uiPriority w:val="39"/>
    <w:unhideWhenUsed/>
    <w:pPr>
      <w:pBdr/>
      <w:spacing/>
      <w:ind/>
    </w:pPr>
  </w:style>
  <w:style w:type="paragraph" w:styleId="1018">
    <w:name w:val="table of figures"/>
    <w:basedOn w:val="1019"/>
    <w:next w:val="1019"/>
    <w:uiPriority w:val="99"/>
    <w:unhideWhenUsed/>
    <w:pPr>
      <w:pBdr/>
      <w:spacing w:after="0" w:afterAutospacing="0"/>
      <w:ind/>
    </w:pPr>
  </w:style>
  <w:style w:type="paragraph" w:styleId="1019" w:default="1">
    <w:name w:val="Normal"/>
    <w:qFormat/>
    <w:pPr>
      <w:pBdr/>
      <w:spacing w:after="0" w:line="240" w:lineRule="auto"/>
      <w:ind/>
    </w:pPr>
    <w:rPr>
      <w:rFonts w:ascii="Times New Roman" w:hAnsi="Times New Roman" w:eastAsia="Times New Roman" w:cs="Times New Roman"/>
      <w:sz w:val="24"/>
      <w:szCs w:val="24"/>
    </w:rPr>
  </w:style>
  <w:style w:type="paragraph" w:styleId="1020">
    <w:name w:val="Heading 1"/>
    <w:basedOn w:val="1019"/>
    <w:next w:val="1019"/>
    <w:link w:val="1027"/>
    <w:qFormat/>
    <w:pPr>
      <w:keepNext w:val="true"/>
      <w:pBdr/>
      <w:spacing w:after="120" w:before="120"/>
      <w:ind/>
      <w:jc w:val="center"/>
      <w:outlineLvl w:val="0"/>
    </w:pPr>
    <w:rPr>
      <w:b/>
      <w:bCs/>
      <w:sz w:val="27"/>
      <w:szCs w:val="27"/>
    </w:rPr>
  </w:style>
  <w:style w:type="paragraph" w:styleId="1021">
    <w:name w:val="Heading 2"/>
    <w:basedOn w:val="1019"/>
    <w:next w:val="1019"/>
    <w:link w:val="102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2">
    <w:name w:val="Heading 3"/>
    <w:basedOn w:val="1019"/>
    <w:next w:val="1019"/>
    <w:link w:val="1029"/>
    <w:qFormat/>
    <w:pPr>
      <w:keepNext w:val="true"/>
      <w:pBdr/>
      <w:spacing w:before="60"/>
      <w:ind/>
      <w:outlineLvl w:val="2"/>
    </w:pPr>
    <w:rPr>
      <w:sz w:val="28"/>
      <w:szCs w:val="28"/>
    </w:rPr>
  </w:style>
  <w:style w:type="paragraph" w:styleId="1023">
    <w:name w:val="Heading 4"/>
    <w:basedOn w:val="1019"/>
    <w:next w:val="1019"/>
    <w:link w:val="1030"/>
    <w:qFormat/>
    <w:pPr>
      <w:keepNext w:val="true"/>
      <w:pBdr/>
      <w:spacing/>
      <w:ind/>
      <w:jc w:val="center"/>
      <w:outlineLvl w:val="3"/>
    </w:pPr>
    <w:rPr>
      <w:b/>
      <w:bCs/>
    </w:rPr>
  </w:style>
  <w:style w:type="character" w:styleId="1024" w:default="1">
    <w:name w:val="Default Paragraph Font"/>
    <w:uiPriority w:val="1"/>
    <w:semiHidden/>
    <w:unhideWhenUsed/>
    <w:pPr>
      <w:pBdr/>
      <w:spacing/>
      <w:ind/>
    </w:pPr>
  </w:style>
  <w:style w:type="table" w:styleId="10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6" w:default="1">
    <w:name w:val="No List"/>
    <w:uiPriority w:val="99"/>
    <w:semiHidden/>
    <w:unhideWhenUsed/>
    <w:pPr>
      <w:pBdr/>
      <w:spacing/>
      <w:ind/>
    </w:pPr>
  </w:style>
  <w:style w:type="character" w:styleId="1027" w:customStyle="1">
    <w:name w:val="Heading 1 Char"/>
    <w:basedOn w:val="1024"/>
    <w:link w:val="1020"/>
    <w:pPr>
      <w:pBdr/>
      <w:spacing/>
      <w:ind/>
    </w:pPr>
    <w:rPr>
      <w:rFonts w:ascii="Times New Roman" w:hAnsi="Times New Roman" w:eastAsia="Times New Roman" w:cs="Times New Roman"/>
      <w:b/>
      <w:bCs/>
      <w:sz w:val="27"/>
      <w:szCs w:val="27"/>
    </w:rPr>
  </w:style>
  <w:style w:type="character" w:styleId="1028" w:customStyle="1">
    <w:name w:val="Heading 2 Char"/>
    <w:basedOn w:val="1024"/>
    <w:link w:val="1021"/>
    <w:uiPriority w:val="9"/>
    <w:pPr>
      <w:pBdr/>
      <w:spacing/>
      <w:ind/>
    </w:pPr>
    <w:rPr>
      <w:rFonts w:asciiTheme="majorHAnsi" w:hAnsiTheme="majorHAnsi" w:eastAsiaTheme="majorEastAsia" w:cstheme="majorBidi"/>
      <w:color w:val="365f91" w:themeColor="accent1" w:themeShade="BF"/>
      <w:sz w:val="26"/>
      <w:szCs w:val="26"/>
    </w:rPr>
  </w:style>
  <w:style w:type="character" w:styleId="1029" w:customStyle="1">
    <w:name w:val="Heading 3 Char"/>
    <w:basedOn w:val="1024"/>
    <w:link w:val="1022"/>
    <w:pPr>
      <w:pBdr/>
      <w:spacing/>
      <w:ind/>
    </w:pPr>
    <w:rPr>
      <w:rFonts w:ascii="Times New Roman" w:hAnsi="Times New Roman" w:eastAsia="Times New Roman" w:cs="Times New Roman"/>
      <w:sz w:val="28"/>
      <w:szCs w:val="28"/>
    </w:rPr>
  </w:style>
  <w:style w:type="character" w:styleId="1030" w:customStyle="1">
    <w:name w:val="Heading 4 Char"/>
    <w:basedOn w:val="1024"/>
    <w:link w:val="1023"/>
    <w:pPr>
      <w:pBdr/>
      <w:spacing/>
      <w:ind/>
    </w:pPr>
    <w:rPr>
      <w:rFonts w:ascii="Times New Roman" w:hAnsi="Times New Roman" w:eastAsia="Times New Roman" w:cs="Times New Roman"/>
      <w:b/>
      <w:bCs/>
      <w:sz w:val="24"/>
      <w:szCs w:val="24"/>
    </w:rPr>
  </w:style>
  <w:style w:type="character" w:styleId="1031">
    <w:name w:val="Hyperlink"/>
    <w:uiPriority w:val="99"/>
    <w:pPr>
      <w:pBdr/>
      <w:spacing/>
      <w:ind/>
    </w:pPr>
    <w:rPr>
      <w:color w:val="000000"/>
      <w:u w:val="single"/>
    </w:rPr>
  </w:style>
  <w:style w:type="character" w:styleId="1032">
    <w:name w:val="Strong"/>
    <w:uiPriority w:val="22"/>
    <w:qFormat/>
    <w:pPr>
      <w:pBdr/>
      <w:spacing/>
      <w:ind/>
    </w:pPr>
    <w:rPr>
      <w:b/>
      <w:bCs/>
    </w:rPr>
  </w:style>
  <w:style w:type="paragraph" w:styleId="1033">
    <w:name w:val="Balloon Text"/>
    <w:basedOn w:val="1019"/>
    <w:link w:val="1034"/>
    <w:uiPriority w:val="99"/>
    <w:semiHidden/>
    <w:unhideWhenUsed/>
    <w:pPr>
      <w:pBdr/>
      <w:spacing/>
      <w:ind/>
    </w:pPr>
    <w:rPr>
      <w:rFonts w:ascii="Tahoma" w:hAnsi="Tahoma" w:cs="Tahoma"/>
      <w:sz w:val="16"/>
      <w:szCs w:val="16"/>
    </w:rPr>
  </w:style>
  <w:style w:type="character" w:styleId="1034" w:customStyle="1">
    <w:name w:val="Balloon Text Char"/>
    <w:basedOn w:val="1024"/>
    <w:link w:val="1033"/>
    <w:uiPriority w:val="99"/>
    <w:semiHidden/>
    <w:pPr>
      <w:pBdr/>
      <w:spacing/>
      <w:ind/>
    </w:pPr>
    <w:rPr>
      <w:rFonts w:ascii="Tahoma" w:hAnsi="Tahoma" w:eastAsia="Times New Roman" w:cs="Tahoma"/>
      <w:sz w:val="16"/>
      <w:szCs w:val="16"/>
    </w:rPr>
  </w:style>
  <w:style w:type="paragraph" w:styleId="1035">
    <w:name w:val="Header"/>
    <w:basedOn w:val="1019"/>
    <w:link w:val="1036"/>
    <w:unhideWhenUsed/>
    <w:pPr>
      <w:pBdr/>
      <w:tabs>
        <w:tab w:val="center" w:leader="none" w:pos="4680"/>
        <w:tab w:val="right" w:leader="none" w:pos="9360"/>
      </w:tabs>
      <w:spacing/>
      <w:ind/>
    </w:pPr>
  </w:style>
  <w:style w:type="character" w:styleId="1036" w:customStyle="1">
    <w:name w:val="Header Char"/>
    <w:basedOn w:val="1024"/>
    <w:link w:val="1035"/>
    <w:pPr>
      <w:pBdr/>
      <w:spacing/>
      <w:ind/>
    </w:pPr>
    <w:rPr>
      <w:rFonts w:ascii="Times New Roman" w:hAnsi="Times New Roman" w:eastAsia="Times New Roman" w:cs="Times New Roman"/>
      <w:sz w:val="24"/>
      <w:szCs w:val="24"/>
    </w:rPr>
  </w:style>
  <w:style w:type="paragraph" w:styleId="1037">
    <w:name w:val="Footer"/>
    <w:basedOn w:val="1019"/>
    <w:link w:val="1038"/>
    <w:uiPriority w:val="99"/>
    <w:unhideWhenUsed/>
    <w:pPr>
      <w:pBdr/>
      <w:tabs>
        <w:tab w:val="center" w:leader="none" w:pos="4680"/>
        <w:tab w:val="right" w:leader="none" w:pos="9360"/>
      </w:tabs>
      <w:spacing/>
      <w:ind/>
    </w:pPr>
  </w:style>
  <w:style w:type="character" w:styleId="1038" w:customStyle="1">
    <w:name w:val="Footer Char"/>
    <w:basedOn w:val="1024"/>
    <w:link w:val="1037"/>
    <w:uiPriority w:val="99"/>
    <w:pPr>
      <w:pBdr/>
      <w:spacing/>
      <w:ind/>
    </w:pPr>
    <w:rPr>
      <w:rFonts w:ascii="Times New Roman" w:hAnsi="Times New Roman" w:eastAsia="Times New Roman" w:cs="Times New Roman"/>
      <w:sz w:val="24"/>
      <w:szCs w:val="24"/>
    </w:rPr>
  </w:style>
  <w:style w:type="character" w:styleId="1039" w:customStyle="1">
    <w:name w:val="normal-h1"/>
    <w:pPr>
      <w:pBdr/>
      <w:spacing/>
      <w:ind/>
    </w:pPr>
    <w:rPr>
      <w:rFonts w:hint="default" w:ascii=".VnTime" w:hAnsi=".VnTime"/>
      <w:color w:val="0000ff"/>
      <w:sz w:val="24"/>
      <w:szCs w:val="24"/>
    </w:rPr>
  </w:style>
  <w:style w:type="paragraph" w:styleId="1040" w:customStyle="1">
    <w:name w:val="normal-p"/>
    <w:basedOn w:val="1019"/>
    <w:pPr>
      <w:pBdr/>
      <w:spacing/>
      <w:ind/>
      <w:jc w:val="both"/>
    </w:pPr>
    <w:rPr>
      <w:sz w:val="20"/>
      <w:szCs w:val="20"/>
    </w:rPr>
  </w:style>
  <w:style w:type="paragraph" w:styleId="1041">
    <w:name w:val="List Paragraph"/>
    <w:basedOn w:val="1019"/>
    <w:link w:val="1128"/>
    <w:uiPriority w:val="34"/>
    <w:qFormat/>
    <w:pPr>
      <w:pBdr/>
      <w:spacing/>
      <w:ind w:left="720"/>
    </w:pPr>
  </w:style>
  <w:style w:type="paragraph" w:styleId="1042">
    <w:name w:val="Normal (Web)"/>
    <w:basedOn w:val="1019"/>
    <w:uiPriority w:val="99"/>
    <w:pPr>
      <w:pBdr/>
      <w:spacing w:after="100" w:afterAutospacing="1" w:before="100" w:beforeAutospacing="1"/>
      <w:ind/>
    </w:pPr>
  </w:style>
  <w:style w:type="paragraph" w:styleId="1043">
    <w:name w:val="Body Text"/>
    <w:basedOn w:val="1019"/>
    <w:link w:val="1044"/>
    <w:pPr>
      <w:pBdr/>
      <w:spacing w:after="120"/>
      <w:ind/>
      <w:jc w:val="both"/>
    </w:pPr>
  </w:style>
  <w:style w:type="character" w:styleId="1044" w:customStyle="1">
    <w:name w:val="Body Text Char"/>
    <w:basedOn w:val="1024"/>
    <w:link w:val="1043"/>
    <w:pPr>
      <w:pBdr/>
      <w:spacing/>
      <w:ind/>
    </w:pPr>
    <w:rPr>
      <w:rFonts w:ascii="Times New Roman" w:hAnsi="Times New Roman" w:eastAsia="Times New Roman" w:cs="Times New Roman"/>
      <w:sz w:val="24"/>
      <w:szCs w:val="24"/>
    </w:rPr>
  </w:style>
  <w:style w:type="table" w:styleId="1045">
    <w:name w:val="Table Grid"/>
    <w:basedOn w:val="10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7">
    <w:name w:val="annotation reference"/>
    <w:basedOn w:val="1024"/>
    <w:uiPriority w:val="99"/>
    <w:semiHidden/>
    <w:unhideWhenUsed/>
    <w:pPr>
      <w:pBdr/>
      <w:spacing/>
      <w:ind/>
    </w:pPr>
    <w:rPr>
      <w:sz w:val="16"/>
      <w:szCs w:val="16"/>
    </w:rPr>
  </w:style>
  <w:style w:type="paragraph" w:styleId="1048">
    <w:name w:val="annotation text"/>
    <w:basedOn w:val="1019"/>
    <w:link w:val="1049"/>
    <w:uiPriority w:val="99"/>
    <w:unhideWhenUsed/>
    <w:pPr>
      <w:pBdr/>
      <w:spacing/>
      <w:ind/>
    </w:pPr>
    <w:rPr>
      <w:sz w:val="20"/>
      <w:szCs w:val="20"/>
    </w:rPr>
  </w:style>
  <w:style w:type="character" w:styleId="1049" w:customStyle="1">
    <w:name w:val="Comment Text Char"/>
    <w:basedOn w:val="1024"/>
    <w:link w:val="1048"/>
    <w:uiPriority w:val="99"/>
    <w:pPr>
      <w:pBdr/>
      <w:spacing/>
      <w:ind/>
    </w:pPr>
    <w:rPr>
      <w:rFonts w:ascii="Times New Roman" w:hAnsi="Times New Roman" w:eastAsia="Times New Roman" w:cs="Times New Roman"/>
      <w:sz w:val="20"/>
      <w:szCs w:val="20"/>
    </w:rPr>
  </w:style>
  <w:style w:type="paragraph" w:styleId="1050">
    <w:name w:val="annotation subject"/>
    <w:basedOn w:val="1048"/>
    <w:next w:val="1048"/>
    <w:link w:val="1051"/>
    <w:uiPriority w:val="99"/>
    <w:semiHidden/>
    <w:unhideWhenUsed/>
    <w:pPr>
      <w:pBdr/>
      <w:spacing/>
      <w:ind/>
    </w:pPr>
    <w:rPr>
      <w:b/>
      <w:bCs/>
    </w:rPr>
  </w:style>
  <w:style w:type="character" w:styleId="1051" w:customStyle="1">
    <w:name w:val="Comment Subject Char"/>
    <w:basedOn w:val="1049"/>
    <w:link w:val="1050"/>
    <w:uiPriority w:val="99"/>
    <w:semiHidden/>
    <w:pPr>
      <w:pBdr/>
      <w:spacing/>
      <w:ind/>
    </w:pPr>
    <w:rPr>
      <w:rFonts w:ascii="Times New Roman" w:hAnsi="Times New Roman" w:eastAsia="Times New Roman" w:cs="Times New Roman"/>
      <w:b/>
      <w:bCs/>
      <w:sz w:val="20"/>
      <w:szCs w:val="20"/>
    </w:rPr>
  </w:style>
  <w:style w:type="paragraph" w:styleId="1052" w:customStyle="1">
    <w:name w:val="font5"/>
    <w:basedOn w:val="1019"/>
    <w:pPr>
      <w:pBdr/>
      <w:spacing w:after="100" w:afterAutospacing="1" w:before="100" w:beforeAutospacing="1"/>
      <w:ind/>
    </w:pPr>
    <w:rPr>
      <w:rFonts w:ascii="Tahoma" w:hAnsi="Tahoma" w:cs="Tahoma"/>
      <w:color w:val="000000"/>
      <w:sz w:val="18"/>
      <w:szCs w:val="18"/>
    </w:rPr>
  </w:style>
  <w:style w:type="paragraph" w:styleId="1053" w:customStyle="1">
    <w:name w:val="font6"/>
    <w:basedOn w:val="1019"/>
    <w:pPr>
      <w:pBdr/>
      <w:spacing w:after="100" w:afterAutospacing="1" w:before="100" w:beforeAutospacing="1"/>
      <w:ind/>
    </w:pPr>
    <w:rPr>
      <w:rFonts w:ascii="Tahoma" w:hAnsi="Tahoma" w:cs="Tahoma"/>
      <w:b/>
      <w:bCs/>
      <w:color w:val="000000"/>
      <w:sz w:val="18"/>
      <w:szCs w:val="18"/>
    </w:rPr>
  </w:style>
  <w:style w:type="paragraph" w:styleId="1054" w:customStyle="1">
    <w:name w:val="xl23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34"/>
    <w:basedOn w:val="1019"/>
    <w:pPr>
      <w:pBdr/>
      <w:spacing w:after="100" w:afterAutospacing="1" w:before="100" w:beforeAutospacing="1"/>
      <w:ind/>
      <w:jc w:val="center"/>
    </w:pPr>
  </w:style>
  <w:style w:type="paragraph" w:styleId="1056" w:customStyle="1">
    <w:name w:val="xl235"/>
    <w:basedOn w:val="1019"/>
    <w:pPr>
      <w:pBdr/>
      <w:spacing w:after="100" w:afterAutospacing="1" w:before="100" w:beforeAutospacing="1"/>
      <w:ind/>
      <w:jc w:val="center"/>
    </w:pPr>
    <w:rPr>
      <w:b/>
      <w:bCs/>
    </w:rPr>
  </w:style>
  <w:style w:type="paragraph" w:styleId="1057" w:customStyle="1">
    <w:name w:val="xl236"/>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3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38"/>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3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1" w:customStyle="1">
    <w:name w:val="xl240"/>
    <w:basedOn w:val="1019"/>
    <w:pPr>
      <w:pBdr/>
      <w:spacing w:after="100" w:afterAutospacing="1" w:before="100" w:beforeAutospacing="1"/>
      <w:ind/>
    </w:pPr>
  </w:style>
  <w:style w:type="paragraph" w:styleId="1062" w:customStyle="1">
    <w:name w:val="xl241"/>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42"/>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3"/>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44"/>
    <w:basedOn w:val="1019"/>
    <w:pPr>
      <w:pBdr/>
      <w:spacing w:after="100" w:afterAutospacing="1" w:before="100" w:beforeAutospacing="1"/>
      <w:ind/>
    </w:pPr>
    <w:rPr>
      <w:b/>
      <w:bCs/>
    </w:rPr>
  </w:style>
  <w:style w:type="paragraph" w:styleId="1066" w:customStyle="1">
    <w:name w:val="xl245"/>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4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47"/>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9" w:customStyle="1">
    <w:name w:val="xl24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0" w:customStyle="1">
    <w:name w:val="xl24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5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5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3"/>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4"/>
    <w:basedOn w:val="101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55"/>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5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8"/>
    <w:basedOn w:val="101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0"/>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61"/>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2"/>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3"/>
    <w:basedOn w:val="1019"/>
    <w:pPr>
      <w:pBdr/>
      <w:shd w:val="clear" w:color="000000" w:fill="ffffff"/>
      <w:spacing w:after="100" w:afterAutospacing="1" w:before="100" w:beforeAutospacing="1"/>
      <w:ind/>
    </w:pPr>
  </w:style>
  <w:style w:type="paragraph" w:styleId="1085" w:customStyle="1">
    <w:name w:val="xl264"/>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65"/>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6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8" w:customStyle="1">
    <w:name w:val="xl26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68"/>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9"/>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7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1"/>
    <w:basedOn w:val="101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3" w:customStyle="1">
    <w:name w:val="xl27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73"/>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74"/>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5"/>
    <w:basedOn w:val="1019"/>
    <w:pPr>
      <w:pBdr/>
      <w:spacing w:after="100" w:afterAutospacing="1" w:before="100" w:beforeAutospacing="1"/>
      <w:ind/>
    </w:pPr>
  </w:style>
  <w:style w:type="paragraph" w:styleId="1097" w:customStyle="1">
    <w:name w:val="xl27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77"/>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9" w:customStyle="1">
    <w:name w:val="xl27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7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8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8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4"/>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5"/>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8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7"/>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8"/>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89"/>
    <w:basedOn w:val="1019"/>
    <w:pPr>
      <w:pBdr>
        <w:left w:val="single" w:color="000000" w:sz="4" w:space="0"/>
        <w:right w:val="single" w:color="000000" w:sz="4" w:space="0"/>
      </w:pBdr>
      <w:spacing w:after="100" w:afterAutospacing="1" w:before="100" w:beforeAutospacing="1"/>
      <w:ind/>
    </w:pPr>
    <w:rPr>
      <w:b/>
      <w:bCs/>
    </w:rPr>
  </w:style>
  <w:style w:type="paragraph" w:styleId="1111" w:customStyle="1">
    <w:name w:val="xl29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2" w:customStyle="1">
    <w:name w:val="xl291"/>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3" w:customStyle="1">
    <w:name w:val="xl292"/>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93"/>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94"/>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name w:val="Title"/>
    <w:basedOn w:val="1019"/>
    <w:link w:val="1117"/>
    <w:qFormat/>
    <w:pPr>
      <w:pBdr/>
      <w:spacing/>
      <w:ind/>
      <w:jc w:val="center"/>
    </w:pPr>
    <w:rPr>
      <w:b/>
      <w:bCs/>
      <w:sz w:val="32"/>
      <w:szCs w:val="26"/>
    </w:rPr>
  </w:style>
  <w:style w:type="character" w:styleId="1117" w:customStyle="1">
    <w:name w:val="Title Char"/>
    <w:basedOn w:val="1024"/>
    <w:link w:val="1116"/>
    <w:pPr>
      <w:pBdr/>
      <w:spacing/>
      <w:ind/>
    </w:pPr>
    <w:rPr>
      <w:rFonts w:ascii="Times New Roman" w:hAnsi="Times New Roman" w:eastAsia="Times New Roman" w:cs="Times New Roman"/>
      <w:b/>
      <w:bCs/>
      <w:sz w:val="32"/>
      <w:szCs w:val="26"/>
    </w:rPr>
  </w:style>
  <w:style w:type="character" w:styleId="1118" w:customStyle="1">
    <w:name w:val="Unresolved Mention1"/>
    <w:basedOn w:val="1024"/>
    <w:uiPriority w:val="99"/>
    <w:semiHidden/>
    <w:unhideWhenUsed/>
    <w:pPr>
      <w:pBdr/>
      <w:spacing/>
      <w:ind/>
    </w:pPr>
    <w:rPr>
      <w:color w:val="605e5c"/>
      <w:shd w:val="clear" w:color="auto" w:fill="e1dfdd"/>
    </w:rPr>
  </w:style>
  <w:style w:type="character" w:styleId="1119" w:customStyle="1">
    <w:name w:val="Body text (3)_"/>
    <w:link w:val="1120"/>
    <w:pPr>
      <w:pBdr/>
      <w:spacing/>
      <w:ind/>
    </w:pPr>
    <w:rPr>
      <w:rFonts w:ascii="Times New Roman" w:hAnsi="Times New Roman" w:cs="Times New Roman"/>
      <w:i/>
      <w:iCs/>
      <w:spacing w:val="4"/>
      <w:shd w:val="clear" w:color="auto" w:fill="ffffff"/>
    </w:rPr>
  </w:style>
  <w:style w:type="paragraph" w:styleId="1120" w:customStyle="1">
    <w:name w:val="Body text (3)1"/>
    <w:basedOn w:val="1019"/>
    <w:link w:val="111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1" w:customStyle="1">
    <w:name w:val="t-j"/>
    <w:basedOn w:val="1019"/>
    <w:pPr>
      <w:pBdr/>
      <w:spacing w:after="100" w:afterAutospacing="1" w:before="100" w:beforeAutospacing="1"/>
      <w:ind/>
    </w:pPr>
  </w:style>
  <w:style w:type="character" w:styleId="1122" w:customStyle="1">
    <w:name w:val="Unresolved Mention2"/>
    <w:basedOn w:val="1024"/>
    <w:uiPriority w:val="99"/>
    <w:semiHidden/>
    <w:unhideWhenUsed/>
    <w:pPr>
      <w:pBdr/>
      <w:spacing/>
      <w:ind/>
    </w:pPr>
    <w:rPr>
      <w:color w:val="605e5c"/>
      <w:shd w:val="clear" w:color="auto" w:fill="e1dfdd"/>
    </w:rPr>
  </w:style>
  <w:style w:type="character" w:styleId="1123">
    <w:name w:val="FollowedHyperlink"/>
    <w:basedOn w:val="1024"/>
    <w:uiPriority w:val="99"/>
    <w:semiHidden/>
    <w:unhideWhenUsed/>
    <w:pPr>
      <w:pBdr/>
      <w:spacing/>
      <w:ind/>
    </w:pPr>
    <w:rPr>
      <w:color w:val="800080" w:themeColor="followedHyperlink"/>
      <w:u w:val="single"/>
    </w:rPr>
  </w:style>
  <w:style w:type="character" w:styleId="1124" w:customStyle="1">
    <w:name w:val="text"/>
    <w:basedOn w:val="1024"/>
    <w:pPr>
      <w:pBdr/>
      <w:spacing/>
      <w:ind/>
    </w:pPr>
  </w:style>
  <w:style w:type="character" w:styleId="1125" w:customStyle="1">
    <w:name w:val="card-send-time__sendtime"/>
    <w:basedOn w:val="1024"/>
    <w:pPr>
      <w:pBdr/>
      <w:spacing/>
      <w:ind/>
    </w:pPr>
  </w:style>
  <w:style w:type="character" w:styleId="1126" w:customStyle="1">
    <w:name w:val="Đề cập Chưa giải quyết1"/>
    <w:basedOn w:val="1024"/>
    <w:uiPriority w:val="99"/>
    <w:semiHidden/>
    <w:unhideWhenUsed/>
    <w:pPr>
      <w:pBdr/>
      <w:spacing/>
      <w:ind/>
    </w:pPr>
    <w:rPr>
      <w:color w:val="605e5c"/>
      <w:shd w:val="clear" w:color="auto" w:fill="e1dfdd"/>
    </w:rPr>
  </w:style>
  <w:style w:type="paragraph" w:styleId="1127" w:customStyle="1">
    <w:name w:val="nqtitle"/>
    <w:basedOn w:val="1019"/>
    <w:pPr>
      <w:pBdr/>
      <w:spacing w:after="100" w:afterAutospacing="1" w:before="100" w:beforeAutospacing="1"/>
      <w:ind/>
    </w:pPr>
    <w:rPr>
      <w:lang w:val="vi-VN" w:eastAsia="vi-VN"/>
    </w:rPr>
  </w:style>
  <w:style w:type="character" w:styleId="1128" w:customStyle="1">
    <w:name w:val="List Paragraph Char"/>
    <w:link w:val="1041"/>
    <w:uiPriority w:val="34"/>
    <w:qFormat/>
    <w:pPr>
      <w:pBdr/>
      <w:spacing/>
      <w:ind/>
    </w:pPr>
    <w:rPr>
      <w:rFonts w:ascii="Times New Roman" w:hAnsi="Times New Roman" w:eastAsia="Times New Roman" w:cs="Times New Roman"/>
      <w:sz w:val="24"/>
      <w:szCs w:val="24"/>
    </w:rPr>
  </w:style>
  <w:style w:type="character" w:styleId="1129" w:customStyle="1">
    <w:name w:val="Đề cập Chưa giải quyết2"/>
    <w:basedOn w:val="1024"/>
    <w:uiPriority w:val="99"/>
    <w:semiHidden/>
    <w:unhideWhenUsed/>
    <w:pPr>
      <w:pBdr/>
      <w:spacing/>
      <w:ind/>
    </w:pPr>
    <w:rPr>
      <w:color w:val="605e5c"/>
      <w:shd w:val="clear" w:color="auto" w:fill="e1dfdd"/>
    </w:rPr>
  </w:style>
  <w:style w:type="character" w:styleId="1130" w:customStyle="1">
    <w:name w:val="Unresolved Mention3"/>
    <w:basedOn w:val="1024"/>
    <w:uiPriority w:val="99"/>
    <w:semiHidden/>
    <w:unhideWhenUsed/>
    <w:pPr>
      <w:pBdr/>
      <w:spacing/>
      <w:ind/>
    </w:pPr>
    <w:rPr>
      <w:color w:val="605e5c"/>
      <w:shd w:val="clear" w:color="auto" w:fill="e1dfdd"/>
    </w:rPr>
  </w:style>
  <w:style w:type="character" w:styleId="1131" w:customStyle="1">
    <w:name w:val="copy"/>
    <w:basedOn w:val="1024"/>
    <w:pPr>
      <w:pBdr/>
      <w:spacing/>
      <w:ind/>
    </w:pPr>
  </w:style>
  <w:style w:type="paragraph" w:styleId="1132" w:customStyle="1">
    <w:name w:val="align-justify"/>
    <w:basedOn w:val="1019"/>
    <w:pPr>
      <w:pBdr/>
      <w:spacing w:after="100" w:afterAutospacing="1" w:before="100" w:beforeAutospacing="1"/>
      <w:ind/>
    </w:pPr>
  </w:style>
  <w:style w:type="character" w:styleId="1133" w:customStyle="1">
    <w:name w:val="btn"/>
    <w:basedOn w:val="1024"/>
    <w:pPr>
      <w:pBdr/>
      <w:spacing/>
      <w:ind/>
    </w:pPr>
  </w:style>
  <w:style w:type="character" w:styleId="1134" w:customStyle="1">
    <w:name w:val="hide_mobile"/>
    <w:basedOn w:val="1024"/>
    <w:pPr>
      <w:pBdr/>
      <w:spacing/>
      <w:ind/>
    </w:pPr>
  </w:style>
  <w:style w:type="character" w:styleId="1135">
    <w:name w:val="Emphasis"/>
    <w:basedOn w:val="1024"/>
    <w:uiPriority w:val="20"/>
    <w:qFormat/>
    <w:pPr>
      <w:pBdr/>
      <w:spacing/>
      <w:ind/>
    </w:pPr>
    <w:rPr>
      <w:i/>
      <w:iCs/>
    </w:rPr>
  </w:style>
  <w:style w:type="character" w:styleId="1136" w:customStyle="1">
    <w:name w:val="t1"/>
    <w:basedOn w:val="1024"/>
    <w:pPr>
      <w:pBdr/>
      <w:spacing/>
      <w:ind/>
    </w:pPr>
  </w:style>
  <w:style w:type="character" w:styleId="1137" w:customStyle="1">
    <w:name w:val="Unresolved Mention4"/>
    <w:basedOn w:val="1024"/>
    <w:uiPriority w:val="99"/>
    <w:semiHidden/>
    <w:unhideWhenUsed/>
    <w:pPr>
      <w:pBdr/>
      <w:spacing/>
      <w:ind/>
    </w:pPr>
    <w:rPr>
      <w:color w:val="605e5c"/>
      <w:shd w:val="clear" w:color="auto" w:fill="e1dfdd"/>
    </w:rPr>
  </w:style>
  <w:style w:type="character" w:styleId="1138">
    <w:name w:val="Unresolved Mention"/>
    <w:basedOn w:val="10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jpg"/><Relationship Id="rId43" Type="http://schemas.openxmlformats.org/officeDocument/2006/relationships/image" Target="media/image28.jpg"/><Relationship Id="rId44" Type="http://schemas.openxmlformats.org/officeDocument/2006/relationships/image" Target="media/image29.jpg"/><Relationship Id="rId45" Type="http://schemas.openxmlformats.org/officeDocument/2006/relationships/image" Target="media/image30.jpg"/><Relationship Id="rId46" Type="http://schemas.openxmlformats.org/officeDocument/2006/relationships/image" Target="media/image31.jpg"/><Relationship Id="rId47" Type="http://schemas.openxmlformats.org/officeDocument/2006/relationships/image" Target="media/image32.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283</cp:revision>
  <dcterms:created xsi:type="dcterms:W3CDTF">2025-09-15T09:58:00Z</dcterms:created>
  <dcterms:modified xsi:type="dcterms:W3CDTF">2026-09-08T07:48:14Z</dcterms:modified>
</cp:coreProperties>
</file>