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8397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8397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275/2026/1405/VFI-CT.39.A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NGUYỄN DUY HƯNG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tài sản gắn liền với đất tại thửa đất số: TT9-A26(10), tờ bản đồ số 00 có địa chỉ: Khu đô thị Văn Quán - Yên Phúc, phường Văn Quán, quận Hà Đông, thành phố Hà Nội (Nay là Phường Hà Đông, thành phố Hà Nội) theo Giấy c</w:t>
                            </w:r>
                            <w:r>
                              <w:rPr>
                                <w:color w:val="000000"/>
                              </w:rPr>
                              <w:t xml:space="preserve">hứng nhận quyền sử dụng đất quyền sở hữu nhà ở và tài sản khác gắn liền với đất số: BB 466935, số vào sổ cấp GCN: CS-HĐO 02339 do Sở Tài nguyên và Môi trường Thành phố Hà Nội cấp ngày 03/12/2015; Chủ sử dụng đất là Ông Nguyễn Duy Hưng và Bà Nguyễn Thị Hồng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02.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275/2026/1405/VFI-CT.39.A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NGUYỄN DUY HƯNG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tài sản gắn liền với đất tại thửa đất số: TT9-A26(10), tờ bản đồ số 00 có địa chỉ: Khu đô thị Văn Quán - Yên Phúc, phường Văn Quán, quận Hà Đông, thành phố Hà Nội (Nay là Phường Hà Đông, thành phố Hà Nội) theo Giấy c</w:t>
                      </w:r>
                      <w:r>
                        <w:rPr>
                          <w:color w:val="000000"/>
                        </w:rPr>
                        <w:t xml:space="preserve">hứng nhận quyền sử dụng đất quyền sở hữu nhà ở và tài sản khác gắn liền với đất số: BB 466935, số vào sổ cấp GCN: CS-HĐO 02339 do Sở Tài nguyên và Môi trường Thành phố Hà Nội cấp ngày 03/12/2015; Chủ sử dụng đất là Ông Nguyễn Duy Hưng và Bà Nguyễn Thị Hồng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8"/>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8"/>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7"/>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8"/>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7"/>
              <w:pBdr/>
              <w:spacing w:after="60"/>
              <w:ind/>
              <w:rPr>
                <w:bCs/>
                <w:i/>
                <w:color w:val="000000" w:themeColor="text1"/>
                <w:sz w:val="24"/>
                <w:szCs w:val="24"/>
              </w:rPr>
            </w:pPr>
            <w:r>
              <w:rPr>
                <w:rStyle w:val="1026"/>
                <w:rFonts w:ascii="Times New Roman" w:hAnsi="Times New Roman"/>
                <w:i/>
                <w:iCs/>
                <w:color w:val="000000" w:themeColor="text1"/>
                <w:lang w:val="pt-BR"/>
              </w:rPr>
              <w:t xml:space="preserve">Số: </w:t>
            </w:r>
            <w:r>
              <w:rPr>
                <w:rStyle w:val="1026"/>
                <w:rFonts w:ascii="Times New Roman" w:hAnsi="Times New Roman"/>
                <w:i/>
                <w:iCs/>
                <w:color w:val="000000" w:themeColor="text1"/>
                <w:lang w:val="pt-BR"/>
              </w:rPr>
              <w:t xml:space="preserve">275/2026/1405/VFI-CT.39.A</w:t>
            </w:r>
            <w:r>
              <w:rPr>
                <w:i/>
                <w:iCs/>
                <w:color w:val="000000" w:themeColor="text1"/>
                <w:sz w:val="24"/>
                <w:szCs w:val="24"/>
              </w:rPr>
            </w:r>
            <w:r>
              <w:rPr>
                <w:bCs/>
                <w:i/>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7"/>
              <w:pBdr/>
              <w:spacing w:after="60"/>
              <w:ind w:right="-56"/>
              <w:jc w:val="right"/>
              <w:rPr>
                <w:color w:val="000000" w:themeColor="text1"/>
                <w:sz w:val="24"/>
                <w:szCs w:val="24"/>
                <w:lang w:val="vi-VN"/>
              </w:rPr>
            </w:pPr>
            <w:r>
              <w:rPr>
                <w:rStyle w:val="1026"/>
                <w:rFonts w:ascii="Times New Roman" w:hAnsi="Times New Roman"/>
                <w:i/>
                <w:color w:val="auto"/>
              </w:rPr>
              <w:t xml:space="preserve">TP. Hà Nội</w:t>
            </w:r>
            <w:r>
              <w:rPr>
                <w:rStyle w:val="1026"/>
                <w:rFonts w:ascii="Times New Roman" w:hAnsi="Times New Roman"/>
                <w:i/>
                <w:color w:val="auto"/>
                <w:lang w:val="vi-VN"/>
              </w:rPr>
              <w:t xml:space="preserve">, </w:t>
            </w:r>
            <w:r>
              <w:rPr>
                <w:rStyle w:val="1026"/>
                <w:rFonts w:ascii="Times New Roman" w:hAnsi="Times New Roman"/>
                <w:i/>
                <w:color w:val="000000" w:themeColor="text1"/>
                <w:lang w:val="vi-VN"/>
              </w:rPr>
              <w:t xml:space="preserve">ngày 9 tháng 9 năm 2026</w:t>
            </w:r>
            <w:r>
              <w:rPr>
                <w:color w:val="000000" w:themeColor="text1"/>
                <w:sz w:val="24"/>
                <w:szCs w:val="24"/>
                <w:lang w:val="vi-VN"/>
              </w:rPr>
            </w:r>
            <w:r>
              <w:rPr>
                <w:color w:val="000000" w:themeColor="text1"/>
                <w:sz w:val="24"/>
                <w:szCs w:val="24"/>
                <w:lang w:val="vi-VN"/>
              </w:rPr>
            </w:r>
          </w:p>
        </w:tc>
      </w:tr>
    </w:tbl>
    <w:p>
      <w:pPr>
        <w:pStyle w:val="1027"/>
        <w:pBdr/>
        <w:spacing w:after="120" w:before="200" w:line="288" w:lineRule="auto"/>
        <w:ind/>
        <w:jc w:val="center"/>
        <w:rPr>
          <w:rStyle w:val="1026"/>
          <w:rFonts w:ascii="Times New Roman" w:hAnsi="Times New Roman"/>
          <w:b/>
          <w:bCs/>
          <w:color w:val="auto"/>
          <w:sz w:val="30"/>
          <w:szCs w:val="30"/>
          <w:lang w:val="vi-VN"/>
        </w:rPr>
      </w:pPr>
      <w:r>
        <w:rPr>
          <w:rStyle w:val="1026"/>
          <w:rFonts w:ascii="Times New Roman" w:hAnsi="Times New Roman"/>
          <w:b/>
          <w:bCs/>
          <w:color w:val="auto"/>
          <w:sz w:val="30"/>
          <w:szCs w:val="30"/>
          <w:lang w:val="vi-VN"/>
        </w:rPr>
        <w:t xml:space="preserve">CHỨNG THƯ THẨM ĐỊNH GIÁ</w:t>
      </w:r>
      <w:r>
        <w:rPr>
          <w:rStyle w:val="1026"/>
          <w:rFonts w:ascii="Times New Roman" w:hAnsi="Times New Roman"/>
          <w:b/>
          <w:bCs/>
          <w:color w:val="auto"/>
          <w:sz w:val="30"/>
          <w:szCs w:val="30"/>
          <w:lang w:val="vi-VN"/>
        </w:rPr>
      </w:r>
      <w:r>
        <w:rPr>
          <w:rStyle w:val="1026"/>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NGUYỄN DUY HƯNG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275/2026/1405/VFI-HĐTĐ.39.A</w:t>
      </w:r>
      <w:r>
        <w:rPr>
          <w:spacing w:val="-4"/>
          <w:lang w:val="vi-VN"/>
        </w:rPr>
        <w:t xml:space="preserve"> ký ngày </w:t>
      </w:r>
      <w:r>
        <w:rPr>
          <w:color w:val="000000" w:themeColor="text1"/>
          <w:spacing w:val="-4"/>
        </w:rPr>
        <w:t xml:space="preserve">07 tháng 9 năm 2026</w:t>
      </w:r>
      <w:r>
        <w:rPr>
          <w:spacing w:val="-4"/>
          <w:lang w:val="vi-VN"/>
        </w:rPr>
        <w:t xml:space="preserve"> </w:t>
      </w:r>
      <w:r>
        <w:rPr>
          <w:spacing w:val="-4"/>
          <w:lang w:val="vi-VN"/>
        </w:rPr>
        <w:t xml:space="preserve">giữa </w:t>
      </w:r>
      <w:r>
        <w:rPr>
          <w:color w:val="000000" w:themeColor="text1"/>
          <w:spacing w:val="-4"/>
        </w:rPr>
        <w:t xml:space="preserve">Nguyễn Duy Hưng</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275/2026/1405/VFI-BC.39.A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9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NGUYỄN DUY HƯNG</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001069021276</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1969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Khu đô thị Văn Quán, phường Hà Đông,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và tài sản gắn liền với đất tại thửa đất số: TT9-A26(10), tờ bản đồ số 00 có địa chỉ: Khu đô thị Văn Quán - Yên Phúc, phường Văn Quán, quận Hà Đông, thành phố Hà Nội (Nay là Phường Hà Đông, thành phố Hà Nội) theo Giấy c</w:t>
      </w:r>
      <w:r>
        <w:rPr>
          <w:color w:val="000000" w:themeColor="text1"/>
        </w:rPr>
        <w:t xml:space="preserve">hứng nhận quyền sử dụng đất quyền sở hữu nhà ở và tài sản khác gắn liền với đất số: BB 466935, số vào sổ cấp GCN: CS-HĐO 02339 do Sở Tài nguyên và Môi trường Thành phố Hà Nội cấp ngày 03/12/2015; Chủ sử dụng đất là Ông Nguyễn Duy Hưng và Bà Nguyễn Thị Hồng</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37"/>
        <w:gridCol w:w="2241"/>
        <w:gridCol w:w="1802"/>
        <w:gridCol w:w="2902"/>
        <w:gridCol w:w="1843"/>
      </w:tblGrid>
      <w:tr>
        <w:trPr>
          <w:trHeight w:val="20"/>
        </w:trPr>
        <w:tc>
          <w:tcPr>
            <w:shd w:val="clear" w:color="000000" w:fill="ffffff"/>
            <w:tcBorders/>
            <w:tcW w:w="737"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41"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902"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843"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945" w:type="dxa"/>
            <w:vAlign w:val="center"/>
            <w:textDirection w:val="lrTb"/>
            <w:noWrap w:val="false"/>
          </w:tcPr>
          <w:p>
            <w:pPr>
              <w:pBdr/>
              <w:spacing w:after="40" w:before="40" w:line="288" w:lineRule="auto"/>
              <w:ind/>
              <w:jc w:val="both"/>
              <w:rPr>
                <w:b/>
                <w:bCs/>
              </w:rPr>
            </w:pPr>
            <w:r>
              <w:rPr>
                <w:color w:val="000000"/>
              </w:rPr>
              <w:t xml:space="preserve">Quyền sử dụng đất và tài sản gắn liền với đất tại thửa đất số: TT9-A26(10), tờ bản đồ số 00 có địa chỉ: Khu đô thị Văn Quán - Yên Phúc, phường Văn Quán, quận Hà Đông, thành phố Hà Nội (Nay là Phường Hà Đông, thành phố Hà Nội) theo Giấy c</w:t>
            </w:r>
            <w:r>
              <w:rPr>
                <w:color w:val="000000"/>
              </w:rPr>
              <w:t xml:space="preserve">hứng nhận quyền sử dụng đất quyền sở hữu nhà ở và tài sản khác gắn liền với đất số: BB 466935, số vào sổ cấp GCN: CS-HĐO 02339 do Sở Tài nguyên và Môi trường Thành phố Hà Nội cấp ngày 03/12/2015; Chủ sử dụng đất là Ông Nguyễn Duy Hưng và Bà Nguyễn Thị Hồng</w:t>
            </w:r>
            <w:r>
              <w:rPr>
                <w:b/>
                <w:bCs/>
              </w:rPr>
              <w:t xml:space="preserve">.</w:t>
            </w:r>
            <w:r>
              <w:rPr>
                <w:b/>
                <w:bCs/>
              </w:rPr>
            </w:r>
            <w:r>
              <w:rPr>
                <w:b/>
                <w:bCs/>
              </w:rPr>
            </w:r>
          </w:p>
        </w:tc>
        <w:tc>
          <w:tcPr>
            <w:shd w:val="clear" w:color="000000" w:fill="ffffff"/>
            <w:tcBorders/>
            <w:tcW w:w="1843"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2241" w:type="dxa"/>
            <w:vAlign w:val="center"/>
            <w:textDirection w:val="lrTb"/>
            <w:noWrap w:val="false"/>
          </w:tcPr>
          <w:p>
            <w:pPr>
              <w:pBdr/>
              <w:spacing w:after="40" w:before="40" w:line="288" w:lineRule="auto"/>
              <w:ind/>
              <w:rPr/>
            </w:pPr>
            <w:r>
              <w:rPr>
                <w:b/>
                <w:bCs/>
              </w:rPr>
              <w:t xml:space="preserve">Quyền sử dụng đất</w:t>
            </w: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81,4</w:t>
            </w:r>
            <w:r>
              <w:rPr>
                <w:color w:val="000000"/>
              </w:rPr>
            </w:r>
            <w:r>
              <w:rPr>
                <w:color w:val="000000"/>
              </w:rPr>
            </w:r>
          </w:p>
        </w:tc>
        <w:tc>
          <w:tcPr>
            <w:shd w:val="clear" w:color="000000" w:fill="ffffff"/>
            <w:tcBorders/>
            <w:tcW w:w="2902" w:type="dxa"/>
            <w:vAlign w:val="center"/>
            <w:textDirection w:val="lrTb"/>
            <w:noWrap w:val="false"/>
          </w:tcPr>
          <w:p>
            <w:pPr>
              <w:pBdr/>
              <w:spacing w:after="40" w:before="40" w:line="288" w:lineRule="auto"/>
              <w:ind/>
              <w:jc w:val="center"/>
              <w:rPr>
                <w:color w:val="000000" w:themeColor="text1"/>
                <w14:ligatures w14:val="none"/>
              </w:rPr>
            </w:pPr>
            <w:r>
              <w:rPr>
                <w:color w:val="000000" w:themeColor="text1"/>
              </w:rPr>
              <w:t xml:space="preserve">216.000.000</w:t>
            </w:r>
            <w:r>
              <w:rPr>
                <w:color w:val="000000" w:themeColor="text1"/>
                <w14:ligatures w14:val="none"/>
              </w:rPr>
            </w:r>
            <w:r>
              <w:rPr>
                <w:color w:val="000000" w:themeColor="text1"/>
                <w14:ligatures w14:val="none"/>
              </w:rPr>
            </w:r>
          </w:p>
        </w:tc>
        <w:tc>
          <w:tcPr>
            <w:shd w:val="clear" w:color="000000" w:fill="ffffff"/>
            <w:tcBorders/>
            <w:tcW w:w="1843" w:type="dxa"/>
            <w:vAlign w:val="center"/>
            <w:textDirection w:val="lrTb"/>
            <w:noWrap w:val="false"/>
          </w:tcPr>
          <w:p>
            <w:pPr>
              <w:pBdr/>
              <w:spacing w:after="40" w:before="40" w:line="288" w:lineRule="auto"/>
              <w:ind/>
              <w:jc w:val="right"/>
              <w:rPr>
                <w:color w:val="000000" w:themeColor="text1"/>
                <w14:ligatures w14:val="none"/>
              </w:rPr>
            </w:pPr>
            <w:r>
              <w:rPr>
                <w:color w:val="000000" w:themeColor="text1"/>
              </w:rPr>
              <w:t xml:space="preserve">17.582.400.000</w:t>
            </w:r>
            <w:r>
              <w:rPr>
                <w:color w:val="000000" w:themeColor="text1"/>
                <w14:ligatures w14:val="none"/>
              </w:rPr>
            </w:r>
            <w:r>
              <w:rPr>
                <w:color w:val="000000" w:themeColor="text1"/>
                <w14:ligatures w14:val="none"/>
              </w:rP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2241" w:type="dxa"/>
            <w:vAlign w:val="center"/>
            <w:textDirection w:val="lrTb"/>
            <w:noWrap w:val="false"/>
          </w:tcPr>
          <w:p>
            <w:pPr>
              <w:pBdr/>
              <w:spacing w:after="40" w:before="40" w:line="288" w:lineRule="auto"/>
              <w:ind/>
              <w:rPr/>
            </w:pPr>
            <w:r>
              <w:rPr>
                <w:b/>
                <w:bCs/>
              </w:rPr>
              <w:t xml:space="preserve">Nhà ở liền kề</w:t>
            </w: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226.4</w:t>
            </w:r>
            <w:r>
              <w:rPr>
                <w:color w:val="000000"/>
              </w:rPr>
            </w:r>
            <w:r>
              <w:rPr>
                <w:color w:val="000000"/>
              </w:rPr>
            </w:r>
          </w:p>
        </w:tc>
        <w:tc>
          <w:tcPr>
            <w:shd w:val="clear" w:color="000000" w:fill="ffffff"/>
            <w:tcBorders/>
            <w:tcW w:w="2902" w:type="dxa"/>
            <w:vAlign w:val="center"/>
            <w:textDirection w:val="lrTb"/>
            <w:noWrap w:val="false"/>
          </w:tcPr>
          <w:p>
            <w:pPr>
              <w:pBdr/>
              <w:spacing w:after="40" w:before="40" w:line="288" w:lineRule="auto"/>
              <w:ind/>
              <w:jc w:val="center"/>
              <w:rPr>
                <w:color w:val="000000" w:themeColor="text1"/>
                <w14:ligatures w14:val="none"/>
              </w:rPr>
            </w:pPr>
            <w:r>
              <w:rPr>
                <w:color w:val="000000" w:themeColor="text1"/>
              </w:rPr>
            </w:r>
            <w:r>
              <w:rPr>
                <w:color w:val="000000" w:themeColor="text1"/>
              </w:rPr>
              <w:t xml:space="preserve">7.353.767</w:t>
            </w:r>
            <w:r>
              <w:rPr>
                <w:color w:val="000000" w:themeColor="text1"/>
                <w14:ligatures w14:val="none"/>
              </w:rPr>
            </w:r>
            <w:r>
              <w:rPr>
                <w:color w:val="000000" w:themeColor="text1"/>
                <w14:ligatures w14:val="none"/>
              </w:rPr>
            </w:r>
          </w:p>
        </w:tc>
        <w:tc>
          <w:tcPr>
            <w:shd w:val="clear" w:color="000000" w:fill="ffffff"/>
            <w:tcBorders/>
            <w:tcW w:w="1843" w:type="dxa"/>
            <w:vAlign w:val="center"/>
            <w:textDirection w:val="lrTb"/>
            <w:noWrap w:val="false"/>
          </w:tcPr>
          <w:p>
            <w:pPr>
              <w:pBdr/>
              <w:spacing w:after="40" w:before="40" w:line="288" w:lineRule="auto"/>
              <w:ind/>
              <w:jc w:val="right"/>
              <w:rPr>
                <w:color w:val="000000" w:themeColor="text1"/>
                <w14:ligatures w14:val="none"/>
              </w:rPr>
            </w:pPr>
            <w:r>
              <w:rPr>
                <w:color w:val="000000" w:themeColor="text1"/>
              </w:rPr>
              <w:t xml:space="preserve">1.298.616.422</w:t>
            </w:r>
            <w:r>
              <w:rPr>
                <w:color w:val="000000" w:themeColor="text1"/>
                <w14:ligatures w14:val="none"/>
              </w:rPr>
            </w:r>
            <w:r>
              <w:rPr>
                <w:color w:val="000000" w:themeColor="text1"/>
                <w14:ligatures w14:val="none"/>
              </w:rPr>
            </w:r>
          </w:p>
        </w:tc>
      </w:tr>
      <w:tr>
        <w:trPr>
          <w:trHeight w:val="20"/>
        </w:trPr>
        <w:tc>
          <w:tcPr>
            <w:gridSpan w:val="4"/>
            <w:tcBorders/>
            <w:tcW w:w="7682" w:type="dxa"/>
            <w:vAlign w:val="center"/>
            <w:textDirection w:val="lrTb"/>
            <w:noWrap/>
          </w:tcPr>
          <w:p>
            <w:pPr>
              <w:pBdr/>
              <w:spacing w:after="40" w:before="40" w:line="288" w:lineRule="auto"/>
              <w:ind/>
              <w:jc w:val="center"/>
              <w:rPr>
                <w:b/>
                <w:bCs/>
                <w:color w:val="000000" w:themeColor="text1"/>
                <w14:ligatures w14:val="none"/>
              </w:rPr>
            </w:pPr>
            <w:r>
              <w:rPr>
                <w:b/>
                <w:bCs/>
                <w:color w:val="000000" w:themeColor="text1"/>
              </w:rPr>
              <w:t xml:space="preserve">TỔNG CỘNG</w:t>
            </w:r>
            <w:r>
              <w:rPr>
                <w:b/>
                <w:bCs/>
                <w:color w:val="000000" w:themeColor="text1"/>
                <w14:ligatures w14:val="none"/>
              </w:rPr>
            </w:r>
            <w:r>
              <w:rPr>
                <w:b/>
                <w:bCs/>
                <w:color w:val="000000" w:themeColor="text1"/>
                <w14:ligatures w14:val="none"/>
              </w:rPr>
            </w:r>
          </w:p>
        </w:tc>
        <w:tc>
          <w:tcPr>
            <w:tcBorders/>
            <w:tcW w:w="1843" w:type="dxa"/>
            <w:vAlign w:val="center"/>
            <w:textDirection w:val="lrTb"/>
            <w:noWrap/>
          </w:tcPr>
          <w:p>
            <w:pPr>
              <w:pBdr/>
              <w:spacing w:after="40" w:before="40" w:line="288" w:lineRule="auto"/>
              <w:ind/>
              <w:jc w:val="right"/>
              <w:rPr>
                <w:b/>
                <w:bCs/>
                <w:color w:val="000000" w:themeColor="text1"/>
                <w14:ligatures w14:val="none"/>
              </w:rPr>
            </w:pPr>
            <w:r>
              <w:rPr>
                <w:b/>
                <w:bCs/>
                <w:color w:val="000000" w:themeColor="text1"/>
              </w:rPr>
              <w:t xml:space="preserve">18.881.016.422</w:t>
            </w:r>
            <w:r>
              <w:rPr>
                <w:b/>
                <w:bCs/>
                <w:color w:val="000000" w:themeColor="text1"/>
                <w14:ligatures w14:val="none"/>
              </w:rPr>
            </w:r>
            <w:r>
              <w:rPr>
                <w:b/>
                <w:bCs/>
                <w:color w:val="000000" w:themeColor="text1"/>
                <w14:ligatures w14:val="none"/>
              </w:rPr>
            </w:r>
          </w:p>
        </w:tc>
      </w:tr>
      <w:tr>
        <w:trPr>
          <w:trHeight w:val="20"/>
        </w:trPr>
        <w:tc>
          <w:tcPr>
            <w:gridSpan w:val="4"/>
            <w:tcBorders/>
            <w:tcW w:w="7682" w:type="dxa"/>
            <w:vAlign w:val="center"/>
            <w:textDirection w:val="lrTb"/>
            <w:noWrap/>
          </w:tcPr>
          <w:p>
            <w:pPr>
              <w:pBdr/>
              <w:spacing w:after="40" w:before="40" w:line="288" w:lineRule="auto"/>
              <w:ind/>
              <w:jc w:val="center"/>
              <w:rPr>
                <w:b/>
                <w:bCs/>
                <w:color w:val="000000" w:themeColor="text1"/>
                <w14:ligatures w14:val="none"/>
              </w:rPr>
            </w:pPr>
            <w:r>
              <w:rPr>
                <w:b/>
                <w:bCs/>
                <w:color w:val="000000" w:themeColor="text1"/>
              </w:rPr>
              <w:t xml:space="preserve">LÀM TRÒN</w:t>
            </w:r>
            <w:r>
              <w:rPr>
                <w:b/>
                <w:bCs/>
                <w:color w:val="000000" w:themeColor="text1"/>
                <w14:ligatures w14:val="none"/>
              </w:rPr>
            </w:r>
            <w:r>
              <w:rPr>
                <w:b/>
                <w:bCs/>
                <w:color w:val="000000" w:themeColor="text1"/>
                <w14:ligatures w14:val="none"/>
              </w:rPr>
            </w:r>
          </w:p>
        </w:tc>
        <w:tc>
          <w:tcPr>
            <w:tcBorders/>
            <w:tcW w:w="1843" w:type="dxa"/>
            <w:vAlign w:val="center"/>
            <w:textDirection w:val="lrTb"/>
            <w:noWrap/>
          </w:tcPr>
          <w:p>
            <w:pPr>
              <w:pBdr/>
              <w:spacing w:after="40" w:before="40" w:line="288" w:lineRule="auto"/>
              <w:ind/>
              <w:jc w:val="right"/>
              <w:rPr>
                <w:b/>
                <w:bCs/>
                <w:color w:val="000000" w:themeColor="text1"/>
                <w14:ligatures w14:val="none"/>
              </w:rPr>
            </w:pPr>
            <w:r>
              <w:rPr>
                <w:b/>
                <w:bCs/>
                <w:color w:val="000000" w:themeColor="text1"/>
              </w:rPr>
              <w:t xml:space="preserve">18.881.000.000</w:t>
            </w:r>
            <w:r>
              <w:rPr>
                <w:b/>
                <w:bCs/>
                <w:color w:val="000000" w:themeColor="text1"/>
                <w14:ligatures w14:val="none"/>
              </w:rPr>
            </w:r>
            <w:r>
              <w:rPr>
                <w:b/>
                <w:bCs/>
                <w:color w:val="000000" w:themeColor="text1"/>
                <w14:ligatures w14:val="non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tám tỷ, tám trăm tám mươi mốt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8"/>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7"/>
              <w:pBdr/>
              <w:spacing w:after="60"/>
              <w:ind/>
              <w:rPr>
                <w:bCs/>
                <w:i/>
                <w:color w:val="000000" w:themeColor="text1"/>
                <w:sz w:val="24"/>
                <w:szCs w:val="24"/>
              </w:rPr>
            </w:pPr>
            <w:r>
              <w:rPr>
                <w:rStyle w:val="1026"/>
                <w:rFonts w:ascii="Times New Roman" w:hAnsi="Times New Roman"/>
                <w:i/>
                <w:iCs/>
                <w:color w:val="000000" w:themeColor="text1"/>
                <w:lang w:val="pt-BR"/>
              </w:rPr>
              <w:t xml:space="preserve">Số: </w:t>
            </w:r>
            <w:r>
              <w:rPr>
                <w:rStyle w:val="1026"/>
                <w:rFonts w:ascii="Times New Roman" w:hAnsi="Times New Roman"/>
                <w:i/>
                <w:iCs/>
                <w:color w:val="000000" w:themeColor="text1"/>
                <w:lang w:val="pt-BR"/>
              </w:rPr>
              <w:t xml:space="preserve">275/2026/1405/VFI-BC.39.A</w:t>
            </w:r>
            <w:r>
              <w:rPr>
                <w:i/>
                <w:iCs/>
                <w:color w:val="000000" w:themeColor="text1"/>
                <w:sz w:val="24"/>
                <w:szCs w:val="24"/>
              </w:rPr>
            </w:r>
            <w:r>
              <w:rPr>
                <w:bCs/>
                <w:i/>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27"/>
              <w:pBdr/>
              <w:spacing w:after="60"/>
              <w:ind w:right="-56"/>
              <w:jc w:val="right"/>
              <w:rPr>
                <w:color w:val="000000" w:themeColor="text1"/>
                <w:sz w:val="24"/>
                <w:szCs w:val="24"/>
                <w:lang w:val="vi-VN"/>
              </w:rPr>
            </w:pPr>
            <w:r>
              <w:rPr>
                <w:rStyle w:val="1026"/>
                <w:rFonts w:ascii="Times New Roman" w:hAnsi="Times New Roman"/>
                <w:i/>
                <w:color w:val="auto"/>
              </w:rPr>
              <w:t xml:space="preserve">TP. Hà Nội</w:t>
            </w:r>
            <w:r>
              <w:rPr>
                <w:rStyle w:val="1026"/>
                <w:rFonts w:ascii="Times New Roman" w:hAnsi="Times New Roman"/>
                <w:i/>
                <w:color w:val="auto"/>
                <w:lang w:val="vi-VN"/>
              </w:rPr>
              <w:t xml:space="preserve">, </w:t>
            </w:r>
            <w:r>
              <w:rPr>
                <w:rStyle w:val="1026"/>
                <w:rFonts w:ascii="Times New Roman" w:hAnsi="Times New Roman"/>
                <w:i/>
                <w:color w:val="000000" w:themeColor="text1"/>
                <w:lang w:val="vi-VN"/>
              </w:rPr>
              <w:t xml:space="preserve">ngày 9 tháng 9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7"/>
              <w:pBdr/>
              <w:spacing w:after="60"/>
              <w:ind/>
              <w:rPr>
                <w:rStyle w:val="1026"/>
                <w:rFonts w:ascii="Times New Roman" w:hAnsi="Times New Roman"/>
                <w:color w:val="000000" w:themeColor="text1"/>
                <w:lang w:val="pt-BR"/>
              </w:rPr>
            </w:pPr>
            <w:r>
              <w:rPr>
                <w:rStyle w:val="1026"/>
                <w:rFonts w:ascii="Times New Roman" w:hAnsi="Times New Roman"/>
                <w:color w:val="000000" w:themeColor="text1"/>
                <w:lang w:val="pt-BR"/>
              </w:rPr>
            </w:r>
            <w:r>
              <w:rPr>
                <w:rStyle w:val="1026"/>
                <w:rFonts w:ascii="Times New Roman" w:hAnsi="Times New Roman"/>
                <w:color w:val="000000" w:themeColor="text1"/>
                <w:lang w:val="pt-BR"/>
              </w:rPr>
            </w:r>
            <w:r>
              <w:rPr>
                <w:rStyle w:val="1026"/>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27"/>
              <w:pBdr/>
              <w:spacing w:after="60"/>
              <w:ind w:right="-56"/>
              <w:rPr>
                <w:rStyle w:val="1026"/>
                <w:rFonts w:ascii="Times New Roman" w:hAnsi="Times New Roman"/>
                <w:i/>
                <w:color w:val="auto"/>
              </w:rPr>
            </w:pPr>
            <w:r>
              <w:rPr>
                <w:rFonts w:ascii="Times New Roman" w:hAnsi="Times New Roman"/>
                <w:i/>
                <w:color w:val="auto"/>
              </w:rPr>
            </w:r>
            <w:r>
              <w:rPr>
                <w:rStyle w:val="1026"/>
                <w:rFonts w:ascii="Times New Roman" w:hAnsi="Times New Roman"/>
                <w:i/>
                <w:color w:val="auto"/>
              </w:rPr>
            </w:r>
            <w:r>
              <w:rPr>
                <w:rStyle w:val="1026"/>
                <w:rFonts w:ascii="Times New Roman" w:hAnsi="Times New Roman"/>
                <w:i/>
                <w:color w:val="auto"/>
              </w:rPr>
            </w:r>
          </w:p>
        </w:tc>
      </w:tr>
    </w:tbl>
    <w:p>
      <w:pPr>
        <w:pStyle w:val="1027"/>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7"/>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275/2026/1405/VFI-CT.39.A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9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7"/>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8"/>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NGUYỄN DUY HƯNG</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001069021276</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1969</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Khu đô thị Văn Quán, phường Hà Đông,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và tài sản gắn liền với đất tại thửa đất số: TT9-A26(10), tờ bản đồ số 00 có địa chỉ: Khu đô thị Văn Quán - Yên Phúc, phường Văn Quán, quận Hà Đông, thành phố Hà Nội (Nay là Phường Hà Đông, thành phố Hà Nội) theo Giấy c</w:t>
            </w:r>
            <w:r>
              <w:rPr>
                <w:bCs/>
                <w:color w:val="000000" w:themeColor="text1"/>
                <w:lang w:val="pt-BR"/>
              </w:rPr>
              <w:t xml:space="preserve">hứng nhận quyền sử dụng đất quyền sở hữu nhà ở và tài sản khác gắn liền với đất số: BB 466935, số vào sổ cấp GCN: CS-HĐO 02339 do Sở Tài nguyên và Môi trường Thành phố Hà Nội cấp ngày 03/12/2015; Chủ sử dụng đất là Ông Nguyễn Duy Hưng và Bà Nguyễn Thị Hồng</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Hà Đông,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8"/>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(20.976888888889, 105.78772222222)</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8"/>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8"/>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8"/>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8"/>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8"/>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8"/>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28"/>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8"/>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8"/>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8"/>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8"/>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8"/>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8"/>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8"/>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8"/>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8"/>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8"/>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8"/>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8"/>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8"/>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8"/>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8"/>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8"/>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8"/>
        <w:numPr>
          <w:ilvl w:val="0"/>
          <w:numId w:val="1"/>
        </w:numPr>
        <w:pBdr/>
        <w:spacing w:after="120" w:before="120" w:line="276" w:lineRule="auto"/>
        <w:ind/>
        <w:jc w:val="both"/>
        <w:rPr>
          <w:spacing w:val="-4"/>
          <w:lang w:val="pt-BR"/>
          <w14:ligatures w14:val="none"/>
        </w:rPr>
      </w:pPr>
      <w:r>
        <w:rPr>
          <w:spacing w:val="-4"/>
          <w:lang w:val="pt-BR" w:bidi="pt-BR"/>
        </w:rPr>
      </w:r>
      <w:r>
        <w:rPr>
          <w:spacing w:val="-4"/>
          <w:lang w:val="pt-BR"/>
        </w:rPr>
        <w:t xml:space="preserve">Quyết định số 425/QĐ-BXD ngày 30/3/2026 của Bộ Xây dựng về việc Công bố suất vốn đầu tư xây dựng công trình và giá xây dựng tổng hợp bộ phận kết cấu công trình năm 2025</w:t>
      </w:r>
      <w:r>
        <w:rPr>
          <w:spacing w:val="-4"/>
          <w:lang w:val="pt-BR"/>
        </w:rPr>
      </w:r>
      <w:r>
        <w:rPr>
          <w:spacing w:val="-4"/>
          <w:lang w:val="pt-BR"/>
          <w14:ligatures w14:val="none"/>
        </w:rPr>
      </w:r>
    </w:p>
    <w:p>
      <w:pPr>
        <w:pStyle w:val="1028"/>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8"/>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8"/>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8"/>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8"/>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w:t>
      </w:r>
      <w:r>
        <w:rPr>
          <w:bCs/>
          <w:color w:val="000000" w:themeColor="text1"/>
          <w:lang w:val="pt-BR"/>
        </w:rPr>
        <w:t xml:space="preserve">hứng nhận quyền sử dụng đất quyền sở hữu nhà ở và tài sản khác gắn liền với đất số: BB 466935, số vào sổ cấp GCN: CS-HĐO 02339 do Sở Tài nguyên và Môi trường Thành phố Hà Nội cấp ngày 03/12/2015; Chủ sử dụng đất là Ông Nguyễn Duy Hưng và Bà Nguyễn Thị Hồng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8"/>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275/2026/1405/VFI-HĐTĐ.39.A ngày 07/09/2026 giữa Nguyễn Duy Hưng với Công ty Cổ phần Thẩm định và Đầu tư Tài chính Hoa Sen.</w:t>
      </w:r>
      <w:r>
        <w:rPr>
          <w:b/>
          <w:lang w:val="pt-BR"/>
        </w:rPr>
      </w:r>
      <w:r>
        <w:rPr>
          <w:b/>
          <w:lang w:val="pt-BR"/>
        </w:rPr>
      </w:r>
    </w:p>
    <w:p>
      <w:pPr>
        <w:pStyle w:val="1028"/>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rPr>
        <w:t xml:space="preserve">Bức tranh thị trường bất động sản Hà Nội năm 2026: Hạ tầng dẫn dắt, thị trường bước vào chu kỳ tăng trưởng mới. Bước sang năm 2026, thị trường bất động sản Hà Nội được kỳ vọng bước vào chu kỳ tăng trưởng mới với nền tảng hạ tầng, pháp lý và chính sách ngày</w:t>
      </w:r>
      <w:r>
        <w:rPr>
          <w:rFonts w:ascii="Times New Roman" w:hAnsi="Times New Roman" w:eastAsia="Times New Roman" w:cs="Times New Roman"/>
          <w:sz w:val="24"/>
          <w:szCs w:val="24"/>
          <w:highlight w:val="none"/>
          <w:shd w:val="clear" w:color="auto" w:fill="ffffff"/>
          <w:lang w:val="pt-BR"/>
        </w:rPr>
        <w:t xml:space="preserve"> càng rõ nét. Thay vì những cơn “sốt nóng”, thị trường vận động theo hướng chọn lọc, phân hóa mạnh, lấy nhu cầu ở thực, chất lượng dự án và năng lực doanh nghiệp làm trụ cột phát triển bền vững.</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rPr>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vì</w:t>
      </w:r>
      <w:r>
        <w:rPr>
          <w:rFonts w:ascii="Times New Roman" w:hAnsi="Times New Roman" w:eastAsia="Times New Roman" w:cs="Times New Roman"/>
          <w:sz w:val="24"/>
          <w:szCs w:val="24"/>
          <w:highlight w:val="none"/>
          <w:shd w:val="clear" w:color="auto" w:fill="ffffff"/>
          <w:lang w:val="pt-BR"/>
        </w:rPr>
        <w:t xml:space="preserve"> những cơn "sốt nóng" ngắn hạn, thị trường năm 2026 được kỳ vọng tăng trưởng trên nền tảng bền vững, gắn chặt với quy hoạch đô thị, nhu cầu ở thực và năng lực triển khai của doanh nghiệp. </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rPr>
        <w:t xml:space="preserve">Hạ tầng – "xương sống" mở không gian phát triển mới</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rPr>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độn</w:t>
      </w:r>
      <w:r>
        <w:rPr>
          <w:rFonts w:ascii="Times New Roman" w:hAnsi="Times New Roman" w:eastAsia="Times New Roman" w:cs="Times New Roman"/>
          <w:sz w:val="24"/>
          <w:szCs w:val="24"/>
          <w:highlight w:val="none"/>
          <w:shd w:val="clear" w:color="auto" w:fill="ffffff"/>
          <w:lang w:val="pt-BR"/>
        </w:rPr>
        <w:t xml:space="preserve">g sản.</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rPr>
        <w:t xml:space="preserve">Khơi thông nguồn lực góp phần tăng trưởng nhanh cho thị trường bất động sản</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rPr>
        <w:t xml:space="preserve">Lợi thế về không gian xanh tăng sức hút cho bất động sản Nam Hà Nội</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rPr>
        <w:t xml:space="preserve">Cú hích hạ tầng mang tới làn sóng mới cho bất động sản Tây Hà Nội</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rPr>
        <w:t xml:space="preserve">Công bố 5 dự án bất động sản được phép bán cho tổ chức, người nước ngoài</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abs>
          <w:tab w:val="left" w:leader="none" w:pos="426"/>
        </w:tabs>
        <w:spacing w:after="120" w:before="120" w:line="276" w:lineRule="auto"/>
        <w:ind/>
        <w:jc w:val="both"/>
        <w:rPr>
          <w:rFonts w:ascii="Times New Roman" w:hAnsi="Times New Roman" w:eastAsia="Times New Roman" w:cs="Times New Roman"/>
          <w:iCs/>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rPr>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 </w:t>
      </w:r>
      <w:r>
        <w:rPr>
          <w:rFonts w:ascii="Times New Roman" w:hAnsi="Times New Roman" w:eastAsia="Times New Roman" w:cs="Times New Roman"/>
          <w:sz w:val="24"/>
          <w:szCs w:val="24"/>
          <w:highlight w:val="none"/>
          <w:shd w:val="clear" w:color="auto" w:fill="ffffff"/>
          <w:lang w:val="pt-BR"/>
        </w:rPr>
        <w:t xml:space="preserve">có điều kiện kết nối thuận lợi hơn, qua đó gia tăng sức hấp dẫn với các dự án đô thị, khu nhà ở và dịch vụ.</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rPr>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w:t>
      </w:r>
      <w:r>
        <w:rPr>
          <w:rFonts w:ascii="Times New Roman" w:hAnsi="Times New Roman" w:eastAsia="Times New Roman" w:cs="Times New Roman"/>
          <w:sz w:val="24"/>
          <w:szCs w:val="24"/>
          <w:highlight w:val="none"/>
          <w:shd w:val="clear" w:color="auto" w:fill="ffffff"/>
          <w:lang w:val="pt-BR"/>
        </w:rPr>
        <w:t xml:space="preserve">,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w:t>
      </w:r>
      <w:r>
        <w:rPr>
          <w:rFonts w:ascii="Times New Roman" w:hAnsi="Times New Roman" w:eastAsia="Times New Roman" w:cs="Times New Roman"/>
          <w:sz w:val="24"/>
          <w:szCs w:val="24"/>
          <w:highlight w:val="none"/>
          <w:shd w:val="clear" w:color="auto" w:fill="ffffff"/>
          <w:lang w:val="pt-BR"/>
        </w:rPr>
        <w:t xml:space="preserve"> trưởng bất động sản dài hạn.</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n</w:t>
      </w:r>
      <w:r>
        <w:rPr>
          <w:rFonts w:ascii="Times New Roman" w:hAnsi="Times New Roman" w:eastAsia="Times New Roman" w:cs="Times New Roman"/>
          <w:sz w:val="24"/>
          <w:szCs w:val="24"/>
          <w:highlight w:val="none"/>
          <w:shd w:val="clear" w:color="auto" w:fill="ffffff"/>
          <w:lang w:val="pt-BR"/>
        </w:rPr>
        <w:t xml:space="preserve">ổi lên như một cực phát triển mới. Ở phía Đông, hệ thống cầu vượt sông Hồng, cùng quy hoạch chỉnh trang đô thị ven sông, tiếp tục mở ra dư địa cho các dự án nhà ở và đô thị sinh thái.</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rPr>
        <w:t xml:space="preserve">Thị trường chuyển từ "tăng nóng" sang tăng trưởng chọn lọc</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 </w:t>
      </w:r>
      <w:r>
        <w:rPr>
          <w:rFonts w:ascii="Times New Roman" w:hAnsi="Times New Roman" w:eastAsia="Times New Roman" w:cs="Times New Roman"/>
          <w:sz w:val="24"/>
          <w:szCs w:val="24"/>
          <w:highlight w:val="none"/>
          <w:shd w:val="clear" w:color="auto" w:fill="ffffff"/>
          <w:lang w:val="pt-BR"/>
        </w:rPr>
        <w:t xml:space="preserve">quy hoạch rõ ràng, hạ tầng đồng bộ và nhu cầu ở thực ổn định.</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rPr>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v</w:t>
      </w:r>
      <w:r>
        <w:rPr>
          <w:rFonts w:ascii="Times New Roman" w:hAnsi="Times New Roman" w:eastAsia="Times New Roman" w:cs="Times New Roman"/>
          <w:sz w:val="24"/>
          <w:szCs w:val="24"/>
          <w:highlight w:val="none"/>
          <w:shd w:val="clear" w:color="auto" w:fill="ffffff"/>
          <w:lang w:val="pt-BR"/>
        </w:rPr>
        <w:t xml:space="preserve">à được triển khai bài bản sẽ trở thành động lực chính của thị trường trong năm 2026.</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rPr>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cá</w:t>
      </w:r>
      <w:r>
        <w:rPr>
          <w:rFonts w:ascii="Times New Roman" w:hAnsi="Times New Roman" w:eastAsia="Times New Roman" w:cs="Times New Roman"/>
          <w:sz w:val="24"/>
          <w:szCs w:val="24"/>
          <w:highlight w:val="none"/>
          <w:shd w:val="clear" w:color="auto" w:fill="ffffff"/>
          <w:lang w:val="pt-BR"/>
        </w:rPr>
        <w:t xml:space="preserve">c phân khúc an toàn hơn, hạn chế rủi ro và có tiềm năng tăng trưởng dài hạn.</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rPr>
        <w:t xml:space="preserve">Nguồn cung lớn, thị trường phân hóa rõ nét</w:t>
      </w:r>
      <w:r>
        <w:rPr>
          <w:rFonts w:ascii="Times New Roman" w:hAnsi="Times New Roman" w:eastAsia="Times New Roman" w:cs="Times New Roman"/>
          <w:sz w:val="24"/>
          <w:szCs w:val="24"/>
          <w:highlight w:val="none"/>
          <w:shd w:val="clear" w:color="auto" w:fill="ffffff"/>
          <w:lang w:val="pt-BR" w:bidi="pt-BR"/>
        </w:rPr>
        <w:t xml:space="preserve"> </w:t>
      </w:r>
      <w:r>
        <w:rPr>
          <w:rFonts w:ascii="Times New Roman" w:hAnsi="Times New Roman" w:eastAsia="Times New Roman" w:cs="Times New Roman"/>
          <w:sz w:val="24"/>
          <w:szCs w:val="24"/>
          <w:highlight w:val="none"/>
          <w:shd w:val="clear" w:color="auto" w:fill="ffffff"/>
          <w:lang w:val="pt-BR" w:bidi="pt-BR"/>
        </w:rPr>
        <w:t xml:space="preserve">M</w:t>
      </w:r>
      <w:r>
        <w:rPr>
          <w:rFonts w:ascii="Times New Roman" w:hAnsi="Times New Roman" w:eastAsia="Times New Roman" w:cs="Times New Roman"/>
          <w:sz w:val="24"/>
          <w:szCs w:val="24"/>
          <w:highlight w:val="none"/>
          <w:shd w:val="clear" w:color="auto" w:fill="ffffff"/>
          <w:lang w:val="pt-BR" w:bidi="pt-BR"/>
        </w:rPr>
        <w:t xml:space="preserve">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tạo </w:t>
      </w:r>
      <w:r>
        <w:rPr>
          <w:rFonts w:ascii="Times New Roman" w:hAnsi="Times New Roman" w:eastAsia="Times New Roman" w:cs="Times New Roman"/>
          <w:sz w:val="24"/>
          <w:szCs w:val="24"/>
          <w:highlight w:val="none"/>
          <w:shd w:val="clear" w:color="auto" w:fill="ffffff"/>
          <w:lang w:val="pt-BR" w:bidi="pt-BR"/>
        </w:rPr>
        <w:t xml:space="preserve">cơ hội cho người mua, vừa đặt ra thách thức cho doanh nghiệp phát triển dự án.</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bidi="pt-BR"/>
        </w:rPr>
        <w:t xml:space="preserve">Ô</w:t>
      </w:r>
      <w:r>
        <w:rPr>
          <w:rFonts w:ascii="Times New Roman" w:hAnsi="Times New Roman" w:eastAsia="Times New Roman" w:cs="Times New Roman"/>
          <w:sz w:val="24"/>
          <w:szCs w:val="24"/>
          <w:highlight w:val="none"/>
          <w:shd w:val="clear" w:color="auto" w:fill="ffffff"/>
          <w:lang w:val="pt-BR" w:bidi="pt-BR"/>
        </w:rPr>
        <w:t xml:space="preserve">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kế</w:t>
      </w:r>
      <w:r>
        <w:rPr>
          <w:rFonts w:ascii="Times New Roman" w:hAnsi="Times New Roman" w:eastAsia="Times New Roman" w:cs="Times New Roman"/>
          <w:sz w:val="24"/>
          <w:szCs w:val="24"/>
          <w:highlight w:val="none"/>
          <w:shd w:val="clear" w:color="auto" w:fill="ffffff"/>
          <w:lang w:val="pt-BR" w:bidi="pt-BR"/>
        </w:rPr>
        <w:t xml:space="preserve">t nối hạ tầng tốt, pháp lý hoàn chỉnh và chủ đầu tư uy tín sẽ duy trì thanh khoản, trong khi những dự án xa trung tâm, thiếu tiện ích hoặc định giá vượt khả năng chi trả của số đông sẽ gặp khó.</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bidi="pt-BR"/>
        </w:rPr>
        <w:t xml:space="preserve">C</w:t>
      </w:r>
      <w:r>
        <w:rPr>
          <w:rFonts w:ascii="Times New Roman" w:hAnsi="Times New Roman" w:eastAsia="Times New Roman" w:cs="Times New Roman"/>
          <w:sz w:val="24"/>
          <w:szCs w:val="24"/>
          <w:highlight w:val="none"/>
          <w:shd w:val="clear" w:color="auto" w:fill="ffffff"/>
          <w:lang w:val="pt-BR" w:bidi="pt-BR"/>
        </w:rPr>
        <w:t xml:space="preserve">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đó,</w:t>
      </w:r>
      <w:r>
        <w:rPr>
          <w:rFonts w:ascii="Times New Roman" w:hAnsi="Times New Roman" w:eastAsia="Times New Roman" w:cs="Times New Roman"/>
          <w:sz w:val="24"/>
          <w:szCs w:val="24"/>
          <w:highlight w:val="none"/>
          <w:shd w:val="clear" w:color="auto" w:fill="ffffff"/>
          <w:lang w:val="pt-BR" w:bidi="pt-BR"/>
        </w:rPr>
        <w:t xml:space="preserve"> phân khúc nhà ở vừa túi tiền và nhà ở xã hội được kỳ vọng sẽ dần cải thiện nguồn cung khi các chính sách mới được triển khai đồng bộ.</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bidi="pt-BR"/>
        </w:rPr>
        <w:t xml:space="preserve">Chính sách và pháp lý – điểm tựa cho chu kỳ mới</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bidi="pt-BR"/>
        </w:rPr>
        <w:t xml:space="preserve">N</w:t>
      </w:r>
      <w:r>
        <w:rPr>
          <w:rFonts w:ascii="Times New Roman" w:hAnsi="Times New Roman" w:eastAsia="Times New Roman" w:cs="Times New Roman"/>
          <w:sz w:val="24"/>
          <w:szCs w:val="24"/>
          <w:highlight w:val="none"/>
          <w:shd w:val="clear" w:color="auto" w:fill="ffffff"/>
          <w:lang w:val="pt-BR" w:bidi="pt-BR"/>
        </w:rPr>
        <w:t xml:space="preserve">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w:t>
      </w:r>
      <w:r>
        <w:rPr>
          <w:rFonts w:ascii="Times New Roman" w:hAnsi="Times New Roman" w:eastAsia="Times New Roman" w:cs="Times New Roman"/>
          <w:sz w:val="24"/>
          <w:szCs w:val="24"/>
          <w:highlight w:val="none"/>
          <w:shd w:val="clear" w:color="auto" w:fill="ffffff"/>
          <w:lang w:val="pt-BR" w:bidi="pt-BR"/>
        </w:rPr>
        <w:t xml:space="preserve">uồn cung đáng kể cho thị trường.</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bidi="pt-BR"/>
        </w:rPr>
        <w:t xml:space="preserve">C</w:t>
      </w:r>
      <w:r>
        <w:rPr>
          <w:rFonts w:ascii="Times New Roman" w:hAnsi="Times New Roman" w:eastAsia="Times New Roman" w:cs="Times New Roman"/>
          <w:sz w:val="24"/>
          <w:szCs w:val="24"/>
          <w:highlight w:val="none"/>
          <w:shd w:val="clear" w:color="auto" w:fill="ffffff"/>
          <w:lang w:val="pt-BR" w:bidi="pt-BR"/>
        </w:rPr>
        <w:t xml:space="preserve">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dự</w:t>
      </w:r>
      <w:r>
        <w:rPr>
          <w:rFonts w:ascii="Times New Roman" w:hAnsi="Times New Roman" w:eastAsia="Times New Roman" w:cs="Times New Roman"/>
          <w:sz w:val="24"/>
          <w:szCs w:val="24"/>
          <w:highlight w:val="none"/>
          <w:shd w:val="clear" w:color="auto" w:fill="ffffff"/>
          <w:lang w:val="pt-BR" w:bidi="pt-BR"/>
        </w:rPr>
        <w:t xml:space="preserve"> án kéo dài, đồng thời tạo niềm tin cho nhà đầu tư và người mua nhà.</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abs>
          <w:tab w:val="left" w:leader="none" w:pos="426"/>
        </w:tabs>
        <w:spacing w:after="120" w:before="120" w:line="276" w:lineRule="auto"/>
        <w:ind/>
        <w:jc w:val="both"/>
        <w:rPr>
          <w:rFonts w:ascii="Times New Roman" w:hAnsi="Times New Roman" w:eastAsia="Times New Roman" w:cs="Times New Roman"/>
          <w:sz w:val="24"/>
          <w:szCs w:val="24"/>
          <w:highlight w:val="none"/>
          <w:lang w:val="pt-BR" w:bidi="pt-BR"/>
          <w14:ligatures w14:val="none"/>
        </w:rPr>
      </w:pPr>
      <w:r>
        <w:rPr>
          <w:rFonts w:ascii="Times New Roman" w:hAnsi="Times New Roman" w:eastAsia="Times New Roman" w:cs="Times New Roman"/>
          <w:sz w:val="24"/>
          <w:szCs w:val="24"/>
          <w:highlight w:val="none"/>
          <w:shd w:val="clear" w:color="auto" w:fill="ffffff"/>
          <w:lang w:val="pt-BR" w:bidi="pt-BR"/>
        </w:rPr>
        <w:t xml:space="preserve">B</w:t>
      </w:r>
      <w:r>
        <w:rPr>
          <w:rFonts w:ascii="Times New Roman" w:hAnsi="Times New Roman" w:eastAsia="Times New Roman" w:cs="Times New Roman"/>
          <w:sz w:val="24"/>
          <w:szCs w:val="24"/>
          <w:highlight w:val="none"/>
          <w:shd w:val="clear" w:color="auto" w:fill="ffffff"/>
          <w:lang w:val="pt-BR" w:bidi="pt-BR"/>
        </w:rPr>
        <w:t xml:space="preserve">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vù</w:t>
      </w:r>
      <w:r>
        <w:rPr>
          <w:rFonts w:ascii="Times New Roman" w:hAnsi="Times New Roman" w:eastAsia="Times New Roman" w:cs="Times New Roman"/>
          <w:sz w:val="24"/>
          <w:szCs w:val="24"/>
          <w:highlight w:val="none"/>
          <w:shd w:val="clear" w:color="auto" w:fill="ffffff"/>
          <w:lang w:val="pt-BR" w:bidi="pt-BR"/>
        </w:rPr>
        <w:t xml:space="preserve">ng hỗ trợ giao dịch, khác xa giai đoạn "cú sốc kép" năm 2022.</w:t>
      </w:r>
      <w:r>
        <w:rPr>
          <w:rFonts w:ascii="Times New Roman" w:hAnsi="Times New Roman" w:eastAsia="Times New Roman" w:cs="Times New Roman"/>
          <w:sz w:val="24"/>
          <w:szCs w:val="24"/>
          <w:highlight w:val="none"/>
          <w:shd w:val="clear" w:color="auto" w:fill="ffffff"/>
          <w:lang w:val="pt-BR" w:bidi="pt-BR"/>
        </w:rPr>
      </w:r>
      <w:r>
        <w:rPr>
          <w:rFonts w:ascii="Times New Roman" w:hAnsi="Times New Roman" w:eastAsia="Times New Roman" w:cs="Times New Roman"/>
          <w:sz w:val="24"/>
          <w:szCs w:val="24"/>
          <w:highlight w:val="none"/>
          <w:shd w:val="clear" w:color="auto" w:fill="ffffff"/>
          <w:lang w:val="pt-BR"/>
        </w:rPr>
      </w:r>
    </w:p>
    <w:p>
      <w:pPr>
        <w:pBdr/>
        <w:tabs>
          <w:tab w:val="left" w:leader="none" w:pos="426"/>
        </w:tabs>
        <w:spacing w:after="120" w:before="120" w:line="276" w:lineRule="auto"/>
        <w:ind/>
        <w:jc w:val="center"/>
        <w:rPr>
          <w:rFonts w:ascii="Times New Roman" w:hAnsi="Times New Roman" w:cs="Times New Roman"/>
          <w:bCs/>
          <w:i/>
          <w:sz w:val="24"/>
          <w:szCs w:val="24"/>
          <w:highlight w:val="none"/>
        </w:rPr>
      </w:pPr>
      <w:r>
        <w:rPr>
          <w:rFonts w:ascii="Times New Roman" w:hAnsi="Times New Roman" w:eastAsia="Times New Roman" w:cs="Times New Roman"/>
          <w:i/>
          <w:iCs/>
          <w:sz w:val="24"/>
          <w:szCs w:val="24"/>
          <w:highlight w:val="none"/>
          <w:shd w:val="clear" w:color="auto" w:fill="ffffff"/>
          <w:lang w:val="pt-BR" w:bidi="pt-BR"/>
        </w:rPr>
      </w:r>
      <w:r>
        <w:rPr>
          <w:rFonts w:ascii="Times New Roman" w:hAnsi="Times New Roman" w:eastAsia="Times New Roman" w:cs="Times New Roman"/>
          <w:i/>
          <w:iCs/>
          <w:sz w:val="24"/>
          <w:szCs w:val="24"/>
          <w:highlight w:val="none"/>
          <w:shd w:val="clear" w:color="auto" w:fill="ffffff"/>
          <w:lang w:val="pt-BR" w:bidi="pt-BR"/>
        </w:rPr>
        <w:t xml:space="preserve">(Nguồn: https://thanglong.chinhphu.vn/buc-tranh-thi-truong-bat-dong-san-ha-noi-nam-2026-ha-tang-dan-dat-thi-truong-buoc-vao-chu-ky-tang-truong-moi-103260101181315972.htm)</w:t>
      </w:r>
      <w:r>
        <w:rPr>
          <w:rFonts w:ascii="Times New Roman" w:hAnsi="Times New Roman" w:cs="Times New Roman"/>
          <w:bCs/>
          <w:i/>
          <w:sz w:val="24"/>
          <w:szCs w:val="24"/>
          <w:highlight w:val="none"/>
        </w:rPr>
      </w:r>
      <w:r>
        <w:rPr>
          <w:rFonts w:ascii="Times New Roman" w:hAnsi="Times New Roman" w:cs="Times New Roman"/>
          <w:bCs/>
          <w:i/>
          <w:sz w:val="24"/>
          <w:szCs w:val="24"/>
          <w:highlight w:val="none"/>
        </w:rPr>
      </w:r>
    </w:p>
    <w:p>
      <w:pPr>
        <w:pStyle w:val="1028"/>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và tài sản gắn liền với đất tại thửa đất số: TT9-A26(10), tờ bản đồ số 00 có địa chỉ: Khu đô thị Văn Quán - Yên Phúc, phường Văn Quán, quận Hà Đông, thành phố Hà Nội (Nay là Phường Hà Đông, thành phố Hà Nội) theo Giấy c</w:t>
            </w:r>
            <w:r>
              <w:rPr>
                <w:b/>
                <w:bCs/>
                <w:color w:val="000000"/>
              </w:rPr>
              <w:t xml:space="preserve">hứng nhận quyền sử dụng đất quyền sở hữu nhà ở và tài sản khác gắn liền với đất số: BB 466935, số vào sổ cấp GCN: CS-HĐO 02339 do Sở Tài nguyên và Môi trường Thành phố Hà Nội cấp ngày 03/12/2015; Chủ sử dụng đất là Ông Nguyễn Duy Hưng và Bà Nguyễn Thị Hồng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TT9-A26(10)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00</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Khu đô thị Văn Quán - Yên Phúc, phường Văn Quán, quận Hà Đông, thành phố Hà Nội (Nay là Phường Hà Đông, thành phố Hà Nội)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81,4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chuyển nhượng đất được Nhà nước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rFonts w:ascii="Times New Roman" w:hAnsi="Times New Roman" w:cs="Times New Roman"/>
                <w:color w:val="000000"/>
                <w:sz w:val="24"/>
                <w:szCs w:val="24"/>
                <w:highlight w:val="none"/>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81b3a"/>
                <w:spacing w:val="3"/>
                <w:sz w:val="24"/>
                <w:szCs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81b3a"/>
                <w:spacing w:val="3"/>
                <w:sz w:val="24"/>
                <w:szCs w:val="24"/>
                <w:highlight w:val="white"/>
              </w:rPr>
              <w:t xml:space="preserve">định vị trí tài sản thuộc quy hoạch đất ở.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highlight w:val="none"/>
              </w:rPr>
            </w:r>
          </w:p>
          <w:p>
            <w:pPr>
              <w:pBdr/>
              <w:spacing/>
              <w:ind/>
              <w:jc w:val="both"/>
              <w:rPr>
                <w:color w:val="000000"/>
              </w:rPr>
            </w:pPr>
            <w:r>
              <w:rPr>
                <w:color w:val="000000"/>
                <w:highlight w:val="none"/>
              </w:rPr>
            </w:r>
            <w:r>
              <mc:AlternateContent>
                <mc:Choice Requires="wpg">
                  <w:drawing>
                    <wp:inline xmlns:wp="http://schemas.openxmlformats.org/drawingml/2006/wordprocessingDrawing" distT="0" distB="0" distL="0" distR="0">
                      <wp:extent cx="3854661" cy="228863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27247" name=""/>
                              <pic:cNvPicPr>
                                <a:picLocks noChangeAspect="1"/>
                              </pic:cNvPicPr>
                              <pic:nvPr/>
                            </pic:nvPicPr>
                            <pic:blipFill rotWithShape="1">
                              <a:blip r:embed="rId17"/>
                              <a:stretch/>
                            </pic:blipFill>
                            <pic:spPr bwMode="auto">
                              <a:xfrm flipH="0" flipV="0">
                                <a:off x="0" y="0"/>
                                <a:ext cx="3854660" cy="22886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3.52pt;height:180.21pt;mso-wrap-distance-left:0.00pt;mso-wrap-distance-top:0.00pt;mso-wrap-distance-right:0.00pt;mso-wrap-distance-bottom:0.00pt;z-index:1;" stroked="false">
                      <v:imagedata r:id="rId17" o:title=""/>
                      <o:lock v:ext="edit" rotation="t"/>
                    </v:shape>
                  </w:pict>
                </mc:Fallback>
              </mc:AlternateContent>
            </w:r>
            <w:r>
              <w:rPr>
                <w:color w:val="000000"/>
                <w:highlight w:val="none"/>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nội khu</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7m +vỉa hè 2 bên</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7m +vỉa hè 2 bên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đường Nguyễn Khuyến khoảng 50m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spacing/>
              <w:ind/>
              <w:rPr>
                <w:color w:val="000000" w:themeColor="text1"/>
                <w:highlight w:val="none"/>
              </w:rPr>
            </w:pPr>
            <w:r>
              <w:rPr>
                <w:color w:val="000000" w:themeColor="text1"/>
              </w:rPr>
              <w:t xml:space="preserve">Hướng Tây Bắc: Tiếp giáp với đường nội khu</w:t>
            </w:r>
            <w:r>
              <w:rPr>
                <w:color w:val="000000" w:themeColor="text1"/>
              </w:rPr>
            </w:r>
            <w:r>
              <w:rPr>
                <w:color w:val="000000" w:themeColor="text1"/>
                <w:highlight w:val="none"/>
              </w:rPr>
            </w:r>
          </w:p>
          <w:p>
            <w:pPr>
              <w:pBdr/>
              <w:spacing/>
              <w:ind/>
              <w:rPr>
                <w:color w:val="000000" w:themeColor="text1"/>
              </w:rPr>
            </w:pPr>
            <w:r>
              <w:rPr>
                <w:color w:val="000000" w:themeColor="text1"/>
                <w:highlight w:val="none"/>
              </w:rPr>
              <w:t xml:space="preserve">Các hướng khác: Tiếp giáp với các thửa đất khác</w:t>
            </w:r>
            <w:r>
              <w:rPr>
                <w:color w:val="000000" w:themeColor="text1"/>
                <w:highlight w:val="none"/>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(20.976888888889, 105.78772222222)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476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476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52.50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81.,4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4,4</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18,5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 </w:t>
            </w:r>
            <w:r>
              <w:rPr>
                <w:color w:val="000000"/>
              </w:rPr>
              <w:t xml:space="preserve">Tại thời điểm khảo sát dưới sự hướng dẫn của Khách hàng, CTXD gắn liền với đất là nhà 4 tầng 1 tum. Diện tích xây dựng khoảng 59,2; diện tích sàn khoảng 266m² hoàn thiện năm 2015. Công</w:t>
            </w:r>
            <w:r>
              <w:rPr>
                <w:color w:val="000000"/>
              </w:rPr>
              <w:t xml:space="preserve"> trình xây dựng thực tế khác với công trình được chứng nhận trên sổ là nhà 4 tầng diện tích xây dựng 59,2m², diện tích sàn 226,7m². Theo đề nghị của khách hàng/ngân hàng, tổ thẩm định xác định giá trị của công trình xây dựng theo thông tin trên GCN và coi </w:t>
            </w:r>
            <w:r>
              <w:t xml:space="preserve">phần diện tích, công trình hoặc hạng mục thực tế khác biệt được hình thành và sử dụng hợp pháp, không có tranh chấp, phù hợp với quy hoạch và được cơ quan có thẩm quyền chấp thuận/công nhận. </w:t>
            </w:r>
            <w:r>
              <w:t xml:space="preserve">Kính đề nghị đơn vị sử dụng kết quả lưu ý.</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2"/>
        <w:jc w:val="center"/>
        <w:tblW w:w="0" w:type="auto"/>
        <w:tblBorders/>
        <w:tblLayout w:type="fixed"/>
        <w:tblLook w:val="04A0" w:firstRow="1" w:lastRow="0" w:firstColumn="1" w:lastColumn="0" w:noHBand="0" w:noVBand="1"/>
      </w:tblPr>
      <w:tblGrid>
        <w:gridCol w:w="873"/>
        <w:gridCol w:w="1559"/>
        <w:gridCol w:w="1984"/>
        <w:gridCol w:w="1984"/>
        <w:gridCol w:w="1417"/>
        <w:gridCol w:w="1697"/>
      </w:tblGrid>
      <w:tr>
        <w:trPr>
          <w:jc w:val="center"/>
        </w:trPr>
        <w:tc>
          <w:tcPr>
            <w:tcBorders/>
            <w:tcW w:w="873" w:type="dxa"/>
            <w:vAlign w:val="center"/>
            <w:textDirection w:val="lrTb"/>
            <w:noWrap w:val="false"/>
          </w:tcPr>
          <w:p>
            <w:pPr>
              <w:pBdr/>
              <w:spacing/>
              <w:ind/>
              <w:jc w:val="center"/>
              <w:rPr>
                <w:b/>
                <w:bCs/>
              </w:rPr>
            </w:pPr>
            <w:r>
              <w:rPr>
                <w:b/>
                <w:bCs/>
              </w:rPr>
              <w:t xml:space="preserve">STT</w:t>
            </w:r>
            <w:r>
              <w:rPr>
                <w:b/>
                <w:bCs/>
              </w:rPr>
            </w:r>
            <w:r>
              <w:rPr>
                <w:b/>
                <w:bCs/>
              </w:rPr>
            </w:r>
          </w:p>
        </w:tc>
        <w:tc>
          <w:tcPr>
            <w:tcBorders/>
            <w:tcW w:w="1559"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984"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984"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417"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1697"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873" w:type="dxa"/>
            <w:vAlign w:val="center"/>
            <w:textDirection w:val="lrTb"/>
            <w:noWrap w:val="false"/>
          </w:tcPr>
          <w:p>
            <w:pPr>
              <w:pBdr/>
              <w:spacing/>
              <w:ind/>
              <w:jc w:val="center"/>
              <w:rPr/>
            </w:pPr>
            <w:r>
              <w:t xml:space="preserve">1</w:t>
            </w:r>
            <w:r/>
          </w:p>
        </w:tc>
        <w:tc>
          <w:tcPr>
            <w:tcBorders/>
            <w:tcW w:w="1559" w:type="dxa"/>
            <w:vAlign w:val="center"/>
            <w:textDirection w:val="lrTb"/>
            <w:noWrap w:val="false"/>
          </w:tcPr>
          <w:p>
            <w:pPr>
              <w:pBdr/>
              <w:spacing/>
              <w:ind/>
              <w:jc w:val="center"/>
              <w:rPr/>
            </w:pPr>
            <w:r>
              <w:t xml:space="preserve">Địa chỉ trên sổ</w:t>
            </w:r>
            <w:r/>
          </w:p>
        </w:tc>
        <w:tc>
          <w:tcPr>
            <w:tcBorders/>
            <w:tcW w:w="1984"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Khu đô thị Văn Quán - Yên Phúc, phường Văn Quán, quận Hà Đông, thành phố Hà Nội .</w:t>
            </w:r>
            <w:r/>
          </w:p>
        </w:tc>
        <w:tc>
          <w:tcPr>
            <w:tcBorders/>
            <w:tcW w:w="1984" w:type="dxa"/>
            <w:vAlign w:val="center"/>
            <w:textDirection w:val="lrTb"/>
            <w:noWrap w:val="false"/>
          </w:tcPr>
          <w:p>
            <w:pPr>
              <w:pBdr/>
              <w:spacing/>
              <w:ind/>
              <w:jc w:val="center"/>
              <w:rPr/>
            </w:pPr>
            <w:r>
              <w:rPr>
                <w:rFonts w:ascii="Times New Roman" w:hAnsi="Times New Roman" w:eastAsia="Times New Roman" w:cs="Times New Roman"/>
                <w:color w:val="000000"/>
                <w:sz w:val="24"/>
              </w:rPr>
              <w:t xml:space="preserve">Nay là Phường Hà Đông, thành phố Hà Nội</w:t>
            </w:r>
            <w:r/>
          </w:p>
        </w:tc>
        <w:tc>
          <w:tcPr>
            <w:tcBorders/>
            <w:tcW w:w="1417" w:type="dxa"/>
            <w:vAlign w:val="center"/>
            <w:textDirection w:val="lrTb"/>
            <w:noWrap w:val="false"/>
          </w:tcPr>
          <w:p>
            <w:pPr>
              <w:pBdr/>
              <w:spacing/>
              <w:ind/>
              <w:jc w:val="center"/>
              <w:rPr/>
            </w:pPr>
            <w:r>
              <w:t xml:space="preserve">Có</w:t>
            </w:r>
            <w:r/>
          </w:p>
        </w:tc>
        <w:tc>
          <w:tcPr>
            <w:tcBorders/>
            <w:tcW w:w="1697" w:type="dxa"/>
            <w:vAlign w:val="center"/>
            <w:textDirection w:val="lrTb"/>
            <w:noWrap w:val="false"/>
          </w:tcPr>
          <w:p>
            <w:pPr>
              <w:pBdr/>
              <w:spacing/>
              <w:ind/>
              <w:jc w:val="center"/>
              <w:rPr/>
            </w:pPr>
            <w:r>
              <w:t xml:space="preserve">Thay đổi địa giới hành chính sau sát nhập</w:t>
            </w:r>
            <w:r/>
          </w:p>
        </w:tc>
      </w:tr>
      <w:tr>
        <w:trPr>
          <w:jc w:val="center"/>
        </w:trPr>
        <w:tc>
          <w:tcPr>
            <w:tcBorders/>
            <w:tcW w:w="873" w:type="dxa"/>
            <w:vAlign w:val="center"/>
            <w:textDirection w:val="lrTb"/>
            <w:noWrap w:val="false"/>
          </w:tcPr>
          <w:p>
            <w:pPr>
              <w:pBdr/>
              <w:spacing/>
              <w:ind/>
              <w:jc w:val="center"/>
              <w:rPr/>
            </w:pPr>
            <w:r>
              <w:t xml:space="preserve">2</w:t>
            </w:r>
            <w:r/>
          </w:p>
        </w:tc>
        <w:tc>
          <w:tcPr>
            <w:tcBorders/>
            <w:tcW w:w="1559" w:type="dxa"/>
            <w:vAlign w:val="center"/>
            <w:textDirection w:val="lrTb"/>
            <w:noWrap w:val="false"/>
          </w:tcPr>
          <w:p>
            <w:pPr>
              <w:pBdr/>
              <w:spacing/>
              <w:ind/>
              <w:jc w:val="center"/>
              <w:rPr/>
            </w:pPr>
            <w:r>
              <w:t xml:space="preserve">Pháp lý</w:t>
            </w:r>
            <w:r/>
          </w:p>
        </w:tc>
        <w:tc>
          <w:tcPr>
            <w:tcBorders/>
            <w:tcW w:w="1984"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984"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417" w:type="dxa"/>
            <w:vAlign w:val="center"/>
            <w:textDirection w:val="lrTb"/>
            <w:noWrap w:val="false"/>
          </w:tcPr>
          <w:p>
            <w:pPr>
              <w:pBdr/>
              <w:spacing/>
              <w:ind/>
              <w:jc w:val="center"/>
              <w:rPr/>
            </w:pPr>
            <w:r>
              <w:t xml:space="preserve">Không</w:t>
            </w:r>
            <w:r/>
          </w:p>
        </w:tc>
        <w:tc>
          <w:tcPr>
            <w:tcBorders/>
            <w:tcW w:w="1697" w:type="dxa"/>
            <w:vAlign w:val="center"/>
            <w:textDirection w:val="lrTb"/>
            <w:noWrap w:val="false"/>
          </w:tcPr>
          <w:p>
            <w:pPr>
              <w:pBdr/>
              <w:spacing/>
              <w:ind/>
              <w:jc w:val="center"/>
              <w:rPr/>
            </w:pPr>
            <w:r/>
            <w:r/>
          </w:p>
        </w:tc>
      </w:tr>
      <w:tr>
        <w:trPr>
          <w:jc w:val="center"/>
        </w:trPr>
        <w:tc>
          <w:tcPr>
            <w:tcBorders/>
            <w:tcW w:w="873" w:type="dxa"/>
            <w:vAlign w:val="center"/>
            <w:textDirection w:val="lrTb"/>
            <w:noWrap w:val="false"/>
          </w:tcPr>
          <w:p>
            <w:pPr>
              <w:pBdr/>
              <w:spacing/>
              <w:ind/>
              <w:jc w:val="center"/>
              <w:rPr/>
            </w:pPr>
            <w:r>
              <w:t xml:space="preserve">3</w:t>
            </w:r>
            <w:r/>
          </w:p>
        </w:tc>
        <w:tc>
          <w:tcPr>
            <w:tcBorders/>
            <w:tcW w:w="1559" w:type="dxa"/>
            <w:vAlign w:val="center"/>
            <w:textDirection w:val="lrTb"/>
            <w:noWrap w:val="false"/>
          </w:tcPr>
          <w:p>
            <w:pPr>
              <w:pBdr/>
              <w:spacing/>
              <w:ind/>
              <w:jc w:val="center"/>
              <w:rPr/>
            </w:pPr>
            <w:r>
              <w:t xml:space="preserve">Loại đất</w:t>
            </w:r>
            <w:r/>
          </w:p>
        </w:tc>
        <w:tc>
          <w:tcPr>
            <w:tcBorders/>
            <w:tcW w:w="1984" w:type="dxa"/>
            <w:vAlign w:val="center"/>
            <w:textDirection w:val="lrTb"/>
            <w:noWrap w:val="false"/>
          </w:tcPr>
          <w:p>
            <w:pPr>
              <w:pBdr/>
              <w:spacing/>
              <w:ind/>
              <w:jc w:val="center"/>
              <w:rPr/>
            </w:pPr>
            <w:r>
              <w:t xml:space="preserve">Đất ở tại đô thị</w:t>
            </w:r>
            <w:r/>
          </w:p>
        </w:tc>
        <w:tc>
          <w:tcPr>
            <w:tcBorders/>
            <w:tcW w:w="1984" w:type="dxa"/>
            <w:vAlign w:val="center"/>
            <w:textDirection w:val="lrTb"/>
            <w:noWrap w:val="false"/>
          </w:tcPr>
          <w:p>
            <w:pPr>
              <w:pBdr/>
              <w:spacing/>
              <w:ind/>
              <w:jc w:val="center"/>
              <w:rPr/>
            </w:pPr>
            <w:r>
              <w:t xml:space="preserve">Đất ở tại đô thị ✔</w:t>
            </w:r>
            <w:r/>
          </w:p>
        </w:tc>
        <w:tc>
          <w:tcPr>
            <w:tcBorders/>
            <w:tcW w:w="1417" w:type="dxa"/>
            <w:vAlign w:val="center"/>
            <w:textDirection w:val="lrTb"/>
            <w:noWrap w:val="false"/>
          </w:tcPr>
          <w:p>
            <w:pPr>
              <w:pBdr/>
              <w:spacing/>
              <w:ind/>
              <w:jc w:val="center"/>
              <w:rPr/>
            </w:pPr>
            <w:r>
              <w:t xml:space="preserve">Không</w:t>
            </w:r>
            <w:r/>
          </w:p>
        </w:tc>
        <w:tc>
          <w:tcPr>
            <w:tcBorders/>
            <w:tcW w:w="1697" w:type="dxa"/>
            <w:vAlign w:val="center"/>
            <w:textDirection w:val="lrTb"/>
            <w:noWrap w:val="false"/>
          </w:tcPr>
          <w:p>
            <w:pPr>
              <w:pBdr/>
              <w:spacing/>
              <w:ind/>
              <w:jc w:val="center"/>
              <w:rPr/>
            </w:pPr>
            <w:r/>
            <w:r/>
          </w:p>
        </w:tc>
      </w:tr>
      <w:tr>
        <w:trPr>
          <w:jc w:val="center"/>
        </w:trPr>
        <w:tc>
          <w:tcPr>
            <w:tcBorders/>
            <w:tcW w:w="873" w:type="dxa"/>
            <w:vAlign w:val="center"/>
            <w:textDirection w:val="lrTb"/>
            <w:noWrap w:val="false"/>
          </w:tcPr>
          <w:p>
            <w:pPr>
              <w:pBdr/>
              <w:spacing/>
              <w:ind/>
              <w:jc w:val="center"/>
              <w:rPr/>
            </w:pPr>
            <w:r>
              <w:t xml:space="preserve">4</w:t>
            </w:r>
            <w:r/>
          </w:p>
        </w:tc>
        <w:tc>
          <w:tcPr>
            <w:tcBorders/>
            <w:tcW w:w="1559" w:type="dxa"/>
            <w:vAlign w:val="center"/>
            <w:textDirection w:val="lrTb"/>
            <w:noWrap w:val="false"/>
          </w:tcPr>
          <w:p>
            <w:pPr>
              <w:pBdr/>
              <w:spacing/>
              <w:ind/>
              <w:jc w:val="center"/>
              <w:rPr/>
            </w:pPr>
            <w:r>
              <w:t xml:space="preserve">Thời hạn sử dụng</w:t>
            </w:r>
            <w:r/>
          </w:p>
        </w:tc>
        <w:tc>
          <w:tcPr>
            <w:tcBorders/>
            <w:tcW w:w="1984" w:type="dxa"/>
            <w:vAlign w:val="center"/>
            <w:textDirection w:val="lrTb"/>
            <w:noWrap w:val="false"/>
          </w:tcPr>
          <w:p>
            <w:pPr>
              <w:pBdr/>
              <w:spacing/>
              <w:ind/>
              <w:jc w:val="center"/>
              <w:rPr/>
            </w:pPr>
            <w:r>
              <w:t xml:space="preserve">Lâu dài</w:t>
            </w:r>
            <w:r/>
          </w:p>
        </w:tc>
        <w:tc>
          <w:tcPr>
            <w:tcBorders/>
            <w:tcW w:w="1984" w:type="dxa"/>
            <w:vAlign w:val="center"/>
            <w:textDirection w:val="lrTb"/>
            <w:noWrap w:val="false"/>
          </w:tcPr>
          <w:p>
            <w:pPr>
              <w:pBdr/>
              <w:spacing/>
              <w:ind/>
              <w:jc w:val="center"/>
              <w:rPr/>
            </w:pPr>
            <w:r>
              <w:t xml:space="preserve">Lâu dài ✔</w:t>
            </w:r>
            <w:r/>
          </w:p>
        </w:tc>
        <w:tc>
          <w:tcPr>
            <w:tcBorders/>
            <w:tcW w:w="1417" w:type="dxa"/>
            <w:vAlign w:val="center"/>
            <w:textDirection w:val="lrTb"/>
            <w:noWrap w:val="false"/>
          </w:tcPr>
          <w:p>
            <w:pPr>
              <w:pBdr/>
              <w:spacing/>
              <w:ind/>
              <w:jc w:val="center"/>
              <w:rPr/>
            </w:pPr>
            <w:r>
              <w:t xml:space="preserve">Không</w:t>
            </w:r>
            <w:r/>
          </w:p>
        </w:tc>
        <w:tc>
          <w:tcPr>
            <w:tcBorders/>
            <w:tcW w:w="1697" w:type="dxa"/>
            <w:vAlign w:val="center"/>
            <w:textDirection w:val="lrTb"/>
            <w:noWrap w:val="false"/>
          </w:tcPr>
          <w:p>
            <w:pPr>
              <w:pBdr/>
              <w:spacing/>
              <w:ind/>
              <w:jc w:val="center"/>
              <w:rPr/>
            </w:pPr>
            <w:r/>
            <w:r/>
          </w:p>
        </w:tc>
      </w:tr>
      <w:tr>
        <w:trPr>
          <w:jc w:val="center"/>
        </w:trPr>
        <w:tc>
          <w:tcPr>
            <w:tcBorders/>
            <w:tcW w:w="873" w:type="dxa"/>
            <w:vAlign w:val="center"/>
            <w:textDirection w:val="lrTb"/>
            <w:noWrap w:val="false"/>
          </w:tcPr>
          <w:p>
            <w:pPr>
              <w:pBdr/>
              <w:spacing/>
              <w:ind/>
              <w:jc w:val="center"/>
              <w:rPr/>
            </w:pPr>
            <w:r>
              <w:t xml:space="preserve">5</w:t>
            </w:r>
            <w:r/>
          </w:p>
        </w:tc>
        <w:tc>
          <w:tcPr>
            <w:tcBorders/>
            <w:tcW w:w="1559" w:type="dxa"/>
            <w:vAlign w:val="center"/>
            <w:textDirection w:val="lrTb"/>
            <w:noWrap w:val="false"/>
          </w:tcPr>
          <w:p>
            <w:pPr>
              <w:pBdr/>
              <w:spacing/>
              <w:ind/>
              <w:jc w:val="center"/>
              <w:rPr/>
            </w:pPr>
            <w:r>
              <w:t xml:space="preserve">Diện tích</w:t>
            </w:r>
            <w:r/>
          </w:p>
        </w:tc>
        <w:tc>
          <w:tcPr>
            <w:tcBorders/>
            <w:tcW w:w="1984" w:type="dxa"/>
            <w:vAlign w:val="center"/>
            <w:textDirection w:val="lrTb"/>
            <w:noWrap w:val="false"/>
          </w:tcPr>
          <w:p>
            <w:pPr>
              <w:pBdr/>
              <w:spacing/>
              <w:ind/>
              <w:jc w:val="center"/>
              <w:rPr/>
            </w:pPr>
            <w:r>
              <w:t xml:space="preserve">81,4</w:t>
            </w:r>
            <w:r/>
          </w:p>
        </w:tc>
        <w:tc>
          <w:tcPr>
            <w:tcBorders/>
            <w:tcW w:w="1984" w:type="dxa"/>
            <w:vAlign w:val="center"/>
            <w:textDirection w:val="lrTb"/>
            <w:noWrap w:val="false"/>
          </w:tcPr>
          <w:p>
            <w:pPr>
              <w:pBdr/>
              <w:spacing/>
              <w:ind/>
              <w:jc w:val="center"/>
              <w:rPr/>
            </w:pPr>
            <w:r>
              <w:t xml:space="preserve">81,4 ✔</w:t>
            </w:r>
            <w:r/>
          </w:p>
        </w:tc>
        <w:tc>
          <w:tcPr>
            <w:tcBorders/>
            <w:tcW w:w="1417" w:type="dxa"/>
            <w:vAlign w:val="center"/>
            <w:textDirection w:val="lrTb"/>
            <w:noWrap w:val="false"/>
          </w:tcPr>
          <w:p>
            <w:pPr>
              <w:pBdr/>
              <w:spacing/>
              <w:ind/>
              <w:jc w:val="center"/>
              <w:rPr/>
            </w:pPr>
            <w:r>
              <w:t xml:space="preserve">0</w:t>
            </w:r>
            <w:r/>
          </w:p>
        </w:tc>
        <w:tc>
          <w:tcPr>
            <w:tcBorders/>
            <w:tcW w:w="1697" w:type="dxa"/>
            <w:vAlign w:val="center"/>
            <w:textDirection w:val="lrTb"/>
            <w:noWrap w:val="false"/>
          </w:tcPr>
          <w:p>
            <w:pPr>
              <w:pBdr/>
              <w:spacing/>
              <w:ind/>
              <w:jc w:val="center"/>
              <w:rPr/>
            </w:pPr>
            <w:r/>
            <w:r/>
          </w:p>
        </w:tc>
      </w:tr>
      <w:tr>
        <w:trPr>
          <w:jc w:val="center"/>
        </w:trPr>
        <w:tc>
          <w:tcPr>
            <w:tcBorders/>
            <w:tcW w:w="873" w:type="dxa"/>
            <w:vAlign w:val="center"/>
            <w:textDirection w:val="lrTb"/>
            <w:noWrap w:val="false"/>
          </w:tcPr>
          <w:p>
            <w:pPr>
              <w:pBdr/>
              <w:spacing/>
              <w:ind/>
              <w:jc w:val="center"/>
              <w:rPr/>
            </w:pPr>
            <w:r>
              <w:t xml:space="preserve">6</w:t>
            </w:r>
            <w:r/>
          </w:p>
        </w:tc>
        <w:tc>
          <w:tcPr>
            <w:tcBorders/>
            <w:tcW w:w="1559" w:type="dxa"/>
            <w:vAlign w:val="center"/>
            <w:textDirection w:val="lrTb"/>
            <w:noWrap w:val="false"/>
          </w:tcPr>
          <w:p>
            <w:pPr>
              <w:pBdr/>
              <w:spacing/>
              <w:ind/>
              <w:jc w:val="center"/>
              <w:rPr/>
            </w:pPr>
            <w:r>
              <w:t xml:space="preserve">Mặt tiền</w:t>
            </w:r>
            <w:r/>
          </w:p>
        </w:tc>
        <w:tc>
          <w:tcPr>
            <w:tcBorders/>
            <w:tcW w:w="1984" w:type="dxa"/>
            <w:vAlign w:val="center"/>
            <w:textDirection w:val="lrTb"/>
            <w:noWrap w:val="false"/>
          </w:tcPr>
          <w:p>
            <w:pPr>
              <w:pBdr/>
              <w:spacing/>
              <w:ind/>
              <w:jc w:val="center"/>
              <w:rPr/>
            </w:pPr>
            <w:r>
              <w:t xml:space="preserve">4,4</w:t>
            </w:r>
            <w:r/>
          </w:p>
        </w:tc>
        <w:tc>
          <w:tcPr>
            <w:tcBorders/>
            <w:tcW w:w="1984" w:type="dxa"/>
            <w:vAlign w:val="center"/>
            <w:textDirection w:val="lrTb"/>
            <w:noWrap w:val="false"/>
          </w:tcPr>
          <w:p>
            <w:pPr>
              <w:pBdr/>
              <w:spacing/>
              <w:ind/>
              <w:jc w:val="center"/>
              <w:rPr/>
            </w:pPr>
            <w:r>
              <w:t xml:space="preserve">4,4 ✔</w:t>
            </w:r>
            <w:r/>
          </w:p>
        </w:tc>
        <w:tc>
          <w:tcPr>
            <w:tcBorders/>
            <w:tcW w:w="1417" w:type="dxa"/>
            <w:vAlign w:val="center"/>
            <w:textDirection w:val="lrTb"/>
            <w:noWrap w:val="false"/>
          </w:tcPr>
          <w:p>
            <w:pPr>
              <w:pBdr/>
              <w:spacing/>
              <w:ind/>
              <w:jc w:val="center"/>
              <w:rPr/>
            </w:pPr>
            <w:r>
              <w:t xml:space="preserve">0</w:t>
            </w:r>
            <w:r/>
          </w:p>
        </w:tc>
        <w:tc>
          <w:tcPr>
            <w:tcBorders/>
            <w:tcW w:w="1697" w:type="dxa"/>
            <w:vAlign w:val="center"/>
            <w:textDirection w:val="lrTb"/>
            <w:noWrap w:val="false"/>
          </w:tcPr>
          <w:p>
            <w:pPr>
              <w:pBdr/>
              <w:spacing/>
              <w:ind/>
              <w:jc w:val="center"/>
              <w:rPr/>
            </w:pPr>
            <w:r/>
            <w:r/>
          </w:p>
        </w:tc>
      </w:tr>
      <w:tr>
        <w:trPr>
          <w:jc w:val="center"/>
        </w:trPr>
        <w:tc>
          <w:tcPr>
            <w:tcBorders/>
            <w:tcW w:w="873" w:type="dxa"/>
            <w:vAlign w:val="center"/>
            <w:textDirection w:val="lrTb"/>
            <w:noWrap w:val="false"/>
          </w:tcPr>
          <w:p>
            <w:pPr>
              <w:pBdr/>
              <w:spacing/>
              <w:ind/>
              <w:jc w:val="center"/>
              <w:rPr/>
            </w:pPr>
            <w:r>
              <w:t xml:space="preserve">7</w:t>
            </w:r>
            <w:r/>
          </w:p>
        </w:tc>
        <w:tc>
          <w:tcPr>
            <w:tcBorders/>
            <w:tcW w:w="1559" w:type="dxa"/>
            <w:vAlign w:val="center"/>
            <w:textDirection w:val="lrTb"/>
            <w:noWrap w:val="false"/>
          </w:tcPr>
          <w:p>
            <w:pPr>
              <w:pBdr/>
              <w:spacing/>
              <w:ind/>
              <w:jc w:val="center"/>
              <w:rPr/>
            </w:pPr>
            <w:r>
              <w:t xml:space="preserve">Chiều sâu</w:t>
            </w:r>
            <w:r/>
          </w:p>
        </w:tc>
        <w:tc>
          <w:tcPr>
            <w:tcBorders/>
            <w:tcW w:w="1984" w:type="dxa"/>
            <w:vAlign w:val="center"/>
            <w:textDirection w:val="lrTb"/>
            <w:noWrap w:val="false"/>
          </w:tcPr>
          <w:p>
            <w:pPr>
              <w:pBdr/>
              <w:spacing/>
              <w:ind/>
              <w:jc w:val="center"/>
              <w:rPr/>
            </w:pPr>
            <w:r>
              <w:t xml:space="preserve">18,5</w:t>
            </w:r>
            <w:r/>
          </w:p>
        </w:tc>
        <w:tc>
          <w:tcPr>
            <w:tcBorders/>
            <w:tcW w:w="1984" w:type="dxa"/>
            <w:vAlign w:val="center"/>
            <w:textDirection w:val="lrTb"/>
            <w:noWrap w:val="false"/>
          </w:tcPr>
          <w:p>
            <w:pPr>
              <w:pBdr/>
              <w:spacing/>
              <w:ind/>
              <w:jc w:val="center"/>
              <w:rPr/>
            </w:pPr>
            <w:r>
              <w:t xml:space="preserve">18,5 ✔</w:t>
            </w:r>
            <w:r/>
          </w:p>
        </w:tc>
        <w:tc>
          <w:tcPr>
            <w:tcBorders/>
            <w:tcW w:w="1417" w:type="dxa"/>
            <w:vAlign w:val="center"/>
            <w:textDirection w:val="lrTb"/>
            <w:noWrap w:val="false"/>
          </w:tcPr>
          <w:p>
            <w:pPr>
              <w:pBdr/>
              <w:spacing/>
              <w:ind/>
              <w:jc w:val="center"/>
              <w:rPr/>
            </w:pPr>
            <w:r>
              <w:t xml:space="preserve">0</w:t>
            </w:r>
            <w:r/>
          </w:p>
        </w:tc>
        <w:tc>
          <w:tcPr>
            <w:tcBorders/>
            <w:tcW w:w="1697" w:type="dxa"/>
            <w:vAlign w:val="center"/>
            <w:textDirection w:val="lrTb"/>
            <w:noWrap w:val="false"/>
          </w:tcPr>
          <w:p>
            <w:pPr>
              <w:pBdr/>
              <w:spacing/>
              <w:ind/>
              <w:jc w:val="center"/>
              <w:rPr/>
            </w:pPr>
            <w:r/>
            <w:r/>
          </w:p>
        </w:tc>
      </w:tr>
      <w:tr>
        <w:trPr>
          <w:jc w:val="center"/>
        </w:trPr>
        <w:tc>
          <w:tcPr>
            <w:tcBorders/>
            <w:tcW w:w="873" w:type="dxa"/>
            <w:vAlign w:val="center"/>
            <w:textDirection w:val="lrTb"/>
            <w:noWrap w:val="false"/>
          </w:tcPr>
          <w:p>
            <w:pPr>
              <w:pBdr/>
              <w:spacing/>
              <w:ind/>
              <w:jc w:val="center"/>
              <w:rPr/>
            </w:pPr>
            <w:r>
              <w:t xml:space="preserve">8</w:t>
            </w:r>
            <w:r/>
          </w:p>
        </w:tc>
        <w:tc>
          <w:tcPr>
            <w:tcBorders/>
            <w:tcW w:w="1559" w:type="dxa"/>
            <w:vAlign w:val="center"/>
            <w:textDirection w:val="lrTb"/>
            <w:noWrap w:val="false"/>
          </w:tcPr>
          <w:p>
            <w:pPr>
              <w:pBdr/>
              <w:spacing/>
              <w:ind/>
              <w:jc w:val="center"/>
              <w:rPr/>
            </w:pPr>
            <w:r>
              <w:t xml:space="preserve">Mặt tiếp giáp</w:t>
            </w:r>
            <w:r/>
          </w:p>
        </w:tc>
        <w:tc>
          <w:tcPr>
            <w:tcBorders/>
            <w:tcW w:w="1984" w:type="dxa"/>
            <w:vAlign w:val="center"/>
            <w:textDirection w:val="lrTb"/>
            <w:noWrap w:val="false"/>
          </w:tcPr>
          <w:p>
            <w:pPr>
              <w:pBdr/>
              <w:spacing/>
              <w:ind/>
              <w:jc w:val="center"/>
              <w:rPr/>
            </w:pPr>
            <w:r>
              <w:t xml:space="preserve">Tiếp giáp 1 mặt tiền</w:t>
            </w:r>
            <w:r/>
          </w:p>
        </w:tc>
        <w:tc>
          <w:tcPr>
            <w:tcBorders/>
            <w:tcW w:w="1984" w:type="dxa"/>
            <w:vAlign w:val="center"/>
            <w:textDirection w:val="lrTb"/>
            <w:noWrap w:val="false"/>
          </w:tcPr>
          <w:p>
            <w:pPr>
              <w:pBdr/>
              <w:spacing/>
              <w:ind/>
              <w:jc w:val="center"/>
              <w:rPr/>
            </w:pPr>
            <w:r>
              <w:t xml:space="preserve">Tiếp giáp 1 mặt tiền ✔</w:t>
            </w:r>
            <w:r/>
          </w:p>
        </w:tc>
        <w:tc>
          <w:tcPr>
            <w:tcBorders/>
            <w:tcW w:w="1417" w:type="dxa"/>
            <w:vAlign w:val="center"/>
            <w:textDirection w:val="lrTb"/>
            <w:noWrap w:val="false"/>
          </w:tcPr>
          <w:p>
            <w:pPr>
              <w:pBdr/>
              <w:spacing/>
              <w:ind/>
              <w:jc w:val="center"/>
              <w:rPr/>
            </w:pPr>
            <w:r>
              <w:t xml:space="preserve">Không</w:t>
            </w:r>
            <w:r/>
          </w:p>
        </w:tc>
        <w:tc>
          <w:tcPr>
            <w:tcBorders/>
            <w:tcW w:w="1697" w:type="dxa"/>
            <w:vAlign w:val="center"/>
            <w:textDirection w:val="lrTb"/>
            <w:noWrap w:val="false"/>
          </w:tcPr>
          <w:p>
            <w:pPr>
              <w:pBdr/>
              <w:spacing/>
              <w:ind/>
              <w:jc w:val="center"/>
              <w:rPr/>
            </w:pPr>
            <w:r/>
            <w:r/>
          </w:p>
        </w:tc>
      </w:tr>
      <w:tr>
        <w:trPr>
          <w:jc w:val="center"/>
        </w:trPr>
        <w:tc>
          <w:tcPr>
            <w:tcBorders/>
            <w:tcW w:w="873" w:type="dxa"/>
            <w:vAlign w:val="center"/>
            <w:textDirection w:val="lrTb"/>
            <w:noWrap w:val="false"/>
          </w:tcPr>
          <w:p>
            <w:pPr>
              <w:pBdr/>
              <w:spacing/>
              <w:ind/>
              <w:jc w:val="center"/>
              <w:rPr/>
            </w:pPr>
            <w:r>
              <w:t xml:space="preserve">9</w:t>
            </w:r>
            <w:r/>
          </w:p>
        </w:tc>
        <w:tc>
          <w:tcPr>
            <w:tcBorders/>
            <w:tcW w:w="1559" w:type="dxa"/>
            <w:vAlign w:val="center"/>
            <w:textDirection w:val="lrTb"/>
            <w:noWrap w:val="false"/>
          </w:tcPr>
          <w:p>
            <w:pPr>
              <w:pBdr/>
              <w:spacing/>
              <w:ind/>
              <w:jc w:val="center"/>
              <w:rPr/>
            </w:pPr>
            <w:r>
              <w:t xml:space="preserve">Hình dạng thửa đất</w:t>
            </w:r>
            <w:r/>
          </w:p>
        </w:tc>
        <w:tc>
          <w:tcPr>
            <w:tcBorders/>
            <w:tcW w:w="1984" w:type="dxa"/>
            <w:vAlign w:val="center"/>
            <w:textDirection w:val="lrTb"/>
            <w:noWrap w:val="false"/>
          </w:tcPr>
          <w:p>
            <w:pPr>
              <w:pBdr/>
              <w:spacing/>
              <w:ind/>
              <w:jc w:val="center"/>
              <w:rPr/>
            </w:pPr>
            <w:r>
              <w:t xml:space="preserve">Hình chữ nhật</w:t>
            </w:r>
            <w:r/>
          </w:p>
        </w:tc>
        <w:tc>
          <w:tcPr>
            <w:tcBorders/>
            <w:tcW w:w="1984" w:type="dxa"/>
            <w:vAlign w:val="center"/>
            <w:textDirection w:val="lrTb"/>
            <w:noWrap w:val="false"/>
          </w:tcPr>
          <w:p>
            <w:pPr>
              <w:pBdr/>
              <w:spacing/>
              <w:ind/>
              <w:jc w:val="center"/>
              <w:rPr/>
            </w:pPr>
            <w:r>
              <w:t xml:space="preserve">Hình chữ nhật ✔</w:t>
            </w:r>
            <w:r/>
          </w:p>
        </w:tc>
        <w:tc>
          <w:tcPr>
            <w:tcBorders/>
            <w:tcW w:w="1417" w:type="dxa"/>
            <w:vAlign w:val="center"/>
            <w:textDirection w:val="lrTb"/>
            <w:noWrap w:val="false"/>
          </w:tcPr>
          <w:p>
            <w:pPr>
              <w:pBdr/>
              <w:spacing/>
              <w:ind/>
              <w:jc w:val="center"/>
              <w:rPr/>
            </w:pPr>
            <w:r>
              <w:t xml:space="preserve">Không</w:t>
            </w:r>
            <w:r/>
          </w:p>
        </w:tc>
        <w:tc>
          <w:tcPr>
            <w:tcBorders/>
            <w:tcW w:w="1697" w:type="dxa"/>
            <w:vAlign w:val="center"/>
            <w:textDirection w:val="lrTb"/>
            <w:noWrap w:val="false"/>
          </w:tcPr>
          <w:p>
            <w:pPr>
              <w:pBdr/>
              <w:spacing/>
              <w:ind/>
              <w:jc w:val="center"/>
              <w:rPr/>
            </w:pPr>
            <w:r/>
            <w:r/>
          </w:p>
        </w:tc>
      </w:tr>
      <w:tr>
        <w:trPr>
          <w:jc w:val="center"/>
        </w:trPr>
        <w:tc>
          <w:tcPr>
            <w:tcBorders/>
            <w:tcW w:w="873" w:type="dxa"/>
            <w:vAlign w:val="center"/>
            <w:textDirection w:val="lrTb"/>
            <w:noWrap w:val="false"/>
          </w:tcPr>
          <w:p>
            <w:pPr>
              <w:pBdr/>
              <w:spacing/>
              <w:ind/>
              <w:jc w:val="center"/>
              <w:rPr/>
            </w:pPr>
            <w:r>
              <w:t xml:space="preserve">10</w:t>
            </w:r>
            <w:r/>
          </w:p>
        </w:tc>
        <w:tc>
          <w:tcPr>
            <w:tcBorders/>
            <w:tcW w:w="1559" w:type="dxa"/>
            <w:vAlign w:val="center"/>
            <w:textDirection w:val="lrTb"/>
            <w:noWrap w:val="false"/>
          </w:tcPr>
          <w:p>
            <w:pPr>
              <w:pBdr/>
              <w:spacing/>
              <w:ind/>
              <w:jc w:val="center"/>
              <w:rPr/>
            </w:pPr>
            <w:r>
              <w:t xml:space="preserve">Hướng</w:t>
            </w:r>
            <w:r/>
          </w:p>
        </w:tc>
        <w:tc>
          <w:tcPr>
            <w:tcBorders/>
            <w:tcW w:w="1984" w:type="dxa"/>
            <w:vAlign w:val="center"/>
            <w:textDirection w:val="lrTb"/>
            <w:noWrap w:val="false"/>
          </w:tcPr>
          <w:p>
            <w:pPr>
              <w:pBdr/>
              <w:spacing/>
              <w:ind/>
              <w:jc w:val="center"/>
              <w:rPr/>
            </w:pPr>
            <w:r>
              <w:t xml:space="preserve">Tây Bắc</w:t>
            </w:r>
            <w:r/>
          </w:p>
        </w:tc>
        <w:tc>
          <w:tcPr>
            <w:tcBorders/>
            <w:tcW w:w="1984" w:type="dxa"/>
            <w:vAlign w:val="center"/>
            <w:textDirection w:val="lrTb"/>
            <w:noWrap w:val="false"/>
          </w:tcPr>
          <w:p>
            <w:pPr>
              <w:pBdr/>
              <w:spacing/>
              <w:ind/>
              <w:jc w:val="center"/>
              <w:rPr/>
            </w:pPr>
            <w:r>
              <w:t xml:space="preserve">Tây Bắc ✔</w:t>
            </w:r>
            <w:r/>
          </w:p>
        </w:tc>
        <w:tc>
          <w:tcPr>
            <w:tcBorders/>
            <w:tcW w:w="1417" w:type="dxa"/>
            <w:vAlign w:val="center"/>
            <w:textDirection w:val="lrTb"/>
            <w:noWrap w:val="false"/>
          </w:tcPr>
          <w:p>
            <w:pPr>
              <w:pBdr/>
              <w:spacing/>
              <w:ind/>
              <w:jc w:val="center"/>
              <w:rPr/>
            </w:pPr>
            <w:r>
              <w:t xml:space="preserve">Có</w:t>
            </w:r>
            <w:r/>
          </w:p>
        </w:tc>
        <w:tc>
          <w:tcPr>
            <w:tcBorders/>
            <w:tcW w:w="1697" w:type="dxa"/>
            <w:vAlign w:val="center"/>
            <w:textDirection w:val="lrTb"/>
            <w:noWrap w:val="false"/>
          </w:tcPr>
          <w:p>
            <w:pPr>
              <w:pBdr/>
              <w:spacing/>
              <w:ind/>
              <w:jc w:val="center"/>
              <w:rPr/>
            </w:pPr>
            <w:r/>
            <w:r/>
          </w:p>
        </w:tc>
      </w:tr>
    </w:tbl>
    <w:p>
      <w:pPr>
        <w:pBdr/>
        <w:spacing w:line="235" w:lineRule="auto"/>
        <w:ind w:left="284"/>
        <w:jc w:val="both"/>
        <w:rPr>
          <w:b/>
          <w:bCs/>
          <w:u w:val="single"/>
        </w:rPr>
      </w:pPr>
      <w:r>
        <w:rPr>
          <w:b/>
          <w:bCs/>
          <w:highlight w:val="none"/>
          <w:u w:val="single"/>
        </w:rPr>
      </w:r>
      <w:r>
        <w:rPr>
          <w:b/>
          <w:bCs/>
          <w:highlight w:val="none"/>
          <w:u w:val="single"/>
        </w:rPr>
      </w:r>
      <w:r>
        <w:rPr>
          <w:b/>
          <w:bCs/>
          <w:highlight w:val="none"/>
          <w:u w:val="single"/>
        </w:rPr>
      </w:r>
    </w:p>
    <w:p>
      <w:pPr>
        <w:pBdr/>
        <w:spacing w:line="235" w:lineRule="auto"/>
        <w:ind w:left="284"/>
        <w:jc w:val="both"/>
        <w:rPr>
          <w:b/>
          <w:bCs/>
          <w:highlight w:val="none"/>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r>
        <w:rPr>
          <w:b/>
          <w:bCs/>
          <w:u w:val="single"/>
        </w:rPr>
      </w:r>
      <w:r>
        <w:rPr>
          <w:b/>
          <w:bCs/>
          <w:u w:val="single"/>
        </w:rPr>
      </w:r>
      <w:r>
        <w:rPr>
          <w:b/>
          <w:bCs/>
          <w:u w:val="single"/>
        </w:rPr>
      </w:r>
      <w:r>
        <w:rPr>
          <w:b/>
          <w:bCs/>
          <w:highlight w:val="non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6407"/>
        <w:gridCol w:w="1134"/>
        <w:gridCol w:w="1418"/>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134"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418"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6407"/>
        <w:gridCol w:w="1134"/>
        <w:gridCol w:w="1418"/>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134"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418"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1418"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8"/>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8"/>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8"/>
        <w:numPr>
          <w:ilvl w:val="0"/>
          <w:numId w:val="3"/>
        </w:numPr>
        <w:pBdr/>
        <w:tabs>
          <w:tab w:val="left" w:leader="none" w:pos="993"/>
        </w:tabs>
        <w:spacing w:after="120" w:before="120" w:line="264" w:lineRule="auto"/>
        <w:ind/>
        <w:jc w:val="both"/>
        <w:rPr>
          <w:spacing w:val="-2"/>
          <w:lang w:val="pt-BR"/>
          <w14:ligatures w14:val="none"/>
        </w:rPr>
      </w:pPr>
      <w:r>
        <w:rPr>
          <w:spacing w:val="-2"/>
          <w:lang w:val="pt-BR" w:bidi="pt-BR"/>
        </w:rPr>
      </w:r>
      <w:r>
        <w:rPr>
          <w:spacing w:val="-2"/>
          <w:lang w:val="pt-BR"/>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spacing w:val="-2"/>
          <w:lang w:val="pt-BR"/>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spacing w:val="-2"/>
          <w:lang w:val="pt-BR"/>
        </w:rPr>
        <w:t xml:space="preserve"> nhận rõ tình trạng quy hoạch thì kết quả thẩm định giá cần được xem xét, điều chỉnh phù hợp, đồng thời chúng tôi bảo lưu quyền xem xét lại kết quả thẩm định giá.</w:t>
      </w:r>
      <w:r>
        <w:rPr>
          <w:spacing w:val="-2"/>
          <w:lang w:val="pt-BR"/>
        </w:rPr>
      </w:r>
      <w:r>
        <w:rPr>
          <w:spacing w:val="-2"/>
          <w:lang w:val="pt-BR"/>
          <w14:ligatures w14:val="none"/>
        </w:rPr>
      </w:r>
    </w:p>
    <w:p>
      <w:pPr>
        <w:pStyle w:val="1028"/>
        <w:numPr>
          <w:ilvl w:val="0"/>
          <w:numId w:val="3"/>
        </w:numPr>
        <w:pBdr/>
        <w:tabs>
          <w:tab w:val="left" w:leader="none" w:pos="993"/>
        </w:tabs>
        <w:spacing w:after="120" w:before="120" w:line="264" w:lineRule="auto"/>
        <w:ind/>
        <w:jc w:val="both"/>
        <w:rPr>
          <w:spacing w:val="-2"/>
          <w:lang w:val="pt-BR"/>
          <w14:ligatures w14:val="none"/>
        </w:rPr>
      </w:pPr>
      <w:r>
        <w:rPr>
          <w:spacing w:val="-2"/>
          <w:lang w:val="pt-BR" w:bidi="pt-BR"/>
        </w:rPr>
      </w:r>
      <w:r>
        <w:rPr>
          <w:color w:val="000000"/>
        </w:rPr>
      </w:r>
      <w:r>
        <w:rPr>
          <w:color w:val="000000"/>
        </w:rPr>
        <w:t xml:space="preserve">Tại thời điểm khảo sát dưới sự hướng dẫn của Khách hàng, CTXD gắn liền với đất là nhà 4 tầng 1 tum. Diện tích xây dựng khoảng 59,2</w:t>
      </w:r>
      <w:r>
        <w:rPr>
          <w:color w:val="000000"/>
        </w:rPr>
        <w:t xml:space="preserve">m² </w:t>
      </w:r>
      <w:r/>
      <w:r>
        <w:rPr>
          <w:color w:val="000000"/>
        </w:rPr>
        <w:t xml:space="preserve">; diện tích sàn khoảng 266m² hoàn thiện năm 2015. Công</w:t>
      </w:r>
      <w:r>
        <w:rPr>
          <w:color w:val="000000"/>
        </w:rPr>
        <w:t xml:space="preserve"> trình xây dựng thực tế khác với công trình được chứng nhận trên sổ là nhà 4 tầng diện tích xây dựng 59,2m², diện tích sàn 226,7m². Theo đề nghị của khách hàng/ngân hàng, tổ thẩm định xác định giá trị của công trình xây dựng theo thông tin trên GCN và coi </w:t>
      </w:r>
      <w:r>
        <w:t xml:space="preserve">phần diện tích, công trình hoặc hạng mục thực tế khác biệt được hình thành và sử dụng hợp pháp, không có tranh chấp, phù hợp với quy hoạch và được cơ quan có thẩm quyền chấp thuận/công nhận. </w:t>
      </w:r>
      <w:r>
        <w:t xml:space="preserve">Kính đề nghị đơn vị sử dụng kết quả lưu ý.</w:t>
      </w:r>
      <w:r/>
      <w:r>
        <w:rPr>
          <w:spacing w:val="-2"/>
          <w:lang w:val="pt-BR" w:bidi="pt-BR"/>
        </w:rPr>
      </w:r>
      <w:r>
        <w:rPr>
          <w:spacing w:val="-2"/>
          <w:lang w:val="pt-BR"/>
          <w14:ligatures w14:val="none"/>
        </w:rPr>
      </w:r>
    </w:p>
    <w:p>
      <w:pPr>
        <w:pStyle w:val="1028"/>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8"/>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8"/>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8"/>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8"/>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8"/>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8"/>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8"/>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8"/>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8"/>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28"/>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8"/>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8"/>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28"/>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Ind w:w="28" w:type="dxa"/>
        <w:tblW w:w="0" w:type="auto"/>
        <w:tblBorders/>
        <w:tblLayout w:type="fixed"/>
        <w:tblLook w:val="04A0" w:firstRow="1" w:lastRow="0" w:firstColumn="1" w:lastColumn="0" w:noHBand="0" w:noVBand="1"/>
      </w:tblPr>
      <w:tblGrid>
        <w:gridCol w:w="676"/>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676"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Khu đô thị Văn Quán - Yên Phúc,  Phường Hà Đông,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r>
            <w:r>
              <w:rPr>
                <w:rFonts w:ascii="Times New Roman" w:hAnsi="Times New Roman" w:eastAsia="Times New Roman" w:cs="Times New Roman"/>
                <w:color w:val="000000"/>
                <w:sz w:val="22"/>
                <w:szCs w:val="22"/>
              </w:rPr>
              <w:t xml:space="preserve">Khu đô thị Văn Quán - Yên Phúc,  Phường Hà Đông,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r>
            <w:r>
              <w:rPr>
                <w:rFonts w:ascii="Times New Roman" w:hAnsi="Times New Roman" w:eastAsia="Times New Roman" w:cs="Times New Roman"/>
                <w:color w:val="000000"/>
                <w:sz w:val="22"/>
                <w:szCs w:val="22"/>
              </w:rPr>
              <w:t xml:space="preserve">Khu đô thị Văn Quán - Yên Phúc,  Phường Hà Đông,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r>
            <w:r>
              <w:rPr>
                <w:rFonts w:ascii="Times New Roman" w:hAnsi="Times New Roman" w:eastAsia="Times New Roman" w:cs="Times New Roman"/>
                <w:color w:val="000000"/>
                <w:sz w:val="22"/>
                <w:szCs w:val="22"/>
              </w:rPr>
              <w:t xml:space="preserve">Khu đô thị Văn Quán - Yên Phúc,  Phường Hà Đông,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https://batdongsan.com.vn/ban-nha-biet-thu-lien-ke-duong-nguyen-khuyen-phuong-van-quan-khu-do-thi-moi-van-quan/ban-phan-lo-dau-pho-quan-pr40266989?gidzl=nNdNHJ39Atp4PT13CTyZVyvlt4SjYtLurZ7U4IEB8opPEueJSOrq8jXkYKyXsdLntchRJ3JDWie8EiefVG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https://batdongsan.com.vn/ban-nha-biet-thu-lien-ke-duong-nguyen-khuyen-phuong-van-quan-15/chu-cuc-mot-giam-2-ty-ban-gap-85m-5-tang-gara-o-to-o-kinh-doanh-22-7-ty-pr46163833</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0935798188</w:t>
            </w:r>
            <w:r>
              <w:rPr>
                <w:sz w:val="22"/>
                <w:szCs w:val="22"/>
              </w:rPr>
              <w:t xml:space="preserve"> </w:t>
            </w:r>
            <w:r>
              <w:rPr>
                <w:sz w:val="22"/>
                <w:szCs w:val="22"/>
              </w:rPr>
              <w:br/>
              <w:t xml:space="preserve">(</w:t>
            </w:r>
            <w:r>
              <w:rPr>
                <w:sz w:val="22"/>
                <w:szCs w:val="22"/>
              </w:rPr>
              <w:t xml:space="preserve">Minh Đức</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0911569636</w:t>
            </w:r>
            <w:r>
              <w:rPr>
                <w:sz w:val="22"/>
                <w:szCs w:val="22"/>
              </w:rPr>
              <w:br/>
            </w:r>
            <w:r>
              <w:rPr>
                <w:sz w:val="22"/>
                <w:szCs w:val="22"/>
              </w:rPr>
              <w:t xml:space="preserve">(</w:t>
            </w:r>
            <w:r>
              <w:rPr>
                <w:sz w:val="22"/>
                <w:szCs w:val="22"/>
              </w:rPr>
              <w:t xml:space="preserve">Đức</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0968739856</w:t>
            </w:r>
            <w:r>
              <w:rPr>
                <w:sz w:val="22"/>
                <w:szCs w:val="22"/>
              </w:rPr>
              <w:br/>
            </w:r>
            <w:r>
              <w:rPr>
                <w:sz w:val="22"/>
                <w:szCs w:val="22"/>
              </w:rPr>
              <w:t xml:space="preserve">(</w:t>
            </w:r>
            <w:r>
              <w:rPr>
                <w:sz w:val="22"/>
                <w:szCs w:val="22"/>
              </w:rPr>
              <w:t xml:space="preserve">Ly</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 </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Khu đô thị Văn Quán, phường Hà Đông, Thành phố Hà Nội 20.976888888889, 105.78772222222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Khu đô thị Văn Quán, phường Hà Đông, Thành phố Hà Nội </w:t>
            </w:r>
            <w:r>
              <w:rPr>
                <w:color w:val="000000" w:themeColor="text1"/>
                <w:sz w:val="22"/>
                <w:szCs w:val="22"/>
              </w:rPr>
              <w:t xml:space="preserve">, 20.97594339999997, 105.78787616446441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Khu đô thị Văn Quán, phường Hà Đông, Thành phố Hà Nội </w:t>
            </w:r>
            <w:r>
              <w:rPr>
                <w:color w:val="000000" w:themeColor="text1"/>
                <w:sz w:val="22"/>
                <w:szCs w:val="22"/>
              </w:rPr>
              <w:t xml:space="preserve">, 20.96959215171234, 105.7898372446379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Khu đô thị Văn Quán, phường Hà Đông, Thành phố Hà Nội </w:t>
            </w:r>
            <w:r>
              <w:rPr>
                <w:color w:val="000000" w:themeColor="text1"/>
                <w:sz w:val="22"/>
                <w:szCs w:val="22"/>
              </w:rPr>
              <w:t xml:space="preserve">, 20.96953016597169, 105.78957486937242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676"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4 tầng 1 tum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4 tầng xây thô</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4 tầng</w:t>
            </w:r>
            <w:r>
              <w:rPr>
                <w:color w:val="000000" w:themeColor="text1"/>
                <w:sz w:val="22"/>
                <w:szCs w:val="22"/>
              </w:rPr>
            </w:r>
            <w:r>
              <w:rPr>
                <w:color w:val="000000" w:themeColor="text1"/>
                <w:sz w:val="22"/>
                <w:szCs w:val="22"/>
              </w:rPr>
            </w:r>
          </w:p>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676"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4,5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676"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Diện tích sàn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283,5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268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268</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17.100.000.000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16.650.000.000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20.520.000.000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1.667.834.356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1.064.237.112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1.573.307.722</w:t>
            </w:r>
            <w:r>
              <w:rPr>
                <w:color w:val="000000"/>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14:ligatures w14:val="none"/>
              </w:rPr>
            </w:pPr>
            <w:r>
              <w:rPr>
                <w:color w:val="000000"/>
                <w:sz w:val="22"/>
                <w:szCs w:val="22"/>
              </w:rPr>
              <w:t xml:space="preserve">Đơ</w:t>
            </w:r>
            <w:r>
              <w:rPr>
                <w:color w:val="000000"/>
                <w:sz w:val="22"/>
                <w:szCs w:val="22"/>
              </w:rPr>
              <w:t xml:space="preserve">n giá xây dựng theo </w:t>
            </w:r>
            <w:r>
              <w:rPr>
                <w:color w:val="000000"/>
                <w:sz w:val="22"/>
                <w:szCs w:val="22"/>
              </w:rPr>
              <w:t xml:space="preserve">Quyết định số 425/QĐ-BXD ngày 30/3/2026 của Bộ Xây dựng</w:t>
            </w:r>
            <w:r>
              <w:rPr>
                <w:color w:val="000000"/>
                <w:sz w:val="22"/>
                <w:szCs w:val="22"/>
              </w:rPr>
              <w:t xml:space="preserve"> (đồng/m²)</w:t>
            </w:r>
            <w:r>
              <w:rPr>
                <w:color w:val="000000"/>
                <w:sz w:val="22"/>
                <w:szCs w:val="22"/>
              </w:rPr>
            </w:r>
            <w:r>
              <w:rPr>
                <w:color w:val="000000"/>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7.353.767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4.412.260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7.338.189</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15.432.165.644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15.585.762.888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18.946.692.278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220.459.509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209.204.871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222.902.262</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8"/>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15.432.165.644</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15.585.762.888</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18.946.692.278</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220.459.509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209.204.871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222.902.262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220.459.509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209.204.871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222.902.262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220.459.509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209.204.871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222.902.262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220.459.509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209.204.871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222.902.262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Khu đô thị Văn Quán, phường Hà Đông, Thành phố Hà Nội 20.976888888889, 105.78772222222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Khu đô thị Văn Quán, phường Hà Đông, Thành phố Hà Nội </w:t>
            </w:r>
            <w:r>
              <w:rPr>
                <w:color w:val="000000" w:themeColor="text1"/>
                <w:sz w:val="22"/>
                <w:szCs w:val="22"/>
              </w:rPr>
              <w:t xml:space="preserve">, 20.97594339999997, 105.78787616446441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Khu đô thị Văn Quán, phường Hà Đông, Thành phố Hà Nội </w:t>
            </w:r>
            <w:r>
              <w:rPr>
                <w:color w:val="000000" w:themeColor="text1"/>
                <w:sz w:val="22"/>
                <w:szCs w:val="22"/>
              </w:rPr>
              <w:t xml:space="preserve">, 20.96959215171234, 105.7898372446379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Khu đô thị Văn Quán, phường Hà Đông, Thành phố Hà Nội </w:t>
            </w:r>
            <w:r>
              <w:rPr>
                <w:color w:val="000000" w:themeColor="text1"/>
                <w:sz w:val="22"/>
                <w:szCs w:val="22"/>
              </w:rPr>
              <w:t xml:space="preserve">, 20.96953016597169, 105.78957486937242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220.459.509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209.204.871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222.902.262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220.459.509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209.204.871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222.902.262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6.276.146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6.687.068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220.459.509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215.481.017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229.589.330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(m²)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81,4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-11.022.975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-6.276.146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209.436.534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209.204.871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229.589.330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209.436.534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209.204.871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229.589.330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209.436.534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209.204.871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229.589.330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209.436.534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209.204.871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229.589.330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209.436.534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209.204.871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229.589.330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216.076.912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-3.18%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6.25%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11.022.975</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12.552.292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6.687.068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11.022.975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6.687.068</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-3,18</w:t>
      </w:r>
      <w:r>
        <w:t xml:space="preserve">% đến </w:t>
      </w:r>
      <w:r>
        <w:t xml:space="preserve">6,25</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209.436.534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69.826.140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209.204.871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69.727.984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229.589.330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76.522.124</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216.076.248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216.000.000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216.000.000</w:t>
      </w:r>
      <w:r>
        <w:rPr>
          <w:b/>
          <w:bCs/>
          <w:color w:val="000000" w:themeColor="text1"/>
        </w:rPr>
        <w:t xml:space="preserve"> </w:t>
      </w:r>
      <w:r>
        <w:rPr>
          <w:b/>
          <w:bCs/>
        </w:rPr>
        <w:t xml:space="preserve">đồng/m².</w:t>
      </w:r>
      <w:r>
        <w:rPr>
          <w:b/>
          <w:bCs/>
        </w:rPr>
      </w:r>
      <w:r>
        <w:rPr>
          <w:b/>
          <w:bCs/>
        </w:rPr>
      </w:r>
    </w:p>
    <w:p>
      <w:pPr>
        <w:pStyle w:val="1028"/>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pBdr>
          <w:top w:val="none" w:color="000000" w:sz="4" w:space="0"/>
          <w:left w:val="none" w:color="000000" w:sz="4" w:space="0"/>
          <w:bottom w:val="none" w:color="000000" w:sz="4" w:space="0"/>
          <w:right w:val="none" w:color="000000" w:sz="4" w:space="0"/>
        </w:pBdr>
        <w:spacing w:after="120" w:before="120" w:line="288" w:lineRule="auto"/>
        <w:ind w:right="0" w:firstLine="0" w:left="0"/>
        <w:jc w:val="both"/>
        <w:rPr/>
      </w:pPr>
      <w:r>
        <w:rPr>
          <w:rFonts w:ascii="Times New Roman" w:hAnsi="Times New Roman" w:eastAsia="Times New Roman" w:cs="Times New Roman"/>
          <w:color w:val="000000"/>
          <w:sz w:val="24"/>
        </w:rPr>
        <w:t xml:space="preserve">Trên cơ sở tham khảo và phân tích tài sản, Thẩm định viên lựa chọn phương pháp chi phí thay thế để tính giá trị công trình xây dựng như sau: </w:t>
      </w:r>
      <w:r/>
    </w:p>
    <w:p>
      <w:pPr>
        <w:pBdr>
          <w:top w:val="none" w:color="000000" w:sz="4" w:space="0"/>
          <w:left w:val="none" w:color="000000" w:sz="4" w:space="0"/>
          <w:bottom w:val="none" w:color="000000" w:sz="4" w:space="0"/>
          <w:right w:val="none" w:color="000000" w:sz="4" w:space="0"/>
        </w:pBdr>
        <w:spacing w:after="120" w:before="120" w:line="288" w:lineRule="auto"/>
        <w:ind w:right="0" w:firstLine="0" w:left="357"/>
        <w:jc w:val="both"/>
        <w:rPr/>
      </w:pPr>
      <w:r>
        <w:rPr>
          <w:rFonts w:ascii="Times New Roman" w:hAnsi="Times New Roman" w:eastAsia="Times New Roman" w:cs="Times New Roman"/>
          <w:b/>
          <w:color w:val="000000"/>
          <w:sz w:val="24"/>
        </w:rPr>
        <w:t xml:space="preserve">Giá trị tài sản = Chi phí thay thế - Tổng giá trị hao mòn </w:t>
      </w:r>
      <w:r/>
    </w:p>
    <w:p>
      <w:pPr>
        <w:pBdr>
          <w:top w:val="none" w:color="000000" w:sz="4" w:space="0"/>
          <w:left w:val="none" w:color="000000" w:sz="4" w:space="0"/>
          <w:bottom w:val="none" w:color="000000" w:sz="4" w:space="0"/>
          <w:right w:val="none" w:color="000000" w:sz="4" w:space="0"/>
        </w:pBdr>
        <w:spacing w:after="120" w:before="120" w:line="288" w:lineRule="auto"/>
        <w:ind w:right="0" w:firstLine="0" w:left="357"/>
        <w:jc w:val="both"/>
        <w:rPr/>
      </w:pPr>
      <w:r>
        <w:rPr>
          <w:rFonts w:ascii="Times New Roman" w:hAnsi="Times New Roman" w:eastAsia="Times New Roman" w:cs="Times New Roman"/>
          <w:b/>
          <w:color w:val="000000"/>
          <w:sz w:val="24"/>
        </w:rPr>
        <w:t xml:space="preserve">                      = Chi phí thay thế x (1- tỷ lệ hao mòn)</w:t>
      </w:r>
      <w:r/>
    </w:p>
    <w:p>
      <w:pPr>
        <w:pBdr>
          <w:top w:val="none" w:color="000000" w:sz="4" w:space="0"/>
          <w:left w:val="none" w:color="000000" w:sz="4" w:space="0"/>
          <w:bottom w:val="none" w:color="000000" w:sz="4" w:space="0"/>
          <w:right w:val="none" w:color="000000" w:sz="4" w:space="0"/>
        </w:pBdr>
        <w:spacing w:after="120" w:before="120" w:line="288" w:lineRule="auto"/>
        <w:ind w:right="0" w:firstLine="0" w:left="0"/>
        <w:jc w:val="both"/>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b/>
          <w:i/>
          <w:color w:val="000000"/>
          <w:sz w:val="24"/>
        </w:rPr>
        <w:t xml:space="preserve">Xác định Chi phí thay thế của CTXD: </w:t>
      </w:r>
      <w:r/>
    </w:p>
    <w:p>
      <w:pPr>
        <w:pBdr>
          <w:top w:val="none" w:color="000000" w:sz="4" w:space="0"/>
          <w:left w:val="none" w:color="000000" w:sz="4" w:space="0"/>
          <w:bottom w:val="none" w:color="000000" w:sz="4" w:space="0"/>
          <w:right w:val="none" w:color="000000" w:sz="4" w:space="0"/>
        </w:pBdr>
        <w:spacing w:after="120" w:before="120" w:line="288" w:lineRule="auto"/>
        <w:ind w:right="0" w:firstLine="0"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xây dựng, cân nhắc và xem xét với mức độ hoàn thiện của công trình xây dựng hiện có, Tổ thẩm định nhận thấy đơn giá vận dụng theo Quyết định số 425/QĐ-BXD ngày 30/3/2026 của Bộ xây dựng về</w:t>
      </w:r>
      <w:r>
        <w:rPr>
          <w:rFonts w:ascii="Times New Roman" w:hAnsi="Times New Roman" w:eastAsia="Times New Roman" w:cs="Times New Roman"/>
          <w:color w:val="000000"/>
          <w:sz w:val="24"/>
        </w:rPr>
        <w:t xml:space="preserve"> việc Công bố suất vốn đầu tư xây dựng công trình và giá xây dựng tổng hợp bộ phận kết cấu công trình năm 2025 khá phù hợp với thị trường. Cụ thể như sau:</w:t>
      </w:r>
      <w:r/>
    </w:p>
    <w:p>
      <w:pPr>
        <w:pBdr>
          <w:top w:val="none" w:color="000000" w:sz="4" w:space="0"/>
          <w:left w:val="none" w:color="000000" w:sz="4" w:space="0"/>
          <w:bottom w:val="none" w:color="000000" w:sz="4" w:space="0"/>
          <w:right w:val="none" w:color="000000" w:sz="4" w:space="0"/>
        </w:pBdr>
        <w:spacing w:after="120" w:before="120" w:line="288" w:lineRule="auto"/>
        <w:ind w:right="0" w:firstLine="0" w:left="0"/>
        <w:rPr/>
      </w:pPr>
      <w:r>
        <w:rPr>
          <w:rFonts w:ascii="Times New Roman" w:hAnsi="Times New Roman" w:eastAsia="Times New Roman" w:cs="Times New Roman"/>
          <w:i/>
          <w:color w:val="000000"/>
          <w:sz w:val="24"/>
        </w:rPr>
        <w:t xml:space="preserve">“Suất vốn đầu tư của Nhà từ 4 đến 5 tầng, kết cấu khung chịu lực BTCT; tường bao xây gạch; sàn, mái BTCT đổ tại chỗ, không có t</w:t>
      </w:r>
      <w:r>
        <w:rPr>
          <w:rFonts w:ascii="Times New Roman" w:hAnsi="Times New Roman" w:eastAsia="Times New Roman" w:cs="Times New Roman"/>
          <w:i/>
          <w:iCs/>
          <w:color w:val="000000"/>
          <w:sz w:val="24"/>
          <w:szCs w:val="24"/>
        </w:rPr>
        <w:t xml:space="preserve">ầng hầm; </w:t>
      </w:r>
      <w:r>
        <w:rPr>
          <w:rFonts w:ascii="Times New Roman" w:hAnsi="Times New Roman" w:eastAsia="Times New Roman" w:cs="Times New Roman"/>
          <w:i/>
          <w:iCs/>
          <w:color w:val="000000"/>
          <w:sz w:val="24"/>
          <w:szCs w:val="24"/>
        </w:rPr>
        <w:t xml:space="preserve">Diện tích xây dựng từ 50 - dưới 70m²</w:t>
      </w:r>
      <w:r>
        <w:rPr>
          <w:rFonts w:ascii="Times New Roman" w:hAnsi="Times New Roman" w:eastAsia="Times New Roman" w:cs="Times New Roman"/>
          <w:i/>
          <w:iCs/>
          <w:color w:val="000000"/>
          <w:sz w:val="24"/>
          <w:szCs w:val="24"/>
        </w:rPr>
        <w:t xml:space="preserve"> có đ</w:t>
      </w:r>
      <w:r>
        <w:rPr>
          <w:rFonts w:ascii="Times New Roman" w:hAnsi="Times New Roman" w:eastAsia="Times New Roman" w:cs="Times New Roman"/>
          <w:i/>
          <w:color w:val="000000"/>
          <w:sz w:val="24"/>
        </w:rPr>
        <w:t xml:space="preserve">ơn giá là 8.497.000 đồng/m² sàn.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426" w:left="0"/>
        <w:jc w:val="both"/>
        <w:rPr/>
      </w:pPr>
      <w:r>
        <w:rPr>
          <w:rFonts w:ascii="Times New Roman" w:hAnsi="Times New Roman" w:eastAsia="Times New Roman" w:cs="Times New Roman"/>
          <w:i/>
          <w:color w:val="000000"/>
          <w:sz w:val="24"/>
        </w:rPr>
        <w:t xml:space="preserve">Hệ số điều chỉnh vùng cho suất vốn đầu tư: tỉnh Hà Nội (cũ) thuộc vùng 7 có hệ số điều chỉnh là 0,952.”</w:t>
        <w:tab/>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426" w:left="0"/>
        <w:jc w:val="both"/>
        <w:rPr/>
      </w:pPr>
      <w:r>
        <w:rPr>
          <w:rFonts w:ascii="Times New Roman" w:hAnsi="Times New Roman" w:eastAsia="Times New Roman" w:cs="Times New Roman"/>
          <w:i/>
          <w:color w:val="000000"/>
          <w:sz w:val="24"/>
        </w:rPr>
        <w:t xml:space="preserve">Tổ thẩm định xác định đơn giá xây mới của công trình xây dựng chưa bao gồm VAT hoàn thiện cơ bản là: (suất vốn đầu tư) x (Hệ số vùng) =(8.497.000 x 0,952)/1,1= </w:t>
      </w:r>
      <w:r>
        <w:rPr>
          <w:rFonts w:ascii="Times New Roman" w:hAnsi="Times New Roman" w:eastAsia="Times New Roman" w:cs="Times New Roman"/>
          <w:i/>
          <w:color w:val="000000"/>
          <w:sz w:val="24"/>
        </w:rPr>
        <w:t xml:space="preserve">7.353.767</w:t>
      </w:r>
      <w:r>
        <w:rPr>
          <w:rFonts w:ascii="Times New Roman" w:hAnsi="Times New Roman" w:eastAsia="Times New Roman" w:cs="Times New Roman"/>
          <w:i/>
          <w:color w:val="000000"/>
          <w:sz w:val="24"/>
        </w:rPr>
        <w:t xml:space="preserve"> đồng/m² sàn. </w:t>
      </w:r>
      <w:r/>
    </w:p>
    <w:p>
      <w:pPr>
        <w:pBdr>
          <w:top w:val="none" w:color="000000" w:sz="4" w:space="0"/>
          <w:left w:val="none" w:color="000000" w:sz="4" w:space="0"/>
          <w:bottom w:val="none" w:color="000000" w:sz="4" w:space="0"/>
          <w:right w:val="none" w:color="000000" w:sz="4" w:space="0"/>
        </w:pBdr>
        <w:tabs>
          <w:tab w:val="left" w:leader="none" w:pos="284"/>
        </w:tabs>
        <w:spacing w:after="120" w:before="120" w:line="288" w:lineRule="auto"/>
        <w:ind w:right="0" w:firstLine="0" w:left="284"/>
        <w:jc w:val="both"/>
        <w:rPr/>
      </w:pPr>
      <w:r>
        <w:rPr>
          <w:rFonts w:ascii="Segoe UI Symbol" w:hAnsi="Segoe UI Symbol" w:eastAsia="Segoe UI Symbol" w:cs="Segoe UI Symbol"/>
          <w:color w:val="000000"/>
          <w:sz w:val="24"/>
        </w:rPr>
        <w:t xml:space="preserve">❖</w:t>
      </w: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ee0000"/>
          <w:sz w:val="24"/>
        </w:rPr>
        <w:t xml:space="preserve">Xác định Tỷ lệ hao mòn của CTXD</w:t>
      </w:r>
      <w:r>
        <w:rPr>
          <w:rFonts w:ascii="Times New Roman" w:hAnsi="Times New Roman" w:eastAsia="Times New Roman" w:cs="Times New Roman"/>
          <w:color w:val="ee0000"/>
          <w:sz w:val="24"/>
        </w:rPr>
        <w:t xml:space="preserve">: Qua khảo sát hiện trạng, Tổ thẩm định xác định Tổng giá trị hao mòn của tài sản thẩm qua phương pháp kỹ thuật tuổi đời</w:t>
      </w:r>
      <w:r/>
    </w:p>
    <w:p>
      <w:pPr>
        <w:numPr>
          <w:ilvl w:val="0"/>
          <w:numId w:val="39"/>
        </w:numPr>
        <w:pBdr>
          <w:top w:val="none" w:color="000000" w:sz="4" w:space="0"/>
          <w:left w:val="none" w:color="000000" w:sz="4" w:space="0"/>
          <w:bottom w:val="none" w:color="000000" w:sz="4" w:space="0"/>
          <w:right w:val="none" w:color="000000" w:sz="4" w:space="0"/>
        </w:pBdr>
        <w:spacing w:after="120" w:before="120" w:line="288" w:lineRule="auto"/>
        <w:ind w:right="0" w:hanging="360" w:left="283"/>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tbl>
      <w:tblPr>
        <w:tblStyle w:val="1032"/>
        <w:tblInd w:w="0" w:type="dxa"/>
        <w:tblW w:w="3600" w:type="pct"/>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32376"/>
        <w:gridCol w:w="10981"/>
        <w:gridCol w:w="44007"/>
        <w:gridCol w:w="20268"/>
      </w:tblGrid>
      <w:tr>
        <w:trPr/>
        <w:tc>
          <w:tcPr>
            <w:tcBorders/>
            <w:tcMar>
              <w:left w:w="108" w:type="dxa"/>
              <w:top w:w="0" w:type="dxa"/>
              <w:right w:w="108" w:type="dxa"/>
              <w:bottom w:w="0" w:type="dxa"/>
            </w:tcMar>
            <w:tcW w:w="3237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tabs>
                <w:tab w:val="left" w:leader="none" w:pos="284"/>
              </w:tabs>
              <w:spacing w:after="120" w:before="120" w:line="288" w:lineRule="auto"/>
              <w:ind w:right="0" w:firstLine="0" w:left="284"/>
              <w:jc w:val="center"/>
              <w:rPr/>
            </w:pPr>
            <w:r>
              <w:rPr>
                <w:rFonts w:ascii="Times New Roman" w:hAnsi="Times New Roman" w:eastAsia="Times New Roman" w:cs="Times New Roman"/>
                <w:i/>
                <w:color w:val="000000"/>
                <w:sz w:val="24"/>
              </w:rPr>
              <w:t xml:space="preserve">Tỷ lệ hao mòn</w:t>
            </w:r>
            <w:r/>
          </w:p>
        </w:tc>
        <w:tc>
          <w:tcPr>
            <w:tcBorders/>
            <w:tcMar>
              <w:left w:w="108" w:type="dxa"/>
              <w:top w:w="0" w:type="dxa"/>
              <w:right w:w="108" w:type="dxa"/>
              <w:bottom w:w="0" w:type="dxa"/>
            </w:tcMar>
            <w:tcW w:w="1098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tabs>
                <w:tab w:val="left" w:leader="none" w:pos="284"/>
              </w:tabs>
              <w:spacing w:after="120" w:before="120" w:line="288" w:lineRule="auto"/>
              <w:ind w:right="0" w:firstLine="0" w:left="284"/>
              <w:jc w:val="center"/>
              <w:rPr/>
            </w:pPr>
            <w:r>
              <w:rPr>
                <w:rFonts w:ascii="Times New Roman" w:hAnsi="Times New Roman" w:eastAsia="Times New Roman" w:cs="Times New Roman"/>
                <w:i/>
                <w:color w:val="000000"/>
                <w:sz w:val="24"/>
              </w:rPr>
              <w:t xml:space="preserve">=</w:t>
            </w:r>
            <w:r/>
          </w:p>
        </w:tc>
        <w:tc>
          <w:tcPr>
            <w:tcBorders>
              <w:bottom w:val="single" w:color="000000" w:sz="8" w:space="0"/>
            </w:tcBorders>
            <w:tcMar>
              <w:left w:w="108" w:type="dxa"/>
              <w:top w:w="0" w:type="dxa"/>
              <w:right w:w="108" w:type="dxa"/>
              <w:bottom w:w="0" w:type="dxa"/>
            </w:tcMar>
            <w:tcW w:w="4400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tabs>
                <w:tab w:val="left" w:leader="none" w:pos="284"/>
              </w:tabs>
              <w:spacing w:after="120" w:before="120" w:line="288" w:lineRule="auto"/>
              <w:ind w:right="0" w:firstLine="0" w:left="284"/>
              <w:jc w:val="center"/>
              <w:rPr/>
            </w:pPr>
            <w:r>
              <w:rPr>
                <w:rFonts w:ascii="Times New Roman" w:hAnsi="Times New Roman" w:eastAsia="Times New Roman" w:cs="Times New Roman"/>
                <w:i/>
                <w:color w:val="000000"/>
                <w:sz w:val="24"/>
              </w:rPr>
              <w:t xml:space="preserve">Tuổi đời hiệu quả</w:t>
            </w:r>
            <w:r/>
          </w:p>
        </w:tc>
        <w:tc>
          <w:tcPr>
            <w:tcBorders/>
            <w:tcMar>
              <w:left w:w="108" w:type="dxa"/>
              <w:top w:w="0" w:type="dxa"/>
              <w:right w:w="108" w:type="dxa"/>
              <w:bottom w:w="0" w:type="dxa"/>
            </w:tcMar>
            <w:tcW w:w="202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tabs>
                <w:tab w:val="left" w:leader="none" w:pos="284"/>
              </w:tabs>
              <w:spacing w:after="120" w:before="120" w:line="288" w:lineRule="auto"/>
              <w:ind w:right="0" w:firstLine="0" w:left="284"/>
              <w:jc w:val="center"/>
              <w:rPr/>
            </w:pPr>
            <w:r>
              <w:rPr>
                <w:rFonts w:ascii="Times New Roman" w:hAnsi="Times New Roman" w:eastAsia="Times New Roman" w:cs="Times New Roman"/>
                <w:i/>
                <w:color w:val="000000"/>
                <w:sz w:val="24"/>
              </w:rPr>
              <w:t xml:space="preserve">x 100%</w:t>
            </w:r>
            <w:r/>
          </w:p>
        </w:tc>
      </w:tr>
      <w:tr>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tcBorders/>
            <w:tcMar>
              <w:left w:w="108" w:type="dxa"/>
              <w:top w:w="0" w:type="dxa"/>
              <w:right w:w="108" w:type="dxa"/>
              <w:bottom w:w="0" w:type="dxa"/>
            </w:tcMar>
            <w:tcW w:w="4400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tabs>
                <w:tab w:val="left" w:leader="none" w:pos="284"/>
              </w:tabs>
              <w:spacing w:after="120" w:before="120" w:line="288" w:lineRule="auto"/>
              <w:ind w:right="0" w:firstLine="0" w:left="284"/>
              <w:jc w:val="center"/>
              <w:rPr/>
            </w:pPr>
            <w:r>
              <w:rPr>
                <w:rFonts w:ascii="Times New Roman" w:hAnsi="Times New Roman" w:eastAsia="Times New Roman" w:cs="Times New Roman"/>
                <w:i/>
                <w:color w:val="000000"/>
                <w:sz w:val="24"/>
              </w:rPr>
              <w:t xml:space="preserve">Tuổi đời kinh tế</w:t>
            </w:r>
            <w:r/>
          </w:p>
        </w:tc>
        <w:tc>
          <w:tcPr>
            <w:tcBorders/>
            <w:vMerge w:val="continue"/>
            <w:textDirection w:val="lrTb"/>
            <w:noWrap w:val="false"/>
          </w:tcPr>
          <w:p>
            <w:pPr>
              <w:pBdr/>
              <w:spacing/>
              <w:ind/>
              <w:rPr/>
            </w:pPr>
            <w:r/>
            <w:r/>
          </w:p>
        </w:tc>
      </w:tr>
    </w:tbl>
    <w:p>
      <w:pPr>
        <w:numPr>
          <w:ilvl w:val="0"/>
          <w:numId w:val="39"/>
        </w:numPr>
        <w:pBdr>
          <w:top w:val="none" w:color="000000" w:sz="4" w:space="0"/>
          <w:left w:val="none" w:color="000000" w:sz="4" w:space="0"/>
          <w:bottom w:val="none" w:color="000000" w:sz="4" w:space="0"/>
          <w:right w:val="none" w:color="000000" w:sz="4" w:space="0"/>
        </w:pBdr>
        <w:spacing w:after="120" w:before="120" w:line="288" w:lineRule="auto"/>
        <w:ind w:right="0" w:hanging="218" w:left="283"/>
        <w:jc w:val="both"/>
        <w:rPr/>
      </w:pPr>
      <w:r>
        <w:rPr>
          <w:rFonts w:ascii="Times New Roman" w:hAnsi="Times New Roman" w:eastAsia="Times New Roman" w:cs="Times New Roman"/>
          <w:color w:val="000000"/>
          <w:spacing w:val="2"/>
          <w:sz w:val="24"/>
        </w:rPr>
        <w:t xml:space="preserve">Tổ thẩm định giả định rằng công trình xây dựng hoạt động liên tục trong khoảng thời gian trích khấu hao được duy tu, sửa chữa định kỳ và đúng quy trình nên tuổi đời hiệu quả bằng tuổi đời thực tế. Theo thông tin khách hàng cung cấp, công trình được hoàn th</w:t>
      </w:r>
      <w:r>
        <w:rPr>
          <w:rFonts w:ascii="Times New Roman" w:hAnsi="Times New Roman" w:eastAsia="Times New Roman" w:cs="Times New Roman"/>
          <w:color w:val="000000"/>
          <w:spacing w:val="2"/>
          <w:sz w:val="24"/>
        </w:rPr>
        <w:t xml:space="preserve">ành đưa vào sử dụng khoảng năm 2015, do vậy tổ thẩm định xác định tuổi đời hiệu quả của công trình là khoảng 11 năm.</w:t>
      </w:r>
      <w:r/>
    </w:p>
    <w:p>
      <w:pPr>
        <w:numPr>
          <w:ilvl w:val="0"/>
          <w:numId w:val="39"/>
        </w:numPr>
        <w:pBdr>
          <w:top w:val="none" w:color="000000" w:sz="4" w:space="0"/>
          <w:left w:val="none" w:color="000000" w:sz="4" w:space="0"/>
          <w:bottom w:val="none" w:color="000000" w:sz="4" w:space="0"/>
          <w:right w:val="none" w:color="000000" w:sz="4" w:space="0"/>
        </w:pBdr>
        <w:spacing w:after="120" w:before="120" w:line="288" w:lineRule="auto"/>
        <w:ind w:right="0" w:hanging="218" w:left="283"/>
        <w:rPr/>
      </w:pPr>
      <w:r>
        <w:rPr>
          <w:rFonts w:ascii="Times New Roman" w:hAnsi="Times New Roman" w:eastAsia="Times New Roman" w:cs="Times New Roman"/>
          <w:color w:val="000000"/>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sz w:val="24"/>
        </w:rPr>
        <w:t xml:space="preserve">ình, tổ thẩm định xác định tuổi đời kinh tế của tài sản thẩm định là 50 năm</w:t>
      </w:r>
      <w:r/>
    </w:p>
    <w:tbl>
      <w:tblPr>
        <w:tblStyle w:val="1032"/>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1372"/>
        <w:gridCol w:w="1372"/>
        <w:gridCol w:w="1372"/>
        <w:gridCol w:w="1580"/>
        <w:gridCol w:w="1984"/>
        <w:gridCol w:w="1701"/>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3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88" w:lineRule="auto"/>
              <w:ind w:right="0" w:firstLine="0" w:left="0"/>
              <w:jc w:val="center"/>
              <w:rPr/>
            </w:pPr>
            <w:r>
              <w:rPr>
                <w:rFonts w:ascii="Times New Roman" w:hAnsi="Times New Roman" w:eastAsia="Times New Roman" w:cs="Times New Roman"/>
                <w:b/>
                <w:color w:val="000000"/>
                <w:sz w:val="24"/>
              </w:rPr>
              <w:t xml:space="preserve">Tên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88" w:lineRule="auto"/>
              <w:ind w:right="0" w:firstLine="0" w:left="0"/>
              <w:jc w:val="center"/>
              <w:rPr/>
            </w:pPr>
            <w:r>
              <w:rPr>
                <w:rFonts w:ascii="Times New Roman" w:hAnsi="Times New Roman" w:eastAsia="Times New Roman" w:cs="Times New Roman"/>
                <w:b/>
                <w:color w:val="000000"/>
                <w:sz w:val="24"/>
              </w:rPr>
              <w:t xml:space="preserve">Năm xây dựng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88" w:lineRule="auto"/>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88" w:lineRule="auto"/>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88" w:lineRule="auto"/>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88" w:lineRule="auto"/>
              <w:ind w:right="0" w:firstLine="0" w:left="0"/>
              <w:jc w:val="center"/>
              <w:rPr/>
            </w:pPr>
            <w:r>
              <w:rPr>
                <w:rFonts w:ascii="Times New Roman" w:hAnsi="Times New Roman" w:eastAsia="Times New Roman" w:cs="Times New Roman"/>
                <w:b/>
                <w:color w:val="000000"/>
                <w:sz w:val="24"/>
              </w:rPr>
              <w:t xml:space="preserve">Tỉ lệ hao mòn (%)</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3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88" w:lineRule="auto"/>
              <w:ind w:right="0" w:firstLine="0" w:left="0"/>
              <w:jc w:val="center"/>
              <w:rPr/>
            </w:pPr>
            <w:r>
              <w:rPr>
                <w:rFonts w:ascii="Times New Roman" w:hAnsi="Times New Roman" w:eastAsia="Times New Roman" w:cs="Times New Roman"/>
                <w:color w:val="000000"/>
                <w:sz w:val="24"/>
              </w:rPr>
              <w:t xml:space="preserve">Nhà ở riêng lẻ</w:t>
            </w:r>
            <w:r/>
          </w:p>
        </w:tc>
        <w:tc>
          <w:tcPr>
            <w:tcBorders>
              <w:bottom w:val="single" w:color="000000" w:sz="8" w:space="0"/>
              <w:right w:val="single" w:color="000000" w:sz="8" w:space="0"/>
            </w:tcBorders>
            <w:tcMar>
              <w:left w:w="108" w:type="dxa"/>
              <w:top w:w="0" w:type="dxa"/>
              <w:right w:w="108" w:type="dxa"/>
              <w:bottom w:w="0" w:type="dxa"/>
            </w:tcMar>
            <w:tcW w:w="1372" w:type="dxa"/>
            <w:vAlign w:val="center"/>
            <w:textDirection w:val="lrTb"/>
            <w:noWrap/>
          </w:tcPr>
          <w:p>
            <w:pPr>
              <w:pBdr>
                <w:top w:val="none" w:color="000000" w:sz="4" w:space="0"/>
                <w:left w:val="none" w:color="000000" w:sz="4" w:space="0"/>
                <w:bottom w:val="none" w:color="000000" w:sz="4" w:space="0"/>
                <w:right w:val="none" w:color="000000" w:sz="4" w:space="0"/>
              </w:pBdr>
              <w:spacing w:after="120" w:before="120" w:line="288" w:lineRule="auto"/>
              <w:ind w:right="0" w:firstLine="0" w:left="0"/>
              <w:jc w:val="center"/>
              <w:rPr/>
            </w:pPr>
            <w:r>
              <w:rPr>
                <w:rFonts w:ascii="Times New Roman" w:hAnsi="Times New Roman" w:eastAsia="Times New Roman" w:cs="Times New Roman"/>
                <w:color w:val="000000"/>
                <w:sz w:val="24"/>
              </w:rPr>
              <w:t xml:space="preserve">2015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88" w:lineRule="auto"/>
              <w:ind w:right="0" w:firstLine="0" w:left="0"/>
              <w:jc w:val="center"/>
              <w:rPr/>
            </w:pPr>
            <w:r>
              <w:rPr>
                <w:rFonts w:ascii="Times New Roman" w:hAnsi="Times New Roman" w:eastAsia="Times New Roman" w:cs="Times New Roman"/>
                <w:color w:val="000000"/>
                <w:sz w:val="24"/>
              </w:rPr>
              <w:t xml:space="preserve">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88" w:lineRule="auto"/>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88" w:lineRule="auto"/>
              <w:ind w:right="0" w:firstLine="0" w:left="0"/>
              <w:jc w:val="center"/>
              <w:rPr/>
            </w:pPr>
            <w:r>
              <w:rPr>
                <w:rFonts w:ascii="Times New Roman" w:hAnsi="Times New Roman" w:eastAsia="Times New Roman" w:cs="Times New Roman"/>
                <w:color w:val="000000"/>
                <w:sz w:val="24"/>
              </w:rPr>
              <w:t xml:space="preserve">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88" w:lineRule="auto"/>
              <w:ind w:right="0" w:firstLine="0" w:left="0"/>
              <w:jc w:val="center"/>
              <w:rPr/>
            </w:pPr>
            <w:r>
              <w:rPr>
                <w:rFonts w:ascii="Times New Roman" w:hAnsi="Times New Roman" w:eastAsia="Times New Roman" w:cs="Times New Roman"/>
                <w:color w:val="000000"/>
                <w:sz w:val="24"/>
              </w:rPr>
              <w:t xml:space="preserve">22%</w:t>
            </w:r>
            <w:r/>
          </w:p>
        </w:tc>
      </w:tr>
    </w:tbl>
    <w:p>
      <w:pPr>
        <w:pBdr>
          <w:top w:val="none" w:color="000000" w:sz="4" w:space="0"/>
          <w:left w:val="none" w:color="000000" w:sz="4" w:space="0"/>
          <w:bottom w:val="none" w:color="000000" w:sz="4" w:space="0"/>
          <w:right w:val="none" w:color="000000" w:sz="4" w:space="0"/>
        </w:pBdr>
        <w:spacing w:after="120" w:before="120" w:line="288" w:lineRule="auto"/>
        <w:ind w:right="0" w:firstLine="0" w:left="720"/>
        <w:jc w:val="center"/>
        <w:rPr/>
      </w:pPr>
      <w:r>
        <w:rPr>
          <w:rFonts w:ascii="Times New Roman" w:hAnsi="Times New Roman" w:eastAsia="Times New Roman" w:cs="Times New Roman"/>
          <w:b/>
          <w:color w:val="000000"/>
          <w:sz w:val="24"/>
        </w:rPr>
        <w:t xml:space="preserve">BẢNG TÍNH GIÁ TRỊ CÔNG TRÌNH XÂY DỰNG</w:t>
      </w:r>
      <w:r>
        <w:rPr>
          <w:rFonts w:ascii="Times New Roman" w:hAnsi="Times New Roman" w:eastAsia="Times New Roman" w:cs="Times New Roman"/>
          <w:sz w:val="24"/>
        </w:rPr>
      </w: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r>
              <w:rPr>
                <w:b/>
                <w:bCs/>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1418" w:type="dxa"/>
            <w:vAlign w:val="center"/>
            <w:textDirection w:val="lrTb"/>
            <w:noWrap w:val="false"/>
          </w:tcPr>
          <w:p>
            <w:pPr>
              <w:pBdr/>
              <w:spacing/>
              <w:ind/>
              <w:rPr/>
            </w:pPr>
            <w:r>
              <w:rPr>
                <w:rFonts w:ascii="Times New Roman" w:hAnsi="Times New Roman" w:eastAsia="Times New Roman" w:cs="Times New Roman"/>
                <w:color w:val="000000"/>
                <w:sz w:val="24"/>
              </w:rPr>
              <w:t xml:space="preserve">Nhà ở riêng lẻ</w:t>
            </w:r>
            <w:r>
              <w:rPr>
                <w:rFonts w:ascii="Times New Roman" w:hAnsi="Times New Roman" w:eastAsia="Times New Roman" w:cs="Times New Roman"/>
                <w:sz w:val="24"/>
              </w:rPr>
            </w:r>
            <w:r/>
          </w:p>
        </w:tc>
        <w:tc>
          <w:tcPr>
            <w:tcBorders/>
            <w:tcW w:w="1275" w:type="dxa"/>
            <w:vAlign w:val="center"/>
            <w:textDirection w:val="lrTb"/>
            <w:noWrap/>
          </w:tcPr>
          <w:p>
            <w:pPr>
              <w:pBdr/>
              <w:spacing w:after="60" w:before="60"/>
              <w:ind/>
              <w:jc w:val="center"/>
              <w:rPr>
                <w:sz w:val="22"/>
                <w:szCs w:val="22"/>
              </w:rPr>
            </w:pPr>
            <w:r>
              <w:rPr>
                <w:sz w:val="22"/>
                <w:szCs w:val="22"/>
              </w:rPr>
              <w:t xml:space="preserve">226.4</w:t>
            </w:r>
            <w:r>
              <w:rPr>
                <w:sz w:val="22"/>
                <w:szCs w:val="22"/>
              </w:rPr>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r>
            <w:r>
              <w:rPr>
                <w:rFonts w:ascii="Times New Roman" w:hAnsi="Times New Roman" w:eastAsia="Times New Roman" w:cs="Times New Roman"/>
                <w:i/>
                <w:color w:val="000000"/>
                <w:sz w:val="24"/>
              </w:rPr>
              <w:t xml:space="preserve">7.353.767</w:t>
            </w:r>
            <w:r>
              <w:rPr>
                <w:sz w:val="22"/>
                <w:szCs w:val="22"/>
              </w:rPr>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r>
            <w:r>
              <w:rPr>
                <w:sz w:val="22"/>
                <w:szCs w:val="22"/>
              </w:rPr>
              <w:t xml:space="preserve">1.664.892.849</w:t>
            </w:r>
            <w:r>
              <w:rPr>
                <w:sz w:val="22"/>
                <w:szCs w:val="22"/>
              </w:rPr>
            </w:r>
            <w:r>
              <w:rPr>
                <w:sz w:val="22"/>
                <w:szCs w:val="22"/>
              </w:rPr>
            </w:r>
          </w:p>
        </w:tc>
        <w:tc>
          <w:tcPr>
            <w:tcBorders/>
            <w:tcW w:w="1139" w:type="dxa"/>
            <w:vAlign w:val="center"/>
            <w:textDirection w:val="lrTb"/>
            <w:noWrap w:val="false"/>
          </w:tcPr>
          <w:p>
            <w:pPr>
              <w:pBdr/>
              <w:spacing w:after="60" w:before="60"/>
              <w:ind/>
              <w:jc w:val="center"/>
              <w:rPr>
                <w:sz w:val="22"/>
                <w:szCs w:val="22"/>
                <w14:ligatures w14:val="none"/>
              </w:rPr>
            </w:pPr>
            <w:r>
              <w:rPr>
                <w:sz w:val="22"/>
                <w:szCs w:val="22"/>
              </w:rPr>
              <w:t xml:space="preserve">22%</w:t>
            </w:r>
            <w:r>
              <w:rPr>
                <w:sz w:val="22"/>
                <w:szCs w:val="22"/>
              </w:rPr>
            </w:r>
            <w:r>
              <w:rPr>
                <w:sz w:val="22"/>
                <w:szCs w:val="22"/>
                <w14:ligatures w14:val="none"/>
              </w:rPr>
            </w:r>
          </w:p>
        </w:tc>
        <w:tc>
          <w:tcPr>
            <w:tcBorders/>
            <w:tcW w:w="1559" w:type="dxa"/>
            <w:vAlign w:val="center"/>
            <w:textDirection w:val="lrTb"/>
            <w:noWrap/>
          </w:tcPr>
          <w:p>
            <w:pPr>
              <w:pBdr/>
              <w:spacing w:after="60" w:before="60"/>
              <w:ind/>
              <w:jc w:val="center"/>
              <w:rPr>
                <w:sz w:val="22"/>
                <w:szCs w:val="22"/>
                <w14:ligatures w14:val="none"/>
              </w:rPr>
            </w:pPr>
            <w:r>
              <w:rPr>
                <w:sz w:val="22"/>
                <w:szCs w:val="22"/>
              </w:rPr>
              <w:t xml:space="preserve">366.276.427</w:t>
            </w:r>
            <w:r>
              <w:rPr>
                <w:sz w:val="22"/>
                <w:szCs w:val="22"/>
              </w:rPr>
            </w:r>
            <w:r>
              <w:rPr>
                <w:sz w:val="22"/>
                <w:szCs w:val="22"/>
                <w14:ligatures w14:val="none"/>
              </w:rPr>
            </w:r>
          </w:p>
        </w:tc>
        <w:tc>
          <w:tcPr>
            <w:tcBorders/>
            <w:tcW w:w="1968" w:type="dxa"/>
            <w:vAlign w:val="center"/>
            <w:textDirection w:val="lrTb"/>
            <w:noWrap w:val="false"/>
          </w:tcPr>
          <w:p>
            <w:pPr>
              <w:pBdr/>
              <w:spacing w:after="60" w:before="60"/>
              <w:ind/>
              <w:jc w:val="center"/>
              <w:rPr>
                <w:sz w:val="22"/>
                <w:szCs w:val="22"/>
                <w14:ligatures w14:val="none"/>
              </w:rPr>
            </w:pPr>
            <w:r>
              <w:rPr>
                <w:sz w:val="22"/>
                <w:szCs w:val="22"/>
              </w:rPr>
              <w:t xml:space="preserve">1.298.616.422</w:t>
            </w:r>
            <w:r>
              <w:rPr>
                <w:sz w:val="22"/>
                <w:szCs w:val="22"/>
              </w:rPr>
            </w:r>
            <w:r>
              <w:rPr>
                <w:sz w:val="22"/>
                <w:szCs w:val="22"/>
                <w14:ligatures w14:val="none"/>
              </w:rPr>
            </w:r>
          </w:p>
        </w:tc>
      </w:tr>
    </w:tbl>
    <w:p>
      <w:pPr>
        <w:pStyle w:val="1028"/>
        <w:pBdr/>
        <w:spacing w:after="120" w:before="120" w:line="276" w:lineRule="auto"/>
        <w:ind w:left="357"/>
        <w:jc w:val="both"/>
        <w:rPr>
          <w:b/>
          <w:lang w:val="pt-BR"/>
        </w:rPr>
      </w:pPr>
      <w:r>
        <w:rPr>
          <w:b/>
          <w:lang w:val="pt-BR"/>
        </w:rPr>
      </w:r>
      <w:r>
        <w:rPr>
          <w:b/>
          <w:lang w:val="pt-BR"/>
        </w:rPr>
      </w:r>
      <w:r>
        <w:rPr>
          <w:b/>
          <w:lang w:val="pt-BR"/>
        </w:rPr>
      </w:r>
    </w:p>
    <w:p>
      <w:pPr>
        <w:pStyle w:val="1028"/>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8"/>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241"/>
        <w:gridCol w:w="1802"/>
        <w:gridCol w:w="2902"/>
        <w:gridCol w:w="1843"/>
      </w:tblGrid>
      <w:tr>
        <w:trPr>
          <w:trHeight w:val="20"/>
        </w:trPr>
        <w:tc>
          <w:tcPr>
            <w:shd w:val="clear" w:color="000000" w:fill="ffffff"/>
            <w:tcBorders/>
            <w:tcW w:w="737"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41"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902"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843"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945" w:type="dxa"/>
            <w:vAlign w:val="center"/>
            <w:textDirection w:val="lrTb"/>
            <w:noWrap w:val="false"/>
          </w:tcPr>
          <w:p>
            <w:pPr>
              <w:pBdr/>
              <w:spacing w:after="40" w:before="40" w:line="288" w:lineRule="auto"/>
              <w:ind/>
              <w:jc w:val="both"/>
              <w:rPr>
                <w:b/>
                <w:bCs/>
              </w:rPr>
            </w:pPr>
            <w:r>
              <w:rPr>
                <w:color w:val="000000"/>
              </w:rPr>
              <w:t xml:space="preserve">Quyền sử dụng đất và tài sản gắn liền với đất tại thửa đất số: TT9-A26(10), tờ bản đồ số 00 có địa chỉ: Khu đô thị Văn Quán - Yên Phúc, phường Văn Quán, quận Hà Đông, thành phố Hà Nội (Nay là Phường Hà Đông, thành phố Hà Nội) theo Giấy c</w:t>
            </w:r>
            <w:r>
              <w:rPr>
                <w:color w:val="000000"/>
              </w:rPr>
              <w:t xml:space="preserve">hứng nhận quyền sử dụng đất quyền sở hữu nhà ở và tài sản khác gắn liền với đất số: BB 466935, số vào sổ cấp GCN: CS-HĐO 02339 do Sở Tài nguyên và Môi trường Thành phố Hà Nội cấp ngày 03/12/2015; Chủ sử dụng đất là Ông Nguyễn Duy Hưng và Bà Nguyễn Thị Hồng</w:t>
            </w:r>
            <w:r>
              <w:rPr>
                <w:b/>
                <w:bCs/>
              </w:rPr>
              <w:t xml:space="preserve">.</w:t>
            </w:r>
            <w:r>
              <w:rPr>
                <w:b/>
                <w:bCs/>
              </w:rPr>
            </w:r>
            <w:r>
              <w:rPr>
                <w:b/>
                <w:bCs/>
              </w:rPr>
            </w:r>
          </w:p>
        </w:tc>
        <w:tc>
          <w:tcPr>
            <w:shd w:val="clear" w:color="000000" w:fill="ffffff"/>
            <w:tcBorders/>
            <w:tcW w:w="1843"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2241" w:type="dxa"/>
            <w:vAlign w:val="center"/>
            <w:textDirection w:val="lrTb"/>
            <w:noWrap w:val="false"/>
          </w:tcPr>
          <w:p>
            <w:pPr>
              <w:pBdr/>
              <w:spacing w:after="40" w:before="40" w:line="288" w:lineRule="auto"/>
              <w:ind/>
              <w:rPr/>
            </w:pPr>
            <w:r>
              <w:rPr>
                <w:b/>
                <w:bCs/>
              </w:rPr>
              <w:t xml:space="preserve">Quyền sử dụng đất</w:t>
            </w: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81,4</w:t>
            </w:r>
            <w:r>
              <w:rPr>
                <w:color w:val="000000"/>
              </w:rPr>
            </w:r>
            <w:r>
              <w:rPr>
                <w:color w:val="000000"/>
              </w:rPr>
            </w:r>
          </w:p>
        </w:tc>
        <w:tc>
          <w:tcPr>
            <w:shd w:val="clear" w:color="000000" w:fill="ffffff"/>
            <w:tcBorders/>
            <w:tcW w:w="2902" w:type="dxa"/>
            <w:vAlign w:val="center"/>
            <w:textDirection w:val="lrTb"/>
            <w:noWrap w:val="false"/>
          </w:tcPr>
          <w:p>
            <w:pPr>
              <w:pBdr/>
              <w:spacing w:after="40" w:before="40" w:line="288" w:lineRule="auto"/>
              <w:ind/>
              <w:jc w:val="center"/>
              <w:rPr>
                <w:color w:val="000000" w:themeColor="text1"/>
                <w14:ligatures w14:val="none"/>
              </w:rPr>
            </w:pPr>
            <w:r>
              <w:rPr>
                <w:color w:val="000000" w:themeColor="text1"/>
              </w:rPr>
              <w:t xml:space="preserve">216.000.000</w:t>
            </w:r>
            <w:r>
              <w:rPr>
                <w:color w:val="000000" w:themeColor="text1"/>
              </w:rPr>
            </w:r>
            <w:r>
              <w:rPr>
                <w:color w:val="000000" w:themeColor="text1"/>
                <w14:ligatures w14:val="none"/>
              </w:rPr>
            </w:r>
          </w:p>
        </w:tc>
        <w:tc>
          <w:tcPr>
            <w:shd w:val="clear" w:color="000000" w:fill="ffffff"/>
            <w:tcBorders/>
            <w:tcW w:w="1843" w:type="dxa"/>
            <w:vAlign w:val="center"/>
            <w:textDirection w:val="lrTb"/>
            <w:noWrap w:val="false"/>
          </w:tcPr>
          <w:p>
            <w:pPr>
              <w:pBdr/>
              <w:spacing w:after="40" w:before="40" w:line="288" w:lineRule="auto"/>
              <w:ind/>
              <w:jc w:val="right"/>
              <w:rPr>
                <w:color w:val="000000" w:themeColor="text1"/>
                <w14:ligatures w14:val="none"/>
              </w:rPr>
            </w:pPr>
            <w:r>
              <w:rPr>
                <w:color w:val="000000" w:themeColor="text1"/>
              </w:rPr>
              <w:t xml:space="preserve">17.582.400.000</w:t>
            </w:r>
            <w:r>
              <w:rPr>
                <w:color w:val="000000" w:themeColor="text1"/>
              </w:rPr>
            </w:r>
            <w:r>
              <w:rPr>
                <w:color w:val="000000" w:themeColor="text1"/>
                <w14:ligatures w14:val="none"/>
              </w:rP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2241" w:type="dxa"/>
            <w:vAlign w:val="center"/>
            <w:textDirection w:val="lrTb"/>
            <w:noWrap w:val="false"/>
          </w:tcPr>
          <w:p>
            <w:pPr>
              <w:pBdr/>
              <w:spacing w:after="40" w:before="40" w:line="288" w:lineRule="auto"/>
              <w:ind/>
              <w:rPr/>
            </w:pPr>
            <w:r>
              <w:rPr>
                <w:b/>
                <w:bCs/>
              </w:rPr>
              <w:t xml:space="preserve">Nhà ở liền kề</w:t>
            </w: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226.4</w:t>
            </w:r>
            <w:r>
              <w:rPr>
                <w:color w:val="000000"/>
              </w:rPr>
            </w:r>
            <w:r>
              <w:rPr>
                <w:color w:val="000000"/>
              </w:rPr>
            </w:r>
          </w:p>
        </w:tc>
        <w:tc>
          <w:tcPr>
            <w:shd w:val="clear" w:color="000000" w:fill="ffffff"/>
            <w:tcBorders/>
            <w:tcW w:w="2902" w:type="dxa"/>
            <w:vAlign w:val="center"/>
            <w:textDirection w:val="lrTb"/>
            <w:noWrap w:val="false"/>
          </w:tcPr>
          <w:p>
            <w:pPr>
              <w:pBdr/>
              <w:spacing w:after="40" w:before="40" w:line="288" w:lineRule="auto"/>
              <w:ind/>
              <w:jc w:val="center"/>
              <w:rPr>
                <w:color w:val="000000" w:themeColor="text1"/>
                <w14:ligatures w14:val="none"/>
              </w:rPr>
            </w:pPr>
            <w:r>
              <w:rPr>
                <w:color w:val="000000" w:themeColor="text1"/>
              </w:rPr>
            </w:r>
            <w:r>
              <w:rPr>
                <w:color w:val="000000" w:themeColor="text1"/>
              </w:rPr>
              <w:t xml:space="preserve">7.353.767</w:t>
            </w:r>
            <w:r>
              <w:rPr>
                <w:color w:val="000000" w:themeColor="text1"/>
              </w:rPr>
            </w:r>
            <w:r>
              <w:rPr>
                <w:color w:val="000000" w:themeColor="text1"/>
                <w14:ligatures w14:val="none"/>
              </w:rPr>
            </w:r>
          </w:p>
        </w:tc>
        <w:tc>
          <w:tcPr>
            <w:shd w:val="clear" w:color="000000" w:fill="ffffff"/>
            <w:tcBorders/>
            <w:tcW w:w="1843" w:type="dxa"/>
            <w:vAlign w:val="center"/>
            <w:textDirection w:val="lrTb"/>
            <w:noWrap w:val="false"/>
          </w:tcPr>
          <w:p>
            <w:pPr>
              <w:pBdr/>
              <w:spacing w:after="40" w:before="40" w:line="288" w:lineRule="auto"/>
              <w:ind/>
              <w:jc w:val="right"/>
              <w:rPr>
                <w:color w:val="000000" w:themeColor="text1"/>
                <w14:ligatures w14:val="none"/>
              </w:rPr>
            </w:pPr>
            <w:r>
              <w:rPr>
                <w:color w:val="000000" w:themeColor="text1"/>
              </w:rPr>
              <w:t xml:space="preserve">1.298.616.422</w:t>
            </w:r>
            <w:r>
              <w:rPr>
                <w:color w:val="000000" w:themeColor="text1"/>
              </w:rPr>
            </w:r>
            <w:r>
              <w:rPr>
                <w:color w:val="000000" w:themeColor="text1"/>
                <w14:ligatures w14:val="none"/>
              </w:rPr>
            </w:r>
          </w:p>
        </w:tc>
      </w:tr>
      <w:tr>
        <w:trPr>
          <w:trHeight w:val="20"/>
        </w:trPr>
        <w:tc>
          <w:tcPr>
            <w:gridSpan w:val="4"/>
            <w:tcBorders/>
            <w:tcW w:w="7682" w:type="dxa"/>
            <w:vAlign w:val="center"/>
            <w:textDirection w:val="lrTb"/>
            <w:noWrap/>
          </w:tcPr>
          <w:p>
            <w:pPr>
              <w:pBdr/>
              <w:spacing w:after="40" w:before="40" w:line="288" w:lineRule="auto"/>
              <w:ind/>
              <w:jc w:val="center"/>
              <w:rPr>
                <w:b/>
                <w:bCs/>
                <w:color w:val="000000" w:themeColor="text1"/>
                <w14:ligatures w14:val="none"/>
              </w:rPr>
            </w:pPr>
            <w:r>
              <w:rPr>
                <w:b/>
                <w:bCs/>
                <w:color w:val="000000" w:themeColor="text1"/>
              </w:rPr>
              <w:t xml:space="preserve">TỔNG CỘNG</w:t>
            </w:r>
            <w:r>
              <w:rPr>
                <w:b/>
                <w:bCs/>
                <w:color w:val="000000" w:themeColor="text1"/>
              </w:rPr>
            </w:r>
            <w:r>
              <w:rPr>
                <w:b/>
                <w:bCs/>
                <w:color w:val="000000" w:themeColor="text1"/>
                <w14:ligatures w14:val="none"/>
              </w:rPr>
            </w:r>
          </w:p>
        </w:tc>
        <w:tc>
          <w:tcPr>
            <w:tcBorders/>
            <w:tcW w:w="1843" w:type="dxa"/>
            <w:vAlign w:val="center"/>
            <w:textDirection w:val="lrTb"/>
            <w:noWrap/>
          </w:tcPr>
          <w:p>
            <w:pPr>
              <w:pBdr/>
              <w:spacing w:after="40" w:before="40" w:line="288" w:lineRule="auto"/>
              <w:ind/>
              <w:jc w:val="right"/>
              <w:rPr>
                <w:b/>
                <w:bCs/>
                <w:color w:val="000000" w:themeColor="text1"/>
                <w14:ligatures w14:val="none"/>
              </w:rPr>
            </w:pPr>
            <w:r>
              <w:rPr>
                <w:b/>
                <w:bCs/>
                <w:color w:val="000000" w:themeColor="text1"/>
              </w:rPr>
              <w:t xml:space="preserve">18.881.016.422</w:t>
            </w:r>
            <w:r>
              <w:rPr>
                <w:b/>
                <w:bCs/>
                <w:color w:val="000000" w:themeColor="text1"/>
              </w:rPr>
            </w:r>
            <w:r>
              <w:rPr>
                <w:b/>
                <w:bCs/>
                <w:color w:val="000000" w:themeColor="text1"/>
                <w14:ligatures w14:val="none"/>
              </w:rPr>
            </w:r>
          </w:p>
        </w:tc>
      </w:tr>
      <w:tr>
        <w:trPr>
          <w:trHeight w:val="20"/>
        </w:trPr>
        <w:tc>
          <w:tcPr>
            <w:gridSpan w:val="4"/>
            <w:tcBorders/>
            <w:tcW w:w="7682" w:type="dxa"/>
            <w:vAlign w:val="center"/>
            <w:textDirection w:val="lrTb"/>
            <w:noWrap/>
          </w:tcPr>
          <w:p>
            <w:pPr>
              <w:pBdr/>
              <w:spacing w:after="40" w:before="40" w:line="288" w:lineRule="auto"/>
              <w:ind/>
              <w:jc w:val="center"/>
              <w:rPr>
                <w:b/>
                <w:bCs/>
                <w:color w:val="000000" w:themeColor="text1"/>
                <w14:ligatures w14:val="none"/>
              </w:rPr>
            </w:pPr>
            <w:r>
              <w:rPr>
                <w:b/>
                <w:bCs/>
                <w:color w:val="000000" w:themeColor="text1"/>
              </w:rPr>
              <w:t xml:space="preserve">LÀM TRÒN</w:t>
            </w:r>
            <w:r>
              <w:rPr>
                <w:b/>
                <w:bCs/>
                <w:color w:val="000000" w:themeColor="text1"/>
              </w:rPr>
            </w:r>
            <w:r>
              <w:rPr>
                <w:b/>
                <w:bCs/>
                <w:color w:val="000000" w:themeColor="text1"/>
                <w14:ligatures w14:val="none"/>
              </w:rPr>
            </w:r>
          </w:p>
        </w:tc>
        <w:tc>
          <w:tcPr>
            <w:tcBorders/>
            <w:tcW w:w="1843" w:type="dxa"/>
            <w:vAlign w:val="center"/>
            <w:textDirection w:val="lrTb"/>
            <w:noWrap/>
          </w:tcPr>
          <w:p>
            <w:pPr>
              <w:pBdr/>
              <w:spacing w:after="40" w:before="40" w:line="288" w:lineRule="auto"/>
              <w:ind/>
              <w:jc w:val="right"/>
              <w:rPr>
                <w:b/>
                <w:bCs/>
                <w:color w:val="000000" w:themeColor="text1"/>
                <w14:ligatures w14:val="none"/>
              </w:rPr>
            </w:pPr>
            <w:r>
              <w:rPr>
                <w:b/>
                <w:bCs/>
                <w:color w:val="000000" w:themeColor="text1"/>
              </w:rPr>
              <w:t xml:space="preserve">18.881.000.000</w:t>
            </w:r>
            <w:r>
              <w:rPr>
                <w:b/>
                <w:bCs/>
                <w:color w:val="000000" w:themeColor="text1"/>
              </w:rPr>
            </w:r>
            <w:r>
              <w:rPr>
                <w:b/>
                <w:bCs/>
                <w:color w:val="000000" w:themeColor="text1"/>
                <w14:ligatures w14:val="non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tám tỷ, tám trăm tám mươi mốt triệu đồng</w:t>
            </w:r>
            <w:r>
              <w:rPr>
                <w:b/>
                <w:bCs/>
                <w:i/>
                <w:iCs/>
                <w:color w:val="000000"/>
              </w:rPr>
              <w:t xml:space="preserve">/.)</w:t>
            </w:r>
            <w:r>
              <w:rPr>
                <w:b/>
                <w:bCs/>
                <w:i/>
                <w:iCs/>
                <w:color w:val="000000"/>
              </w:rPr>
            </w:r>
            <w:r>
              <w:rPr>
                <w:b/>
                <w:bCs/>
                <w:i/>
                <w:iCs/>
                <w:color w:val="000000"/>
              </w:rPr>
            </w:r>
          </w:p>
        </w:tc>
      </w:tr>
    </w:tbl>
    <w:p>
      <w:pPr>
        <w:pStyle w:val="1028"/>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8"/>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8"/>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8"/>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8"/>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8"/>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8"/>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8"/>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8"/>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8"/>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8"/>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8"/>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8"/>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8"/>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8"/>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8"/>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8"/>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8"/>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8"/>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28"/>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8"/>
        <w:numPr>
          <w:ilvl w:val="0"/>
          <w:numId w:val="40"/>
        </w:numPr>
        <w:pBdr/>
        <w:tabs>
          <w:tab w:val="left" w:leader="none" w:pos="993"/>
        </w:tabs>
        <w:spacing w:after="120" w:before="120" w:line="264" w:lineRule="auto"/>
        <w:ind/>
        <w:jc w:val="both"/>
        <w:rPr>
          <w:spacing w:val="-2"/>
          <w:lang w:val="pt-BR"/>
          <w14:ligatures w14:val="none"/>
        </w:rPr>
      </w:pPr>
      <w:r>
        <w:rPr>
          <w:spacing w:val="-2"/>
          <w:lang w:val="pt-BR" w:bidi="pt-BR"/>
        </w:rPr>
      </w:r>
      <w:r>
        <w:rPr>
          <w:spacing w:val="-2"/>
          <w:lang w:val="pt-BR"/>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spacing w:val="-2"/>
          <w:lang w:val="pt-BR"/>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spacing w:val="-2"/>
          <w:lang w:val="pt-BR"/>
        </w:rPr>
        <w:t xml:space="preserve"> nhận rõ tình trạng quy hoạch thì kết quả thẩm định giá cần được xem xét, điều chỉnh phù hợp, đồng thời chúng tôi bảo lưu quyền xem xét lại kết quả thẩm định giá.</w:t>
      </w:r>
      <w:r>
        <w:rPr>
          <w:spacing w:val="-2"/>
          <w:lang w:val="pt-BR"/>
          <w14:ligatures w14:val="none"/>
        </w:rPr>
      </w:r>
      <w:r>
        <w:rPr>
          <w:spacing w:val="-2"/>
          <w:lang w:val="pt-BR"/>
          <w14:ligatures w14:val="none"/>
        </w:rPr>
      </w:r>
    </w:p>
    <w:p>
      <w:pPr>
        <w:pStyle w:val="1028"/>
        <w:numPr>
          <w:ilvl w:val="0"/>
          <w:numId w:val="42"/>
        </w:numPr>
        <w:pBdr/>
        <w:tabs>
          <w:tab w:val="left" w:leader="none" w:pos="993"/>
        </w:tabs>
        <w:spacing w:after="120" w:before="120" w:line="264" w:lineRule="auto"/>
        <w:ind/>
        <w:jc w:val="both"/>
        <w:rPr>
          <w:spacing w:val="-2"/>
          <w:lang w:val="pt-BR"/>
          <w14:ligatures w14:val="none"/>
        </w:rPr>
      </w:pPr>
      <w:r>
        <w:rPr>
          <w:spacing w:val="-2"/>
          <w:lang w:val="pt-BR" w:bidi="pt-BR"/>
        </w:rPr>
      </w:r>
      <w:r>
        <w:rPr>
          <w:color w:val="000000"/>
        </w:rPr>
        <w:t xml:space="preserve">Tại thời điểm khảo sát dưới sự hướng dẫn của Khách hàng, CTXD gắn liền với đất là nhà 4 tầng 1 tum. Diện tích xây dựng khoảng 59,2</w:t>
      </w:r>
      <w:r>
        <w:rPr>
          <w:color w:val="000000"/>
        </w:rPr>
        <w:t xml:space="preserve">m² </w:t>
      </w:r>
      <w:r>
        <w:rPr>
          <w:color w:val="000000"/>
        </w:rPr>
        <w:t xml:space="preserve">; diện tích sàn khoảng 266m² hoàn thiện năm 2015. Công</w:t>
      </w:r>
      <w:r>
        <w:rPr>
          <w:color w:val="000000"/>
        </w:rPr>
        <w:t xml:space="preserve"> trình xây dựng thực tế khác với công trình được chứng nhận trên sổ là nhà 4 tầng diện tích xây dựng 59,2m², diện tích sàn 226,7m². Theo đề nghị của khách hàng/ngân hàng, tổ thẩm định xác định giá trị của công trình xây dựng theo thông tin trên GCN và coi </w:t>
      </w:r>
      <w:r>
        <w:t xml:space="preserve">phần diện tích, công trình hoặc hạng mục thực tế khác biệt được hình thành và sử dụng hợp pháp, không có tranh chấp, phù hợp với quy hoạch và được cơ quan có thẩm quyền chấp thuận/công nhận. </w:t>
      </w:r>
      <w:r>
        <w:t xml:space="preserve">Kính đề nghị đơn vị sử dụng kết quả lưu ý.</w:t>
      </w:r>
      <w:r>
        <w:rPr>
          <w:spacing w:val="-2"/>
          <w:lang w:val="pt-BR"/>
          <w14:ligatures w14:val="none"/>
        </w:rPr>
      </w:r>
      <w:r>
        <w:rPr>
          <w:spacing w:val="-2"/>
          <w:lang w:val="pt-BR"/>
          <w14:ligatures w14:val="none"/>
        </w:rPr>
      </w:r>
      <w:r>
        <w:rPr>
          <w:spacing w:val="-2"/>
          <w:lang w:val="pt-BR" w:bidi="pt-BR"/>
        </w:rPr>
      </w:r>
      <w:r>
        <w:rPr>
          <w:spacing w:val="-2"/>
          <w:lang w:val="pt-BR"/>
          <w14:ligatures w14:val="none"/>
        </w:rPr>
      </w:r>
      <w:r>
        <w:rPr>
          <w:spacing w:val="-2"/>
          <w:lang w:val="pt-BR"/>
          <w14:ligatures w14:val="none"/>
        </w:rPr>
      </w:r>
      <w:r>
        <w:rPr>
          <w:spacing w:val="-2"/>
          <w:lang w:val="pt-BR"/>
          <w14:ligatures w14:val="none"/>
        </w:rPr>
      </w:r>
    </w:p>
    <w:p>
      <w:pPr>
        <w:pStyle w:val="1028"/>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28"/>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8"/>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8"/>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8"/>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8"/>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8"/>
        <w:pBdr/>
        <w:tabs>
          <w:tab w:val="left" w:leader="none" w:pos="993"/>
        </w:tabs>
        <w:spacing w:after="120" w:before="120" w:line="288" w:lineRule="auto"/>
        <w:ind w:left="0"/>
        <w:jc w:val="both"/>
        <w:rPr>
          <w:lang w:val="pt-BR"/>
        </w:rPr>
      </w:pPr>
      <w:r>
        <w:rPr>
          <w:highlight w:val="none"/>
          <w:lang w:val="vi-VN"/>
        </w:rPr>
      </w:r>
      <w:r>
        <w:rPr>
          <w:highlight w:val="none"/>
          <w:lang w:val="vi-VN"/>
        </w:rPr>
      </w:r>
      <w:r>
        <w:rPr>
          <w:lang w:val="pt-BR"/>
        </w:rPr>
      </w:r>
    </w:p>
    <w:p>
      <w:pPr>
        <w:pStyle w:val="1028"/>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8"/>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8"/>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8"/>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8"/>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8"/>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8"/>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8"/>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8"/>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8"/>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8"/>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8"/>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8"/>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275/2026/1405/VFI-CT.39.A</w:t>
      </w:r>
      <w:r>
        <w:rPr>
          <w:color w:val="ff0000"/>
          <w:lang w:val="vi-VN"/>
        </w:rPr>
        <w:t xml:space="preserve"> </w:t>
      </w:r>
      <w:r>
        <w:rPr>
          <w:color w:val="000000" w:themeColor="text1"/>
        </w:rPr>
        <w:t xml:space="preserve">ngày 9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Đinh Thị Lan Hương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275/2026/1405/VFI-BC.39.A</w:t>
      </w:r>
      <w:r>
        <w:rPr>
          <w:i/>
        </w:rPr>
        <w:t xml:space="preserve"> ngày</w:t>
      </w:r>
      <w:r>
        <w:rPr>
          <w:i/>
          <w:lang w:val="pt-BR"/>
        </w:rPr>
        <w:t xml:space="preserve"> </w:t>
      </w:r>
      <w:r>
        <w:rPr>
          <w:i/>
          <w:lang w:val="pt-BR"/>
        </w:rPr>
        <w:t xml:space="preserve">9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034207" cy="2240781"/>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219736" name=""/>
                              <pic:cNvPicPr>
                                <a:picLocks noChangeAspect="1"/>
                              </pic:cNvPicPr>
                              <pic:nvPr/>
                            </pic:nvPicPr>
                            <pic:blipFill rotWithShape="1">
                              <a:blip r:embed="rId19"/>
                              <a:stretch/>
                            </pic:blipFill>
                            <pic:spPr bwMode="auto">
                              <a:xfrm flipH="0" flipV="0">
                                <a:off x="0" y="0"/>
                                <a:ext cx="1034206" cy="22407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81.43pt;height:176.44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467009" cy="185025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77768" name=""/>
                              <pic:cNvPicPr>
                                <a:picLocks noChangeAspect="1"/>
                              </pic:cNvPicPr>
                              <pic:nvPr/>
                            </pic:nvPicPr>
                            <pic:blipFill rotWithShape="1">
                              <a:blip r:embed="rId20"/>
                              <a:stretch/>
                            </pic:blipFill>
                            <pic:spPr bwMode="auto">
                              <a:xfrm flipH="0" flipV="0">
                                <a:off x="0" y="0"/>
                                <a:ext cx="2467008" cy="18502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4.25pt;height:145.69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732110" cy="204908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857022" name=""/>
                              <pic:cNvPicPr>
                                <a:picLocks noChangeAspect="1"/>
                              </pic:cNvPicPr>
                              <pic:nvPr/>
                            </pic:nvPicPr>
                            <pic:blipFill rotWithShape="1">
                              <a:blip r:embed="rId21"/>
                              <a:stretch/>
                            </pic:blipFill>
                            <pic:spPr bwMode="auto">
                              <a:xfrm flipH="0" flipV="0">
                                <a:off x="0" y="0"/>
                                <a:ext cx="2732108" cy="20490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5.13pt;height:161.35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703303" cy="202747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376880" name=""/>
                              <pic:cNvPicPr>
                                <a:picLocks noChangeAspect="1"/>
                              </pic:cNvPicPr>
                              <pic:nvPr/>
                            </pic:nvPicPr>
                            <pic:blipFill rotWithShape="1">
                              <a:blip r:embed="rId22"/>
                              <a:stretch/>
                            </pic:blipFill>
                            <pic:spPr bwMode="auto">
                              <a:xfrm flipH="0" flipV="0">
                                <a:off x="0" y="0"/>
                                <a:ext cx="2703303" cy="20274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2.86pt;height:159.64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493985" cy="187048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245438" name=""/>
                              <pic:cNvPicPr>
                                <a:picLocks noChangeAspect="1"/>
                              </pic:cNvPicPr>
                              <pic:nvPr/>
                            </pic:nvPicPr>
                            <pic:blipFill rotWithShape="1">
                              <a:blip r:embed="rId23"/>
                              <a:stretch/>
                            </pic:blipFill>
                            <pic:spPr bwMode="auto">
                              <a:xfrm flipH="0" flipV="0">
                                <a:off x="0" y="0"/>
                                <a:ext cx="2493984" cy="18704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6.38pt;height:147.28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817603" cy="211320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317262" name=""/>
                              <pic:cNvPicPr>
                                <a:picLocks noChangeAspect="1"/>
                              </pic:cNvPicPr>
                              <pic:nvPr/>
                            </pic:nvPicPr>
                            <pic:blipFill rotWithShape="1">
                              <a:blip r:embed="rId24"/>
                              <a:stretch/>
                            </pic:blipFill>
                            <pic:spPr bwMode="auto">
                              <a:xfrm flipH="0" flipV="0">
                                <a:off x="0" y="0"/>
                                <a:ext cx="2817603" cy="21132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1.86pt;height:166.39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275/2026/1405/VFI-BC.39.A</w:t>
      </w:r>
      <w:r>
        <w:rPr>
          <w:i/>
        </w:rPr>
        <w:t xml:space="preserve"> ngày</w:t>
      </w:r>
      <w:r>
        <w:rPr>
          <w:i/>
          <w:lang w:val="pt-BR"/>
        </w:rPr>
        <w:t xml:space="preserve"> </w:t>
      </w:r>
      <w:r>
        <w:rPr>
          <w:i/>
          <w:lang w:val="pt-BR"/>
        </w:rPr>
        <w:t xml:space="preserve">9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081"/>
        <w:gridCol w:w="590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https://batdongsan.com.vn/ban-nha-biet-thu-lien-ke-duong-nguyen-khuyen-phuong-van-quan-khu-do-thi-moi-van-quan/ban-phan-lo-dau-pho-quan-pr40266989?gidzl=nNdNHJ39Atp4PT13CTyZVyvlt4SjYtLurZ7U4IEB8opPEueJSOrq8jXkYKyXsdLntchRJ3JDWie8EiefVG</w:t>
            </w:r>
            <w:r>
              <w:rPr>
                <w:color w:val="000000" w:themeColor="text1"/>
                <w:sz w:val="22"/>
                <w:szCs w:val="22"/>
              </w:rPr>
              <w:br/>
              <w:t xml:space="preserve">0935798188</w:t>
            </w:r>
            <w:r>
              <w:rPr>
                <w:sz w:val="22"/>
                <w:szCs w:val="22"/>
              </w:rPr>
              <w:t xml:space="preserve"> </w:t>
            </w:r>
            <w:r>
              <w:rPr>
                <w:sz w:val="22"/>
                <w:szCs w:val="22"/>
              </w:rPr>
              <w:br/>
              <w:t xml:space="preserve">(Minh Đức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19.000.000.000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17.100.000.000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(70m²)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Khu đô thị Văn Quán, phường Hà Đông, TP Hà Nội, 20.97594339999997, 105.78787616446441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70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4,6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372227"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437222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44.27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21265" cy="298396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2321264" cy="29839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82.78pt;height:234.96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45165" cy="2000966"/>
                      <wp:effectExtent l="0" t="0" r="0" b="0"/>
                      <wp:docPr id="15" name=""/>
                      <wp:cNvGraphicFramePr/>
                      <a:graphic xmlns:a="http://schemas.openxmlformats.org/drawingml/2006/main">
                        <a:graphicData uri="http://schemas.openxmlformats.org/drawingml/2006/picture">
                          <pic:pic xmlns:pic="http://schemas.openxmlformats.org/drawingml/2006/picture">
                            <pic:nvPicPr>
                              <pic:cNvPr id="1740765749" name="" descr=""/>
                              <pic:cNvPicPr/>
                              <pic:nvPr/>
                            </pic:nvPicPr>
                            <pic:blipFill rotWithShape="1">
                              <a:blip r:embed="rId27"/>
                              <a:stretch/>
                            </pic:blipFill>
                            <pic:spPr bwMode="auto">
                              <a:xfrm flipH="0" flipV="0">
                                <a:off x="0" y="0"/>
                                <a:ext cx="3045164" cy="200096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39.78pt;height:157.56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mc:AlternateContent>
                <mc:Choice Requires="wpg">
                  <w:drawing>
                    <wp:inline xmlns:wp="http://schemas.openxmlformats.org/drawingml/2006/wordprocessingDrawing" distT="0" distB="0" distL="0" distR="0">
                      <wp:extent cx="1393902"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758328090" name="" descr=""/>
                              <pic:cNvPicPr/>
                              <pic:nvPr/>
                            </pic:nvPicPr>
                            <pic:blipFill rotWithShape="1">
                              <a:blip r:embed="rId28"/>
                              <a:stretch/>
                            </pic:blipFill>
                            <pic:spPr bwMode="auto">
                              <a:xfrm>
                                <a:off x="0" y="0"/>
                                <a:ext cx="139390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09.76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393902"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1437863571" name="" descr=""/>
                              <pic:cNvPicPr/>
                              <pic:nvPr/>
                            </pic:nvPicPr>
                            <pic:blipFill rotWithShape="1">
                              <a:blip r:embed="rId29"/>
                              <a:stretch/>
                            </pic:blipFill>
                            <pic:spPr bwMode="auto">
                              <a:xfrm>
                                <a:off x="0" y="0"/>
                                <a:ext cx="139390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09.76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Đinh Thị Lan Hương</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2939"/>
        <w:gridCol w:w="6048"/>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0911569636</w:t>
            </w:r>
            <w:r>
              <w:rPr>
                <w:sz w:val="22"/>
                <w:szCs w:val="22"/>
              </w:rPr>
              <w:t xml:space="preserve"> </w:t>
            </w:r>
            <w:r>
              <w:rPr>
                <w:sz w:val="22"/>
                <w:szCs w:val="22"/>
              </w:rPr>
              <w:br/>
              <w:t xml:space="preserve">(Đức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18.500.000.000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16.650.000.000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(74.5m²)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Khu đô thị Văn Quán, phường Hà Đông, TP Hà Nội, 20.96959215171234, 105.7898372446379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74.5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4.55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49037"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4903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4.96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33819"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1888426455" name="" descr=""/>
                              <pic:cNvPicPr/>
                              <pic:nvPr/>
                            </pic:nvPicPr>
                            <pic:blipFill rotWithShape="1">
                              <a:blip r:embed="rId31"/>
                              <a:stretch/>
                            </pic:blipFill>
                            <pic:spPr bwMode="auto">
                              <a:xfrm rot="0" flipH="0" flipV="0">
                                <a:off x="0" y="0"/>
                                <a:ext cx="303381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38.88pt;height:250.00pt;mso-wrap-distance-left:0.00pt;mso-wrap-distance-top:0.00pt;mso-wrap-distance-right:0.00pt;mso-wrap-distance-bottom:0.00pt;rotation:0;z-index:1;" stroked="false">
                      <v:imagedata r:id="rId31"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Đinh Thị Lan Hương</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223"/>
        <w:gridCol w:w="576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https://batdongsan.com.vn/ban-nha-biet-thu-lien-ke-duong-nguyen-khuyen-phuong-van-quan-15/chu-cuc-mot-giam-2-ty-ban-gap-85m-5-tang-gara-o-to-o-kinh-doanh-22-7-ty-pr46163833</w:t>
            </w:r>
            <w:r>
              <w:rPr>
                <w:color w:val="000000" w:themeColor="text1"/>
                <w:sz w:val="22"/>
                <w:szCs w:val="22"/>
              </w:rPr>
              <w:br/>
            </w:r>
            <w:r>
              <w:rPr>
                <w:sz w:val="22"/>
                <w:szCs w:val="22"/>
              </w:rPr>
              <w:t xml:space="preserve">SĐT: </w:t>
            </w:r>
            <w:r>
              <w:rPr>
                <w:color w:val="000000" w:themeColor="text1"/>
                <w:sz w:val="22"/>
                <w:szCs w:val="22"/>
              </w:rPr>
              <w:t xml:space="preserve">0968739856</w:t>
            </w:r>
            <w:r>
              <w:rPr>
                <w:sz w:val="22"/>
                <w:szCs w:val="22"/>
              </w:rPr>
              <w:t xml:space="preserve"> </w:t>
            </w:r>
            <w:r>
              <w:rPr>
                <w:sz w:val="22"/>
                <w:szCs w:val="22"/>
              </w:rPr>
              <w:br/>
              <w:t xml:space="preserve">(Ly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22.800.000.000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20.520.000.000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173"/>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(85m²)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Khu đô thị Văn Quán, phường Hà Đông, TP Hà Nội, 20.96953016597169, 105.78957486937242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85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28279"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452827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56.56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393902"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13939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09.76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393902"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2027359735" name="" descr=""/>
                              <pic:cNvPicPr/>
                              <pic:nvPr/>
                            </pic:nvPicPr>
                            <pic:blipFill rotWithShape="1">
                              <a:blip r:embed="rId34"/>
                              <a:stretch/>
                            </pic:blipFill>
                            <pic:spPr bwMode="auto">
                              <a:xfrm>
                                <a:off x="0" y="0"/>
                                <a:ext cx="139390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09.76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Đinh Thị Lan Hương</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highlight w:val="none"/>
          <w:lang w:val="pt-BR"/>
        </w:rPr>
      </w:r>
      <w:r>
        <w:rPr>
          <w:iCs/>
          <w:highlight w:val="none"/>
          <w:lang w:val="pt-BR"/>
        </w:rPr>
      </w:r>
      <w:r>
        <w:rPr>
          <w:lang w:val="pt-BR"/>
        </w:rPr>
      </w:r>
    </w:p>
    <w:p>
      <w:pPr>
        <w:pBdr/>
        <w:spacing w:after="200" w:line="276" w:lineRule="auto"/>
        <w:ind/>
        <w:rPr>
          <w:iCs/>
          <w:highlight w:val="none"/>
          <w:lang w:val="pt-BR"/>
        </w:rPr>
      </w:pPr>
      <w:r>
        <w:rPr>
          <w:iCs/>
          <w:lang w:val="pt-BR"/>
        </w:rPr>
        <mc:AlternateContent>
          <mc:Choice Requires="wpg">
            <w:drawing>
              <wp:inline xmlns:wp="http://schemas.openxmlformats.org/drawingml/2006/wordprocessingDrawing" distT="0" distB="0" distL="0" distR="0">
                <wp:extent cx="8248110" cy="6186082"/>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519969" name=""/>
                        <pic:cNvPicPr>
                          <a:picLocks noChangeAspect="1"/>
                        </pic:cNvPicPr>
                        <pic:nvPr/>
                      </pic:nvPicPr>
                      <pic:blipFill rotWithShape="1">
                        <a:blip r:embed="rId35"/>
                        <a:stretch/>
                      </pic:blipFill>
                      <pic:spPr bwMode="auto">
                        <a:xfrm rot="16199969" flipH="0" flipV="0">
                          <a:off x="0" y="0"/>
                          <a:ext cx="8248109" cy="61860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649.46pt;height:487.09pt;mso-wrap-distance-left:0.00pt;mso-wrap-distance-top:0.00pt;mso-wrap-distance-right:0.00pt;mso-wrap-distance-bottom:0.00pt;rotation:269;z-index:1;" stroked="false">
                <v:imagedata r:id="rId35" o:title=""/>
                <o:lock v:ext="edit" rotation="t"/>
              </v:shape>
            </w:pict>
          </mc:Fallback>
        </mc:AlternateContent>
      </w:r>
      <w:r>
        <w:rPr>
          <w:iCs/>
          <w:lang w:val="pt-BR"/>
        </w:rPr>
      </w:r>
      <w:r>
        <w:rPr>
          <w:iCs/>
          <w:highlight w:val="none"/>
          <w:lang w:val="pt-BR"/>
        </w:rPr>
      </w:r>
    </w:p>
    <w:p>
      <w:pPr>
        <w:pBdr/>
        <w:spacing/>
        <w:ind/>
        <w:rPr/>
      </w:pPr>
      <w:r>
        <mc:AlternateContent>
          <mc:Choice Requires="wpg">
            <w:drawing>
              <wp:inline xmlns:wp="http://schemas.openxmlformats.org/drawingml/2006/wordprocessingDrawing" distT="0" distB="0" distL="0" distR="0">
                <wp:extent cx="7905210" cy="5928907"/>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829901" name=""/>
                        <pic:cNvPicPr>
                          <a:picLocks noChangeAspect="1"/>
                        </pic:cNvPicPr>
                        <pic:nvPr/>
                      </pic:nvPicPr>
                      <pic:blipFill rotWithShape="1">
                        <a:blip r:embed="rId36"/>
                        <a:stretch/>
                      </pic:blipFill>
                      <pic:spPr bwMode="auto">
                        <a:xfrm rot="16199969" flipH="0" flipV="0">
                          <a:off x="0" y="0"/>
                          <a:ext cx="7905209" cy="59289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622.46pt;height:466.84pt;mso-wrap-distance-left:0.00pt;mso-wrap-distance-top:0.00pt;mso-wrap-distance-right:0.00pt;mso-wrap-distance-bottom:0.00pt;rotation:269;z-index:1;" stroked="false">
                <v:imagedata r:id="rId36" o:title=""/>
                <o:lock v:ext="edit" rotation="t"/>
              </v:shape>
            </w:pict>
          </mc:Fallback>
        </mc:AlternateContent>
      </w:r>
      <w:r/>
    </w:p>
    <w:p>
      <w:pPr>
        <w:pBdr/>
        <w:spacing/>
        <w:ind/>
        <w:rPr/>
      </w:pPr>
      <w:r/>
      <w:r/>
    </w:p>
    <w:p>
      <w:pPr>
        <w:pBdr/>
        <w:spacing/>
        <w:ind w:firstLine="0"/>
        <w:rPr/>
      </w:pPr>
      <w:r/>
      <w:r/>
    </w:p>
    <w:p>
      <w:pPr>
        <w:pBdr/>
        <w:spacing/>
        <w:ind w:firstLine="0"/>
        <w:rPr/>
      </w:pPr>
      <w:r/>
      <w:r/>
    </w:p>
    <w:p>
      <w:pPr>
        <w:pBdr/>
        <w:spacing/>
        <w:ind w:firstLine="0"/>
        <w:rPr/>
      </w:pPr>
      <w:r>
        <mc:AlternateContent>
          <mc:Choice Requires="wpg">
            <w:drawing>
              <wp:inline xmlns:wp="http://schemas.openxmlformats.org/drawingml/2006/wordprocessingDrawing" distT="0" distB="0" distL="0" distR="0">
                <wp:extent cx="6048375" cy="8021785"/>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990996" name=""/>
                        <pic:cNvPicPr>
                          <a:picLocks noChangeAspect="1"/>
                        </pic:cNvPicPr>
                        <pic:nvPr/>
                      </pic:nvPicPr>
                      <pic:blipFill rotWithShape="1">
                        <a:blip r:embed="rId37"/>
                        <a:stretch/>
                      </pic:blipFill>
                      <pic:spPr bwMode="auto">
                        <a:xfrm>
                          <a:off x="0" y="0"/>
                          <a:ext cx="6048374" cy="80217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31.64pt;mso-wrap-distance-left:0.00pt;mso-wrap-distance-top:0.00pt;mso-wrap-distance-right:0.00pt;mso-wrap-distance-bottom:0.00pt;z-index:1;" stroked="false">
                <v:imagedata r:id="rId37" o:title=""/>
                <o:lock v:ext="edit" rotation="t"/>
              </v:shape>
            </w:pict>
          </mc:Fallback>
        </mc:AlternateContent>
      </w: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Symbol">
    <w:panose1 w:val="020B0502040504020204"/>
  </w:font>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4"/>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4"/>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4"/>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4"/>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2"/>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5EAC4DF"/>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0">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0">
    <w:name w:val="Table Grid Light"/>
    <w:basedOn w:val="101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1"/>
    <w:basedOn w:val="101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2"/>
    <w:basedOn w:val="101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3"/>
    <w:basedOn w:val="101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4"/>
    <w:basedOn w:val="101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5"/>
    <w:basedOn w:val="101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w:basedOn w:val="101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1"/>
    <w:basedOn w:val="101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2"/>
    <w:basedOn w:val="101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3"/>
    <w:basedOn w:val="101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4"/>
    <w:basedOn w:val="101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5"/>
    <w:basedOn w:val="101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6"/>
    <w:basedOn w:val="101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w:basedOn w:val="101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1"/>
    <w:basedOn w:val="101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2"/>
    <w:basedOn w:val="101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3"/>
    <w:basedOn w:val="101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4"/>
    <w:basedOn w:val="101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5"/>
    <w:basedOn w:val="101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6"/>
    <w:basedOn w:val="101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w:basedOn w:val="101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1"/>
    <w:basedOn w:val="101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2"/>
    <w:basedOn w:val="101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3"/>
    <w:basedOn w:val="101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4"/>
    <w:basedOn w:val="101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5"/>
    <w:basedOn w:val="101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6"/>
    <w:basedOn w:val="101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w:basedOn w:val="101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1"/>
    <w:basedOn w:val="101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2"/>
    <w:basedOn w:val="101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3"/>
    <w:basedOn w:val="101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4"/>
    <w:basedOn w:val="101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5"/>
    <w:basedOn w:val="101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6"/>
    <w:basedOn w:val="101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w:basedOn w:val="10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1"/>
    <w:basedOn w:val="10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2"/>
    <w:basedOn w:val="10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3"/>
    <w:basedOn w:val="10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4"/>
    <w:basedOn w:val="10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5"/>
    <w:basedOn w:val="10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6"/>
    <w:basedOn w:val="10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6 Colorful"/>
    <w:basedOn w:val="101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2">
    <w:name w:val="Grid Table 6 Colorful - Accent 1"/>
    <w:basedOn w:val="101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3">
    <w:name w:val="Grid Table 6 Colorful - Accent 2"/>
    <w:basedOn w:val="101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4">
    <w:name w:val="Grid Table 6 Colorful - Accent 3"/>
    <w:basedOn w:val="101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5">
    <w:name w:val="Grid Table 6 Colorful - Accent 4"/>
    <w:basedOn w:val="101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6">
    <w:name w:val="Grid Table 6 Colorful - Accent 5"/>
    <w:basedOn w:val="101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6 Colorful - Accent 6"/>
    <w:basedOn w:val="101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7 Colorful"/>
    <w:basedOn w:val="101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1"/>
    <w:basedOn w:val="101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2"/>
    <w:basedOn w:val="101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3"/>
    <w:basedOn w:val="101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4"/>
    <w:basedOn w:val="101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5"/>
    <w:basedOn w:val="101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6"/>
    <w:basedOn w:val="101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1"/>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2"/>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3"/>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4"/>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5"/>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6"/>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w:basedOn w:val="101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1"/>
    <w:basedOn w:val="101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2"/>
    <w:basedOn w:val="101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3"/>
    <w:basedOn w:val="101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4"/>
    <w:basedOn w:val="101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5"/>
    <w:basedOn w:val="101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6"/>
    <w:basedOn w:val="101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w:basedOn w:val="101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1"/>
    <w:basedOn w:val="101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2"/>
    <w:basedOn w:val="101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3"/>
    <w:basedOn w:val="101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4"/>
    <w:basedOn w:val="101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5"/>
    <w:basedOn w:val="101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6"/>
    <w:basedOn w:val="101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w:basedOn w:val="101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1"/>
    <w:basedOn w:val="101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2"/>
    <w:basedOn w:val="101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3"/>
    <w:basedOn w:val="101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4"/>
    <w:basedOn w:val="101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5"/>
    <w:basedOn w:val="101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6"/>
    <w:basedOn w:val="101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5 Dark"/>
    <w:basedOn w:val="101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1"/>
    <w:basedOn w:val="101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2"/>
    <w:basedOn w:val="101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3"/>
    <w:basedOn w:val="101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4"/>
    <w:basedOn w:val="101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5"/>
    <w:basedOn w:val="101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6"/>
    <w:basedOn w:val="101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6 Colorful"/>
    <w:basedOn w:val="101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1"/>
    <w:basedOn w:val="101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2"/>
    <w:basedOn w:val="101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3"/>
    <w:basedOn w:val="101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4"/>
    <w:basedOn w:val="101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5"/>
    <w:basedOn w:val="101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6"/>
    <w:basedOn w:val="101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7 Colorful"/>
    <w:basedOn w:val="101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8">
    <w:name w:val="List Table 7 Colorful - Accent 1"/>
    <w:basedOn w:val="101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9">
    <w:name w:val="List Table 7 Colorful - Accent 2"/>
    <w:basedOn w:val="101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0">
    <w:name w:val="List Table 7 Colorful - Accent 3"/>
    <w:basedOn w:val="101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1">
    <w:name w:val="List Table 7 Colorful - Accent 4"/>
    <w:basedOn w:val="101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2">
    <w:name w:val="List Table 7 Colorful - Accent 5"/>
    <w:basedOn w:val="101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3">
    <w:name w:val="List Table 7 Colorful - Accent 6"/>
    <w:basedOn w:val="101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4">
    <w:name w:val="Lined - Accent"/>
    <w:basedOn w:val="10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1"/>
    <w:basedOn w:val="10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2"/>
    <w:basedOn w:val="10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3"/>
    <w:basedOn w:val="10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4"/>
    <w:basedOn w:val="10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5"/>
    <w:basedOn w:val="10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6"/>
    <w:basedOn w:val="10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w:basedOn w:val="101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1"/>
    <w:basedOn w:val="101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2"/>
    <w:basedOn w:val="101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3"/>
    <w:basedOn w:val="101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4"/>
    <w:basedOn w:val="101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5"/>
    <w:basedOn w:val="101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6"/>
    <w:basedOn w:val="101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w:basedOn w:val="101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1"/>
    <w:basedOn w:val="101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2"/>
    <w:basedOn w:val="101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3"/>
    <w:basedOn w:val="101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4"/>
    <w:basedOn w:val="101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5"/>
    <w:basedOn w:val="101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6"/>
    <w:basedOn w:val="101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5">
    <w:name w:val="Heading 5"/>
    <w:basedOn w:val="1006"/>
    <w:next w:val="1006"/>
    <w:link w:val="970"/>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6">
    <w:name w:val="Heading 6"/>
    <w:basedOn w:val="1006"/>
    <w:next w:val="1006"/>
    <w:link w:val="971"/>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7">
    <w:name w:val="Heading 7"/>
    <w:basedOn w:val="1006"/>
    <w:next w:val="1006"/>
    <w:link w:val="972"/>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8">
    <w:name w:val="Heading 8"/>
    <w:basedOn w:val="1006"/>
    <w:next w:val="1006"/>
    <w:link w:val="973"/>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9">
    <w:name w:val="Heading 9"/>
    <w:basedOn w:val="1006"/>
    <w:next w:val="1006"/>
    <w:link w:val="974"/>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0">
    <w:name w:val="Heading 5 Char"/>
    <w:basedOn w:val="1011"/>
    <w:link w:val="965"/>
    <w:uiPriority w:val="9"/>
    <w:pPr>
      <w:pBdr/>
      <w:spacing/>
      <w:ind/>
    </w:pPr>
    <w:rPr>
      <w:rFonts w:ascii="Arial" w:hAnsi="Arial" w:eastAsia="Arial" w:cs="Arial"/>
      <w:color w:val="0f4761" w:themeColor="accent1" w:themeShade="BF"/>
    </w:rPr>
  </w:style>
  <w:style w:type="character" w:styleId="971">
    <w:name w:val="Heading 6 Char"/>
    <w:basedOn w:val="1011"/>
    <w:link w:val="966"/>
    <w:uiPriority w:val="9"/>
    <w:pPr>
      <w:pBdr/>
      <w:spacing/>
      <w:ind/>
    </w:pPr>
    <w:rPr>
      <w:rFonts w:ascii="Arial" w:hAnsi="Arial" w:eastAsia="Arial" w:cs="Arial"/>
      <w:i/>
      <w:iCs/>
      <w:color w:val="595959" w:themeColor="text1" w:themeTint="A6"/>
    </w:rPr>
  </w:style>
  <w:style w:type="character" w:styleId="972">
    <w:name w:val="Heading 7 Char"/>
    <w:basedOn w:val="1011"/>
    <w:link w:val="967"/>
    <w:uiPriority w:val="9"/>
    <w:pPr>
      <w:pBdr/>
      <w:spacing/>
      <w:ind/>
    </w:pPr>
    <w:rPr>
      <w:rFonts w:ascii="Arial" w:hAnsi="Arial" w:eastAsia="Arial" w:cs="Arial"/>
      <w:color w:val="595959" w:themeColor="text1" w:themeTint="A6"/>
    </w:rPr>
  </w:style>
  <w:style w:type="character" w:styleId="973">
    <w:name w:val="Heading 8 Char"/>
    <w:basedOn w:val="1011"/>
    <w:link w:val="968"/>
    <w:uiPriority w:val="9"/>
    <w:pPr>
      <w:pBdr/>
      <w:spacing/>
      <w:ind/>
    </w:pPr>
    <w:rPr>
      <w:rFonts w:ascii="Arial" w:hAnsi="Arial" w:eastAsia="Arial" w:cs="Arial"/>
      <w:i/>
      <w:iCs/>
      <w:color w:val="272727" w:themeColor="text1" w:themeTint="D8"/>
    </w:rPr>
  </w:style>
  <w:style w:type="character" w:styleId="974">
    <w:name w:val="Heading 9 Char"/>
    <w:basedOn w:val="1011"/>
    <w:link w:val="969"/>
    <w:uiPriority w:val="9"/>
    <w:pPr>
      <w:pBdr/>
      <w:spacing/>
      <w:ind/>
    </w:pPr>
    <w:rPr>
      <w:rFonts w:ascii="Arial" w:hAnsi="Arial" w:eastAsia="Arial" w:cs="Arial"/>
      <w:i/>
      <w:iCs/>
      <w:color w:val="272727" w:themeColor="text1" w:themeTint="D8"/>
    </w:rPr>
  </w:style>
  <w:style w:type="paragraph" w:styleId="975">
    <w:name w:val="Subtitle"/>
    <w:basedOn w:val="1006"/>
    <w:next w:val="1006"/>
    <w:link w:val="976"/>
    <w:uiPriority w:val="11"/>
    <w:qFormat/>
    <w:pPr>
      <w:numPr>
        <w:ilvl w:val="1"/>
      </w:numPr>
      <w:pBdr/>
      <w:spacing/>
      <w:ind/>
    </w:pPr>
    <w:rPr>
      <w:color w:val="595959" w:themeColor="text1" w:themeTint="A6"/>
      <w:spacing w:val="15"/>
      <w:sz w:val="28"/>
      <w:szCs w:val="28"/>
    </w:rPr>
  </w:style>
  <w:style w:type="character" w:styleId="976">
    <w:name w:val="Subtitle Char"/>
    <w:basedOn w:val="1011"/>
    <w:link w:val="975"/>
    <w:uiPriority w:val="11"/>
    <w:pPr>
      <w:pBdr/>
      <w:spacing/>
      <w:ind/>
    </w:pPr>
    <w:rPr>
      <w:color w:val="595959" w:themeColor="text1" w:themeTint="A6"/>
      <w:spacing w:val="15"/>
      <w:sz w:val="28"/>
      <w:szCs w:val="28"/>
    </w:rPr>
  </w:style>
  <w:style w:type="paragraph" w:styleId="977">
    <w:name w:val="Quote"/>
    <w:basedOn w:val="1006"/>
    <w:next w:val="1006"/>
    <w:link w:val="978"/>
    <w:uiPriority w:val="29"/>
    <w:qFormat/>
    <w:pPr>
      <w:pBdr/>
      <w:spacing w:before="160"/>
      <w:ind/>
      <w:jc w:val="center"/>
    </w:pPr>
    <w:rPr>
      <w:i/>
      <w:iCs/>
      <w:color w:val="404040" w:themeColor="text1" w:themeTint="BF"/>
    </w:rPr>
  </w:style>
  <w:style w:type="character" w:styleId="978">
    <w:name w:val="Quote Char"/>
    <w:basedOn w:val="1011"/>
    <w:link w:val="977"/>
    <w:uiPriority w:val="29"/>
    <w:pPr>
      <w:pBdr/>
      <w:spacing/>
      <w:ind/>
    </w:pPr>
    <w:rPr>
      <w:i/>
      <w:iCs/>
      <w:color w:val="404040" w:themeColor="text1" w:themeTint="BF"/>
    </w:rPr>
  </w:style>
  <w:style w:type="character" w:styleId="979">
    <w:name w:val="Intense Emphasis"/>
    <w:basedOn w:val="1011"/>
    <w:uiPriority w:val="21"/>
    <w:qFormat/>
    <w:pPr>
      <w:pBdr/>
      <w:spacing/>
      <w:ind/>
    </w:pPr>
    <w:rPr>
      <w:i/>
      <w:iCs/>
      <w:color w:val="0f4761" w:themeColor="accent1" w:themeShade="BF"/>
    </w:rPr>
  </w:style>
  <w:style w:type="paragraph" w:styleId="980">
    <w:name w:val="Intense Quote"/>
    <w:basedOn w:val="1006"/>
    <w:next w:val="1006"/>
    <w:link w:val="981"/>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1">
    <w:name w:val="Intense Quote Char"/>
    <w:basedOn w:val="1011"/>
    <w:link w:val="980"/>
    <w:uiPriority w:val="30"/>
    <w:pPr>
      <w:pBdr/>
      <w:spacing/>
      <w:ind/>
    </w:pPr>
    <w:rPr>
      <w:i/>
      <w:iCs/>
      <w:color w:val="0f4761" w:themeColor="accent1" w:themeShade="BF"/>
    </w:rPr>
  </w:style>
  <w:style w:type="character" w:styleId="982">
    <w:name w:val="Intense Reference"/>
    <w:basedOn w:val="1011"/>
    <w:uiPriority w:val="32"/>
    <w:qFormat/>
    <w:pPr>
      <w:pBdr/>
      <w:spacing/>
      <w:ind/>
    </w:pPr>
    <w:rPr>
      <w:b/>
      <w:bCs/>
      <w:smallCaps/>
      <w:color w:val="0f4761" w:themeColor="accent1" w:themeShade="BF"/>
      <w:spacing w:val="5"/>
    </w:rPr>
  </w:style>
  <w:style w:type="paragraph" w:styleId="983">
    <w:name w:val="No Spacing"/>
    <w:basedOn w:val="1006"/>
    <w:uiPriority w:val="1"/>
    <w:qFormat/>
    <w:pPr>
      <w:pBdr/>
      <w:spacing w:after="0" w:line="240" w:lineRule="auto"/>
      <w:ind/>
    </w:pPr>
  </w:style>
  <w:style w:type="character" w:styleId="984">
    <w:name w:val="Subtle Emphasis"/>
    <w:basedOn w:val="1011"/>
    <w:uiPriority w:val="19"/>
    <w:qFormat/>
    <w:pPr>
      <w:pBdr/>
      <w:spacing/>
      <w:ind/>
    </w:pPr>
    <w:rPr>
      <w:i/>
      <w:iCs/>
      <w:color w:val="404040" w:themeColor="text1" w:themeTint="BF"/>
    </w:rPr>
  </w:style>
  <w:style w:type="character" w:styleId="985">
    <w:name w:val="Subtle Reference"/>
    <w:basedOn w:val="1011"/>
    <w:uiPriority w:val="31"/>
    <w:qFormat/>
    <w:pPr>
      <w:pBdr/>
      <w:spacing/>
      <w:ind/>
    </w:pPr>
    <w:rPr>
      <w:smallCaps/>
      <w:color w:val="5a5a5a" w:themeColor="text1" w:themeTint="A5"/>
    </w:rPr>
  </w:style>
  <w:style w:type="character" w:styleId="986">
    <w:name w:val="Book Title"/>
    <w:basedOn w:val="1011"/>
    <w:uiPriority w:val="33"/>
    <w:qFormat/>
    <w:pPr>
      <w:pBdr/>
      <w:spacing/>
      <w:ind/>
    </w:pPr>
    <w:rPr>
      <w:b/>
      <w:bCs/>
      <w:i/>
      <w:iCs/>
      <w:spacing w:val="5"/>
    </w:rPr>
  </w:style>
  <w:style w:type="paragraph" w:styleId="987">
    <w:name w:val="Caption"/>
    <w:basedOn w:val="1006"/>
    <w:next w:val="1006"/>
    <w:uiPriority w:val="35"/>
    <w:unhideWhenUsed/>
    <w:qFormat/>
    <w:pPr>
      <w:pBdr/>
      <w:spacing w:after="200" w:line="240" w:lineRule="auto"/>
      <w:ind/>
    </w:pPr>
    <w:rPr>
      <w:i/>
      <w:iCs/>
      <w:color w:val="0e2841" w:themeColor="text2"/>
      <w:sz w:val="18"/>
      <w:szCs w:val="18"/>
    </w:rPr>
  </w:style>
  <w:style w:type="paragraph" w:styleId="988">
    <w:name w:val="footnote text"/>
    <w:basedOn w:val="1006"/>
    <w:link w:val="989"/>
    <w:uiPriority w:val="99"/>
    <w:semiHidden/>
    <w:unhideWhenUsed/>
    <w:pPr>
      <w:pBdr/>
      <w:spacing w:after="0" w:line="240" w:lineRule="auto"/>
      <w:ind/>
    </w:pPr>
    <w:rPr>
      <w:sz w:val="20"/>
      <w:szCs w:val="20"/>
    </w:rPr>
  </w:style>
  <w:style w:type="character" w:styleId="989">
    <w:name w:val="Footnote Text Char"/>
    <w:basedOn w:val="1011"/>
    <w:link w:val="988"/>
    <w:uiPriority w:val="99"/>
    <w:semiHidden/>
    <w:pPr>
      <w:pBdr/>
      <w:spacing/>
      <w:ind/>
    </w:pPr>
    <w:rPr>
      <w:sz w:val="20"/>
      <w:szCs w:val="20"/>
    </w:rPr>
  </w:style>
  <w:style w:type="character" w:styleId="990">
    <w:name w:val="footnote reference"/>
    <w:basedOn w:val="1011"/>
    <w:uiPriority w:val="99"/>
    <w:semiHidden/>
    <w:unhideWhenUsed/>
    <w:pPr>
      <w:pBdr/>
      <w:spacing/>
      <w:ind/>
    </w:pPr>
    <w:rPr>
      <w:vertAlign w:val="superscript"/>
    </w:rPr>
  </w:style>
  <w:style w:type="paragraph" w:styleId="991">
    <w:name w:val="endnote text"/>
    <w:basedOn w:val="1006"/>
    <w:link w:val="992"/>
    <w:uiPriority w:val="99"/>
    <w:semiHidden/>
    <w:unhideWhenUsed/>
    <w:pPr>
      <w:pBdr/>
      <w:spacing w:after="0" w:line="240" w:lineRule="auto"/>
      <w:ind/>
    </w:pPr>
    <w:rPr>
      <w:sz w:val="20"/>
      <w:szCs w:val="20"/>
    </w:rPr>
  </w:style>
  <w:style w:type="character" w:styleId="992">
    <w:name w:val="Endnote Text Char"/>
    <w:basedOn w:val="1011"/>
    <w:link w:val="991"/>
    <w:uiPriority w:val="99"/>
    <w:semiHidden/>
    <w:pPr>
      <w:pBdr/>
      <w:spacing/>
      <w:ind/>
    </w:pPr>
    <w:rPr>
      <w:sz w:val="20"/>
      <w:szCs w:val="20"/>
    </w:rPr>
  </w:style>
  <w:style w:type="character" w:styleId="993">
    <w:name w:val="endnote reference"/>
    <w:basedOn w:val="1011"/>
    <w:uiPriority w:val="99"/>
    <w:semiHidden/>
    <w:unhideWhenUsed/>
    <w:pPr>
      <w:pBdr/>
      <w:spacing/>
      <w:ind/>
    </w:pPr>
    <w:rPr>
      <w:vertAlign w:val="superscript"/>
    </w:rPr>
  </w:style>
  <w:style w:type="paragraph" w:styleId="994">
    <w:name w:val="toc 1"/>
    <w:basedOn w:val="1006"/>
    <w:next w:val="1006"/>
    <w:uiPriority w:val="39"/>
    <w:unhideWhenUsed/>
    <w:pPr>
      <w:pBdr/>
      <w:spacing w:after="100"/>
      <w:ind/>
    </w:pPr>
  </w:style>
  <w:style w:type="paragraph" w:styleId="995">
    <w:name w:val="toc 2"/>
    <w:basedOn w:val="1006"/>
    <w:next w:val="1006"/>
    <w:uiPriority w:val="39"/>
    <w:unhideWhenUsed/>
    <w:pPr>
      <w:pBdr/>
      <w:spacing w:after="100"/>
      <w:ind w:left="220"/>
    </w:pPr>
  </w:style>
  <w:style w:type="paragraph" w:styleId="996">
    <w:name w:val="toc 3"/>
    <w:basedOn w:val="1006"/>
    <w:next w:val="1006"/>
    <w:uiPriority w:val="39"/>
    <w:unhideWhenUsed/>
    <w:pPr>
      <w:pBdr/>
      <w:spacing w:after="100"/>
      <w:ind w:left="440"/>
    </w:pPr>
  </w:style>
  <w:style w:type="paragraph" w:styleId="997">
    <w:name w:val="toc 4"/>
    <w:basedOn w:val="1006"/>
    <w:next w:val="1006"/>
    <w:uiPriority w:val="39"/>
    <w:unhideWhenUsed/>
    <w:pPr>
      <w:pBdr/>
      <w:spacing w:after="100"/>
      <w:ind w:left="660"/>
    </w:pPr>
  </w:style>
  <w:style w:type="paragraph" w:styleId="998">
    <w:name w:val="toc 5"/>
    <w:basedOn w:val="1006"/>
    <w:next w:val="1006"/>
    <w:uiPriority w:val="39"/>
    <w:unhideWhenUsed/>
    <w:pPr>
      <w:pBdr/>
      <w:spacing w:after="100"/>
      <w:ind w:left="880"/>
    </w:pPr>
  </w:style>
  <w:style w:type="paragraph" w:styleId="999">
    <w:name w:val="toc 6"/>
    <w:basedOn w:val="1006"/>
    <w:next w:val="1006"/>
    <w:uiPriority w:val="39"/>
    <w:unhideWhenUsed/>
    <w:pPr>
      <w:pBdr/>
      <w:spacing w:after="100"/>
      <w:ind w:left="1100"/>
    </w:pPr>
  </w:style>
  <w:style w:type="paragraph" w:styleId="1000">
    <w:name w:val="toc 7"/>
    <w:basedOn w:val="1006"/>
    <w:next w:val="1006"/>
    <w:uiPriority w:val="39"/>
    <w:unhideWhenUsed/>
    <w:pPr>
      <w:pBdr/>
      <w:spacing w:after="100"/>
      <w:ind w:left="1320"/>
    </w:pPr>
  </w:style>
  <w:style w:type="paragraph" w:styleId="1001">
    <w:name w:val="toc 8"/>
    <w:basedOn w:val="1006"/>
    <w:next w:val="1006"/>
    <w:uiPriority w:val="39"/>
    <w:unhideWhenUsed/>
    <w:pPr>
      <w:pBdr/>
      <w:spacing w:after="100"/>
      <w:ind w:left="1540"/>
    </w:pPr>
  </w:style>
  <w:style w:type="paragraph" w:styleId="1002">
    <w:name w:val="toc 9"/>
    <w:basedOn w:val="1006"/>
    <w:next w:val="1006"/>
    <w:uiPriority w:val="39"/>
    <w:unhideWhenUsed/>
    <w:pPr>
      <w:pBdr/>
      <w:spacing w:after="100"/>
      <w:ind w:left="1760"/>
    </w:pPr>
  </w:style>
  <w:style w:type="character" w:styleId="1003">
    <w:name w:val="Placeholder Text"/>
    <w:basedOn w:val="1011"/>
    <w:uiPriority w:val="99"/>
    <w:semiHidden/>
    <w:pPr>
      <w:pBdr/>
      <w:spacing/>
      <w:ind/>
    </w:pPr>
    <w:rPr>
      <w:color w:val="666666"/>
    </w:rPr>
  </w:style>
  <w:style w:type="paragraph" w:styleId="1004">
    <w:name w:val="TOC Heading"/>
    <w:uiPriority w:val="39"/>
    <w:unhideWhenUsed/>
    <w:pPr>
      <w:pBdr/>
      <w:spacing/>
      <w:ind/>
    </w:pPr>
  </w:style>
  <w:style w:type="paragraph" w:styleId="1005">
    <w:name w:val="table of figures"/>
    <w:basedOn w:val="1006"/>
    <w:next w:val="1006"/>
    <w:uiPriority w:val="99"/>
    <w:unhideWhenUsed/>
    <w:pPr>
      <w:pBdr/>
      <w:spacing w:after="0" w:afterAutospacing="0"/>
      <w:ind/>
    </w:pPr>
  </w:style>
  <w:style w:type="paragraph" w:styleId="1006" w:default="1">
    <w:name w:val="Normal"/>
    <w:qFormat/>
    <w:pPr>
      <w:pBdr/>
      <w:spacing w:after="0" w:line="240" w:lineRule="auto"/>
      <w:ind/>
    </w:pPr>
    <w:rPr>
      <w:rFonts w:ascii="Times New Roman" w:hAnsi="Times New Roman" w:eastAsia="Times New Roman" w:cs="Times New Roman"/>
      <w:sz w:val="24"/>
      <w:szCs w:val="24"/>
    </w:rPr>
  </w:style>
  <w:style w:type="paragraph" w:styleId="1007">
    <w:name w:val="Heading 1"/>
    <w:basedOn w:val="1006"/>
    <w:next w:val="1006"/>
    <w:link w:val="1014"/>
    <w:qFormat/>
    <w:pPr>
      <w:keepNext w:val="true"/>
      <w:pBdr/>
      <w:spacing w:after="120" w:before="120"/>
      <w:ind/>
      <w:jc w:val="center"/>
      <w:outlineLvl w:val="0"/>
    </w:pPr>
    <w:rPr>
      <w:b/>
      <w:bCs/>
      <w:sz w:val="27"/>
      <w:szCs w:val="27"/>
    </w:rPr>
  </w:style>
  <w:style w:type="paragraph" w:styleId="1008">
    <w:name w:val="Heading 2"/>
    <w:basedOn w:val="1006"/>
    <w:next w:val="1006"/>
    <w:link w:val="1015"/>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9">
    <w:name w:val="Heading 3"/>
    <w:basedOn w:val="1006"/>
    <w:next w:val="1006"/>
    <w:link w:val="1016"/>
    <w:qFormat/>
    <w:pPr>
      <w:keepNext w:val="true"/>
      <w:pBdr/>
      <w:spacing w:before="60"/>
      <w:ind/>
      <w:outlineLvl w:val="2"/>
    </w:pPr>
    <w:rPr>
      <w:sz w:val="28"/>
      <w:szCs w:val="28"/>
    </w:rPr>
  </w:style>
  <w:style w:type="paragraph" w:styleId="1010">
    <w:name w:val="Heading 4"/>
    <w:basedOn w:val="1006"/>
    <w:next w:val="1006"/>
    <w:link w:val="1017"/>
    <w:qFormat/>
    <w:pPr>
      <w:keepNext w:val="true"/>
      <w:pBdr/>
      <w:spacing/>
      <w:ind/>
      <w:jc w:val="center"/>
      <w:outlineLvl w:val="3"/>
    </w:pPr>
    <w:rPr>
      <w:b/>
      <w:bCs/>
    </w:rPr>
  </w:style>
  <w:style w:type="character" w:styleId="1011" w:default="1">
    <w:name w:val="Default Paragraph Font"/>
    <w:uiPriority w:val="1"/>
    <w:semiHidden/>
    <w:unhideWhenUsed/>
    <w:pPr>
      <w:pBdr/>
      <w:spacing/>
      <w:ind/>
    </w:pPr>
  </w:style>
  <w:style w:type="table" w:styleId="101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3" w:default="1">
    <w:name w:val="No List"/>
    <w:uiPriority w:val="99"/>
    <w:semiHidden/>
    <w:unhideWhenUsed/>
    <w:pPr>
      <w:pBdr/>
      <w:spacing/>
      <w:ind/>
    </w:pPr>
  </w:style>
  <w:style w:type="character" w:styleId="1014" w:customStyle="1">
    <w:name w:val="Heading 1 Char"/>
    <w:basedOn w:val="1011"/>
    <w:link w:val="1007"/>
    <w:pPr>
      <w:pBdr/>
      <w:spacing/>
      <w:ind/>
    </w:pPr>
    <w:rPr>
      <w:rFonts w:ascii="Times New Roman" w:hAnsi="Times New Roman" w:eastAsia="Times New Roman" w:cs="Times New Roman"/>
      <w:b/>
      <w:bCs/>
      <w:sz w:val="27"/>
      <w:szCs w:val="27"/>
    </w:rPr>
  </w:style>
  <w:style w:type="character" w:styleId="1015" w:customStyle="1">
    <w:name w:val="Heading 2 Char"/>
    <w:basedOn w:val="1011"/>
    <w:link w:val="1008"/>
    <w:uiPriority w:val="9"/>
    <w:pPr>
      <w:pBdr/>
      <w:spacing/>
      <w:ind/>
    </w:pPr>
    <w:rPr>
      <w:rFonts w:asciiTheme="majorHAnsi" w:hAnsiTheme="majorHAnsi" w:eastAsiaTheme="majorEastAsia" w:cstheme="majorBidi"/>
      <w:color w:val="365f91" w:themeColor="accent1" w:themeShade="BF"/>
      <w:sz w:val="26"/>
      <w:szCs w:val="26"/>
    </w:rPr>
  </w:style>
  <w:style w:type="character" w:styleId="1016" w:customStyle="1">
    <w:name w:val="Heading 3 Char"/>
    <w:basedOn w:val="1011"/>
    <w:link w:val="1009"/>
    <w:pPr>
      <w:pBdr/>
      <w:spacing/>
      <w:ind/>
    </w:pPr>
    <w:rPr>
      <w:rFonts w:ascii="Times New Roman" w:hAnsi="Times New Roman" w:eastAsia="Times New Roman" w:cs="Times New Roman"/>
      <w:sz w:val="28"/>
      <w:szCs w:val="28"/>
    </w:rPr>
  </w:style>
  <w:style w:type="character" w:styleId="1017" w:customStyle="1">
    <w:name w:val="Heading 4 Char"/>
    <w:basedOn w:val="1011"/>
    <w:link w:val="1010"/>
    <w:pPr>
      <w:pBdr/>
      <w:spacing/>
      <w:ind/>
    </w:pPr>
    <w:rPr>
      <w:rFonts w:ascii="Times New Roman" w:hAnsi="Times New Roman" w:eastAsia="Times New Roman" w:cs="Times New Roman"/>
      <w:b/>
      <w:bCs/>
      <w:sz w:val="24"/>
      <w:szCs w:val="24"/>
    </w:rPr>
  </w:style>
  <w:style w:type="character" w:styleId="1018">
    <w:name w:val="Hyperlink"/>
    <w:uiPriority w:val="99"/>
    <w:pPr>
      <w:pBdr/>
      <w:spacing/>
      <w:ind/>
    </w:pPr>
    <w:rPr>
      <w:color w:val="000000"/>
      <w:u w:val="single"/>
    </w:rPr>
  </w:style>
  <w:style w:type="character" w:styleId="1019">
    <w:name w:val="Strong"/>
    <w:uiPriority w:val="22"/>
    <w:qFormat/>
    <w:pPr>
      <w:pBdr/>
      <w:spacing/>
      <w:ind/>
    </w:pPr>
    <w:rPr>
      <w:b/>
      <w:bCs/>
    </w:rPr>
  </w:style>
  <w:style w:type="paragraph" w:styleId="1020">
    <w:name w:val="Balloon Text"/>
    <w:basedOn w:val="1006"/>
    <w:link w:val="1021"/>
    <w:uiPriority w:val="99"/>
    <w:semiHidden/>
    <w:unhideWhenUsed/>
    <w:pPr>
      <w:pBdr/>
      <w:spacing/>
      <w:ind/>
    </w:pPr>
    <w:rPr>
      <w:rFonts w:ascii="Tahoma" w:hAnsi="Tahoma" w:cs="Tahoma"/>
      <w:sz w:val="16"/>
      <w:szCs w:val="16"/>
    </w:rPr>
  </w:style>
  <w:style w:type="character" w:styleId="1021" w:customStyle="1">
    <w:name w:val="Balloon Text Char"/>
    <w:basedOn w:val="1011"/>
    <w:link w:val="1020"/>
    <w:uiPriority w:val="99"/>
    <w:semiHidden/>
    <w:pPr>
      <w:pBdr/>
      <w:spacing/>
      <w:ind/>
    </w:pPr>
    <w:rPr>
      <w:rFonts w:ascii="Tahoma" w:hAnsi="Tahoma" w:eastAsia="Times New Roman" w:cs="Tahoma"/>
      <w:sz w:val="16"/>
      <w:szCs w:val="16"/>
    </w:rPr>
  </w:style>
  <w:style w:type="paragraph" w:styleId="1022">
    <w:name w:val="Header"/>
    <w:basedOn w:val="1006"/>
    <w:link w:val="1023"/>
    <w:unhideWhenUsed/>
    <w:pPr>
      <w:pBdr/>
      <w:tabs>
        <w:tab w:val="center" w:leader="none" w:pos="4680"/>
        <w:tab w:val="right" w:leader="none" w:pos="9360"/>
      </w:tabs>
      <w:spacing/>
      <w:ind/>
    </w:pPr>
  </w:style>
  <w:style w:type="character" w:styleId="1023" w:customStyle="1">
    <w:name w:val="Header Char"/>
    <w:basedOn w:val="1011"/>
    <w:link w:val="1022"/>
    <w:pPr>
      <w:pBdr/>
      <w:spacing/>
      <w:ind/>
    </w:pPr>
    <w:rPr>
      <w:rFonts w:ascii="Times New Roman" w:hAnsi="Times New Roman" w:eastAsia="Times New Roman" w:cs="Times New Roman"/>
      <w:sz w:val="24"/>
      <w:szCs w:val="24"/>
    </w:rPr>
  </w:style>
  <w:style w:type="paragraph" w:styleId="1024">
    <w:name w:val="Footer"/>
    <w:basedOn w:val="1006"/>
    <w:link w:val="1025"/>
    <w:uiPriority w:val="99"/>
    <w:unhideWhenUsed/>
    <w:pPr>
      <w:pBdr/>
      <w:tabs>
        <w:tab w:val="center" w:leader="none" w:pos="4680"/>
        <w:tab w:val="right" w:leader="none" w:pos="9360"/>
      </w:tabs>
      <w:spacing/>
      <w:ind/>
    </w:pPr>
  </w:style>
  <w:style w:type="character" w:styleId="1025" w:customStyle="1">
    <w:name w:val="Footer Char"/>
    <w:basedOn w:val="1011"/>
    <w:link w:val="1024"/>
    <w:uiPriority w:val="99"/>
    <w:pPr>
      <w:pBdr/>
      <w:spacing/>
      <w:ind/>
    </w:pPr>
    <w:rPr>
      <w:rFonts w:ascii="Times New Roman" w:hAnsi="Times New Roman" w:eastAsia="Times New Roman" w:cs="Times New Roman"/>
      <w:sz w:val="24"/>
      <w:szCs w:val="24"/>
    </w:rPr>
  </w:style>
  <w:style w:type="character" w:styleId="1026" w:customStyle="1">
    <w:name w:val="normal-h1"/>
    <w:pPr>
      <w:pBdr/>
      <w:spacing/>
      <w:ind/>
    </w:pPr>
    <w:rPr>
      <w:rFonts w:hint="default" w:ascii=".VnTime" w:hAnsi=".VnTime"/>
      <w:color w:val="0000ff"/>
      <w:sz w:val="24"/>
      <w:szCs w:val="24"/>
    </w:rPr>
  </w:style>
  <w:style w:type="paragraph" w:styleId="1027" w:customStyle="1">
    <w:name w:val="normal-p"/>
    <w:basedOn w:val="1006"/>
    <w:pPr>
      <w:pBdr/>
      <w:spacing/>
      <w:ind/>
      <w:jc w:val="both"/>
    </w:pPr>
    <w:rPr>
      <w:sz w:val="20"/>
      <w:szCs w:val="20"/>
    </w:rPr>
  </w:style>
  <w:style w:type="paragraph" w:styleId="1028">
    <w:name w:val="List Paragraph"/>
    <w:basedOn w:val="1006"/>
    <w:link w:val="1115"/>
    <w:uiPriority w:val="34"/>
    <w:qFormat/>
    <w:pPr>
      <w:pBdr/>
      <w:spacing/>
      <w:ind w:left="720"/>
    </w:pPr>
  </w:style>
  <w:style w:type="paragraph" w:styleId="1029">
    <w:name w:val="Normal (Web)"/>
    <w:basedOn w:val="1006"/>
    <w:uiPriority w:val="99"/>
    <w:pPr>
      <w:pBdr/>
      <w:spacing w:after="100" w:afterAutospacing="1" w:before="100" w:beforeAutospacing="1"/>
      <w:ind/>
    </w:pPr>
  </w:style>
  <w:style w:type="paragraph" w:styleId="1030">
    <w:name w:val="Body Text"/>
    <w:basedOn w:val="1006"/>
    <w:link w:val="1031"/>
    <w:pPr>
      <w:pBdr/>
      <w:spacing w:after="120"/>
      <w:ind/>
      <w:jc w:val="both"/>
    </w:pPr>
  </w:style>
  <w:style w:type="character" w:styleId="1031" w:customStyle="1">
    <w:name w:val="Body Text Char"/>
    <w:basedOn w:val="1011"/>
    <w:link w:val="1030"/>
    <w:pPr>
      <w:pBdr/>
      <w:spacing/>
      <w:ind/>
    </w:pPr>
    <w:rPr>
      <w:rFonts w:ascii="Times New Roman" w:hAnsi="Times New Roman" w:eastAsia="Times New Roman" w:cs="Times New Roman"/>
      <w:sz w:val="24"/>
      <w:szCs w:val="24"/>
    </w:rPr>
  </w:style>
  <w:style w:type="table" w:styleId="1032">
    <w:name w:val="Table Grid"/>
    <w:basedOn w:val="1012"/>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3"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4">
    <w:name w:val="annotation reference"/>
    <w:basedOn w:val="1011"/>
    <w:uiPriority w:val="99"/>
    <w:semiHidden/>
    <w:unhideWhenUsed/>
    <w:pPr>
      <w:pBdr/>
      <w:spacing/>
      <w:ind/>
    </w:pPr>
    <w:rPr>
      <w:sz w:val="16"/>
      <w:szCs w:val="16"/>
    </w:rPr>
  </w:style>
  <w:style w:type="paragraph" w:styleId="1035">
    <w:name w:val="annotation text"/>
    <w:basedOn w:val="1006"/>
    <w:link w:val="1036"/>
    <w:uiPriority w:val="99"/>
    <w:unhideWhenUsed/>
    <w:pPr>
      <w:pBdr/>
      <w:spacing/>
      <w:ind/>
    </w:pPr>
    <w:rPr>
      <w:sz w:val="20"/>
      <w:szCs w:val="20"/>
    </w:rPr>
  </w:style>
  <w:style w:type="character" w:styleId="1036" w:customStyle="1">
    <w:name w:val="Comment Text Char"/>
    <w:basedOn w:val="1011"/>
    <w:link w:val="1035"/>
    <w:uiPriority w:val="99"/>
    <w:pPr>
      <w:pBdr/>
      <w:spacing/>
      <w:ind/>
    </w:pPr>
    <w:rPr>
      <w:rFonts w:ascii="Times New Roman" w:hAnsi="Times New Roman" w:eastAsia="Times New Roman" w:cs="Times New Roman"/>
      <w:sz w:val="20"/>
      <w:szCs w:val="20"/>
    </w:rPr>
  </w:style>
  <w:style w:type="paragraph" w:styleId="1037">
    <w:name w:val="annotation subject"/>
    <w:basedOn w:val="1035"/>
    <w:next w:val="1035"/>
    <w:link w:val="1038"/>
    <w:uiPriority w:val="99"/>
    <w:semiHidden/>
    <w:unhideWhenUsed/>
    <w:pPr>
      <w:pBdr/>
      <w:spacing/>
      <w:ind/>
    </w:pPr>
    <w:rPr>
      <w:b/>
      <w:bCs/>
    </w:rPr>
  </w:style>
  <w:style w:type="character" w:styleId="1038" w:customStyle="1">
    <w:name w:val="Comment Subject Char"/>
    <w:basedOn w:val="1036"/>
    <w:link w:val="1037"/>
    <w:uiPriority w:val="99"/>
    <w:semiHidden/>
    <w:pPr>
      <w:pBdr/>
      <w:spacing/>
      <w:ind/>
    </w:pPr>
    <w:rPr>
      <w:rFonts w:ascii="Times New Roman" w:hAnsi="Times New Roman" w:eastAsia="Times New Roman" w:cs="Times New Roman"/>
      <w:b/>
      <w:bCs/>
      <w:sz w:val="20"/>
      <w:szCs w:val="20"/>
    </w:rPr>
  </w:style>
  <w:style w:type="paragraph" w:styleId="1039" w:customStyle="1">
    <w:name w:val="font5"/>
    <w:basedOn w:val="1006"/>
    <w:pPr>
      <w:pBdr/>
      <w:spacing w:after="100" w:afterAutospacing="1" w:before="100" w:beforeAutospacing="1"/>
      <w:ind/>
    </w:pPr>
    <w:rPr>
      <w:rFonts w:ascii="Tahoma" w:hAnsi="Tahoma" w:cs="Tahoma"/>
      <w:color w:val="000000"/>
      <w:sz w:val="18"/>
      <w:szCs w:val="18"/>
    </w:rPr>
  </w:style>
  <w:style w:type="paragraph" w:styleId="1040" w:customStyle="1">
    <w:name w:val="font6"/>
    <w:basedOn w:val="1006"/>
    <w:pPr>
      <w:pBdr/>
      <w:spacing w:after="100" w:afterAutospacing="1" w:before="100" w:beforeAutospacing="1"/>
      <w:ind/>
    </w:pPr>
    <w:rPr>
      <w:rFonts w:ascii="Tahoma" w:hAnsi="Tahoma" w:cs="Tahoma"/>
      <w:b/>
      <w:bCs/>
      <w:color w:val="000000"/>
      <w:sz w:val="18"/>
      <w:szCs w:val="18"/>
    </w:rPr>
  </w:style>
  <w:style w:type="paragraph" w:styleId="1041" w:customStyle="1">
    <w:name w:val="xl233"/>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2" w:customStyle="1">
    <w:name w:val="xl234"/>
    <w:basedOn w:val="1006"/>
    <w:pPr>
      <w:pBdr/>
      <w:spacing w:after="100" w:afterAutospacing="1" w:before="100" w:beforeAutospacing="1"/>
      <w:ind/>
      <w:jc w:val="center"/>
    </w:pPr>
  </w:style>
  <w:style w:type="paragraph" w:styleId="1043" w:customStyle="1">
    <w:name w:val="xl235"/>
    <w:basedOn w:val="1006"/>
    <w:pPr>
      <w:pBdr/>
      <w:spacing w:after="100" w:afterAutospacing="1" w:before="100" w:beforeAutospacing="1"/>
      <w:ind/>
      <w:jc w:val="center"/>
    </w:pPr>
    <w:rPr>
      <w:b/>
      <w:bCs/>
    </w:rPr>
  </w:style>
  <w:style w:type="paragraph" w:styleId="1044" w:customStyle="1">
    <w:name w:val="xl236"/>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5" w:customStyle="1">
    <w:name w:val="xl237"/>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6" w:customStyle="1">
    <w:name w:val="xl238"/>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7" w:customStyle="1">
    <w:name w:val="xl239"/>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8" w:customStyle="1">
    <w:name w:val="xl240"/>
    <w:basedOn w:val="1006"/>
    <w:pPr>
      <w:pBdr/>
      <w:spacing w:after="100" w:afterAutospacing="1" w:before="100" w:beforeAutospacing="1"/>
      <w:ind/>
    </w:pPr>
  </w:style>
  <w:style w:type="paragraph" w:styleId="1049" w:customStyle="1">
    <w:name w:val="xl241"/>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0" w:customStyle="1">
    <w:name w:val="xl242"/>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3"/>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2" w:customStyle="1">
    <w:name w:val="xl244"/>
    <w:basedOn w:val="1006"/>
    <w:pPr>
      <w:pBdr/>
      <w:spacing w:after="100" w:afterAutospacing="1" w:before="100" w:beforeAutospacing="1"/>
      <w:ind/>
    </w:pPr>
    <w:rPr>
      <w:b/>
      <w:bCs/>
    </w:rPr>
  </w:style>
  <w:style w:type="paragraph" w:styleId="1053" w:customStyle="1">
    <w:name w:val="xl245"/>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6"/>
    <w:basedOn w:val="1006"/>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5" w:customStyle="1">
    <w:name w:val="xl247"/>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6" w:customStyle="1">
    <w:name w:val="xl248"/>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7" w:customStyle="1">
    <w:name w:val="xl249"/>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8" w:customStyle="1">
    <w:name w:val="xl250"/>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9" w:customStyle="1">
    <w:name w:val="xl251"/>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2"/>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3"/>
    <w:basedOn w:val="1006"/>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4"/>
    <w:basedOn w:val="1006"/>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5"/>
    <w:basedOn w:val="1006"/>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6"/>
    <w:basedOn w:val="1006"/>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7"/>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8"/>
    <w:basedOn w:val="1006"/>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9"/>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0"/>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1"/>
    <w:basedOn w:val="1006"/>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2"/>
    <w:basedOn w:val="1006"/>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1" w:customStyle="1">
    <w:name w:val="xl263"/>
    <w:basedOn w:val="1006"/>
    <w:pPr>
      <w:pBdr/>
      <w:shd w:val="clear" w:color="000000" w:fill="ffffff"/>
      <w:spacing w:after="100" w:afterAutospacing="1" w:before="100" w:beforeAutospacing="1"/>
      <w:ind/>
    </w:pPr>
  </w:style>
  <w:style w:type="paragraph" w:styleId="1072" w:customStyle="1">
    <w:name w:val="xl264"/>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5"/>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4" w:customStyle="1">
    <w:name w:val="xl266"/>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5" w:customStyle="1">
    <w:name w:val="xl267"/>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68"/>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69"/>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70"/>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71"/>
    <w:basedOn w:val="1006"/>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0" w:customStyle="1">
    <w:name w:val="xl272"/>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1" w:customStyle="1">
    <w:name w:val="xl273"/>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2" w:customStyle="1">
    <w:name w:val="xl274"/>
    <w:basedOn w:val="1006"/>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3" w:customStyle="1">
    <w:name w:val="xl275"/>
    <w:basedOn w:val="1006"/>
    <w:pPr>
      <w:pBdr/>
      <w:spacing w:after="100" w:afterAutospacing="1" w:before="100" w:beforeAutospacing="1"/>
      <w:ind/>
    </w:pPr>
  </w:style>
  <w:style w:type="paragraph" w:styleId="1084" w:customStyle="1">
    <w:name w:val="xl276"/>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5" w:customStyle="1">
    <w:name w:val="xl277"/>
    <w:basedOn w:val="1006"/>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6" w:customStyle="1">
    <w:name w:val="xl278"/>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79"/>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80"/>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9" w:customStyle="1">
    <w:name w:val="xl281"/>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0" w:customStyle="1">
    <w:name w:val="xl282"/>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3"/>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4"/>
    <w:basedOn w:val="1006"/>
    <w:pPr>
      <w:pBdr>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5"/>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6"/>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7"/>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8"/>
    <w:basedOn w:val="1006"/>
    <w:pPr>
      <w:pBdr>
        <w:top w:val="single" w:color="000000" w:sz="4" w:space="0"/>
        <w:left w:val="single" w:color="000000" w:sz="4" w:space="0"/>
        <w:right w:val="single" w:color="000000" w:sz="4" w:space="0"/>
      </w:pBdr>
      <w:spacing w:after="100" w:afterAutospacing="1" w:before="100" w:beforeAutospacing="1"/>
      <w:ind/>
    </w:pPr>
  </w:style>
  <w:style w:type="paragraph" w:styleId="1097" w:customStyle="1">
    <w:name w:val="xl289"/>
    <w:basedOn w:val="1006"/>
    <w:pPr>
      <w:pBdr>
        <w:left w:val="single" w:color="000000" w:sz="4" w:space="0"/>
        <w:right w:val="single" w:color="000000" w:sz="4" w:space="0"/>
      </w:pBdr>
      <w:spacing w:after="100" w:afterAutospacing="1" w:before="100" w:beforeAutospacing="1"/>
      <w:ind/>
    </w:pPr>
    <w:rPr>
      <w:b/>
      <w:bCs/>
    </w:rPr>
  </w:style>
  <w:style w:type="paragraph" w:styleId="1098" w:customStyle="1">
    <w:name w:val="xl290"/>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9" w:customStyle="1">
    <w:name w:val="xl291"/>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0" w:customStyle="1">
    <w:name w:val="xl292"/>
    <w:basedOn w:val="1006"/>
    <w:pPr>
      <w:pBdr>
        <w:top w:val="single" w:color="000000" w:sz="4" w:space="0"/>
        <w:left w:val="single" w:color="000000" w:sz="4" w:space="0"/>
        <w:right w:val="single" w:color="000000" w:sz="4" w:space="0"/>
      </w:pBdr>
      <w:spacing w:after="100" w:afterAutospacing="1" w:before="100" w:beforeAutospacing="1"/>
      <w:ind/>
    </w:pPr>
  </w:style>
  <w:style w:type="paragraph" w:styleId="1101" w:customStyle="1">
    <w:name w:val="xl293"/>
    <w:basedOn w:val="1006"/>
    <w:pPr>
      <w:pBdr>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94"/>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3">
    <w:name w:val="Title"/>
    <w:basedOn w:val="1006"/>
    <w:link w:val="1104"/>
    <w:qFormat/>
    <w:pPr>
      <w:pBdr/>
      <w:spacing/>
      <w:ind/>
      <w:jc w:val="center"/>
    </w:pPr>
    <w:rPr>
      <w:b/>
      <w:bCs/>
      <w:sz w:val="32"/>
      <w:szCs w:val="26"/>
    </w:rPr>
  </w:style>
  <w:style w:type="character" w:styleId="1104" w:customStyle="1">
    <w:name w:val="Title Char"/>
    <w:basedOn w:val="1011"/>
    <w:link w:val="1103"/>
    <w:pPr>
      <w:pBdr/>
      <w:spacing/>
      <w:ind/>
    </w:pPr>
    <w:rPr>
      <w:rFonts w:ascii="Times New Roman" w:hAnsi="Times New Roman" w:eastAsia="Times New Roman" w:cs="Times New Roman"/>
      <w:b/>
      <w:bCs/>
      <w:sz w:val="32"/>
      <w:szCs w:val="26"/>
    </w:rPr>
  </w:style>
  <w:style w:type="character" w:styleId="1105" w:customStyle="1">
    <w:name w:val="Unresolved Mention1"/>
    <w:basedOn w:val="1011"/>
    <w:uiPriority w:val="99"/>
    <w:semiHidden/>
    <w:unhideWhenUsed/>
    <w:pPr>
      <w:pBdr/>
      <w:spacing/>
      <w:ind/>
    </w:pPr>
    <w:rPr>
      <w:color w:val="605e5c"/>
      <w:shd w:val="clear" w:color="auto" w:fill="e1dfdd"/>
    </w:rPr>
  </w:style>
  <w:style w:type="character" w:styleId="1106" w:customStyle="1">
    <w:name w:val="Body text (3)_"/>
    <w:link w:val="1107"/>
    <w:pPr>
      <w:pBdr/>
      <w:spacing/>
      <w:ind/>
    </w:pPr>
    <w:rPr>
      <w:rFonts w:ascii="Times New Roman" w:hAnsi="Times New Roman" w:cs="Times New Roman"/>
      <w:i/>
      <w:iCs/>
      <w:spacing w:val="4"/>
      <w:shd w:val="clear" w:color="auto" w:fill="ffffff"/>
    </w:rPr>
  </w:style>
  <w:style w:type="paragraph" w:styleId="1107" w:customStyle="1">
    <w:name w:val="Body text (3)1"/>
    <w:basedOn w:val="1006"/>
    <w:link w:val="1106"/>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8" w:customStyle="1">
    <w:name w:val="t-j"/>
    <w:basedOn w:val="1006"/>
    <w:pPr>
      <w:pBdr/>
      <w:spacing w:after="100" w:afterAutospacing="1" w:before="100" w:beforeAutospacing="1"/>
      <w:ind/>
    </w:pPr>
  </w:style>
  <w:style w:type="character" w:styleId="1109" w:customStyle="1">
    <w:name w:val="Unresolved Mention2"/>
    <w:basedOn w:val="1011"/>
    <w:uiPriority w:val="99"/>
    <w:semiHidden/>
    <w:unhideWhenUsed/>
    <w:pPr>
      <w:pBdr/>
      <w:spacing/>
      <w:ind/>
    </w:pPr>
    <w:rPr>
      <w:color w:val="605e5c"/>
      <w:shd w:val="clear" w:color="auto" w:fill="e1dfdd"/>
    </w:rPr>
  </w:style>
  <w:style w:type="character" w:styleId="1110">
    <w:name w:val="FollowedHyperlink"/>
    <w:basedOn w:val="1011"/>
    <w:uiPriority w:val="99"/>
    <w:semiHidden/>
    <w:unhideWhenUsed/>
    <w:pPr>
      <w:pBdr/>
      <w:spacing/>
      <w:ind/>
    </w:pPr>
    <w:rPr>
      <w:color w:val="800080" w:themeColor="followedHyperlink"/>
      <w:u w:val="single"/>
    </w:rPr>
  </w:style>
  <w:style w:type="character" w:styleId="1111" w:customStyle="1">
    <w:name w:val="text"/>
    <w:basedOn w:val="1011"/>
    <w:pPr>
      <w:pBdr/>
      <w:spacing/>
      <w:ind/>
    </w:pPr>
  </w:style>
  <w:style w:type="character" w:styleId="1112" w:customStyle="1">
    <w:name w:val="card-send-time__sendtime"/>
    <w:basedOn w:val="1011"/>
    <w:pPr>
      <w:pBdr/>
      <w:spacing/>
      <w:ind/>
    </w:pPr>
  </w:style>
  <w:style w:type="character" w:styleId="1113" w:customStyle="1">
    <w:name w:val="Đề cập Chưa giải quyết1"/>
    <w:basedOn w:val="1011"/>
    <w:uiPriority w:val="99"/>
    <w:semiHidden/>
    <w:unhideWhenUsed/>
    <w:pPr>
      <w:pBdr/>
      <w:spacing/>
      <w:ind/>
    </w:pPr>
    <w:rPr>
      <w:color w:val="605e5c"/>
      <w:shd w:val="clear" w:color="auto" w:fill="e1dfdd"/>
    </w:rPr>
  </w:style>
  <w:style w:type="paragraph" w:styleId="1114" w:customStyle="1">
    <w:name w:val="nqtitle"/>
    <w:basedOn w:val="1006"/>
    <w:pPr>
      <w:pBdr/>
      <w:spacing w:after="100" w:afterAutospacing="1" w:before="100" w:beforeAutospacing="1"/>
      <w:ind/>
    </w:pPr>
    <w:rPr>
      <w:lang w:val="vi-VN" w:eastAsia="vi-VN"/>
    </w:rPr>
  </w:style>
  <w:style w:type="character" w:styleId="1115" w:customStyle="1">
    <w:name w:val="List Paragraph Char"/>
    <w:link w:val="1028"/>
    <w:uiPriority w:val="34"/>
    <w:qFormat/>
    <w:pPr>
      <w:pBdr/>
      <w:spacing/>
      <w:ind/>
    </w:pPr>
    <w:rPr>
      <w:rFonts w:ascii="Times New Roman" w:hAnsi="Times New Roman" w:eastAsia="Times New Roman" w:cs="Times New Roman"/>
      <w:sz w:val="24"/>
      <w:szCs w:val="24"/>
    </w:rPr>
  </w:style>
  <w:style w:type="character" w:styleId="1116" w:customStyle="1">
    <w:name w:val="Đề cập Chưa giải quyết2"/>
    <w:basedOn w:val="1011"/>
    <w:uiPriority w:val="99"/>
    <w:semiHidden/>
    <w:unhideWhenUsed/>
    <w:pPr>
      <w:pBdr/>
      <w:spacing/>
      <w:ind/>
    </w:pPr>
    <w:rPr>
      <w:color w:val="605e5c"/>
      <w:shd w:val="clear" w:color="auto" w:fill="e1dfdd"/>
    </w:rPr>
  </w:style>
  <w:style w:type="character" w:styleId="1117" w:customStyle="1">
    <w:name w:val="Unresolved Mention3"/>
    <w:basedOn w:val="1011"/>
    <w:uiPriority w:val="99"/>
    <w:semiHidden/>
    <w:unhideWhenUsed/>
    <w:pPr>
      <w:pBdr/>
      <w:spacing/>
      <w:ind/>
    </w:pPr>
    <w:rPr>
      <w:color w:val="605e5c"/>
      <w:shd w:val="clear" w:color="auto" w:fill="e1dfdd"/>
    </w:rPr>
  </w:style>
  <w:style w:type="character" w:styleId="1118" w:customStyle="1">
    <w:name w:val="copy"/>
    <w:basedOn w:val="1011"/>
    <w:pPr>
      <w:pBdr/>
      <w:spacing/>
      <w:ind/>
    </w:pPr>
  </w:style>
  <w:style w:type="paragraph" w:styleId="1119" w:customStyle="1">
    <w:name w:val="align-justify"/>
    <w:basedOn w:val="1006"/>
    <w:pPr>
      <w:pBdr/>
      <w:spacing w:after="100" w:afterAutospacing="1" w:before="100" w:beforeAutospacing="1"/>
      <w:ind/>
    </w:pPr>
  </w:style>
  <w:style w:type="character" w:styleId="1120" w:customStyle="1">
    <w:name w:val="btn"/>
    <w:basedOn w:val="1011"/>
    <w:pPr>
      <w:pBdr/>
      <w:spacing/>
      <w:ind/>
    </w:pPr>
  </w:style>
  <w:style w:type="character" w:styleId="1121" w:customStyle="1">
    <w:name w:val="hide_mobile"/>
    <w:basedOn w:val="1011"/>
    <w:pPr>
      <w:pBdr/>
      <w:spacing/>
      <w:ind/>
    </w:pPr>
  </w:style>
  <w:style w:type="character" w:styleId="1122">
    <w:name w:val="Emphasis"/>
    <w:basedOn w:val="1011"/>
    <w:uiPriority w:val="20"/>
    <w:qFormat/>
    <w:pPr>
      <w:pBdr/>
      <w:spacing/>
      <w:ind/>
    </w:pPr>
    <w:rPr>
      <w:i/>
      <w:iCs/>
    </w:rPr>
  </w:style>
  <w:style w:type="character" w:styleId="1123" w:customStyle="1">
    <w:name w:val="t1"/>
    <w:basedOn w:val="1011"/>
    <w:pPr>
      <w:pBdr/>
      <w:spacing/>
      <w:ind/>
    </w:pPr>
  </w:style>
  <w:style w:type="character" w:styleId="1124" w:customStyle="1">
    <w:name w:val="Unresolved Mention4"/>
    <w:basedOn w:val="1011"/>
    <w:uiPriority w:val="99"/>
    <w:semiHidden/>
    <w:unhideWhenUsed/>
    <w:pPr>
      <w:pBdr/>
      <w:spacing/>
      <w:ind/>
    </w:pPr>
    <w:rPr>
      <w:color w:val="605e5c"/>
      <w:shd w:val="clear" w:color="auto" w:fill="e1dfdd"/>
    </w:rPr>
  </w:style>
  <w:style w:type="character" w:styleId="1125">
    <w:name w:val="Unresolved Mention"/>
    <w:basedOn w:val="1011"/>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Đinh Thị Lan Hương</cp:lastModifiedBy>
  <cp:revision>511</cp:revision>
  <dcterms:created xsi:type="dcterms:W3CDTF">2025-09-15T02:01:00Z</dcterms:created>
  <dcterms:modified xsi:type="dcterms:W3CDTF">2026-09-10T07:02:56Z</dcterms:modified>
</cp:coreProperties>
</file>