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9546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9546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275/2026/1426/VFI-CT.69.A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GRAVITAS</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w:t>
                            </w:r>
                            <w:r>
                              <w:rPr>
                                <w:color w:val="000000"/>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color w:val="000000"/>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11.39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275/2026/1426/VFI-CT.69.A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GRAVITAS</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w:t>
                      </w:r>
                      <w:r>
                        <w:rPr>
                          <w:color w:val="000000"/>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color w:val="000000"/>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4-25</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0"/>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26-27</w:t>
            </w:r>
            <w:r>
              <w:rPr>
                <w:b/>
                <w:bCs/>
              </w:rPr>
            </w:r>
            <w:r>
              <w:rPr>
                <w:b/>
                <w:bCs/>
              </w:rPr>
            </w:r>
          </w:p>
        </w:tc>
      </w:tr>
      <w:tr>
        <w:trPr/>
        <w:tc>
          <w:tcPr>
            <w:tcBorders/>
            <w:tcMar>
              <w:left w:w="108" w:type="dxa"/>
              <w:right w:w="108" w:type="dxa"/>
            </w:tcMar>
            <w:tcW w:w="7280" w:type="dxa"/>
            <w:vAlign w:val="center"/>
            <w:textDirection w:val="lrTb"/>
            <w:noWrap w:val="false"/>
          </w:tcPr>
          <w:p>
            <w:pPr>
              <w:pStyle w:val="1040"/>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28-38</w:t>
            </w:r>
            <w:r>
              <w:rPr>
                <w:b/>
                <w:bCs/>
              </w:rPr>
            </w:r>
            <w:r>
              <w:rPr>
                <w:b/>
                <w:bCs/>
              </w:rPr>
            </w:r>
          </w:p>
        </w:tc>
      </w:tr>
    </w:tbl>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9"/>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808" w:type="dxa"/>
        <w:tblBorders/>
        <w:tblLayout w:type="fixed"/>
        <w:tblLook w:val="04A0" w:firstRow="1" w:lastRow="0" w:firstColumn="1" w:lastColumn="0" w:noHBand="0" w:noVBand="1"/>
      </w:tblPr>
      <w:tblGrid>
        <w:gridCol w:w="29"/>
        <w:gridCol w:w="3685"/>
        <w:gridCol w:w="6094"/>
      </w:tblGrid>
      <w:tr>
        <w:trPr>
          <w:trHeight w:val="115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09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0"/>
                  <w:rFonts w:eastAsiaTheme="majorEastAsia"/>
                  <w:color w:val="auto"/>
                  <w:lang w:val="fr-FR"/>
                </w:rPr>
                <w:t xml:space="preserve">ilotus.contact@gmail.com</w:t>
              </w:r>
            </w:hyperlink>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685" w:type="dxa"/>
            <w:textDirection w:val="lrTb"/>
            <w:noWrap w:val="false"/>
          </w:tcPr>
          <w:p>
            <w:pPr>
              <w:pStyle w:val="1039"/>
              <w:pBdr/>
              <w:spacing w:after="60"/>
              <w:ind/>
              <w:rPr>
                <w:color w:val="000000" w:themeColor="text1"/>
                <w:sz w:val="24"/>
                <w:szCs w:val="24"/>
              </w:rPr>
            </w:pPr>
            <w:r>
              <w:rPr>
                <w:rStyle w:val="1038"/>
                <w:rFonts w:ascii="Times New Roman" w:hAnsi="Times New Roman"/>
                <w:color w:val="000000" w:themeColor="text1"/>
                <w:lang w:val="pt-BR"/>
              </w:rPr>
              <w:t xml:space="preserve">Số: </w:t>
            </w:r>
            <w:r>
              <w:rPr>
                <w:rStyle w:val="1038"/>
                <w:rFonts w:ascii="Times New Roman" w:hAnsi="Times New Roman"/>
                <w:color w:val="000000" w:themeColor="text1"/>
                <w:lang w:val="pt-BR"/>
              </w:rPr>
              <w:t xml:space="preserve">275/2026/1426/VFI-CT.69.A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94" w:type="dxa"/>
            <w:textDirection w:val="lrTb"/>
            <w:noWrap w:val="false"/>
          </w:tcPr>
          <w:p>
            <w:pPr>
              <w:pStyle w:val="1039"/>
              <w:pBdr/>
              <w:spacing w:after="60"/>
              <w:ind w:right="-56"/>
              <w:jc w:val="right"/>
              <w:rPr>
                <w:color w:val="000000" w:themeColor="text1"/>
                <w:sz w:val="24"/>
                <w:szCs w:val="24"/>
                <w:lang w:val="vi-VN"/>
              </w:rPr>
            </w:pPr>
            <w:r>
              <w:rPr>
                <w:rStyle w:val="1038"/>
                <w:rFonts w:ascii="Times New Roman" w:hAnsi="Times New Roman"/>
                <w:i/>
                <w:color w:val="auto"/>
              </w:rPr>
              <w:t xml:space="preserve">TP. Hà Nội</w:t>
            </w:r>
            <w:r>
              <w:rPr>
                <w:rStyle w:val="1038"/>
                <w:rFonts w:ascii="Times New Roman" w:hAnsi="Times New Roman"/>
                <w:i/>
                <w:color w:val="auto"/>
                <w:lang w:val="vi-VN"/>
              </w:rPr>
              <w:t xml:space="preserve">, </w:t>
            </w:r>
            <w:r>
              <w:rPr>
                <w:rStyle w:val="1038"/>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bl>
    <w:p>
      <w:pPr>
        <w:pStyle w:val="1039"/>
        <w:pBdr/>
        <w:spacing w:after="120" w:before="200" w:line="288" w:lineRule="auto"/>
        <w:ind/>
        <w:jc w:val="center"/>
        <w:rPr>
          <w:rStyle w:val="1038"/>
          <w:rFonts w:ascii="Times New Roman" w:hAnsi="Times New Roman"/>
          <w:b/>
          <w:bCs/>
          <w:color w:val="auto"/>
          <w:sz w:val="30"/>
          <w:szCs w:val="30"/>
          <w:lang w:val="vi-VN"/>
        </w:rPr>
      </w:pPr>
      <w:r>
        <w:rPr>
          <w:rStyle w:val="1038"/>
          <w:rFonts w:ascii="Times New Roman" w:hAnsi="Times New Roman"/>
          <w:b/>
          <w:bCs/>
          <w:color w:val="auto"/>
          <w:sz w:val="30"/>
          <w:szCs w:val="30"/>
          <w:lang w:val="vi-VN"/>
        </w:rPr>
        <w:t xml:space="preserve">CHỨNG THƯ THẨM ĐỊNH GIÁ</w:t>
      </w:r>
      <w:r>
        <w:rPr>
          <w:rStyle w:val="1038"/>
          <w:rFonts w:ascii="Times New Roman" w:hAnsi="Times New Roman"/>
          <w:b/>
          <w:bCs/>
          <w:color w:val="auto"/>
          <w:sz w:val="30"/>
          <w:szCs w:val="30"/>
          <w:lang w:val="vi-VN"/>
        </w:rPr>
      </w:r>
      <w:r>
        <w:rPr>
          <w:rStyle w:val="1038"/>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GRAVITAS</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275/2026/1426/VFI-HĐTĐ.69.A</w:t>
      </w:r>
      <w:r>
        <w:rPr>
          <w:spacing w:val="-4"/>
          <w:lang w:val="vi-VN"/>
        </w:rPr>
        <w:t xml:space="preserve"> ký ngày </w:t>
      </w:r>
      <w:r>
        <w:rPr>
          <w:color w:val="000000" w:themeColor="text1"/>
          <w:spacing w:val="-4"/>
        </w:rPr>
        <w:t xml:space="preserve">11 tháng 9 năm 2026</w:t>
      </w:r>
      <w:r>
        <w:rPr>
          <w:spacing w:val="-4"/>
          <w:lang w:val="vi-VN"/>
        </w:rPr>
        <w:t xml:space="preserve"> </w:t>
      </w:r>
      <w:r>
        <w:rPr>
          <w:spacing w:val="-4"/>
          <w:lang w:val="vi-VN"/>
        </w:rPr>
        <w:t xml:space="preserve">giữa </w:t>
      </w:r>
      <w:r>
        <w:rPr>
          <w:color w:val="000000" w:themeColor="text1"/>
          <w:spacing w:val="-4"/>
        </w:rPr>
        <w:t xml:space="preserve">CÔNG TY CỔ PHẦN GRAVITAS</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275/2026/1426/VFI-BC.69.A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14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b/>
                <w:bCs/>
              </w:rPr>
            </w:pPr>
            <w:r>
              <w:rPr>
                <w:b/>
                <w:bCs/>
              </w:rPr>
            </w:r>
            <w:r>
              <w:rPr>
                <w:b/>
                <w:bCs/>
                <w:color w:val="000000" w:themeColor="text1"/>
                <w:spacing w:val="-4"/>
              </w:rPr>
              <w:t xml:space="preserve">CÔNG TY CỔ PHẦN GRAVITAS</w:t>
            </w:r>
            <w:r>
              <w:rPr>
                <w:b/>
                <w:bCs/>
              </w:rPr>
            </w:r>
            <w:r>
              <w:rPr>
                <w:b/>
                <w:bCs/>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0108813674</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nhà 47 </w:t>
            </w:r>
            <w:r>
              <w:rPr>
                <w:color w:val="000000" w:themeColor="text1"/>
                <w:lang w:val="vi-VN"/>
              </w:rPr>
              <w:t xml:space="preserve">Phố </w:t>
            </w:r>
            <w:r>
              <w:rPr>
                <w:color w:val="000000" w:themeColor="text1"/>
                <w:lang w:val="vi-VN"/>
              </w:rPr>
              <w:t xml:space="preserve">N</w:t>
            </w:r>
            <w:r>
              <w:rPr>
                <w:color w:val="000000" w:themeColor="text1"/>
                <w:lang w:val="vi-VN"/>
              </w:rPr>
              <w:t xml:space="preserve">guyễn </w:t>
            </w:r>
            <w:r>
              <w:rPr>
                <w:color w:val="000000" w:themeColor="text1"/>
                <w:lang w:val="vi-VN"/>
              </w:rPr>
              <w:t xml:space="preserve">K</w:t>
            </w:r>
            <w:r>
              <w:rPr>
                <w:color w:val="000000" w:themeColor="text1"/>
                <w:lang w:val="vi-VN"/>
              </w:rPr>
              <w:t xml:space="preserve">hắc </w:t>
            </w:r>
            <w:r>
              <w:rPr>
                <w:color w:val="000000" w:themeColor="text1"/>
                <w:lang w:val="vi-VN"/>
              </w:rPr>
              <w:t xml:space="preserve">H</w:t>
            </w:r>
            <w:r>
              <w:rPr>
                <w:color w:val="000000" w:themeColor="text1"/>
                <w:lang w:val="vi-VN"/>
              </w:rPr>
              <w:t xml:space="preserve">iếu, </w:t>
            </w:r>
            <w:r>
              <w:rPr>
                <w:color w:val="000000" w:themeColor="text1"/>
                <w:lang w:val="vi-VN"/>
              </w:rPr>
              <w:t xml:space="preserve">phường </w:t>
            </w:r>
            <w:r>
              <w:rPr>
                <w:color w:val="000000" w:themeColor="text1"/>
                <w:lang w:val="vi-VN"/>
              </w:rPr>
              <w:t xml:space="preserve">B</w:t>
            </w:r>
            <w:r>
              <w:rPr>
                <w:color w:val="000000" w:themeColor="text1"/>
                <w:lang w:val="vi-VN"/>
              </w:rPr>
              <w:t xml:space="preserve">a </w:t>
            </w:r>
            <w:r>
              <w:rPr>
                <w:color w:val="000000" w:themeColor="text1"/>
                <w:lang w:val="vi-VN"/>
              </w:rPr>
              <w:t xml:space="preserve">Đì</w:t>
            </w:r>
            <w:r>
              <w:rPr>
                <w:color w:val="000000" w:themeColor="text1"/>
                <w:lang w:val="vi-VN"/>
              </w:rPr>
              <w:t xml:space="preserve">nh,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 </w:t>
            </w:r>
            <w:r>
              <w:rPr>
                <w:color w:val="000000" w:themeColor="text1"/>
                <w:lang w:val="vi-VN"/>
              </w:rPr>
              <w:t xml:space="preserve">Việt </w:t>
            </w:r>
            <w:r>
              <w:rPr>
                <w:color w:val="000000" w:themeColor="text1"/>
                <w:lang w:val="vi-VN"/>
              </w:rPr>
              <w:t xml:space="preserve">Nam</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Bà </w:t>
            </w:r>
            <w:r>
              <w:rPr>
                <w:color w:val="000000" w:themeColor="text1"/>
                <w:lang w:val="vi-VN"/>
              </w:rPr>
              <w:t xml:space="preserve">L</w:t>
            </w:r>
            <w:r>
              <w:rPr>
                <w:color w:val="000000" w:themeColor="text1"/>
                <w:lang w:val="vi-VN"/>
              </w:rPr>
              <w:t xml:space="preserve">ê </w:t>
            </w:r>
            <w:r>
              <w:rPr>
                <w:color w:val="000000" w:themeColor="text1"/>
                <w:lang w:val="vi-VN"/>
              </w:rPr>
              <w:t xml:space="preserve">Bích </w:t>
            </w:r>
            <w:r>
              <w:rPr>
                <w:color w:val="000000" w:themeColor="text1"/>
                <w:lang w:val="vi-VN"/>
              </w:rPr>
              <w:t xml:space="preserve">Vân - </w:t>
            </w:r>
            <w:r>
              <w:rPr>
                <w:color w:val="000000" w:themeColor="text1"/>
                <w:lang w:val="vi-VN"/>
              </w:rPr>
              <w:t xml:space="preserve">Chức </w:t>
            </w:r>
            <w:r>
              <w:rPr>
                <w:color w:val="000000" w:themeColor="text1"/>
                <w:lang w:val="vi-VN"/>
              </w:rPr>
              <w:t xml:space="preserve">danh: </w:t>
            </w:r>
            <w:r>
              <w:rPr>
                <w:color w:val="000000" w:themeColor="text1"/>
                <w:lang w:val="vi-VN"/>
              </w:rPr>
              <w:t xml:space="preserve">Giám </w:t>
            </w:r>
            <w:r>
              <w:rPr>
                <w:color w:val="000000" w:themeColor="text1"/>
                <w:lang w:val="vi-VN"/>
              </w:rPr>
              <w:t xml:space="preserve">đốc</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w:t>
      </w:r>
      <w:r>
        <w:rPr>
          <w:color w:val="000000" w:themeColor="text1"/>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color w:val="000000" w:themeColor="text1"/>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99"/>
        <w:gridCol w:w="2205"/>
        <w:gridCol w:w="1417"/>
        <w:gridCol w:w="1984"/>
        <w:gridCol w:w="1276"/>
        <w:gridCol w:w="1843"/>
      </w:tblGrid>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0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17"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984"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276" w:type="dxa"/>
            <w:vAlign w:val="center"/>
            <w:textDirection w:val="lrTb"/>
            <w:noWrap w:val="false"/>
          </w:tcPr>
          <w:p>
            <w:pPr>
              <w:pBdr/>
              <w:spacing/>
              <w:ind/>
              <w:rPr>
                <w:b/>
                <w:bCs/>
              </w:rPr>
            </w:pPr>
            <w:r>
              <w:rPr>
                <w:b/>
                <w:bCs/>
              </w:rPr>
              <w:t xml:space="preserve">Tỷ </w:t>
            </w:r>
            <w:r>
              <w:rPr>
                <w:b/>
                <w:bCs/>
              </w:rPr>
              <w:t xml:space="preserve">lệ </w:t>
            </w:r>
            <w:r>
              <w:rPr>
                <w:b/>
                <w:bCs/>
              </w:rPr>
              <w:t xml:space="preserve">CLCL (%)</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882" w:type="dxa"/>
            <w:vAlign w:val="center"/>
            <w:textDirection w:val="lrTb"/>
            <w:noWrap w:val="false"/>
          </w:tcPr>
          <w:p>
            <w:pPr>
              <w:pBdr/>
              <w:spacing w:after="40" w:before="40" w:line="240" w:lineRule="auto"/>
              <w:ind/>
              <w:jc w:val="both"/>
              <w:rPr>
                <w:b/>
                <w:bCs/>
              </w:rPr>
            </w:pPr>
            <w:r>
              <w:rPr>
                <w:b/>
                <w:bCs/>
                <w:color w:val="000000"/>
              </w:rPr>
              <w:t xml:space="preserve">Quyề</w:t>
            </w:r>
            <w:r>
              <w:rPr>
                <w:b/>
                <w:bCs/>
                <w:color w:val="000000"/>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b/>
                <w:bCs/>
                <w:color w:val="000000"/>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20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417"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240</w:t>
            </w:r>
            <w:r>
              <w:rPr>
                <w:b w:val="0"/>
                <w:bCs w:val="0"/>
                <w:color w:val="000000"/>
              </w:rPr>
            </w:r>
            <w:r>
              <w:rPr>
                <w:b w:val="0"/>
                <w:bCs w:val="0"/>
                <w:color w:val="000000"/>
              </w:rPr>
            </w:r>
          </w:p>
        </w:tc>
        <w:tc>
          <w:tcPr>
            <w:shd w:val="clear" w:color="000000" w:fill="ffffff"/>
            <w:tcBorders/>
            <w:tcW w:w="1984"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90.000.000</w:t>
            </w:r>
            <w:r>
              <w:rPr>
                <w:b w:val="0"/>
                <w:bCs w:val="0"/>
              </w:rPr>
            </w:r>
            <w:r>
              <w:rPr>
                <w:b w:val="0"/>
                <w:bCs w:val="0"/>
              </w:rPr>
            </w:r>
          </w:p>
        </w:tc>
        <w:tc>
          <w:tcPr>
            <w:shd w:val="clear" w:color="000000" w:fill="ffffff"/>
            <w:tcBorders/>
            <w:tcW w:w="1276" w:type="dxa"/>
            <w:vAlign w:val="center"/>
            <w:textDirection w:val="lrTb"/>
            <w:noWrap w:val="false"/>
          </w:tcPr>
          <w:p>
            <w:pPr>
              <w:pBdr/>
              <w:spacing/>
              <w:ind w:firstLine="0" w:left="0"/>
              <w:jc w:val="center"/>
              <w:rPr>
                <w:b w:val="0"/>
                <w:bCs w:val="0"/>
                <w:color w:val="000000" w:themeColor="text1"/>
              </w:rPr>
            </w:pPr>
            <w:r>
              <w:rPr>
                <w:b w:val="0"/>
                <w:bCs w:val="0"/>
                <w:color w:val="000000" w:themeColor="text1"/>
              </w:rPr>
              <w:t xml:space="preserve">100%</w:t>
            </w:r>
            <w:r>
              <w:rPr>
                <w:b w:val="0"/>
                <w:bCs w:val="0"/>
                <w:color w:val="000000" w:themeColor="text1"/>
              </w:rPr>
            </w:r>
            <w:r>
              <w:rPr>
                <w:b w:val="0"/>
                <w:bCs w:val="0"/>
                <w:color w:val="000000" w:themeColor="text1"/>
              </w:rPr>
            </w:r>
          </w:p>
        </w:tc>
        <w:tc>
          <w:tcPr>
            <w:shd w:val="clear" w:color="000000" w:fill="ffffff"/>
            <w:tcBorders/>
            <w:tcW w:w="1843"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21.600.000.000</w:t>
            </w:r>
            <w:r>
              <w:rPr>
                <w:b w:val="0"/>
                <w:bCs w:val="0"/>
              </w:rPr>
            </w:r>
            <w:r>
              <w:rPr>
                <w:b w:val="0"/>
                <w:bCs w:val="0"/>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205" w:type="dxa"/>
            <w:vAlign w:val="center"/>
            <w:textDirection w:val="lrTb"/>
            <w:noWrap w:val="false"/>
          </w:tcPr>
          <w:p>
            <w:pPr>
              <w:pBdr/>
              <w:spacing w:after="40" w:before="40" w:line="288" w:lineRule="auto"/>
              <w:ind/>
              <w:rPr>
                <w:b w:val="0"/>
                <w:bCs w:val="0"/>
              </w:rPr>
            </w:pPr>
            <w:r>
              <w:rPr>
                <w:b w:val="0"/>
                <w:bCs w:val="0"/>
              </w:rPr>
              <w:t xml:space="preserve">Nhà 2 tầng</w:t>
            </w:r>
            <w:r>
              <w:rPr>
                <w:b w:val="0"/>
                <w:bCs w:val="0"/>
              </w:rPr>
            </w:r>
            <w:r>
              <w:rPr>
                <w:b w:val="0"/>
                <w:bCs w:val="0"/>
              </w:rPr>
            </w:r>
          </w:p>
        </w:tc>
        <w:tc>
          <w:tcPr>
            <w:tcBorders/>
            <w:tcW w:w="1417"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389,5</w:t>
            </w:r>
            <w:r>
              <w:rPr>
                <w:b w:val="0"/>
                <w:bCs w:val="0"/>
                <w:color w:val="000000"/>
              </w:rPr>
            </w:r>
            <w:r>
              <w:rPr>
                <w:b w:val="0"/>
                <w:bCs w:val="0"/>
                <w:color w:val="000000"/>
              </w:rPr>
            </w:r>
          </w:p>
        </w:tc>
        <w:tc>
          <w:tcPr>
            <w:shd w:val="clear" w:color="000000" w:fill="ffffff"/>
            <w:tcBorders/>
            <w:tcW w:w="1984"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7.852.582</w:t>
            </w:r>
            <w:r>
              <w:rPr>
                <w:b w:val="0"/>
                <w:bCs w:val="0"/>
              </w:rPr>
            </w:r>
            <w:r>
              <w:rPr>
                <w:b w:val="0"/>
                <w:bCs w:val="0"/>
              </w:rPr>
            </w:r>
          </w:p>
        </w:tc>
        <w:tc>
          <w:tcPr>
            <w:shd w:val="clear" w:color="000000" w:fill="ffffff"/>
            <w:tcBorders/>
            <w:tcW w:w="1276" w:type="dxa"/>
            <w:vAlign w:val="center"/>
            <w:textDirection w:val="lrTb"/>
            <w:noWrap w:val="false"/>
          </w:tcPr>
          <w:p>
            <w:pPr>
              <w:pBdr/>
              <w:spacing/>
              <w:ind/>
              <w:jc w:val="center"/>
              <w:rPr>
                <w:b w:val="0"/>
                <w:bCs w:val="0"/>
                <w:color w:val="000000" w:themeColor="text1"/>
              </w:rPr>
            </w:pPr>
            <w:r>
              <w:rPr>
                <w:b w:val="0"/>
                <w:bCs w:val="0"/>
                <w:color w:val="000000" w:themeColor="text1"/>
              </w:rPr>
              <w:t xml:space="preserve">92%</w:t>
            </w:r>
            <w:r>
              <w:rPr>
                <w:b w:val="0"/>
                <w:bCs w:val="0"/>
                <w:color w:val="000000" w:themeColor="text1"/>
              </w:rPr>
            </w:r>
            <w:r>
              <w:rPr>
                <w:b w:val="0"/>
                <w:bCs w:val="0"/>
                <w:color w:val="000000" w:themeColor="text1"/>
              </w:rPr>
            </w:r>
          </w:p>
        </w:tc>
        <w:tc>
          <w:tcPr>
            <w:shd w:val="clear" w:color="000000" w:fill="ffffff"/>
            <w:tcBorders/>
            <w:tcW w:w="1843"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2.813.894.234</w:t>
            </w:r>
            <w:r>
              <w:rPr>
                <w:b w:val="0"/>
                <w:bCs w:val="0"/>
              </w:rPr>
            </w:r>
            <w:r>
              <w:rPr>
                <w:b w:val="0"/>
                <w:bCs w:val="0"/>
              </w:rPr>
            </w:r>
          </w:p>
        </w:tc>
      </w:tr>
      <w:tr>
        <w:trPr>
          <w:trHeight w:val="20"/>
        </w:trPr>
        <w:tc>
          <w:tcPr>
            <w:gridSpan w:val="5"/>
            <w:tcBorders/>
            <w:tcW w:w="7682"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843" w:type="dxa"/>
            <w:vAlign w:val="center"/>
            <w:textDirection w:val="lrTb"/>
            <w:noWrap/>
          </w:tcPr>
          <w:p>
            <w:pPr>
              <w:pBdr/>
              <w:spacing w:after="40" w:before="40" w:line="288" w:lineRule="auto"/>
              <w:ind/>
              <w:jc w:val="center"/>
              <w:rPr>
                <w:b/>
                <w:bCs/>
                <w:color w:val="000000"/>
              </w:rPr>
            </w:pPr>
            <w:r>
              <w:t xml:space="preserve">24.413.894.234</w:t>
            </w:r>
            <w:r>
              <w:rPr>
                <w:b/>
                <w:bCs/>
                <w:color w:val="000000"/>
              </w:rPr>
            </w:r>
            <w:r>
              <w:rPr>
                <w:b/>
                <w:bCs/>
                <w:color w:val="000000"/>
              </w:rPr>
            </w:r>
          </w:p>
        </w:tc>
      </w:tr>
      <w:tr>
        <w:trPr>
          <w:trHeight w:val="429"/>
        </w:trPr>
        <w:tc>
          <w:tcPr>
            <w:gridSpan w:val="5"/>
            <w:tcBorders/>
            <w:tcW w:w="7682"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843" w:type="dxa"/>
            <w:vAlign w:val="center"/>
            <w:textDirection w:val="lrTb"/>
            <w:noWrap/>
          </w:tcPr>
          <w:p>
            <w:pPr>
              <w:pBdr/>
              <w:spacing w:after="40" w:before="40" w:line="288" w:lineRule="auto"/>
              <w:ind/>
              <w:jc w:val="center"/>
              <w:rPr>
                <w:b/>
                <w:bCs/>
                <w:color w:val="000000"/>
              </w:rPr>
            </w:pPr>
            <w:r>
              <w:rPr>
                <w:b/>
                <w:bCs/>
                <w:color w:val="000000"/>
              </w:rPr>
              <w:t xml:space="preserve">24.414.000.000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bốn tỷ bốn trăm mười </w:t>
            </w:r>
            <w:r>
              <w:rPr>
                <w:b/>
                <w:bCs/>
                <w:i/>
                <w:iCs/>
                <w:color w:val="000000"/>
              </w:rPr>
              <w:t xml:space="preserve">bốn </w:t>
            </w:r>
            <w:r>
              <w:rPr>
                <w:b/>
                <w:bCs/>
                <w:i/>
                <w:iCs/>
                <w:color w:val="000000"/>
              </w:rPr>
              <w:t xml:space="preserve">triệu</w:t>
            </w:r>
            <w:r>
              <w:rPr>
                <w:b/>
                <w:bCs/>
                <w:i/>
                <w:iCs/>
                <w:color w:val="000000"/>
              </w:rPr>
              <w:t xml:space="preserve">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950" w:type="dxa"/>
        <w:tblBorders/>
        <w:tblLayout w:type="fixed"/>
        <w:tblLook w:val="04A0" w:firstRow="1" w:lastRow="0" w:firstColumn="1" w:lastColumn="0" w:noHBand="0" w:noVBand="1"/>
      </w:tblPr>
      <w:tblGrid>
        <w:gridCol w:w="29"/>
        <w:gridCol w:w="3685"/>
        <w:gridCol w:w="6236"/>
      </w:tblGrid>
      <w:tr>
        <w:trPr>
          <w:trHeight w:val="1842"/>
        </w:trPr>
        <w:tc>
          <w:tcPr>
            <w:gridSpan w:val="2"/>
            <w:tcBorders/>
            <w:tcW w:w="3714"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2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0"/>
                  <w:rFonts w:eastAsiaTheme="majorEastAsia"/>
                  <w:color w:val="auto"/>
                  <w:lang w:val="fr-FR"/>
                </w:rPr>
                <w:t xml:space="preserve">ilotus.contact@gmail.com</w:t>
              </w:r>
            </w:hyperlink>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3685" w:type="dxa"/>
            <w:textDirection w:val="lrTb"/>
            <w:noWrap w:val="false"/>
          </w:tcPr>
          <w:p>
            <w:pPr>
              <w:pStyle w:val="1039"/>
              <w:pBdr/>
              <w:spacing w:after="60"/>
              <w:ind/>
              <w:rPr>
                <w:color w:val="000000" w:themeColor="text1"/>
                <w:sz w:val="24"/>
                <w:szCs w:val="24"/>
              </w:rPr>
            </w:pPr>
            <w:r>
              <w:rPr>
                <w:rStyle w:val="1038"/>
                <w:rFonts w:ascii="Times New Roman" w:hAnsi="Times New Roman"/>
                <w:color w:val="000000" w:themeColor="text1"/>
                <w:lang w:val="pt-BR"/>
              </w:rPr>
              <w:t xml:space="preserve">Số: </w:t>
            </w:r>
            <w:r>
              <w:rPr>
                <w:rStyle w:val="1038"/>
                <w:rFonts w:ascii="Times New Roman" w:hAnsi="Times New Roman"/>
                <w:color w:val="000000" w:themeColor="text1"/>
                <w:lang w:val="pt-BR"/>
              </w:rPr>
              <w:t xml:space="preserve">275/2026/1426/VFI-</w:t>
            </w:r>
            <w:r>
              <w:rPr>
                <w:rStyle w:val="1038"/>
                <w:rFonts w:ascii="Times New Roman" w:hAnsi="Times New Roman"/>
                <w:color w:val="000000" w:themeColor="text1"/>
                <w:lang w:val="pt-BR"/>
              </w:rPr>
              <w:t xml:space="preserve">BC</w:t>
            </w:r>
            <w:r>
              <w:rPr>
                <w:rStyle w:val="1038"/>
                <w:rFonts w:ascii="Times New Roman" w:hAnsi="Times New Roman"/>
                <w:color w:val="000000" w:themeColor="text1"/>
                <w:lang w:val="pt-BR"/>
              </w:rPr>
              <w:t xml:space="preserve">.69.A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36" w:type="dxa"/>
            <w:textDirection w:val="lrTb"/>
            <w:noWrap w:val="false"/>
          </w:tcPr>
          <w:p>
            <w:pPr>
              <w:pStyle w:val="1039"/>
              <w:pBdr/>
              <w:spacing w:after="60"/>
              <w:ind w:right="-56"/>
              <w:jc w:val="right"/>
              <w:rPr>
                <w:color w:val="000000" w:themeColor="text1"/>
                <w:sz w:val="24"/>
                <w:szCs w:val="24"/>
                <w:lang w:val="vi-VN"/>
              </w:rPr>
            </w:pPr>
            <w:r>
              <w:rPr>
                <w:rStyle w:val="1038"/>
                <w:rFonts w:ascii="Times New Roman" w:hAnsi="Times New Roman"/>
                <w:i/>
                <w:color w:val="auto"/>
              </w:rPr>
              <w:t xml:space="preserve">TP. Hà Nội</w:t>
            </w:r>
            <w:r>
              <w:rPr>
                <w:rStyle w:val="1038"/>
                <w:rFonts w:ascii="Times New Roman" w:hAnsi="Times New Roman"/>
                <w:i/>
                <w:color w:val="auto"/>
                <w:lang w:val="vi-VN"/>
              </w:rPr>
              <w:t xml:space="preserve">, </w:t>
            </w:r>
            <w:r>
              <w:rPr>
                <w:rStyle w:val="1038"/>
                <w:rFonts w:ascii="Times New Roman" w:hAnsi="Times New Roman"/>
                <w:i/>
                <w:color w:val="000000" w:themeColor="text1"/>
                <w:lang w:val="vi-VN"/>
              </w:rPr>
              <w:t xml:space="preserve">ngày 14 tháng 9 năm 2026</w:t>
            </w:r>
            <w:r>
              <w:rPr>
                <w:color w:val="000000" w:themeColor="text1"/>
                <w:sz w:val="24"/>
                <w:szCs w:val="24"/>
                <w:lang w:val="vi-VN"/>
              </w:rPr>
            </w:r>
            <w:r>
              <w:rPr>
                <w:color w:val="000000" w:themeColor="text1"/>
                <w:sz w:val="24"/>
                <w:szCs w:val="24"/>
                <w:lang w:val="vi-VN"/>
              </w:rPr>
            </w:r>
          </w:p>
        </w:tc>
      </w:tr>
      <w:tr>
        <w:trPr>
          <w:gridBefore w:val="1"/>
          <w:trHeight w:val="84"/>
        </w:trPr>
        <w:tc>
          <w:tcPr>
            <w:shd w:val="clear" w:color="auto" w:fill="auto"/>
            <w:tcBorders/>
            <w:tcMar>
              <w:left w:w="108" w:type="dxa"/>
              <w:top w:w="0" w:type="dxa"/>
              <w:right w:w="108" w:type="dxa"/>
              <w:bottom w:w="0" w:type="dxa"/>
            </w:tcMar>
            <w:tcW w:w="3685" w:type="dxa"/>
            <w:textDirection w:val="lrTb"/>
            <w:noWrap w:val="false"/>
          </w:tcPr>
          <w:p>
            <w:pPr>
              <w:pStyle w:val="1039"/>
              <w:pBdr/>
              <w:spacing w:after="60"/>
              <w:ind/>
              <w:rPr>
                <w:rStyle w:val="1038"/>
                <w:rFonts w:ascii="Times New Roman" w:hAnsi="Times New Roman"/>
                <w:color w:val="000000" w:themeColor="text1"/>
                <w:lang w:val="pt-BR"/>
              </w:rPr>
            </w:pPr>
            <w:r>
              <w:rPr>
                <w:rStyle w:val="1038"/>
                <w:rFonts w:ascii="Times New Roman" w:hAnsi="Times New Roman"/>
                <w:color w:val="000000" w:themeColor="text1"/>
                <w:lang w:val="pt-BR"/>
              </w:rPr>
            </w:r>
            <w:r>
              <w:rPr>
                <w:rStyle w:val="1038"/>
                <w:rFonts w:ascii="Times New Roman" w:hAnsi="Times New Roman"/>
                <w:color w:val="000000" w:themeColor="text1"/>
                <w:lang w:val="pt-BR"/>
              </w:rPr>
            </w:r>
            <w:r>
              <w:rPr>
                <w:rStyle w:val="1038"/>
                <w:rFonts w:ascii="Times New Roman" w:hAnsi="Times New Roman"/>
                <w:color w:val="000000" w:themeColor="text1"/>
                <w:lang w:val="pt-BR"/>
              </w:rPr>
            </w:r>
          </w:p>
        </w:tc>
        <w:tc>
          <w:tcPr>
            <w:shd w:val="clear" w:color="auto" w:fill="auto"/>
            <w:tcBorders/>
            <w:tcMar>
              <w:left w:w="108" w:type="dxa"/>
              <w:top w:w="0" w:type="dxa"/>
              <w:right w:w="108" w:type="dxa"/>
              <w:bottom w:w="0" w:type="dxa"/>
            </w:tcMar>
            <w:tcW w:w="6236" w:type="dxa"/>
            <w:textDirection w:val="lrTb"/>
            <w:noWrap w:val="false"/>
          </w:tcPr>
          <w:p>
            <w:pPr>
              <w:pStyle w:val="1039"/>
              <w:pBdr/>
              <w:spacing w:after="60"/>
              <w:ind w:right="-56"/>
              <w:rPr>
                <w:rStyle w:val="1038"/>
                <w:rFonts w:ascii="Times New Roman" w:hAnsi="Times New Roman"/>
                <w:i/>
                <w:color w:val="auto"/>
              </w:rPr>
            </w:pPr>
            <w:r>
              <w:rPr>
                <w:rFonts w:ascii="Times New Roman" w:hAnsi="Times New Roman"/>
                <w:i/>
                <w:color w:val="auto"/>
              </w:rPr>
            </w:r>
            <w:r>
              <w:rPr>
                <w:rStyle w:val="1038"/>
                <w:rFonts w:ascii="Times New Roman" w:hAnsi="Times New Roman"/>
                <w:i/>
                <w:color w:val="auto"/>
              </w:rPr>
            </w:r>
            <w:r>
              <w:rPr>
                <w:rStyle w:val="1038"/>
                <w:rFonts w:ascii="Times New Roman" w:hAnsi="Times New Roman"/>
                <w:i/>
                <w:color w:val="auto"/>
              </w:rPr>
            </w:r>
          </w:p>
        </w:tc>
      </w:tr>
    </w:tbl>
    <w:p>
      <w:pPr>
        <w:pStyle w:val="1039"/>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9"/>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275/2026/1426/VFI-CT.69.A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14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9"/>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0"/>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b/>
                <w:bCs/>
              </w:rPr>
            </w:pPr>
            <w:r>
              <w:rPr>
                <w:b/>
                <w:bCs/>
              </w:rPr>
            </w:r>
            <w:r>
              <w:rPr>
                <w:b/>
                <w:bCs/>
                <w:color w:val="000000" w:themeColor="text1"/>
                <w:spacing w:val="-4"/>
              </w:rPr>
              <w:t xml:space="preserve">CÔNG TY CỔ PHẦN GRAVITAS</w:t>
            </w:r>
            <w:r>
              <w:rPr>
                <w:b/>
                <w:bCs/>
              </w:rPr>
            </w:r>
            <w:r>
              <w:rPr>
                <w:b/>
                <w:bCs/>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0108813674</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w:t>
            </w:r>
            <w:r>
              <w:rPr>
                <w:bCs/>
                <w:color w:val="000000" w:themeColor="text1"/>
                <w:lang w:val="pt-BR"/>
              </w:rPr>
              <w:t xml:space="preserve">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Số </w:t>
            </w:r>
            <w:r>
              <w:rPr>
                <w:color w:val="000000" w:themeColor="text1"/>
                <w:lang w:val="vi-VN"/>
              </w:rPr>
              <w:t xml:space="preserve">nhà 47 </w:t>
            </w:r>
            <w:r>
              <w:rPr>
                <w:color w:val="000000" w:themeColor="text1"/>
                <w:lang w:val="vi-VN"/>
              </w:rPr>
              <w:t xml:space="preserve">Phố </w:t>
            </w:r>
            <w:r>
              <w:rPr>
                <w:color w:val="000000" w:themeColor="text1"/>
                <w:lang w:val="vi-VN"/>
              </w:rPr>
              <w:t xml:space="preserve">N</w:t>
            </w:r>
            <w:r>
              <w:rPr>
                <w:color w:val="000000" w:themeColor="text1"/>
                <w:lang w:val="vi-VN"/>
              </w:rPr>
              <w:t xml:space="preserve">guyễn </w:t>
            </w:r>
            <w:r>
              <w:rPr>
                <w:color w:val="000000" w:themeColor="text1"/>
                <w:lang w:val="vi-VN"/>
              </w:rPr>
              <w:t xml:space="preserve">K</w:t>
            </w:r>
            <w:r>
              <w:rPr>
                <w:color w:val="000000" w:themeColor="text1"/>
                <w:lang w:val="vi-VN"/>
              </w:rPr>
              <w:t xml:space="preserve">hắc </w:t>
            </w:r>
            <w:r>
              <w:rPr>
                <w:color w:val="000000" w:themeColor="text1"/>
                <w:lang w:val="vi-VN"/>
              </w:rPr>
              <w:t xml:space="preserve">H</w:t>
            </w:r>
            <w:r>
              <w:rPr>
                <w:color w:val="000000" w:themeColor="text1"/>
                <w:lang w:val="vi-VN"/>
              </w:rPr>
              <w:t xml:space="preserve">iếu, </w:t>
            </w:r>
            <w:r>
              <w:rPr>
                <w:color w:val="000000" w:themeColor="text1"/>
                <w:lang w:val="vi-VN"/>
              </w:rPr>
              <w:t xml:space="preserve">phường </w:t>
            </w:r>
            <w:r>
              <w:rPr>
                <w:color w:val="000000" w:themeColor="text1"/>
                <w:lang w:val="vi-VN"/>
              </w:rPr>
              <w:t xml:space="preserve">B</w:t>
            </w:r>
            <w:r>
              <w:rPr>
                <w:color w:val="000000" w:themeColor="text1"/>
                <w:lang w:val="vi-VN"/>
              </w:rPr>
              <w:t xml:space="preserve">a </w:t>
            </w:r>
            <w:r>
              <w:rPr>
                <w:color w:val="000000" w:themeColor="text1"/>
                <w:lang w:val="vi-VN"/>
              </w:rPr>
              <w:t xml:space="preserve">Đì</w:t>
            </w:r>
            <w:r>
              <w:rPr>
                <w:color w:val="000000" w:themeColor="text1"/>
                <w:lang w:val="vi-VN"/>
              </w:rPr>
              <w:t xml:space="preserve">nh, </w:t>
            </w:r>
            <w:r>
              <w:rPr>
                <w:color w:val="000000" w:themeColor="text1"/>
                <w:lang w:val="vi-VN"/>
              </w:rPr>
              <w:t xml:space="preserve">Thành </w:t>
            </w:r>
            <w:r>
              <w:rPr>
                <w:color w:val="000000" w:themeColor="text1"/>
                <w:lang w:val="vi-VN"/>
              </w:rPr>
              <w:t xml:space="preserve">phố </w:t>
            </w:r>
            <w:r>
              <w:rPr>
                <w:color w:val="000000" w:themeColor="text1"/>
                <w:lang w:val="vi-VN"/>
              </w:rPr>
              <w:t xml:space="preserve">Hà </w:t>
            </w:r>
            <w:r>
              <w:rPr>
                <w:color w:val="000000" w:themeColor="text1"/>
                <w:lang w:val="vi-VN"/>
              </w:rPr>
              <w:t xml:space="preserve">Nội, </w:t>
            </w:r>
            <w:r>
              <w:rPr>
                <w:color w:val="000000" w:themeColor="text1"/>
                <w:lang w:val="vi-VN"/>
              </w:rPr>
              <w:t xml:space="preserve">Việt </w:t>
            </w:r>
            <w:r>
              <w:rPr>
                <w:color w:val="000000" w:themeColor="text1"/>
                <w:lang w:val="vi-VN"/>
              </w:rPr>
              <w:t xml:space="preserve">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Bà </w:t>
            </w:r>
            <w:r>
              <w:rPr>
                <w:color w:val="000000" w:themeColor="text1"/>
                <w:lang w:val="vi-VN"/>
              </w:rPr>
              <w:t xml:space="preserve">L</w:t>
            </w:r>
            <w:r>
              <w:rPr>
                <w:color w:val="000000" w:themeColor="text1"/>
                <w:lang w:val="vi-VN"/>
              </w:rPr>
              <w:t xml:space="preserve">ê </w:t>
            </w:r>
            <w:r>
              <w:rPr>
                <w:color w:val="000000" w:themeColor="text1"/>
                <w:lang w:val="vi-VN"/>
              </w:rPr>
              <w:t xml:space="preserve">Bích </w:t>
            </w:r>
            <w:r>
              <w:rPr>
                <w:color w:val="000000" w:themeColor="text1"/>
                <w:lang w:val="vi-VN"/>
              </w:rPr>
              <w:t xml:space="preserve">Vân - </w:t>
            </w:r>
            <w:r>
              <w:rPr>
                <w:color w:val="000000" w:themeColor="text1"/>
                <w:lang w:val="vi-VN"/>
              </w:rPr>
              <w:t xml:space="preserve">Chức </w:t>
            </w:r>
            <w:r>
              <w:rPr>
                <w:color w:val="000000" w:themeColor="text1"/>
                <w:lang w:val="vi-VN"/>
              </w:rPr>
              <w:t xml:space="preserve">danh: </w:t>
            </w:r>
            <w:r>
              <w:rPr>
                <w:color w:val="000000" w:themeColor="text1"/>
                <w:lang w:val="vi-VN"/>
              </w:rPr>
              <w:t xml:space="preserve">Giám </w:t>
            </w:r>
            <w:r>
              <w:rPr>
                <w:color w:val="000000" w:themeColor="text1"/>
                <w:lang w:val="vi-VN"/>
              </w:rPr>
              <w:t xml:space="preserve">đốc</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w:t>
            </w:r>
            <w:r>
              <w:rPr>
                <w:bCs/>
                <w:color w:val="000000" w:themeColor="text1"/>
                <w:lang w:val="pt-BR"/>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bCs/>
                <w:color w:val="000000" w:themeColor="text1"/>
                <w:lang w:val="pt-BR"/>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w:t>
            </w:r>
            <w:r>
              <w:rPr>
                <w:color w:val="000000" w:themeColor="text1"/>
                <w:lang w:val="pt-BR"/>
              </w:rPr>
              <w:t xml:space="preserve">Thanh </w:t>
            </w:r>
            <w:r>
              <w:rPr>
                <w:color w:val="000000" w:themeColor="text1"/>
                <w:lang w:val="pt-BR"/>
              </w:rPr>
              <w:t xml:space="preserve">Khê</w:t>
            </w:r>
            <w:r>
              <w:rPr>
                <w:color w:val="000000" w:themeColor="text1"/>
                <w:lang w:val="pt-BR"/>
              </w:rPr>
              <w:t xml:space="preserve">, Thành phố Đà Nẵng</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0"/>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(16.0748128, 108.1712413)</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0"/>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0"/>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0"/>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0"/>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0"/>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0"/>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0"/>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0"/>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0"/>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0"/>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0"/>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40"/>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0"/>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0"/>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0"/>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0"/>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0"/>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275/2026/1426/VFI-HĐTĐ.69.A ký ngày 11/09/2026 giữa CÔNG TY CỔ PHẦN GRAVITAS với Công ty Cổ phần Thẩm định và Đầu tư Tài chính Hoa Sen.</w:t>
      </w:r>
      <w:r>
        <w:rPr>
          <w:b/>
          <w:lang w:val="pt-BR"/>
        </w:rPr>
      </w:r>
      <w:r>
        <w:rPr>
          <w:b/>
          <w:lang w:val="pt-BR"/>
        </w:rPr>
      </w:r>
    </w:p>
    <w:p>
      <w:pPr>
        <w:pStyle w:val="1040"/>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center"/>
        <w:rPr>
          <w:b/>
          <w:bCs/>
        </w:rPr>
      </w:pPr>
      <w:r>
        <w:rPr>
          <w:b/>
          <w:bCs/>
          <w:shd w:val="clear" w:color="auto" w:fill="ffffff"/>
        </w:rPr>
        <w:t xml:space="preserve">Bất động sản Đà Nẵng: Đất nền chịu áp lực bán tháo, dòng tiền tìm nơi trú ẩn</w:t>
      </w:r>
      <w:r>
        <w:rPr>
          <w:b/>
          <w:bCs/>
        </w:rPr>
      </w:r>
      <w:r>
        <w:rPr>
          <w:b/>
          <w:bCs/>
        </w:rPr>
      </w:r>
    </w:p>
    <w:p>
      <w:pPr>
        <w:pBdr/>
        <w:tabs>
          <w:tab w:val="left" w:leader="none" w:pos="426"/>
        </w:tabs>
        <w:spacing w:after="120" w:before="120" w:line="276" w:lineRule="auto"/>
        <w:ind/>
        <w:jc w:val="both"/>
        <w:rPr/>
      </w:pPr>
      <w:r>
        <w:rPr>
          <w:shd w:val="clear" w:color="auto" w:fill="ffffff"/>
        </w:rPr>
        <w:t xml:space="preserve">(</w:t>
      </w:r>
      <w:r>
        <w:rPr>
          <w:shd w:val="clear" w:color="auto" w:fill="ffffff"/>
        </w:rPr>
        <w:t xml:space="preserve">VNF) - Thị trường bất động sản Đà Nẵng những tháng cuối năm 2026 được dự báo tiếp tục vận động trong trạng thái thận trọng, thanh khoản ở mức thấp và phân hóa mạnh. Trong khi đất nền và các sản phẩm sử dụng đòn bẩy cao chịu áp lực lớn, những bất động sản c</w:t>
      </w:r>
      <w:r>
        <w:rPr>
          <w:shd w:val="clear" w:color="auto" w:fill="ffffff"/>
        </w:rPr>
        <w:t xml:space="preserve">ó pháp lý rõ ràng, tạo dòng tiền thực vẫn có khả năng chống chịu tốt hơn.</w:t>
      </w:r>
      <w:r/>
    </w:p>
    <w:p>
      <w:pPr>
        <w:pBdr/>
        <w:tabs>
          <w:tab w:val="left" w:leader="none" w:pos="426"/>
        </w:tabs>
        <w:spacing w:after="120" w:before="120" w:line="276" w:lineRule="auto"/>
        <w:ind/>
        <w:jc w:val="both"/>
        <w:rPr>
          <w:b/>
          <w:bCs/>
          <w:i/>
        </w:rPr>
      </w:pPr>
      <w:r>
        <w:rPr>
          <w:b/>
          <w:bCs/>
          <w:i/>
          <w:iCs/>
          <w:shd w:val="clear" w:color="auto" w:fill="ffffff"/>
        </w:rPr>
        <w:t xml:space="preserve">Lãi suất tiếp tục thử thách thị trường</w:t>
      </w:r>
      <w:r>
        <w:rPr>
          <w:b/>
          <w:bCs/>
          <w:i/>
          <w:iCs/>
        </w:rPr>
      </w:r>
      <w:r>
        <w:rPr>
          <w:b/>
          <w:bCs/>
          <w:i/>
        </w:rPr>
      </w:r>
    </w:p>
    <w:p>
      <w:pPr>
        <w:pBdr/>
        <w:tabs>
          <w:tab w:val="left" w:leader="none" w:pos="426"/>
        </w:tabs>
        <w:spacing w:after="120" w:before="120" w:line="276" w:lineRule="auto"/>
        <w:ind/>
        <w:jc w:val="both"/>
        <w:rPr/>
      </w:pPr>
      <w:r>
        <w:rPr>
          <w:shd w:val="clear" w:color="auto" w:fill="ffffff"/>
        </w:rPr>
        <w:t xml:space="preserve">Ô</w:t>
      </w:r>
      <w:r>
        <w:rPr>
          <w:shd w:val="clear" w:color="auto" w:fill="ffffff"/>
        </w:rPr>
        <w:t xml:space="preserve">ng Võ Hồng Thắng, Phó tổng giám đốc DKRA Group, nhận định trong những tháng cuối năm 2026, thị trường bất động sản Đà Nẵng nhiều khả năng vẫn tiếp tục đối mặt với những khó khăn nhất định. Thị trường sẽ có sự phân hóa rõ rệt giữa các phân khúc, khu vực và </w:t>
      </w:r>
      <w:r>
        <w:rPr>
          <w:shd w:val="clear" w:color="auto" w:fill="ffffff"/>
        </w:rPr>
        <w:t xml:space="preserve">dự án. Những dự án có pháp lý rõ ràng, giá trị sử dụng thực, mức giá phù hợp với khả năng tài chính của người mua vẫn có thể ghi nhận giao dịch, tuy nhiên thanh khoản nhìn chung sẽ khó có sự cải thiện mạnh trong những tháng cuối năm.</w:t>
      </w:r>
      <w:r/>
    </w:p>
    <w:p>
      <w:pPr>
        <w:pBdr/>
        <w:tabs>
          <w:tab w:val="left" w:leader="none" w:pos="426"/>
        </w:tabs>
        <w:spacing w:after="120" w:before="120" w:line="276" w:lineRule="auto"/>
        <w:ind/>
        <w:jc w:val="both"/>
        <w:rPr/>
      </w:pPr>
      <w:r>
        <w:rPr>
          <w:shd w:val="clear" w:color="auto" w:fill="ffffff"/>
        </w:rPr>
        <w:t xml:space="preserve">N</w:t>
      </w:r>
      <w:r>
        <w:rPr>
          <w:shd w:val="clear" w:color="auto" w:fill="ffffff"/>
        </w:rPr>
        <w:t xml:space="preserve">guyên nhân chủ yếu đến từ mặt bằng lãi suất và chi phí vốn vẫn ở mức cao, trong khi tín dụng dành cho bất động sản tiếp tục được kiểm soát chặt chẽ. Điều này tác động đồng thời đến cả cung và cầu của thị trường. Ở phía người mua, chi phí vay cao làm giảm k</w:t>
      </w:r>
      <w:r>
        <w:rPr>
          <w:shd w:val="clear" w:color="auto" w:fill="ffffff"/>
        </w:rPr>
        <w:t xml:space="preserve">h</w:t>
      </w:r>
      <w:r>
        <w:rPr>
          <w:shd w:val="clear" w:color="auto" w:fill="ffffff"/>
        </w:rPr>
        <w:t xml:space="preserve">ả năng sử dụng đòn bẩy tài chính, đồng thời tâm lý người mua cũng trở nên thận trọng hơn trước khi quyết định xuống tiền. Trong khi đó, ở phía chủ đầu tư, chi phí vốn tăng cùng với áp lực thanh khoản khiến doanh nghiệp phải cân nhắc kỹ hơn về thời điểm tri</w:t>
      </w:r>
      <w:r>
        <w:rPr>
          <w:shd w:val="clear" w:color="auto" w:fill="ffffff"/>
        </w:rPr>
        <w:t xml:space="preserve">ển khai dự án cũng như đưa nguồn cung mới ra thị trường.</w:t>
      </w:r>
      <w:r/>
    </w:p>
    <w:p>
      <w:pPr>
        <w:pBdr/>
        <w:tabs>
          <w:tab w:val="left" w:leader="none" w:pos="426"/>
        </w:tabs>
        <w:spacing w:after="120" w:before="120" w:line="276" w:lineRule="auto"/>
        <w:ind/>
        <w:jc w:val="both"/>
        <w:rPr/>
      </w:pPr>
      <w:r>
        <w:rPr>
          <w:shd w:val="clear" w:color="auto" w:fill="ffffff"/>
        </w:rPr>
        <w:t xml:space="preserve">Thị trường bất động sản Đà Nẵng những tháng cuối năm 2026 được dự báo tiếp tục vận động trong trạng thái thận trọng, thanh khoản ở mức thấp và phân hóa mạnh.Trong khi đất nền và các sản phẩm sử dụng đòn bẩy cao chịu áp lực lớn.</w:t>
      </w:r>
      <w:r/>
    </w:p>
    <w:p>
      <w:pPr>
        <w:pBdr/>
        <w:tabs>
          <w:tab w:val="left" w:leader="none" w:pos="426"/>
        </w:tabs>
        <w:spacing w:after="120" w:before="120" w:line="276" w:lineRule="auto"/>
        <w:ind/>
        <w:jc w:val="both"/>
        <w:rPr/>
      </w:pPr>
      <w:r>
        <w:rPr>
          <w:shd w:val="clear" w:color="auto" w:fill="ffffff"/>
        </w:rPr>
        <w:t xml:space="preserve">B</w:t>
      </w:r>
      <w:r>
        <w:rPr>
          <w:shd w:val="clear" w:color="auto" w:fill="ffffff"/>
        </w:rPr>
        <w:t xml:space="preserve">ên cạnh đó, sau giai đoạn thị trường có nhiều biến động, có thể thấy rằng kỳ vọng của người mua hiện nay cũng đã thay đổi đáng kể. Dòng tiền trở nên chọn lọc hơn, ưu tiên những sản phẩm có giá trị thực, pháp lý minh bạch và khả năng khai thác, sử dụng tron</w:t>
      </w:r>
      <w:r>
        <w:rPr>
          <w:shd w:val="clear" w:color="auto" w:fill="ffffff"/>
        </w:rPr>
        <w:t xml:space="preserve">g dài hạn. Những sản phẩm tốt vẫn có khả năng duy trì giao dịch, trong khi các sản phẩm chủ yếu dựa trên kỳ vọng tăng giá sẽ khó thu hút dòng tiền.</w:t>
      </w:r>
      <w:r/>
    </w:p>
    <w:p>
      <w:pPr>
        <w:pBdr/>
        <w:tabs>
          <w:tab w:val="left" w:leader="none" w:pos="426"/>
        </w:tabs>
        <w:spacing w:after="120" w:before="120" w:line="276" w:lineRule="auto"/>
        <w:ind/>
        <w:jc w:val="both"/>
        <w:rPr/>
      </w:pPr>
      <w:r>
        <w:rPr>
          <w:shd w:val="clear" w:color="auto" w:fill="ffffff"/>
        </w:rPr>
        <w:t xml:space="preserve">“</w:t>
      </w:r>
      <w:r>
        <w:rPr>
          <w:shd w:val="clear" w:color="auto" w:fill="ffffff"/>
        </w:rPr>
        <w:t xml:space="preserve">Nhìn chung, nửa cuối năm 2026 sẽ vẫn là giai đoạn thị trường vận động trong trạng thái thận trọng, thanh khoản ở mức vừa phải và có sự phân hóa rõ rệt. Những yếu tố tích cực về quy hoạch, hạ tầng và mở rộng không gian đô thị vẫn là nền tảng cho triển vọng </w:t>
      </w:r>
      <w:r>
        <w:rPr>
          <w:shd w:val="clear" w:color="auto" w:fill="ffffff"/>
        </w:rPr>
        <w:t xml:space="preserve">dài hạn, nhưng để có sự cải thiện rõ nét về thanh khoản trong ngắn hạn sẽ cần thêm thời gian, đặc biệt trong bối cảnh chi phí vốn và điều kiện tín dụng vẫn còn là những yếu tố gây áp lực lên thị trường”, ông Thắng nói.</w:t>
      </w:r>
      <w:r/>
    </w:p>
    <w:p>
      <w:pPr>
        <w:pBdr/>
        <w:tabs>
          <w:tab w:val="left" w:leader="none" w:pos="426"/>
        </w:tabs>
        <w:spacing w:after="120" w:before="120" w:line="276" w:lineRule="auto"/>
        <w:ind/>
        <w:jc w:val="both"/>
        <w:rPr/>
      </w:pPr>
      <w:r>
        <w:rPr>
          <w:shd w:val="clear" w:color="auto" w:fill="ffffff"/>
        </w:rPr>
        <w:t xml:space="preserve">T</w:t>
      </w:r>
      <w:r>
        <w:rPr>
          <w:shd w:val="clear" w:color="auto" w:fill="ffffff"/>
        </w:rPr>
        <w:t xml:space="preserve">heo ông Trần Trọng Vũ, đồng sáng lập đơn vị nghiên cứu thị trường bất động sản SPE.R, từ nay đến cuối năm, lãi suất nhiều khả năng không tăng thêm, song khả năng người dân và doanh nghiệp nhỏ tiếp cận vốn để đầu tư bất động sản hoặc mua nhà vẫn còn hạn chế</w:t>
      </w:r>
      <w:r>
        <w:rPr>
          <w:shd w:val="clear" w:color="auto" w:fill="ffffff"/>
        </w:rPr>
        <w:t xml:space="preserve">. Thanh khoản của thị trường sẽ tiếp tục ở mức thấp. Dưới áp lực lãi suất hiện nay, cùng với việc lượng tiền trên thị trường không dồi dào, thị trường sẽ có xu hướng tiếp tục giảm giá.</w:t>
      </w:r>
      <w:r/>
    </w:p>
    <w:p>
      <w:pPr>
        <w:pBdr/>
        <w:tabs>
          <w:tab w:val="left" w:leader="none" w:pos="426"/>
        </w:tabs>
        <w:spacing w:after="120" w:before="120" w:line="276" w:lineRule="auto"/>
        <w:ind/>
        <w:jc w:val="both"/>
        <w:rPr/>
      </w:pPr>
      <w:r>
        <w:rPr>
          <w:shd w:val="clear" w:color="auto" w:fill="ffffff"/>
        </w:rPr>
        <w:t xml:space="preserve">C</w:t>
      </w:r>
      <w:r>
        <w:rPr>
          <w:shd w:val="clear" w:color="auto" w:fill="ffffff"/>
        </w:rPr>
        <w:t xml:space="preserve">ác sản phẩm nằm ở vị trí trung tâm, có khả năng tạo dòng tiền tốt sẽ không giảm giá mạnh. Ngược lại, những nhà đầu tư sử dụng đòn bẩy tài chính lớn trong giai đoạn trước sẽ chịu áp lực rất lớn khi đến kỳ đáo hạn ngân hàng và tái cấp vốn. Nhiều sản phẩm cuố</w:t>
      </w:r>
      <w:r>
        <w:rPr>
          <w:shd w:val="clear" w:color="auto" w:fill="ffffff"/>
        </w:rPr>
        <w:t xml:space="preserve">i cùng sẽ phải chấp nhận bán tháo. </w:t>
      </w:r>
      <w:r>
        <w:rPr>
          <w:shd w:val="clear" w:color="auto" w:fill="ffffff"/>
        </w:rPr>
        <w:t xml:space="preserve">Về khả năng hấp thụ của thị trường, ông Vũ cho rằng sẽ tiếp tục ở mức thấp, đặc biệt với các dự án quy mô lớn. Thị trường chưa tạo đáy mà mới bắt đầu bước vào quá trình tạo đáy, dưới áp lực của lãi suất, dòng tiền và hoạt động tái cấp vốn của ngân hàng.</w:t>
      </w:r>
      <w:r>
        <w:rPr>
          <w:shd w:val="clear" w:color="auto" w:fill="ffffff"/>
        </w:rPr>
      </w:r>
      <w:r/>
    </w:p>
    <w:p>
      <w:pPr>
        <w:pBdr/>
        <w:tabs>
          <w:tab w:val="left" w:leader="none" w:pos="426"/>
        </w:tabs>
        <w:spacing w:after="120" w:before="120" w:line="276" w:lineRule="auto"/>
        <w:ind/>
        <w:jc w:val="both"/>
        <w:rPr/>
      </w:pPr>
      <w:r>
        <w:rPr>
          <w:shd w:val="clear" w:color="auto" w:fill="ffffff"/>
        </w:rPr>
        <w:t xml:space="preserve">“</w:t>
      </w:r>
      <w:r>
        <w:rPr>
          <w:shd w:val="clear" w:color="auto" w:fill="ffffff"/>
        </w:rPr>
        <w:t xml:space="preserve">Theo tôi, thị trường cuối năm phụ thuộc hoàn toàn vào dòng tiền mà bất động sản tạo ra. Sản phẩm nào có dòng tiền tốt sẽ có khả năng chống chịu tốt, còn sản phẩm dùng đòn bẩy cao nhưng dòng tiền thấp sẽ chịu áp lực thanh khoản và buộc phải bán”, ông Vũ nhậ</w:t>
      </w:r>
      <w:r>
        <w:rPr>
          <w:shd w:val="clear" w:color="auto" w:fill="ffffff"/>
        </w:rPr>
        <w:t xml:space="preserve">n định.</w:t>
      </w:r>
      <w:r>
        <w:rPr>
          <w:shd w:val="clear" w:color="auto" w:fill="ffffff"/>
        </w:rPr>
      </w:r>
      <w:r/>
    </w:p>
    <w:p>
      <w:pPr>
        <w:pBdr/>
        <w:tabs>
          <w:tab w:val="left" w:leader="none" w:pos="426"/>
        </w:tabs>
        <w:spacing w:after="120" w:before="120" w:line="276" w:lineRule="auto"/>
        <w:ind/>
        <w:jc w:val="both"/>
        <w:rPr/>
      </w:pPr>
      <w:r>
        <w:rPr>
          <w:shd w:val="clear" w:color="auto" w:fill="ffffff"/>
        </w:rPr>
        <w:t xml:space="preserve">Dòng tiền thực dẫn dắt lựa chọn bất động sản</w:t>
      </w:r>
      <w:r/>
    </w:p>
    <w:p>
      <w:pPr>
        <w:pBdr/>
        <w:tabs>
          <w:tab w:val="left" w:leader="none" w:pos="426"/>
        </w:tabs>
        <w:spacing w:after="120" w:before="120" w:line="276" w:lineRule="auto"/>
        <w:ind/>
        <w:jc w:val="both"/>
        <w:rPr/>
      </w:pPr>
      <w:r>
        <w:rPr>
          <w:shd w:val="clear" w:color="auto" w:fill="ffffff"/>
        </w:rPr>
        <w:t xml:space="preserve">Ô</w:t>
      </w:r>
      <w:r>
        <w:rPr>
          <w:shd w:val="clear" w:color="auto" w:fill="ffffff"/>
        </w:rPr>
        <w:t xml:space="preserve">ng Võ Hồng Thắng cho rằng hiện nay khó khăn lớn nhất của thị trường vẫn nằm ở mặt bằng lãi suất và khả năng tiếp cận tín dụng. Vì vậy, một trong những giải pháp quan trọng là cơ quan quản lý nhà nước cần có các chính sách phù hợp để ổn định mặt bằng lãi su</w:t>
      </w:r>
      <w:r>
        <w:rPr>
          <w:shd w:val="clear" w:color="auto" w:fill="ffffff"/>
        </w:rPr>
        <w:t xml:space="preserve">ất, giảm áp lực chi phí vốn và tạo điều kiện để dòng tín dụng được khơi thông hợp lý, qua đó hỗ trợ thanh khoản của thị trường.</w:t>
      </w:r>
      <w:r>
        <w:rPr>
          <w:shd w:val="clear" w:color="auto" w:fill="ffffff"/>
        </w:rPr>
      </w:r>
      <w:r/>
    </w:p>
    <w:p>
      <w:pPr>
        <w:pBdr/>
        <w:tabs>
          <w:tab w:val="left" w:leader="none" w:pos="426"/>
        </w:tabs>
        <w:spacing w:after="120" w:before="120" w:line="276" w:lineRule="auto"/>
        <w:ind/>
        <w:jc w:val="both"/>
        <w:rPr/>
      </w:pPr>
      <w:r>
        <w:rPr>
          <w:shd w:val="clear" w:color="auto" w:fill="ffffff"/>
        </w:rPr>
        <w:t xml:space="preserve">Đ</w:t>
      </w:r>
      <w:r>
        <w:rPr>
          <w:shd w:val="clear" w:color="auto" w:fill="ffffff"/>
        </w:rPr>
        <w:t xml:space="preserve">ặc biệt, việc kiểm soát room tín dụng đối với bất động sản cần có sự phân định rõ hơn giữa nhu cầu ở thực, các dự án có pháp lý đầy đủ và hoạt động đầu tư mang tính đầu cơ. Nếu dòng vốn được ưu tiên cho những dự án có tính khả thi, pháp lý rõ ràng và đáp ứ</w:t>
      </w:r>
      <w:r>
        <w:rPr>
          <w:shd w:val="clear" w:color="auto" w:fill="ffffff"/>
        </w:rPr>
        <w:t xml:space="preserve">ng nhu cầu thực, thị trường sẽ có điều kiện cải thiện sức cầu, đồng thời vẫn hạn chế được dòng tiền mang tính đầu cơ.</w:t>
      </w:r>
      <w:r/>
    </w:p>
    <w:p>
      <w:pPr>
        <w:pBdr/>
        <w:tabs>
          <w:tab w:val="left" w:leader="none" w:pos="426"/>
        </w:tabs>
        <w:spacing w:after="120" w:before="120" w:line="276" w:lineRule="auto"/>
        <w:ind/>
        <w:jc w:val="both"/>
        <w:rPr/>
      </w:pPr>
      <w:r>
        <w:rPr>
          <w:shd w:val="clear" w:color="auto" w:fill="ffffff"/>
        </w:rPr>
        <w:t xml:space="preserve">Đối với chung cư, phân khúc này sẽ có khả năng chống chịu tốt hơn nhờ tạo được dòng tiền từ cho thuê.</w:t>
      </w:r>
      <w:r/>
    </w:p>
    <w:p>
      <w:pPr>
        <w:pBdr/>
        <w:tabs>
          <w:tab w:val="left" w:leader="none" w:pos="426"/>
        </w:tabs>
        <w:spacing w:after="120" w:before="120" w:line="276" w:lineRule="auto"/>
        <w:ind/>
        <w:jc w:val="both"/>
        <w:rPr/>
      </w:pPr>
      <w:r>
        <w:rPr>
          <w:shd w:val="clear" w:color="auto" w:fill="ffffff"/>
        </w:rPr>
        <w:t xml:space="preserve">B</w:t>
      </w:r>
      <w:r>
        <w:rPr>
          <w:shd w:val="clear" w:color="auto" w:fill="ffffff"/>
        </w:rPr>
        <w:t xml:space="preserve">ên cạnh đó, về phía doanh nghiệp, các chủ đầu tư cũng cần chủ động hơn trong việc cơ cấu lại sản phẩm, chính sách giá và phương thức thanh toán, phù hợp với khả năng tài chính của người mua trong bối cảnh chi phí vốn còn cao. Đồng thời, chủ đầu tư cần thận</w:t>
      </w:r>
      <w:r>
        <w:rPr>
          <w:shd w:val="clear" w:color="auto" w:fill="ffffff"/>
        </w:rPr>
        <w:t xml:space="preserve"> trọng trong việc đưa nguồn cung mới ra thị trường, tránh tạo thêm áp lực khi sức hấp thụ chưa thực sự cải thiện.</w:t>
      </w:r>
      <w:r>
        <w:rPr>
          <w:shd w:val="clear" w:color="auto" w:fill="ffffff"/>
        </w:rPr>
      </w:r>
      <w:r/>
    </w:p>
    <w:p>
      <w:pPr>
        <w:pBdr/>
        <w:tabs>
          <w:tab w:val="left" w:leader="none" w:pos="426"/>
        </w:tabs>
        <w:spacing w:after="120" w:before="120" w:line="276" w:lineRule="auto"/>
        <w:ind/>
        <w:jc w:val="both"/>
        <w:rPr/>
      </w:pPr>
      <w:r>
        <w:rPr>
          <w:shd w:val="clear" w:color="auto" w:fill="ffffff"/>
        </w:rPr>
        <w:t xml:space="preserve">T</w:t>
      </w:r>
      <w:r>
        <w:rPr>
          <w:shd w:val="clear" w:color="auto" w:fill="ffffff"/>
        </w:rPr>
        <w:t xml:space="preserve">rong khi đó, ông Trần Trọng Vũ cho rằng người có nhu cầu mua nhà bằng vốn vay nên chờ lãi suất giảm thêm và tín dụng được nới lỏng. Đối với nhà đầu tư có sẵn tiền mặt, đây là thời điểm phù hợp để khảo sát và lựa chọn sản phẩm do thị trường mang lại nhiều c</w:t>
      </w:r>
      <w:r>
        <w:rPr>
          <w:shd w:val="clear" w:color="auto" w:fill="ffffff"/>
        </w:rPr>
        <w:t xml:space="preserve">ơ hội hơn. </w:t>
      </w:r>
      <w:r>
        <w:rPr>
          <w:shd w:val="clear" w:color="auto" w:fill="ffffff"/>
        </w:rPr>
        <w:t xml:space="preserve">“Từ nay đến cuối năm, tôi cho rằng thị trường vẫn có xu hướng giảm, nhưng sẽ không giảm theo kiểu hoảng loạn mà là sự điều chỉnh xuất phát từ bản chất của thị trường tài chính, dưới áp lực của dòng tiền, lãi suất và tín dụng”, ông Vũ nói.</w:t>
      </w:r>
      <w:r>
        <w:rPr>
          <w:shd w:val="clear" w:color="auto" w:fill="ffffff"/>
        </w:rPr>
      </w:r>
      <w:r/>
    </w:p>
    <w:p>
      <w:pPr>
        <w:pBdr/>
        <w:tabs>
          <w:tab w:val="left" w:leader="none" w:pos="426"/>
        </w:tabs>
        <w:spacing w:after="120" w:before="120" w:line="276" w:lineRule="auto"/>
        <w:ind/>
        <w:jc w:val="both"/>
        <w:rPr/>
      </w:pPr>
      <w:r>
        <w:rPr>
          <w:shd w:val="clear" w:color="auto" w:fill="ffffff"/>
        </w:rPr>
        <w:t xml:space="preserve">Đ</w:t>
      </w:r>
      <w:r>
        <w:rPr>
          <w:shd w:val="clear" w:color="auto" w:fill="ffffff"/>
        </w:rPr>
        <w:t xml:space="preserve">ánh giá theo từng phân khúc, ông Trần Trọng Vũ nhận định đất nền sẽ là phân khúc chịu áp lực lớn nhất. Đất nền không tạo ra dòng tiền thực tế nên khả năng chống chịu yếu nhất. Đây sẽ là phân khúc có khả năng bị bán tháo nhiều nhất vì tài sản không tạo ra l</w:t>
      </w:r>
      <w:r>
        <w:rPr>
          <w:shd w:val="clear" w:color="auto" w:fill="ffffff"/>
        </w:rPr>
        <w:t xml:space="preserve">ợi tức. </w:t>
      </w:r>
      <w:r>
        <w:rPr>
          <w:shd w:val="clear" w:color="auto" w:fill="ffffff"/>
        </w:rPr>
      </w:r>
      <w:r/>
    </w:p>
    <w:p>
      <w:pPr>
        <w:pBdr/>
        <w:tabs>
          <w:tab w:val="left" w:leader="none" w:pos="426"/>
        </w:tabs>
        <w:spacing w:after="120" w:before="120" w:line="276" w:lineRule="auto"/>
        <w:ind/>
        <w:jc w:val="both"/>
        <w:rPr/>
      </w:pPr>
      <w:r>
        <w:rPr>
          <w:shd w:val="clear" w:color="auto" w:fill="ffffff"/>
        </w:rPr>
      </w:r>
      <w:r>
        <w:rPr>
          <w:shd w:val="clear" w:color="auto" w:fill="ffffff"/>
        </w:rPr>
        <w:t xml:space="preserve">Đ</w:t>
      </w:r>
      <w:r>
        <w:rPr>
          <w:shd w:val="clear" w:color="auto" w:fill="ffffff"/>
        </w:rPr>
        <w:t xml:space="preserve">ối với chung cư, phân khúc này sẽ có khả năng chống chịu tốt hơn nhờ tạo được dòng tiền từ cho thuê. Tuy nhiên, thanh khoản vẫn không cao do nhu cầu suy giảm và nguồn cung mới dự kiến tăng mạnh trong một đến hai năm tới. Trong khi đó, bất động sản nghỉ dưỡ</w:t>
      </w:r>
      <w:r>
        <w:rPr>
          <w:shd w:val="clear" w:color="auto" w:fill="ffffff"/>
        </w:rPr>
        <w:t xml:space="preserve">ng vẫn chưa có nhiều triển vọng. Mặc dù du lịch phát triển tốt nhưng bất động sản nghỉ dưỡng vẫn chưa lấy lại được niềm tin của thị trường, khả năng chuyển đổi thành nguồn vốn rất hạn chế nên hiện chưa có nhiều cơ hội.</w:t>
      </w:r>
      <w:r>
        <w:rPr>
          <w:shd w:val="clear" w:color="auto" w:fill="ffffff"/>
        </w:rPr>
      </w:r>
      <w:r/>
    </w:p>
    <w:p>
      <w:pPr>
        <w:pBdr/>
        <w:tabs>
          <w:tab w:val="left" w:leader="none" w:pos="426"/>
        </w:tabs>
        <w:spacing w:after="120" w:before="120" w:line="276" w:lineRule="auto"/>
        <w:ind/>
        <w:jc w:val="both"/>
        <w:rPr/>
      </w:pPr>
      <w:r>
        <w:rPr>
          <w:shd w:val="clear" w:color="auto" w:fill="ffffff"/>
        </w:rPr>
        <w:t xml:space="preserve">Ngược lại, các sản phẩm như shophouse, căn hộ cho thuê hoặc tòa nhà có khả năng khai thác dịch vụ vẫn có khả năng duy trì hiệu quả nếu tạo được dòng tiền ổn định và nhà đầu tư sử dụng đòn bẩy tài chính hợp lý.</w:t>
      </w:r>
      <w:r>
        <w:rPr>
          <w:shd w:val="clear" w:color="auto" w:fill="ffffff"/>
        </w:rPr>
      </w:r>
      <w:r/>
    </w:p>
    <w:p>
      <w:pPr>
        <w:pBdr/>
        <w:tabs>
          <w:tab w:val="left" w:leader="none" w:pos="426"/>
        </w:tabs>
        <w:spacing w:after="120" w:before="120" w:line="276" w:lineRule="auto"/>
        <w:ind/>
        <w:jc w:val="both"/>
        <w:rPr/>
      </w:pPr>
      <w:r>
        <w:rPr>
          <w:shd w:val="clear" w:color="auto" w:fill="ffffff"/>
        </w:rPr>
      </w:r>
      <w:r>
        <w:rPr>
          <w:shd w:val="clear" w:color="auto" w:fill="ffffff"/>
        </w:rPr>
        <w:t xml:space="preserve">V</w:t>
      </w:r>
      <w:r>
        <w:rPr>
          <w:shd w:val="clear" w:color="auto" w:fill="ffffff"/>
        </w:rPr>
        <w:t xml:space="preserve">ề chính sách, ông Trần Trọng Vũ cho rằng không cần nhà nước tiếp tục can thiệp để cứu thị trường bất động sản. Ba năm qua, giá bất động sản đã tăng quá cao so với khả năng chi trả của người dân. Với thu nhập trung bình hiện nay, một người Việt Nam phải mất</w:t>
      </w:r>
      <w:r>
        <w:rPr>
          <w:shd w:val="clear" w:color="auto" w:fill="ffffff"/>
        </w:rPr>
        <w:t xml:space="preserve"> gần 30 năm mới có thể sở hữu một căn nhà, điều đó là không hợp lý. Nhà nước nên tập trung phát triển nhà ở xã hội và nhà ở thương mại có giá phù hợp để người dân có cơ hội tiếp cận nhà ở, còn diễn biến của thị trường nên để cơ chế thị trường quyết định.</w:t>
      </w:r>
      <w:r>
        <w:rPr>
          <w:shd w:val="clear" w:color="auto" w:fill="ffffff"/>
        </w:rPr>
      </w:r>
      <w:r/>
    </w:p>
    <w:p>
      <w:pPr>
        <w:pBdr/>
        <w:tabs>
          <w:tab w:val="left" w:leader="none" w:pos="426"/>
        </w:tabs>
        <w:spacing w:after="120" w:before="120" w:line="276" w:lineRule="auto"/>
        <w:ind/>
        <w:jc w:val="both"/>
        <w:rPr>
          <w:iCs/>
        </w:rPr>
      </w:pPr>
      <w:r>
        <w:rPr>
          <w:shd w:val="clear" w:color="auto" w:fill="ffffff"/>
        </w:rPr>
        <w:t xml:space="preserve">D</w:t>
      </w:r>
      <w:r>
        <w:rPr>
          <w:shd w:val="clear" w:color="auto" w:fill="ffffff"/>
        </w:rPr>
        <w:t xml:space="preserve">oanh nghiệp đã hưởng lợi khi thị trường tăng trưởng thì khi thị trường điều chỉnh cũng phải chấp nhận quy luật của thị trường. Nguồn lực của nhà nước nên ưu tiên cho hạ tầng, giáo dục, thương mại, AI và các lĩnh vực tạo ra giá trị bền vững cho nền kinh tế,</w:t>
      </w:r>
      <w:r>
        <w:rPr>
          <w:shd w:val="clear" w:color="auto" w:fill="ffffff"/>
        </w:rPr>
        <w:t xml:space="preserve"> thay vì tập trung cứu thị trường bất động sản.</w:t>
      </w:r>
      <w:r>
        <w:rPr>
          <w:iCs/>
        </w:rPr>
      </w:r>
      <w:r>
        <w:rPr>
          <w:iCs/>
        </w:rPr>
      </w:r>
    </w:p>
    <w:p>
      <w:pPr>
        <w:pBdr/>
        <w:tabs>
          <w:tab w:val="left" w:leader="none" w:pos="426"/>
        </w:tabs>
        <w:spacing w:after="120" w:before="120" w:line="276" w:lineRule="auto"/>
        <w:ind/>
        <w:jc w:val="center"/>
        <w:rPr>
          <w:bCs/>
          <w:i/>
        </w:rPr>
      </w:pPr>
      <w:r>
        <w:rPr>
          <w:i/>
          <w:iCs/>
          <w:shd w:val="clear" w:color="auto" w:fill="ffffff"/>
        </w:rPr>
        <w:t xml:space="preserve">(Nguồn tham khảo: </w:t>
      </w:r>
      <w:r>
        <w:rPr>
          <w:i/>
          <w:iCs/>
          <w:shd w:val="clear" w:color="auto" w:fill="ffffff"/>
        </w:rPr>
        <w:t xml:space="preserve">vietnamfinance.vn/bat-dong-san-da-nang-dat-nen-chiu-ap-luc-ban-thao-dong-tien-tim-noi-tru-an-d149542.html</w:t>
      </w:r>
      <w:r>
        <w:rPr>
          <w:i/>
          <w:iCs/>
          <w:shd w:val="clear" w:color="auto" w:fill="ffffff"/>
        </w:rPr>
        <w:t xml:space="preserve">)</w:t>
      </w:r>
      <w:r>
        <w:rPr>
          <w:i/>
          <w:iCs/>
        </w:rPr>
      </w:r>
      <w:r>
        <w:rPr>
          <w:bCs/>
          <w:i/>
        </w:rPr>
      </w:r>
    </w:p>
    <w:p>
      <w:pPr>
        <w:pStyle w:val="1040"/>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w:t>
            </w:r>
            <w:r>
              <w:rPr>
                <w:b/>
                <w:bCs/>
                <w:color w:val="000000"/>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b/>
                <w:bCs/>
                <w:color w:val="000000"/>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12</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color w:val="000000"/>
              </w:rPr>
            </w:r>
            <w:r>
              <w:rPr>
                <w:b w:val="0"/>
                <w:bCs w:val="0"/>
                <w:color w:val="000000"/>
              </w:rPr>
              <w:t xml:space="preserve">Lô số 30+31, phân khu B8, khu TĐC Thanh Lộc Đán - Hoà Minh mở rộng, phường Thanh Khê Tây, quận Thanh Khê, thành phố Đà Nẵng (Nay là phường Thanh Khê, Thành phố Đà Nẵng)</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240,0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w:t>
            </w:r>
            <w:r>
              <w:rPr>
                <w:color w:val="000000"/>
              </w:rPr>
              <w:t xml:space="preserve">chung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Nhà </w:t>
            </w:r>
            <w:r>
              <w:rPr>
                <w:color w:val="000000"/>
              </w:rPr>
              <w:t xml:space="preserve">nước </w:t>
            </w:r>
            <w:r>
              <w:rPr>
                <w:color w:val="000000"/>
              </w:rPr>
              <w:t xml:space="preserve">gia</w:t>
            </w:r>
            <w:r>
              <w:rPr>
                <w:color w:val="000000"/>
              </w:rPr>
              <w:t xml:space="preserve">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hd w:val="nil"/>
              <w:spacing/>
              <w:ind/>
              <w:jc w:val="both"/>
              <w:rPr>
                <w14:ligatures w14:val="none"/>
              </w:rPr>
            </w:pPr>
            <w:r>
              <w:rPr>
                <w:color w:val="000000"/>
              </w:rPr>
            </w:r>
            <w:r>
              <w:rPr>
                <w:highlight w:val="white"/>
              </w:rPr>
              <w:t xml:space="preserve">Tại thời điểm thẩm định giá, tổ thẩm định không được Khách hàng cung cấp các thông tin quy hoạch liên quan đến thửa đất, dựa trên pháp lý và định vị của tài sản sau khi khảo sát, tổ thẩm định tra cứu quy hoạch thông qua các nguồn thông tin như Guland/Meeym</w:t>
            </w:r>
            <w:r>
              <w:rPr>
                <w:highlight w:val="white"/>
              </w:rPr>
              <w:t xml:space="preserve">ap/</w:t>
            </w:r>
            <w:r>
              <w:rPr>
                <w:highlight w:val="white"/>
              </w:rPr>
              <w:t xml:space="preserve">nguồn khác</w:t>
            </w:r>
            <w:r>
              <w:rPr>
                <w:highlight w:val="white"/>
              </w:rPr>
              <w:t xml:space="preserve">, xác định vị trí tài sản</w:t>
            </w:r>
            <w:r>
              <w:rPr>
                <w:highlight w:val="none"/>
              </w:rPr>
              <w:t xml:space="preserve"> </w:t>
            </w:r>
            <w:r>
              <w:t xml:space="preserve">không </w:t>
            </w:r>
            <w:r>
              <w:t xml:space="preserve">có </w:t>
            </w:r>
            <w:r>
              <w:t xml:space="preserve">thông </w:t>
            </w:r>
            <w:r>
              <w:t xml:space="preserve">tin </w:t>
            </w:r>
            <w:r>
              <w:t xml:space="preserve">quy </w:t>
            </w:r>
            <w:r>
              <w:t xml:space="preserve">hoạch. </w:t>
            </w:r>
            <w:r/>
            <w:r/>
            <w:r>
              <w:rPr>
                <w:color w:val="000000"/>
              </w:rPr>
            </w:r>
            <w:r/>
            <w:r/>
            <w:r/>
            <w:r>
              <w:rPr>
                <w:color w:val="000000"/>
              </w:rPr>
            </w:r>
            <w:r>
              <w:rPr>
                <w:color w:val="000000"/>
              </w:rPr>
            </w:r>
            <w:r/>
          </w:p>
          <w:p>
            <w:pPr>
              <w:pBdr/>
              <w:spacing/>
              <w:ind/>
              <w:jc w:val="center"/>
              <w:rPr>
                <w:color w:val="000000"/>
              </w:rPr>
            </w:pPr>
            <w:r>
              <w:rPr>
                <w:color w:val="000000"/>
              </w:rPr>
            </w:r>
            <w:r/>
            <w:r>
              <mc:AlternateContent>
                <mc:Choice Requires="wpg">
                  <w:drawing>
                    <wp:inline xmlns:wp="http://schemas.openxmlformats.org/drawingml/2006/wordprocessingDrawing" distT="0" distB="0" distL="0" distR="0">
                      <wp:extent cx="1933211" cy="3277691"/>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9826" name=""/>
                              <pic:cNvPicPr>
                                <a:picLocks noChangeAspect="1"/>
                              </pic:cNvPicPr>
                              <pic:nvPr/>
                            </pic:nvPicPr>
                            <pic:blipFill rotWithShape="1">
                              <a:blip r:embed="rId17"/>
                              <a:stretch/>
                            </pic:blipFill>
                            <pic:spPr bwMode="auto">
                              <a:xfrm flipH="0" flipV="0">
                                <a:off x="0" y="0"/>
                                <a:ext cx="1933210" cy="327769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152.22pt;height:258.09pt;mso-wrap-distance-left:0.00pt;mso-wrap-distance-top:0.00pt;mso-wrap-distance-right:0.00pt;mso-wrap-distance-bottom:0.00pt;z-index:1;" stroked="false">
                      <v:imagedata r:id="rId17" o:title=""/>
                      <o:lock v:ext="edit" rotation="t"/>
                    </v:shape>
                  </w:pict>
                </mc:Fallback>
              </mc:AlternateContent>
            </w:r>
            <w: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Hồ Quý Ly</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Hồ </w:t>
            </w:r>
            <w:r>
              <w:rPr>
                <w:color w:val="000000" w:themeColor="text1"/>
              </w:rPr>
              <w:t xml:space="preserve">Quý </w:t>
            </w:r>
            <w:r>
              <w:rPr>
                <w:color w:val="000000" w:themeColor="text1"/>
              </w:rPr>
              <w:t xml:space="preserve">Ly</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Style w:val="1040"/>
              <w:numPr>
                <w:ilvl w:val="0"/>
                <w:numId w:val="40"/>
              </w:numPr>
              <w:pBdr/>
              <w:spacing/>
              <w:ind/>
              <w:rPr>
                <w:color w:val="000000" w:themeColor="text1"/>
              </w:rPr>
            </w:pPr>
            <w:r>
              <w:rPr>
                <w:color w:val="000000" w:themeColor="text1"/>
              </w:rPr>
              <w:t xml:space="preserve">Hướng </w:t>
            </w:r>
            <w:r>
              <w:rPr>
                <w:color w:val="000000" w:themeColor="text1"/>
              </w:rPr>
              <w:t xml:space="preserve">Đông: </w:t>
            </w:r>
            <w:r>
              <w:rPr>
                <w:color w:val="000000" w:themeColor="text1"/>
              </w:rPr>
              <w:t xml:space="preserve">Tiếp </w:t>
            </w:r>
            <w:r>
              <w:rPr>
                <w:color w:val="000000" w:themeColor="text1"/>
              </w:rPr>
              <w:t xml:space="preserve">giá</w:t>
            </w:r>
            <w:r>
              <w:rPr>
                <w:color w:val="000000" w:themeColor="text1"/>
              </w:rPr>
              <w:t xml:space="preserve">p </w:t>
            </w:r>
            <w:r>
              <w:rPr>
                <w:color w:val="000000" w:themeColor="text1"/>
              </w:rPr>
              <w:t xml:space="preserve">đường </w:t>
            </w:r>
            <w:r>
              <w:rPr>
                <w:color w:val="000000" w:themeColor="text1"/>
              </w:rPr>
              <w:t xml:space="preserve">giao </w:t>
            </w:r>
            <w:r>
              <w:rPr>
                <w:color w:val="000000" w:themeColor="text1"/>
              </w:rPr>
              <w:t xml:space="preserve">thông</w:t>
            </w:r>
            <w:r>
              <w:rPr>
                <w:color w:val="000000" w:themeColor="text1"/>
              </w:rPr>
            </w:r>
            <w:r>
              <w:rPr>
                <w:color w:val="000000" w:themeColor="text1"/>
              </w:rPr>
            </w:r>
          </w:p>
          <w:p>
            <w:pPr>
              <w:pStyle w:val="1040"/>
              <w:numPr>
                <w:ilvl w:val="0"/>
                <w:numId w:val="40"/>
              </w:numPr>
              <w:pBdr/>
              <w:spacing/>
              <w:ind/>
              <w:rPr>
                <w:color w:val="000000" w:themeColor="text1"/>
              </w:rPr>
            </w:pPr>
            <w:r>
              <w:rPr>
                <w:color w:val="000000" w:themeColor="text1"/>
                <w:highlight w:val="none"/>
              </w:rPr>
              <w:t xml:space="preserve">Các </w:t>
            </w:r>
            <w:r>
              <w:rPr>
                <w:color w:val="000000" w:themeColor="text1"/>
                <w:highlight w:val="none"/>
              </w:rPr>
              <w:t xml:space="preserve">hướng </w:t>
            </w:r>
            <w:r>
              <w:rPr>
                <w:color w:val="000000" w:themeColor="text1"/>
                <w:highlight w:val="none"/>
              </w:rPr>
              <w:t xml:space="preserve">khác: </w:t>
            </w:r>
            <w:r>
              <w:rPr>
                <w:color w:val="000000" w:themeColor="text1"/>
                <w:highlight w:val="none"/>
              </w:rPr>
              <w:t xml:space="preserve">Tiếp </w:t>
            </w:r>
            <w:r>
              <w:rPr>
                <w:color w:val="000000" w:themeColor="text1"/>
                <w:highlight w:val="none"/>
              </w:rPr>
              <w:t xml:space="preserve">giáp </w:t>
            </w:r>
            <w:r>
              <w:rPr>
                <w:color w:val="000000" w:themeColor="text1"/>
                <w:highlight w:val="none"/>
              </w:rPr>
              <w:t xml:space="preserve">thửa </w:t>
            </w:r>
            <w:r>
              <w:rPr>
                <w:color w:val="000000" w:themeColor="text1"/>
                <w:highlight w:val="none"/>
              </w:rPr>
              <w:t xml:space="preserve">đất </w:t>
            </w:r>
            <w:r>
              <w:rPr>
                <w:color w:val="000000" w:themeColor="text1"/>
                <w:highlight w:val="none"/>
              </w:rPr>
              <w:t xml:space="preserve">khác. </w:t>
            </w:r>
            <w:r>
              <w:rPr>
                <w:color w:val="000000" w:themeColor="text1"/>
                <w:highlight w:val="none"/>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(16.0748128, 108.1712413)</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600844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600844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3.11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khu dân cư thông thường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Nhà 2 tầng, hoàn thiện năm 2023, diện tích xây dựng 230m², diện tích sàn 389,5m²; </w:t>
            </w:r>
            <w:r>
              <w:rPr>
                <w:color w:val="000000"/>
              </w:rPr>
              <w:t xml:space="preserve">CTXD </w:t>
            </w:r>
            <w:r>
              <w:rPr>
                <w:color w:val="000000"/>
              </w:rPr>
              <w:t xml:space="preserve">đã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GCN </w:t>
            </w:r>
            <w:r>
              <w:rPr>
                <w:color w:val="000000"/>
              </w:rPr>
              <w:t xml:space="preserve">QSD</w:t>
            </w:r>
            <w:r>
              <w:rPr>
                <w:color w:val="000000"/>
              </w:rPr>
              <w:t xml:space="preserve">Đ </w:t>
            </w:r>
            <w:r>
              <w:rPr>
                <w:color w:val="000000"/>
              </w:rPr>
              <w:t xml:space="preserve">số </w:t>
            </w:r>
            <w:r>
              <w:rPr>
                <w:color w:val="000000"/>
              </w:rPr>
              <w:t xml:space="preserve">DQ 624449.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4"/>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Lô số 30+31 Khu Phân B8 Khu TĐC Thanh Lộc Đán Hà Minh </w:t>
            </w:r>
            <w:r>
              <w:t xml:space="preserve">mở </w:t>
            </w:r>
            <w:r>
              <w:t xml:space="preserve">rộng, </w:t>
            </w:r>
            <w:r>
              <w:t xml:space="preserve">phường </w:t>
            </w:r>
            <w:r>
              <w:t xml:space="preserve">Thanh </w:t>
            </w:r>
            <w:r>
              <w:t xml:space="preserve">K</w:t>
            </w:r>
            <w:r>
              <w:t xml:space="preserve">hê </w:t>
            </w:r>
            <w:r>
              <w:t xml:space="preserve">Tây, </w:t>
            </w:r>
            <w:r>
              <w:t xml:space="preserve">quận </w:t>
            </w:r>
            <w:r>
              <w:t xml:space="preserve">Thanh </w:t>
            </w:r>
            <w:r>
              <w:t xml:space="preserve">Khê, </w:t>
            </w:r>
            <w:r>
              <w:t xml:space="preserve">TP Đà Nẵng</w:t>
            </w:r>
            <w:r/>
          </w:p>
        </w:tc>
        <w:tc>
          <w:tcPr>
            <w:tcBorders/>
            <w:tcW w:w="1605" w:type="dxa"/>
            <w:vAlign w:val="center"/>
            <w:textDirection w:val="lrTb"/>
            <w:noWrap w:val="false"/>
          </w:tcPr>
          <w:p>
            <w:pPr>
              <w:pBdr/>
              <w:spacing/>
              <w:ind/>
              <w:jc w:val="center"/>
              <w:rPr/>
            </w:pPr>
            <w:r>
              <w:t xml:space="preserve">Lô số 30+31 Khu Phân B8 Khu TĐC Thanh Lộc Đán Hà Minh </w:t>
            </w:r>
            <w:r>
              <w:t xml:space="preserve">mở </w:t>
            </w:r>
            <w:r>
              <w:t xml:space="preserve">rộng</w:t>
            </w:r>
            <w:r>
              <w:t xml:space="preserve">, Phường </w:t>
            </w:r>
            <w:r>
              <w:t xml:space="preserve">Thanh </w:t>
            </w:r>
            <w:r>
              <w:t xml:space="preserve">Khê</w:t>
            </w:r>
            <w:r>
              <w:t xml:space="preserve">, Thành phố Đà Nẵng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hành </w:t>
            </w:r>
            <w:r>
              <w:t xml:space="preserve">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w:t>
            </w:r>
            <w:r/>
          </w:p>
        </w:tc>
        <w:tc>
          <w:tcPr>
            <w:tcBorders/>
            <w:tcW w:w="1605" w:type="dxa"/>
            <w:vAlign w:val="center"/>
            <w:textDirection w:val="lrTb"/>
            <w:noWrap w:val="false"/>
          </w:tcPr>
          <w:p>
            <w:pPr>
              <w:pBdr/>
              <w:spacing/>
              <w:ind/>
              <w:jc w:val="center"/>
              <w:rPr/>
            </w:pPr>
            <w:r>
              <w:t xml:space="preserve">VT1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10</w:t>
            </w:r>
            <w:r/>
          </w:p>
        </w:tc>
        <w:tc>
          <w:tcPr>
            <w:tcBorders/>
            <w:tcW w:w="1605" w:type="dxa"/>
            <w:vAlign w:val="center"/>
            <w:textDirection w:val="lrTb"/>
            <w:noWrap w:val="false"/>
          </w:tcPr>
          <w:p>
            <w:pPr>
              <w:pBdr/>
              <w:spacing/>
              <w:ind/>
              <w:jc w:val="center"/>
              <w:rPr/>
            </w:pPr>
            <w:r>
              <w:t xml:space="preserve">10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240</w:t>
            </w:r>
            <w:r/>
          </w:p>
        </w:tc>
        <w:tc>
          <w:tcPr>
            <w:tcBorders/>
            <w:tcW w:w="1605" w:type="dxa"/>
            <w:vAlign w:val="center"/>
            <w:textDirection w:val="lrTb"/>
            <w:noWrap w:val="false"/>
          </w:tcPr>
          <w:p>
            <w:pPr>
              <w:pBdr/>
              <w:spacing/>
              <w:ind/>
              <w:jc w:val="center"/>
              <w:rPr/>
            </w:pPr>
            <w:r>
              <w:t xml:space="preserve">240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10</w:t>
            </w:r>
            <w:r/>
          </w:p>
        </w:tc>
        <w:tc>
          <w:tcPr>
            <w:tcBorders/>
            <w:tcW w:w="1605" w:type="dxa"/>
            <w:vAlign w:val="center"/>
            <w:textDirection w:val="lrTb"/>
            <w:noWrap w:val="false"/>
          </w:tcPr>
          <w:p>
            <w:pPr>
              <w:pBdr/>
              <w:spacing/>
              <w:ind/>
              <w:jc w:val="center"/>
              <w:rPr/>
            </w:pPr>
            <w:r>
              <w:t xml:space="preserve">10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24</w:t>
            </w:r>
            <w:r/>
          </w:p>
        </w:tc>
        <w:tc>
          <w:tcPr>
            <w:tcBorders/>
            <w:tcW w:w="1605" w:type="dxa"/>
            <w:vAlign w:val="center"/>
            <w:textDirection w:val="lrTb"/>
            <w:noWrap w:val="false"/>
          </w:tcPr>
          <w:p>
            <w:pPr>
              <w:pBdr/>
              <w:spacing/>
              <w:ind/>
              <w:jc w:val="center"/>
              <w:rPr/>
            </w:pPr>
            <w:r>
              <w:t xml:space="preserve">24 </w:t>
            </w: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w:t>
            </w:r>
            <w:r/>
          </w:p>
        </w:tc>
        <w:tc>
          <w:tcPr>
            <w:tcBorders/>
            <w:tcW w:w="1605" w:type="dxa"/>
            <w:vAlign w:val="center"/>
            <w:textDirection w:val="lrTb"/>
            <w:noWrap w:val="false"/>
          </w:tcPr>
          <w:p>
            <w:pPr>
              <w:pBdr/>
              <w:spacing/>
              <w:ind/>
              <w:jc w:val="center"/>
              <w:rPr/>
            </w:pPr>
            <w:r>
              <w:t xml:space="preserve">Đông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0"/>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0"/>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0"/>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0"/>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0"/>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0"/>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0"/>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0"/>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0"/>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0"/>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0"/>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0"/>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40"/>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0"/>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0"/>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0"/>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Hồ Quý Ly, Phường </w:t>
            </w:r>
            <w:r>
              <w:rPr>
                <w:color w:val="000000" w:themeColor="text1"/>
                <w:sz w:val="22"/>
                <w:szCs w:val="22"/>
              </w:rPr>
              <w:t xml:space="preserve">Thanh </w:t>
            </w:r>
            <w:r>
              <w:rPr>
                <w:color w:val="000000" w:themeColor="text1"/>
                <w:sz w:val="22"/>
                <w:szCs w:val="22"/>
              </w:rPr>
              <w:t xml:space="preserve">Khê</w:t>
            </w:r>
            <w:r>
              <w:rPr>
                <w:color w:val="000000" w:themeColor="text1"/>
                <w:sz w:val="22"/>
                <w:szCs w:val="22"/>
              </w:rPr>
              <w:t xml:space="preserve">,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Đường Hồ Quý 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w:t>
            </w:r>
            <w:r>
              <w:rPr>
                <w:color w:val="000000" w:themeColor="text1"/>
                <w:sz w:val="22"/>
                <w:szCs w:val="22"/>
              </w:rPr>
              <w:t xml:space="preserve">, Thành phố Đà Nẵng</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Đường Hồ Quý 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w:t>
            </w:r>
            <w:r>
              <w:rPr>
                <w:color w:val="000000" w:themeColor="text1"/>
                <w:sz w:val="22"/>
                <w:szCs w:val="22"/>
              </w:rPr>
              <w:t xml:space="preserve">, Thành phố Đà Nẵng</w:t>
            </w:r>
            <w:r>
              <w:rPr>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Đường Hồ Quý 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w:t>
            </w:r>
            <w:r>
              <w:rPr>
                <w:color w:val="000000" w:themeColor="text1"/>
                <w:sz w:val="22"/>
                <w:szCs w:val="22"/>
              </w:rPr>
              <w:t xml:space="preserve">, Thành phố Đà Nẵng</w:t>
            </w:r>
            <w:r>
              <w:rPr>
                <w:sz w:val="22"/>
                <w:szCs w:val="22"/>
              </w:rPr>
            </w: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https://web.facebook.com/marketplace/item/1247001603881491/?locale=tl_PH&amp;_rdc=1&amp;_rdr#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https://batdongsan.com.vn/ban-n</w:t>
            </w:r>
            <w:r>
              <w:rPr>
                <w:color w:val="000000" w:themeColor="text1"/>
                <w:sz w:val="22"/>
                <w:szCs w:val="22"/>
              </w:rPr>
              <w:t xml:space="preserve">ha-mat-pho-duong-ho-quy-ly-phuong-hoa-minh-47/hang-gia-tot-vi-tri-kinh-doanh-3-tang-uong-10m5-gan-nguyen-xi-s-100m2-gia-9-5ty-pr45778553?gidzl=9Af5LFYM67ealK5J-OqHV2-_J5lasHLmDkz9LkU9HIjZlqbHuDaHVM7jIrQosHOfRxyVLZNb1MWUzPeSVm#js__pr-expired__content-anchor</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https://www.facebook.com/groups/NhaDatQuanLienChieu.DaNang/permalink/27135160912743779/?sale_post_id=27135160912743779&amp;referralSurface=messenger_banner&amp;referralCode=2&amp;ref=messenger_banner</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0947060368</w:t>
            </w:r>
            <w:r>
              <w:rPr>
                <w:sz w:val="22"/>
                <w:szCs w:val="22"/>
              </w:rPr>
              <w:t xml:space="preserve"> </w:t>
            </w:r>
            <w:r>
              <w:rPr>
                <w:sz w:val="22"/>
                <w:szCs w:val="22"/>
              </w:rPr>
              <w:br/>
              <w:t xml:space="preserve">(</w:t>
            </w:r>
            <w:r>
              <w:rPr>
                <w:sz w:val="22"/>
                <w:szCs w:val="22"/>
              </w:rPr>
              <w:t xml:space="preserve">Sale</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0935282118</w:t>
            </w:r>
            <w:r>
              <w:rPr>
                <w:sz w:val="22"/>
                <w:szCs w:val="22"/>
              </w:rPr>
              <w:br/>
            </w:r>
            <w:r>
              <w:rPr>
                <w:sz w:val="22"/>
                <w:szCs w:val="22"/>
              </w:rPr>
              <w:t xml:space="preserve">(</w:t>
            </w:r>
            <w:r>
              <w:rPr>
                <w:sz w:val="22"/>
                <w:szCs w:val="22"/>
              </w:rPr>
              <w:t xml:space="preserve">Ái Nguyễn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0905.43.89.89</w:t>
            </w:r>
            <w:r>
              <w:rPr>
                <w:sz w:val="22"/>
                <w:szCs w:val="22"/>
              </w:rPr>
              <w:br/>
            </w:r>
            <w:r>
              <w:rPr>
                <w:sz w:val="22"/>
                <w:szCs w:val="22"/>
              </w:rPr>
              <w:t xml:space="preserve">(</w:t>
            </w:r>
            <w:r>
              <w:rPr>
                <w:sz w:val="22"/>
                <w:szCs w:val="22"/>
              </w:rPr>
              <w:t xml:space="preserve">Tùng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90-92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themeColor="text1"/>
                <w:sz w:val="22"/>
                <w:szCs w:val="22"/>
              </w:rPr>
              <w:t xml:space="preserve">, 16.076764863715255, 108.17254017530402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themeColor="text1"/>
                <w:sz w:val="22"/>
                <w:szCs w:val="22"/>
              </w:rPr>
              <w:t xml:space="preserve">, 16.071815053101567, 108.16947861894916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28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themeColor="text1"/>
                <w:sz w:val="22"/>
                <w:szCs w:val="22"/>
              </w:rPr>
              <w:t xml:space="preserve">, 16.074130912630576, 108.17111993919151</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3 </w:t>
            </w:r>
            <w:r>
              <w:rPr>
                <w:color w:val="000000" w:themeColor="text1"/>
                <w:sz w:val="22"/>
                <w:szCs w:val="22"/>
              </w:rPr>
              <w:t xml:space="preserve">tầng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rPr>
            </w:pPr>
            <w:r>
              <w:rPr>
                <w:i/>
                <w:iCs/>
                <w:color w:val="000000" w:themeColor="text1"/>
                <w:sz w:val="22"/>
                <w:szCs w:val="22"/>
              </w:rPr>
              <w:t xml:space="preserve">Số </w:t>
            </w:r>
            <w:r>
              <w:rPr>
                <w:i/>
                <w:iCs/>
                <w:color w:val="000000" w:themeColor="text1"/>
                <w:sz w:val="22"/>
                <w:szCs w:val="22"/>
              </w:rPr>
              <w:t xml:space="preserve">tầng</w:t>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p>
            <w:pPr>
              <w:pBdr/>
              <w:spacing/>
              <w:ind/>
              <w:jc w:val="center"/>
              <w:rPr>
                <w:bCs/>
                <w:i/>
                <w:color w:val="000000" w:themeColor="text1"/>
                <w:sz w:val="22"/>
                <w:szCs w:val="22"/>
              </w:rPr>
            </w:pPr>
            <w:r>
              <w:rPr>
                <w:i/>
                <w:iCs/>
                <w:color w:val="000000" w:themeColor="text1"/>
                <w:sz w:val="22"/>
                <w:szCs w:val="22"/>
              </w:rPr>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3</w:t>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p>
            <w:pPr>
              <w:pBdr/>
              <w:spacing/>
              <w:ind/>
              <w:jc w:val="center"/>
              <w:rPr>
                <w:bCs/>
                <w:i/>
                <w:color w:val="000000" w:themeColor="text1"/>
                <w:sz w:val="22"/>
                <w:szCs w:val="22"/>
              </w:rPr>
            </w:pPr>
            <w:r>
              <w:rPr>
                <w:i/>
                <w:iCs/>
                <w:color w:val="000000" w:themeColor="text1"/>
                <w:sz w:val="22"/>
                <w:szCs w:val="22"/>
              </w:rPr>
            </w:r>
            <w:r>
              <w:rPr>
                <w:i/>
                <w:iCs/>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bCs/>
                <w:i/>
                <w:color w:val="000000" w:themeColor="text1"/>
                <w:sz w:val="22"/>
                <w:szCs w:val="22"/>
              </w:rPr>
            </w:pPr>
            <w:r>
              <w:rPr>
                <w:i/>
                <w:iCs/>
                <w:color w:val="000000" w:themeColor="text1"/>
                <w:sz w:val="22"/>
                <w:szCs w:val="22"/>
              </w:rPr>
              <w:t xml:space="preserve">Diện </w:t>
            </w:r>
            <w:r>
              <w:rPr>
                <w:i/>
                <w:iCs/>
                <w:color w:val="000000" w:themeColor="text1"/>
                <w:sz w:val="22"/>
                <w:szCs w:val="22"/>
              </w:rPr>
              <w:t xml:space="preserve">tích </w:t>
            </w:r>
            <w:r>
              <w:rPr>
                <w:i/>
                <w:iCs/>
                <w:color w:val="000000" w:themeColor="text1"/>
                <w:sz w:val="22"/>
                <w:szCs w:val="22"/>
              </w:rPr>
              <w:t xml:space="preserve">sàn </w:t>
            </w:r>
            <w:r>
              <w:rPr>
                <w:i/>
                <w:iCs/>
                <w:color w:val="000000" w:themeColor="text1"/>
                <w:sz w:val="22"/>
                <w:szCs w:val="22"/>
              </w:rPr>
              <w:t xml:space="preserve">(m²)</w:t>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p>
            <w:pPr>
              <w:pBdr/>
              <w:spacing/>
              <w:ind/>
              <w:jc w:val="center"/>
              <w:rPr>
                <w:bCs/>
                <w:i/>
                <w:color w:val="000000" w:themeColor="text1"/>
                <w:sz w:val="22"/>
                <w:szCs w:val="22"/>
              </w:rPr>
            </w:pPr>
            <w:r>
              <w:rPr>
                <w:i/>
                <w:iCs/>
                <w:color w:val="000000" w:themeColor="text1"/>
                <w:sz w:val="22"/>
                <w:szCs w:val="22"/>
              </w:rPr>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270</w:t>
            </w:r>
            <w:r>
              <w:rPr>
                <w:i/>
                <w:iCs/>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p>
            <w:pPr>
              <w:pBdr/>
              <w:spacing/>
              <w:ind/>
              <w:jc w:val="center"/>
              <w:rPr>
                <w:bCs/>
                <w:i/>
                <w:color w:val="000000" w:themeColor="text1"/>
                <w:sz w:val="22"/>
                <w:szCs w:val="22"/>
              </w:rPr>
            </w:pPr>
            <w:r>
              <w:rPr>
                <w:i/>
                <w:iCs/>
                <w:color w:val="000000" w:themeColor="text1"/>
                <w:sz w:val="22"/>
                <w:szCs w:val="22"/>
              </w:rPr>
            </w:r>
            <w:r>
              <w:rPr>
                <w:i/>
                <w:iCs/>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9.025.000.000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1.484.137.998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w:t>
            </w:r>
            <w:r>
              <w:rPr>
                <w:color w:val="000000"/>
                <w:sz w:val="22"/>
                <w:szCs w:val="22"/>
              </w:rPr>
            </w: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 giá xây dựng theo Quyết định số 425/QĐ-BXD ngày 30/3/2026 của Bộ Xây Dựng (đồng/m²)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7.852.582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Tỷ lệ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 lệ % hoàn 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Pr>
                <w:color w:val="000000" w:themeColor="text1"/>
                <w:sz w:val="22"/>
                <w:szCs w:val="22"/>
              </w:rPr>
              <w:t xml:space="preserve">-/-</w:t>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7.540.862.002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11.250.000.000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0"/>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420"/>
        <w:gridCol w:w="1624"/>
        <w:gridCol w:w="1522"/>
        <w:gridCol w:w="1673"/>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0"/>
                <w:szCs w:val="20"/>
              </w:rPr>
            </w:pPr>
            <w:r>
              <w:rPr>
                <w:color w:val="000000" w:themeColor="text1"/>
                <w:sz w:val="22"/>
                <w:szCs w:val="22"/>
              </w:rPr>
              <w:t xml:space="preserve">11.250.000.000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7.540.862.002</w:t>
            </w:r>
            <w:r>
              <w:rPr>
                <w:color w:val="000000"/>
                <w:sz w:val="20"/>
                <w:szCs w:val="20"/>
              </w:rPr>
            </w:r>
            <w:r>
              <w:rPr>
                <w:color w:val="000000"/>
                <w:sz w:val="20"/>
                <w:szCs w:val="20"/>
              </w:rPr>
            </w:r>
          </w:p>
        </w:tc>
        <w:tc>
          <w:tcPr>
            <w:shd w:val="clear" w:color="000000" w:fill="ffffff"/>
            <w:tcBorders/>
            <w:tcW w:w="1673" w:type="dxa"/>
            <w:vAlign w:val="center"/>
            <w:textDirection w:val="lrTb"/>
            <w:noWrap w:val="false"/>
          </w:tcPr>
          <w:p>
            <w:pPr>
              <w:pBdr/>
              <w:spacing/>
              <w:ind/>
              <w:jc w:val="center"/>
              <w:rPr>
                <w:color w:val="000000"/>
                <w:sz w:val="20"/>
                <w:szCs w:val="20"/>
              </w:rPr>
            </w:pPr>
            <w:r>
              <w:rPr>
                <w:color w:val="000000" w:themeColor="text1"/>
                <w:sz w:val="22"/>
                <w:szCs w:val="22"/>
              </w:rPr>
              <w:t xml:space="preserve">11.250.000.000</w:t>
            </w:r>
            <w:r>
              <w:rPr>
                <w:color w:val="000000"/>
                <w:sz w:val="20"/>
                <w:szCs w:val="20"/>
              </w:rPr>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73"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90-92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themeColor="text1"/>
                <w:sz w:val="22"/>
                <w:szCs w:val="22"/>
              </w:rPr>
              <w:t xml:space="preserve">, 16.076764863715255, 108.17254017530402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themeColor="text1"/>
                <w:sz w:val="22"/>
                <w:szCs w:val="22"/>
              </w:rPr>
              <w:t xml:space="preserve">, 16.071815053101567, 108.16947861894916</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Số 28 </w:t>
            </w:r>
            <w:r>
              <w:rPr>
                <w:color w:val="000000" w:themeColor="text1"/>
                <w:sz w:val="22"/>
                <w:szCs w:val="22"/>
              </w:rPr>
              <w:t xml:space="preserve">Đường </w:t>
            </w:r>
            <w:r>
              <w:rPr>
                <w:color w:val="000000" w:themeColor="text1"/>
                <w:sz w:val="22"/>
                <w:szCs w:val="22"/>
              </w:rPr>
              <w:t xml:space="preserve">Hồ </w:t>
            </w:r>
            <w:r>
              <w:rPr>
                <w:color w:val="000000" w:themeColor="text1"/>
                <w:sz w:val="22"/>
                <w:szCs w:val="22"/>
              </w:rPr>
              <w:t xml:space="preserve">Quý </w:t>
            </w:r>
            <w:r>
              <w:rPr>
                <w:color w:val="000000" w:themeColor="text1"/>
                <w:sz w:val="22"/>
                <w:szCs w:val="22"/>
              </w:rPr>
              <w:t xml:space="preserve">Ly, </w:t>
            </w:r>
            <w:r>
              <w:rPr>
                <w:color w:val="000000" w:themeColor="text1"/>
                <w:sz w:val="22"/>
                <w:szCs w:val="22"/>
              </w:rPr>
              <w:t xml:space="preserve">Phường </w:t>
            </w:r>
            <w:r>
              <w:rPr>
                <w:color w:val="000000" w:themeColor="text1"/>
                <w:sz w:val="22"/>
                <w:szCs w:val="22"/>
              </w:rPr>
              <w:t xml:space="preserve">Thanh </w:t>
            </w:r>
            <w:r>
              <w:rPr>
                <w:color w:val="000000" w:themeColor="text1"/>
                <w:sz w:val="22"/>
                <w:szCs w:val="22"/>
              </w:rPr>
              <w:t xml:space="preserve">Khê, </w:t>
            </w:r>
            <w:r>
              <w:rPr>
                <w:color w:val="000000" w:themeColor="text1"/>
                <w:sz w:val="22"/>
                <w:szCs w:val="22"/>
              </w:rPr>
              <w:t xml:space="preserve">Thành </w:t>
            </w:r>
            <w:r>
              <w:rPr>
                <w:color w:val="000000" w:themeColor="text1"/>
                <w:sz w:val="22"/>
                <w:szCs w:val="22"/>
              </w:rPr>
              <w:t xml:space="preserve">phố </w:t>
            </w:r>
            <w:r>
              <w:rPr>
                <w:color w:val="000000" w:themeColor="text1"/>
                <w:sz w:val="22"/>
                <w:szCs w:val="22"/>
              </w:rPr>
              <w:t xml:space="preserve">Đà </w:t>
            </w:r>
            <w:r>
              <w:rPr>
                <w:color w:val="000000" w:themeColor="text1"/>
                <w:sz w:val="22"/>
                <w:szCs w:val="22"/>
              </w:rPr>
              <w:t xml:space="preserve">Nẵng</w:t>
            </w:r>
            <w:r>
              <w:rPr>
                <w:color w:val="000000" w:themeColor="text1"/>
                <w:sz w:val="22"/>
                <w:szCs w:val="22"/>
              </w:rPr>
              <w:t xml:space="preserve">, 16.074130912630576, 108.17111993919151</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94.537.815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90.000.000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240</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125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-7.983.193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-7.540.862</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-7.360.000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86.554.622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67.867.758</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82.640.000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10</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4,5</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11.344.538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11.311.293</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10.800.000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97.899.160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79.179.051</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93.440.000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24</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23,8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22,22</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97.899.160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79.179.051</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93.440.000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97.899.160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79.179.051</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93.440.000</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color w:val="000000"/>
                <w:sz w:val="22"/>
                <w:szCs w:val="22"/>
              </w:rPr>
            </w:pPr>
            <w:r>
              <w:rPr>
                <w:color w:val="000000" w:themeColor="text1"/>
                <w:sz w:val="22"/>
                <w:szCs w:val="22"/>
              </w:rPr>
              <w:t xml:space="preserve">97.899.160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79.179.051</w:t>
            </w:r>
            <w:r>
              <w:rPr>
                <w:color w:val="000000"/>
                <w:sz w:val="22"/>
                <w:szCs w:val="22"/>
              </w:rPr>
            </w:r>
            <w:r>
              <w:rPr>
                <w:color w:val="000000"/>
                <w:sz w:val="22"/>
                <w:szCs w:val="22"/>
              </w:rPr>
            </w:r>
          </w:p>
        </w:tc>
        <w:tc>
          <w:tcPr>
            <w:shd w:val="clear" w:color="000000" w:fill="ffffff"/>
            <w:tcBorders/>
            <w:tcW w:w="1673" w:type="dxa"/>
            <w:vAlign w:val="center"/>
            <w:textDirection w:val="lrTb"/>
            <w:noWrap/>
          </w:tcPr>
          <w:p>
            <w:pPr>
              <w:pBdr/>
              <w:spacing/>
              <w:ind/>
              <w:jc w:val="center"/>
              <w:rPr>
                <w:color w:val="000000"/>
                <w:sz w:val="22"/>
                <w:szCs w:val="22"/>
              </w:rPr>
            </w:pPr>
            <w:r>
              <w:rPr>
                <w:color w:val="000000" w:themeColor="text1"/>
                <w:sz w:val="22"/>
                <w:szCs w:val="22"/>
              </w:rPr>
              <w:t xml:space="preserve">93.440.000</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420"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97.899.160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79.179.051</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93.440.000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81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90.172.737</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color w:val="000000"/>
                <w:sz w:val="22"/>
                <w:szCs w:val="22"/>
              </w:rPr>
            </w:pPr>
            <w:r>
              <w:rPr>
                <w:color w:val="000000" w:themeColor="text1"/>
                <w:sz w:val="22"/>
                <w:szCs w:val="22"/>
              </w:rPr>
              <w:t xml:space="preserve">8,57%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-12,19%</w:t>
            </w:r>
            <w:r>
              <w:rPr>
                <w:color w:val="000000"/>
                <w:sz w:val="22"/>
                <w:szCs w:val="22"/>
              </w:rPr>
            </w:r>
            <w:r>
              <w:rPr>
                <w:color w:val="000000"/>
                <w:sz w:val="22"/>
                <w:szCs w:val="22"/>
              </w:rPr>
            </w:r>
          </w:p>
        </w:tc>
        <w:tc>
          <w:tcPr>
            <w:shd w:val="clear" w:color="000000" w:fill="ffffff"/>
            <w:tcBorders/>
            <w:tcW w:w="1673" w:type="dxa"/>
            <w:vAlign w:val="center"/>
            <w:textDirection w:val="lrTb"/>
            <w:noWrap w:val="false"/>
          </w:tcPr>
          <w:p>
            <w:pPr>
              <w:pBdr/>
              <w:spacing/>
              <w:ind/>
              <w:jc w:val="center"/>
              <w:rPr>
                <w:color w:val="000000"/>
                <w:sz w:val="22"/>
                <w:szCs w:val="22"/>
              </w:rPr>
            </w:pPr>
            <w:r>
              <w:rPr>
                <w:color w:val="000000" w:themeColor="text1"/>
                <w:sz w:val="22"/>
                <w:szCs w:val="22"/>
              </w:rPr>
              <w:t xml:space="preserve">3,62%</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42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val="false"/>
          </w:tcPr>
          <w:p>
            <w:pPr>
              <w:pBdr/>
              <w:spacing/>
              <w:ind/>
              <w:jc w:val="center"/>
              <w:rPr>
                <w:b/>
                <w:bCs/>
                <w:color w:val="000000"/>
                <w:sz w:val="22"/>
                <w:szCs w:val="22"/>
              </w:rPr>
            </w:pPr>
            <w:r>
              <w:rPr>
                <w:color w:val="000000" w:themeColor="text1"/>
                <w:sz w:val="22"/>
                <w:szCs w:val="22"/>
              </w:rPr>
              <w:t xml:space="preserve">19.327.731</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18.852.155</w:t>
            </w:r>
            <w:r>
              <w:rPr>
                <w:b/>
                <w:bCs/>
                <w:color w:val="000000"/>
                <w:sz w:val="22"/>
                <w:szCs w:val="22"/>
              </w:rPr>
            </w:r>
            <w:r>
              <w:rPr>
                <w:b/>
                <w:bCs/>
                <w:color w:val="000000"/>
                <w:sz w:val="22"/>
                <w:szCs w:val="22"/>
              </w:rPr>
            </w:r>
          </w:p>
        </w:tc>
        <w:tc>
          <w:tcPr>
            <w:shd w:val="clear" w:color="000000" w:fill="ffffff"/>
            <w:tcBorders/>
            <w:tcW w:w="1673" w:type="dxa"/>
            <w:vAlign w:val="center"/>
            <w:textDirection w:val="lrTb"/>
            <w:noWrap w:val="false"/>
          </w:tcPr>
          <w:p>
            <w:pPr>
              <w:pBdr/>
              <w:spacing/>
              <w:ind/>
              <w:jc w:val="center"/>
              <w:rPr>
                <w:b/>
                <w:bCs/>
                <w:color w:val="000000"/>
                <w:sz w:val="22"/>
                <w:szCs w:val="22"/>
              </w:rPr>
            </w:pPr>
            <w:r>
              <w:rPr>
                <w:color w:val="000000" w:themeColor="text1"/>
                <w:sz w:val="22"/>
                <w:szCs w:val="22"/>
              </w:rPr>
              <w:t xml:space="preserve">18.160.000</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c>
          <w:tcPr>
            <w:shd w:val="clear" w:color="000000" w:fill="ffffff"/>
            <w:tcBorders/>
            <w:tcW w:w="1673"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420"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c>
          <w:tcPr>
            <w:shd w:val="clear" w:color="000000" w:fill="ffffff"/>
            <w:tcBorders/>
            <w:tcW w:w="1673"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420"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24" w:type="dxa"/>
            <w:vAlign w:val="center"/>
            <w:textDirection w:val="lrTb"/>
            <w:noWrap/>
          </w:tcPr>
          <w:p>
            <w:pPr>
              <w:pBdr/>
              <w:spacing/>
              <w:ind/>
              <w:jc w:val="center"/>
              <w:rPr>
                <w:sz w:val="22"/>
                <w:szCs w:val="22"/>
              </w:rPr>
            </w:pPr>
            <w:r>
              <w:rPr>
                <w:color w:val="000000" w:themeColor="text1"/>
                <w:sz w:val="22"/>
                <w:szCs w:val="22"/>
              </w:rPr>
              <w:t xml:space="preserve">3.361.345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3.770.431</w:t>
            </w:r>
            <w:r>
              <w:rPr>
                <w:sz w:val="22"/>
                <w:szCs w:val="22"/>
              </w:rPr>
            </w:r>
            <w:r>
              <w:rPr>
                <w:sz w:val="22"/>
                <w:szCs w:val="22"/>
              </w:rPr>
            </w:r>
          </w:p>
        </w:tc>
        <w:tc>
          <w:tcPr>
            <w:shd w:val="clear" w:color="000000" w:fill="ffffff"/>
            <w:tcBorders/>
            <w:tcW w:w="1673" w:type="dxa"/>
            <w:vAlign w:val="center"/>
            <w:textDirection w:val="lrTb"/>
            <w:noWrap/>
          </w:tcPr>
          <w:p>
            <w:pPr>
              <w:pBdr/>
              <w:spacing/>
              <w:ind/>
              <w:jc w:val="center"/>
              <w:rPr>
                <w:sz w:val="22"/>
                <w:szCs w:val="22"/>
              </w:rPr>
            </w:pPr>
            <w:r>
              <w:rPr>
                <w:color w:val="000000" w:themeColor="text1"/>
                <w:sz w:val="22"/>
                <w:szCs w:val="22"/>
              </w:rPr>
              <w:t xml:space="preserve">3.440.000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-12,19</w:t>
      </w:r>
      <w:r>
        <w:t xml:space="preserve">% đến </w:t>
      </w:r>
      <w:r>
        <w:t xml:space="preserve">8,57</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97.899.160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32.639.580</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79.179.051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26.390.378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93.440.000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31.143.552</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90.173.510</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90.000.000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90.000.000</w:t>
      </w:r>
      <w:r>
        <w:rPr>
          <w:b/>
          <w:bCs/>
          <w:color w:val="000000" w:themeColor="text1"/>
        </w:rPr>
        <w:t xml:space="preserve"> </w:t>
      </w:r>
      <w:r>
        <w:rPr>
          <w:b/>
          <w:bCs/>
        </w:rPr>
        <w:t xml:space="preserve">đồng/m².</w:t>
      </w:r>
      <w:r>
        <w:rPr>
          <w:b/>
          <w:bCs/>
        </w:rPr>
      </w:r>
      <w:r>
        <w:rPr>
          <w:b/>
          <w:bCs/>
        </w:rPr>
      </w:r>
    </w:p>
    <w:p>
      <w:pPr>
        <w:pStyle w:val="1040"/>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Style w:val="1040"/>
        <w:numPr>
          <w:ilvl w:val="0"/>
          <w:numId w:val="41"/>
        </w:numPr>
        <w:pBdr/>
        <w:spacing w:after="120" w:before="120" w:line="276" w:lineRule="auto"/>
        <w:ind/>
        <w:jc w:val="both"/>
        <w:rPr>
          <w:b/>
          <w:bCs/>
        </w:rPr>
      </w:pPr>
      <w:r>
        <w:rPr>
          <w:b/>
          <w:bCs/>
          <w:highlight w:val="none"/>
        </w:rPr>
        <w:t xml:space="preserve">Xác </w:t>
      </w:r>
      <w:r>
        <w:rPr>
          <w:b/>
          <w:bCs/>
          <w:highlight w:val="none"/>
        </w:rPr>
        <w:t xml:space="preserve">định </w:t>
      </w:r>
      <w:r>
        <w:rPr>
          <w:b/>
          <w:bCs/>
          <w:highlight w:val="none"/>
        </w:rPr>
        <w:t xml:space="preserve">đơn </w:t>
      </w:r>
      <w:r>
        <w:rPr>
          <w:b/>
          <w:bCs/>
          <w:highlight w:val="none"/>
        </w:rPr>
        <w:t xml:space="preserve">giá </w:t>
      </w:r>
      <w:r>
        <w:rPr>
          <w:b/>
          <w:bCs/>
          <w:highlight w:val="none"/>
        </w:rPr>
        <w:t xml:space="preserve">xây </w:t>
      </w:r>
      <w:r>
        <w:rPr>
          <w:b/>
          <w:bCs/>
          <w:highlight w:val="none"/>
        </w:rPr>
        <w:t xml:space="preserve">mới </w:t>
      </w:r>
      <w:r>
        <w:rPr>
          <w:b/>
          <w:bCs/>
          <w:highlight w:val="none"/>
        </w:rPr>
        <w:t xml:space="preserve">của </w:t>
      </w:r>
      <w:r>
        <w:rPr>
          <w:b/>
          <w:bCs/>
          <w:highlight w:val="none"/>
        </w:rPr>
        <w:t xml:space="preserve">c</w:t>
      </w:r>
      <w:r>
        <w:rPr>
          <w:b/>
          <w:bCs/>
          <w:highlight w:val="none"/>
        </w:rPr>
        <w:t xml:space="preserve">ông </w:t>
      </w:r>
      <w:r>
        <w:rPr>
          <w:b/>
          <w:bCs/>
          <w:highlight w:val="none"/>
        </w:rPr>
        <w:t xml:space="preserve">trình </w:t>
      </w:r>
      <w:r>
        <w:rPr>
          <w:b/>
          <w:bCs/>
          <w:highlight w:val="none"/>
        </w:rPr>
        <w:t xml:space="preserve">xây </w:t>
      </w:r>
      <w:r>
        <w:rPr>
          <w:b/>
          <w:bCs/>
          <w:highlight w:val="none"/>
        </w:rPr>
        <w:t xml:space="preserve">dựng: </w:t>
      </w:r>
      <w:r>
        <w:rPr>
          <w:b/>
          <w:bCs/>
        </w:rPr>
      </w:r>
      <w:r>
        <w:rPr>
          <w:b/>
          <w:bCs/>
        </w:rPr>
      </w:r>
    </w:p>
    <w:p>
      <w:pPr>
        <w:pBdr/>
        <w:spacing w:after="120" w:before="120" w:line="276" w:lineRule="auto"/>
        <w:ind w:firstLine="0" w:left="0"/>
        <w:jc w:val="both"/>
        <w:rPr>
          <w:b/>
          <w:bCs/>
          <w:highlight w:val="none"/>
        </w:rPr>
      </w:pPr>
      <w:r>
        <w:rPr>
          <w:b/>
          <w:bCs/>
          <w:highlight w:val="none"/>
        </w:rPr>
      </w:r>
      <w:r>
        <w:rPr>
          <w:rFonts w:ascii="Times New Roman" w:hAnsi="Times New Roman" w:eastAsia="Times New Roman" w:cs="Times New Roman"/>
          <w:color w:val="000000"/>
          <w:sz w:val="24"/>
          <w:szCs w:val="24"/>
        </w:rPr>
        <w:t xml:space="preserve">Qua tham khảo thị trường về đơn giá xây dựng mới đối với </w:t>
      </w:r>
      <w:r>
        <w:rPr>
          <w:rFonts w:ascii="Times New Roman" w:hAnsi="Times New Roman" w:eastAsia="Times New Roman" w:cs="Times New Roman"/>
          <w:color w:val="000000"/>
          <w:sz w:val="24"/>
          <w:szCs w:val="24"/>
        </w:rPr>
        <w:t xml:space="preserve">các </w:t>
      </w:r>
      <w:r>
        <w:rPr>
          <w:rFonts w:ascii="Times New Roman" w:hAnsi="Times New Roman" w:eastAsia="Times New Roman" w:cs="Times New Roman"/>
          <w:color w:val="000000"/>
          <w:sz w:val="24"/>
          <w:szCs w:val="24"/>
        </w:rPr>
        <w:t xml:space="preserve">công trình, cân nhắc và xem xét với kết cấu của công trình xây dựng hiện</w:t>
      </w:r>
      <w:r>
        <w:rPr>
          <w:rFonts w:ascii="Times New Roman" w:hAnsi="Times New Roman" w:eastAsia="Times New Roman" w:cs="Times New Roman"/>
          <w:color w:val="000000"/>
          <w:sz w:val="24"/>
          <w:szCs w:val="24"/>
        </w:rPr>
        <w:t xml:space="preserve"> có, tổ thẩm định nhận thấy đơn giá vận dụng theo Quyết định số 425/QĐ-BXD ngày 30 tháng 03 năm 2026 của Bộ Xây dựng về việc công bố suất vốn đầu tư xây dựng và giá xây dựng tổng hợp bộ phận kết cấu công trình năm 2025 là khá phù hợp với thị trường</w:t>
      </w:r>
      <w:r>
        <w:rPr>
          <w:rFonts w:ascii="Times New Roman" w:hAnsi="Times New Roman" w:eastAsia="Times New Roman" w:cs="Times New Roman"/>
          <w:color w:val="000000"/>
          <w:sz w:val="24"/>
          <w:szCs w:val="24"/>
          <w:highlight w:val="none"/>
        </w:rPr>
        <w:t xml:space="preserve">, </w:t>
      </w:r>
      <w:r>
        <w:rPr>
          <w:rFonts w:ascii="Times New Roman" w:hAnsi="Times New Roman" w:eastAsia="Times New Roman" w:cs="Times New Roman"/>
          <w:color w:val="000000"/>
          <w:sz w:val="24"/>
          <w:szCs w:val="24"/>
          <w:highlight w:val="none"/>
        </w:rPr>
        <w:t xml:space="preserve">cụ </w:t>
      </w:r>
      <w:r>
        <w:rPr>
          <w:rFonts w:ascii="Times New Roman" w:hAnsi="Times New Roman" w:eastAsia="Times New Roman" w:cs="Times New Roman"/>
          <w:color w:val="000000"/>
          <w:sz w:val="24"/>
          <w:szCs w:val="24"/>
          <w:highlight w:val="none"/>
        </w:rPr>
        <w:t xml:space="preserve">th</w:t>
      </w:r>
      <w:r>
        <w:rPr>
          <w:rFonts w:ascii="Times New Roman" w:hAnsi="Times New Roman" w:eastAsia="Times New Roman" w:cs="Times New Roman"/>
          <w:color w:val="000000"/>
          <w:sz w:val="24"/>
          <w:szCs w:val="24"/>
          <w:highlight w:val="none"/>
        </w:rPr>
        <w:t xml:space="preserve">ể:</w:t>
      </w:r>
      <w:r>
        <w:rPr>
          <w:b/>
          <w:bCs/>
        </w:rPr>
      </w:r>
      <w:r>
        <w:rPr>
          <w:b/>
          <w:bCs/>
          <w:highlight w:val="none"/>
        </w:rPr>
      </w:r>
    </w:p>
    <w:p>
      <w:pPr>
        <w:pStyle w:val="1040"/>
        <w:numPr>
          <w:ilvl w:val="0"/>
          <w:numId w:val="43"/>
        </w:numPr>
        <w:pBdr/>
        <w:spacing w:after="120" w:before="120" w:line="276" w:lineRule="auto"/>
        <w:ind/>
        <w:jc w:val="both"/>
        <w:rPr>
          <w:b w:val="0"/>
          <w:bCs/>
          <w:i/>
          <w:sz w:val="24"/>
          <w:szCs w:val="24"/>
          <w:highlight w:val="none"/>
        </w:rPr>
      </w:pPr>
      <w:r>
        <w:rPr>
          <w:rFonts w:ascii="Times New Roman" w:hAnsi="Times New Roman" w:eastAsia="Times New Roman" w:cs="Times New Roman"/>
          <w:b w:val="0"/>
          <w:bCs w:val="0"/>
          <w:i/>
          <w:iCs/>
          <w:color w:val="000000"/>
          <w:sz w:val="24"/>
          <w:szCs w:val="24"/>
          <w:highlight w:val="none"/>
        </w:rPr>
        <w:t xml:space="preserve">Đơn </w:t>
      </w:r>
      <w:r>
        <w:rPr>
          <w:rFonts w:ascii="Times New Roman" w:hAnsi="Times New Roman" w:eastAsia="Times New Roman" w:cs="Times New Roman"/>
          <w:b w:val="0"/>
          <w:bCs w:val="0"/>
          <w:i/>
          <w:iCs/>
          <w:color w:val="000000"/>
          <w:sz w:val="24"/>
          <w:szCs w:val="24"/>
          <w:highlight w:val="none"/>
        </w:rPr>
        <w:t xml:space="preserve">giá </w:t>
      </w:r>
      <w:r>
        <w:rPr>
          <w:rFonts w:ascii="Times New Roman" w:hAnsi="Times New Roman" w:eastAsia="Times New Roman" w:cs="Times New Roman"/>
          <w:b w:val="0"/>
          <w:bCs w:val="0"/>
          <w:i/>
          <w:iCs/>
          <w:color w:val="000000"/>
          <w:sz w:val="24"/>
          <w:szCs w:val="24"/>
          <w:highlight w:val="none"/>
        </w:rPr>
        <w:t xml:space="preserve">xây </w:t>
      </w:r>
      <w:r>
        <w:rPr>
          <w:rFonts w:ascii="Times New Roman" w:hAnsi="Times New Roman" w:eastAsia="Times New Roman" w:cs="Times New Roman"/>
          <w:b w:val="0"/>
          <w:bCs w:val="0"/>
          <w:i/>
          <w:iCs/>
          <w:color w:val="000000"/>
          <w:sz w:val="24"/>
          <w:szCs w:val="24"/>
          <w:highlight w:val="none"/>
        </w:rPr>
        <w:t xml:space="preserve">mới </w:t>
      </w:r>
      <w:r>
        <w:rPr>
          <w:rFonts w:ascii="Times New Roman" w:hAnsi="Times New Roman" w:eastAsia="Times New Roman" w:cs="Times New Roman"/>
          <w:b w:val="0"/>
          <w:bCs w:val="0"/>
          <w:i/>
          <w:iCs/>
          <w:color w:val="000000"/>
          <w:sz w:val="24"/>
          <w:szCs w:val="24"/>
          <w:highlight w:val="none"/>
        </w:rPr>
        <w:t xml:space="preserve">của </w:t>
      </w:r>
      <w:r>
        <w:rPr>
          <w:rFonts w:ascii="Times New Roman" w:hAnsi="Times New Roman" w:eastAsia="Times New Roman" w:cs="Times New Roman"/>
          <w:b w:val="0"/>
          <w:bCs w:val="0"/>
          <w:i/>
          <w:iCs/>
          <w:color w:val="000000"/>
          <w:sz w:val="24"/>
          <w:szCs w:val="24"/>
          <w:highlight w:val="none"/>
        </w:rPr>
        <w:t xml:space="preserve">công </w:t>
      </w:r>
      <w:r>
        <w:rPr>
          <w:rFonts w:ascii="Times New Roman" w:hAnsi="Times New Roman" w:eastAsia="Times New Roman" w:cs="Times New Roman"/>
          <w:b w:val="0"/>
          <w:bCs w:val="0"/>
          <w:i/>
          <w:iCs/>
          <w:color w:val="000000"/>
          <w:sz w:val="24"/>
          <w:szCs w:val="24"/>
          <w:highlight w:val="none"/>
        </w:rPr>
        <w:t xml:space="preserve">trình </w:t>
      </w:r>
      <w:r>
        <w:rPr>
          <w:rFonts w:ascii="Times New Roman" w:hAnsi="Times New Roman" w:eastAsia="Times New Roman" w:cs="Times New Roman"/>
          <w:b w:val="0"/>
          <w:bCs w:val="0"/>
          <w:i/>
          <w:iCs/>
          <w:color w:val="000000"/>
          <w:sz w:val="24"/>
          <w:szCs w:val="24"/>
          <w:highlight w:val="none"/>
        </w:rPr>
        <w:t xml:space="preserve">nh</w:t>
      </w:r>
      <w:r>
        <w:rPr>
          <w:rFonts w:ascii="Times New Roman" w:hAnsi="Times New Roman" w:eastAsia="Times New Roman" w:cs="Times New Roman"/>
          <w:b w:val="0"/>
          <w:bCs w:val="0"/>
          <w:i/>
          <w:iCs/>
          <w:color w:val="000000"/>
          <w:sz w:val="24"/>
          <w:szCs w:val="24"/>
          <w:highlight w:val="none"/>
        </w:rPr>
        <w:t xml:space="preserve">à</w:t>
      </w:r>
      <w:r>
        <w:rPr>
          <w:rFonts w:ascii="Times New Roman" w:hAnsi="Times New Roman" w:eastAsia="Times New Roman" w:cs="Times New Roman"/>
          <w:b w:val="0"/>
          <w:bCs w:val="0"/>
          <w:i/>
          <w:iCs/>
          <w:color w:val="000000"/>
          <w:sz w:val="24"/>
          <w:szCs w:val="24"/>
          <w:highlight w:val="white"/>
        </w:rPr>
        <w:t xml:space="preserve"> </w:t>
      </w:r>
      <w:r>
        <w:rPr>
          <w:rFonts w:ascii="Times New Roman" w:hAnsi="Times New Roman" w:eastAsia="Times New Roman" w:cs="Times New Roman"/>
          <w:b w:val="0"/>
          <w:bCs w:val="0"/>
          <w:i/>
          <w:iCs/>
          <w:sz w:val="24"/>
          <w:szCs w:val="24"/>
          <w:highlight w:val="white"/>
        </w:rPr>
        <w:t xml:space="preserve">từ 2 đến 3 tầng, kết c</w:t>
      </w:r>
      <w:r>
        <w:rPr>
          <w:rFonts w:ascii="Times New Roman" w:hAnsi="Times New Roman" w:eastAsia="Times New Roman" w:cs="Times New Roman"/>
          <w:b w:val="0"/>
          <w:bCs w:val="0"/>
          <w:i/>
          <w:iCs/>
          <w:color w:val="000000"/>
          <w:sz w:val="24"/>
          <w:szCs w:val="24"/>
          <w:highlight w:val="white"/>
        </w:rPr>
        <w:t xml:space="preserve">ấu khung chịu lực BTCT; tường bao xây gạch; sàn, mái BTCT đổ tại chỗ không có tầng hầm</w:t>
      </w:r>
      <w:r>
        <w:rPr>
          <w:rFonts w:ascii="Times New Roman" w:hAnsi="Times New Roman" w:eastAsia="Times New Roman" w:cs="Times New Roman"/>
          <w:b w:val="0"/>
          <w:bCs w:val="0"/>
          <w:i/>
          <w:iCs/>
          <w:color w:val="000000"/>
          <w:sz w:val="24"/>
          <w:szCs w:val="24"/>
          <w:highlight w:val="none"/>
        </w:rPr>
        <w:t xml:space="preserve"> </w:t>
      </w:r>
      <w:r>
        <w:rPr>
          <w:rFonts w:ascii="Times New Roman" w:hAnsi="Times New Roman" w:eastAsia="Times New Roman" w:cs="Times New Roman"/>
          <w:b w:val="0"/>
          <w:bCs w:val="0"/>
          <w:i/>
          <w:iCs/>
          <w:color w:val="000000"/>
          <w:sz w:val="24"/>
          <w:szCs w:val="24"/>
          <w:highlight w:val="none"/>
        </w:rPr>
        <w:t xml:space="preserve">là </w:t>
      </w:r>
      <w:r>
        <w:rPr>
          <w:rFonts w:ascii="Times New Roman" w:hAnsi="Times New Roman" w:eastAsia="Times New Roman" w:cs="Times New Roman"/>
          <w:b w:val="0"/>
          <w:bCs w:val="0"/>
          <w:i/>
          <w:iCs/>
          <w:color w:val="000000"/>
          <w:sz w:val="24"/>
          <w:szCs w:val="24"/>
          <w:highlight w:val="none"/>
        </w:rPr>
        <w:t xml:space="preserve">8.370.000 </w:t>
      </w:r>
      <w:r>
        <w:rPr>
          <w:b w:val="0"/>
          <w:bCs w:val="0"/>
          <w:i/>
          <w:iCs/>
          <w:sz w:val="24"/>
          <w:szCs w:val="24"/>
        </w:rPr>
        <w:t xml:space="preserve">đồng/m²</w:t>
      </w:r>
      <w:r>
        <w:rPr>
          <w:rFonts w:ascii="Times New Roman" w:hAnsi="Times New Roman" w:eastAsia="Times New Roman" w:cs="Times New Roman"/>
          <w:b w:val="0"/>
          <w:bCs w:val="0"/>
          <w:i/>
          <w:iCs/>
          <w:color w:val="000000"/>
          <w:sz w:val="24"/>
          <w:szCs w:val="24"/>
          <w:highlight w:val="none"/>
        </w:rPr>
        <w:t xml:space="preserve">. </w:t>
      </w:r>
      <w:r>
        <w:rPr>
          <w:b w:val="0"/>
          <w:bCs/>
          <w:i/>
          <w:sz w:val="24"/>
          <w:szCs w:val="24"/>
          <w:highlight w:val="none"/>
        </w:rPr>
      </w:r>
      <w:r>
        <w:rPr>
          <w:b w:val="0"/>
          <w:bCs/>
          <w:i/>
          <w:sz w:val="24"/>
          <w:szCs w:val="24"/>
          <w:highlight w:val="none"/>
        </w:rPr>
      </w:r>
    </w:p>
    <w:p>
      <w:pPr>
        <w:pStyle w:val="1040"/>
        <w:numPr>
          <w:ilvl w:val="0"/>
          <w:numId w:val="42"/>
        </w:numPr>
        <w:pBdr/>
        <w:spacing w:after="120" w:before="120" w:line="276" w:lineRule="auto"/>
        <w:ind/>
        <w:jc w:val="both"/>
        <w:rPr>
          <w:b/>
          <w:bCs/>
          <w:sz w:val="24"/>
          <w:szCs w:val="24"/>
        </w:rPr>
      </w:pPr>
      <w:r>
        <w:rPr>
          <w:rFonts w:ascii="Times New Roman" w:hAnsi="Times New Roman" w:eastAsia="Times New Roman" w:cs="Times New Roman"/>
          <w:b w:val="0"/>
          <w:bCs w:val="0"/>
          <w:i/>
          <w:iCs/>
          <w:color w:val="000000"/>
          <w:sz w:val="24"/>
          <w:szCs w:val="24"/>
          <w:highlight w:val="none"/>
        </w:rPr>
        <w:t xml:space="preserve">Hệ </w:t>
      </w:r>
      <w:r>
        <w:rPr>
          <w:rFonts w:ascii="Times New Roman" w:hAnsi="Times New Roman" w:eastAsia="Times New Roman" w:cs="Times New Roman"/>
          <w:b w:val="0"/>
          <w:bCs w:val="0"/>
          <w:i/>
          <w:iCs/>
          <w:color w:val="000000"/>
          <w:sz w:val="24"/>
          <w:szCs w:val="24"/>
          <w:highlight w:val="none"/>
        </w:rPr>
        <w:t xml:space="preserve">số </w:t>
      </w:r>
      <w:r>
        <w:rPr>
          <w:rFonts w:ascii="Times New Roman" w:hAnsi="Times New Roman" w:eastAsia="Times New Roman" w:cs="Times New Roman"/>
          <w:b w:val="0"/>
          <w:bCs w:val="0"/>
          <w:i/>
          <w:iCs/>
          <w:color w:val="000000"/>
          <w:sz w:val="24"/>
          <w:szCs w:val="24"/>
          <w:highlight w:val="none"/>
        </w:rPr>
        <w:t xml:space="preserve">điều </w:t>
      </w:r>
      <w:r>
        <w:rPr>
          <w:rFonts w:ascii="Times New Roman" w:hAnsi="Times New Roman" w:eastAsia="Times New Roman" w:cs="Times New Roman"/>
          <w:b w:val="0"/>
          <w:bCs w:val="0"/>
          <w:i/>
          <w:iCs/>
          <w:color w:val="000000"/>
          <w:sz w:val="24"/>
          <w:szCs w:val="24"/>
          <w:highlight w:val="none"/>
        </w:rPr>
        <w:t xml:space="preserve">chỉnh </w:t>
      </w:r>
      <w:r>
        <w:rPr>
          <w:rFonts w:ascii="Times New Roman" w:hAnsi="Times New Roman" w:eastAsia="Times New Roman" w:cs="Times New Roman"/>
          <w:b w:val="0"/>
          <w:bCs w:val="0"/>
          <w:i/>
          <w:iCs/>
          <w:color w:val="000000"/>
          <w:sz w:val="24"/>
          <w:szCs w:val="24"/>
          <w:highlight w:val="none"/>
        </w:rPr>
        <w:t xml:space="preserve">tại </w:t>
      </w:r>
      <w:r>
        <w:rPr>
          <w:rFonts w:ascii="Times New Roman" w:hAnsi="Times New Roman" w:eastAsia="Times New Roman" w:cs="Times New Roman"/>
          <w:b w:val="0"/>
          <w:bCs w:val="0"/>
          <w:i/>
          <w:iCs/>
          <w:color w:val="000000"/>
          <w:sz w:val="24"/>
          <w:szCs w:val="24"/>
          <w:highlight w:val="none"/>
        </w:rPr>
        <w:t xml:space="preserve">vùng 3 </w:t>
      </w:r>
      <w:r>
        <w:rPr>
          <w:rFonts w:ascii="Times New Roman" w:hAnsi="Times New Roman" w:eastAsia="Times New Roman" w:cs="Times New Roman"/>
          <w:b w:val="0"/>
          <w:bCs w:val="0"/>
          <w:i/>
          <w:iCs/>
          <w:color w:val="000000"/>
          <w:sz w:val="24"/>
          <w:szCs w:val="24"/>
          <w:highlight w:val="none"/>
        </w:rPr>
        <w:t xml:space="preserve">- </w:t>
      </w:r>
      <w:r>
        <w:rPr>
          <w:rFonts w:ascii="Times New Roman" w:hAnsi="Times New Roman" w:eastAsia="Times New Roman" w:cs="Times New Roman"/>
          <w:b w:val="0"/>
          <w:bCs w:val="0"/>
          <w:i/>
          <w:iCs/>
          <w:color w:val="000000"/>
          <w:sz w:val="24"/>
          <w:szCs w:val="24"/>
          <w:highlight w:val="none"/>
        </w:rPr>
        <w:t xml:space="preserve">T</w:t>
      </w:r>
      <w:r>
        <w:rPr>
          <w:rFonts w:ascii="Times New Roman" w:hAnsi="Times New Roman" w:eastAsia="Times New Roman" w:cs="Times New Roman"/>
          <w:b w:val="0"/>
          <w:bCs w:val="0"/>
          <w:i/>
          <w:iCs/>
          <w:color w:val="000000"/>
          <w:sz w:val="24"/>
          <w:szCs w:val="24"/>
          <w:highlight w:val="none"/>
        </w:rPr>
        <w:t xml:space="preserve">hành </w:t>
      </w:r>
      <w:r>
        <w:rPr>
          <w:rFonts w:ascii="Times New Roman" w:hAnsi="Times New Roman" w:eastAsia="Times New Roman" w:cs="Times New Roman"/>
          <w:b w:val="0"/>
          <w:bCs w:val="0"/>
          <w:i/>
          <w:iCs/>
          <w:color w:val="000000"/>
          <w:sz w:val="24"/>
          <w:szCs w:val="24"/>
          <w:highlight w:val="none"/>
        </w:rPr>
        <w:t xml:space="preserve">phố</w:t>
      </w:r>
      <w:r>
        <w:rPr>
          <w:rFonts w:ascii="Times New Roman" w:hAnsi="Times New Roman" w:eastAsia="Times New Roman" w:cs="Times New Roman"/>
          <w:b w:val="0"/>
          <w:bCs w:val="0"/>
          <w:i/>
          <w:iCs/>
          <w:color w:val="000000"/>
          <w:sz w:val="24"/>
          <w:szCs w:val="24"/>
          <w:highlight w:val="none"/>
        </w:rPr>
        <w:t xml:space="preserve"> </w:t>
      </w:r>
      <w:r>
        <w:rPr>
          <w:rFonts w:ascii="Times New Roman" w:hAnsi="Times New Roman" w:eastAsia="Times New Roman" w:cs="Times New Roman"/>
          <w:b w:val="0"/>
          <w:bCs w:val="0"/>
          <w:i/>
          <w:iCs/>
          <w:color w:val="000000"/>
          <w:sz w:val="24"/>
          <w:szCs w:val="24"/>
          <w:highlight w:val="none"/>
        </w:rPr>
        <w:t xml:space="preserve">Đà </w:t>
      </w:r>
      <w:r>
        <w:rPr>
          <w:rFonts w:ascii="Times New Roman" w:hAnsi="Times New Roman" w:eastAsia="Times New Roman" w:cs="Times New Roman"/>
          <w:b w:val="0"/>
          <w:bCs w:val="0"/>
          <w:i/>
          <w:iCs/>
          <w:color w:val="000000"/>
          <w:sz w:val="24"/>
          <w:szCs w:val="24"/>
          <w:highlight w:val="none"/>
        </w:rPr>
        <w:t xml:space="preserve">N</w:t>
      </w:r>
      <w:r>
        <w:rPr>
          <w:rFonts w:ascii="Times New Roman" w:hAnsi="Times New Roman" w:eastAsia="Times New Roman" w:cs="Times New Roman"/>
          <w:b w:val="0"/>
          <w:bCs w:val="0"/>
          <w:i/>
          <w:iCs/>
          <w:color w:val="000000"/>
          <w:sz w:val="24"/>
          <w:szCs w:val="24"/>
          <w:highlight w:val="none"/>
        </w:rPr>
        <w:t xml:space="preserve">ẵng</w:t>
      </w:r>
      <w:r>
        <w:rPr>
          <w:rFonts w:ascii="Times New Roman" w:hAnsi="Times New Roman" w:eastAsia="Times New Roman" w:cs="Times New Roman"/>
          <w:b w:val="0"/>
          <w:bCs w:val="0"/>
          <w:i/>
          <w:iCs/>
          <w:color w:val="000000"/>
          <w:sz w:val="24"/>
          <w:szCs w:val="24"/>
          <w:highlight w:val="none"/>
        </w:rPr>
        <w:t xml:space="preserve"> </w:t>
      </w:r>
      <w:r>
        <w:rPr>
          <w:rFonts w:ascii="Times New Roman" w:hAnsi="Times New Roman" w:eastAsia="Times New Roman" w:cs="Times New Roman"/>
          <w:b w:val="0"/>
          <w:bCs w:val="0"/>
          <w:i/>
          <w:iCs/>
          <w:color w:val="000000"/>
          <w:sz w:val="24"/>
          <w:szCs w:val="24"/>
          <w:highlight w:val="none"/>
        </w:rPr>
        <w:t xml:space="preserve">là: 1,032</w:t>
      </w:r>
      <w:r>
        <w:rPr>
          <w:b/>
          <w:bCs/>
          <w:sz w:val="24"/>
          <w:szCs w:val="24"/>
        </w:rPr>
      </w:r>
      <w:r>
        <w:rPr>
          <w:b/>
          <w:bCs/>
          <w:sz w:val="24"/>
          <w:szCs w:val="24"/>
        </w:rPr>
      </w:r>
    </w:p>
    <w:p>
      <w:pPr>
        <w:pBdr/>
        <w:spacing w:after="120" w:before="120" w:line="276" w:lineRule="auto"/>
        <w:ind w:firstLine="0" w:left="0"/>
        <w:jc w:val="both"/>
        <w:rPr>
          <w:b/>
          <w:bCs/>
          <w:sz w:val="24"/>
          <w:szCs w:val="24"/>
          <w:highlight w:val="none"/>
        </w:rPr>
      </w:pPr>
      <w:r>
        <w:rPr>
          <w:b/>
          <w:bCs/>
          <w:sz w:val="24"/>
          <w:szCs w:val="24"/>
          <w:highlight w:val="none"/>
        </w:rPr>
      </w:r>
      <w:r>
        <w:rPr>
          <w:rFonts w:ascii="Times New Roman" w:hAnsi="Times New Roman" w:eastAsia="Times New Roman" w:cs="Times New Roman"/>
          <w:b w:val="0"/>
          <w:bCs w:val="0"/>
          <w:color w:val="000000"/>
          <w:sz w:val="24"/>
          <w:szCs w:val="24"/>
          <w:highlight w:val="none"/>
        </w:rPr>
        <w:t xml:space="preserve">Như </w:t>
      </w:r>
      <w:r>
        <w:rPr>
          <w:rFonts w:ascii="Times New Roman" w:hAnsi="Times New Roman" w:eastAsia="Times New Roman" w:cs="Times New Roman"/>
          <w:b w:val="0"/>
          <w:bCs w:val="0"/>
          <w:color w:val="000000"/>
          <w:sz w:val="24"/>
          <w:szCs w:val="24"/>
          <w:highlight w:val="none"/>
        </w:rPr>
        <w:t xml:space="preserve">vậy, </w:t>
      </w:r>
      <w:r>
        <w:rPr>
          <w:rFonts w:ascii="Times New Roman" w:hAnsi="Times New Roman" w:eastAsia="Times New Roman" w:cs="Times New Roman"/>
          <w:b w:val="0"/>
          <w:bCs w:val="0"/>
          <w:color w:val="000000"/>
          <w:sz w:val="24"/>
          <w:szCs w:val="24"/>
          <w:highlight w:val="none"/>
        </w:rPr>
        <w:t xml:space="preserve">đơn </w:t>
      </w:r>
      <w:r>
        <w:rPr>
          <w:rFonts w:ascii="Times New Roman" w:hAnsi="Times New Roman" w:eastAsia="Times New Roman" w:cs="Times New Roman"/>
          <w:b w:val="0"/>
          <w:bCs w:val="0"/>
          <w:color w:val="000000"/>
          <w:sz w:val="24"/>
          <w:szCs w:val="24"/>
          <w:highlight w:val="none"/>
        </w:rPr>
        <w:t xml:space="preserve">giá </w:t>
      </w:r>
      <w:r>
        <w:rPr>
          <w:rFonts w:ascii="Times New Roman" w:hAnsi="Times New Roman" w:eastAsia="Times New Roman" w:cs="Times New Roman"/>
          <w:b w:val="0"/>
          <w:bCs w:val="0"/>
          <w:color w:val="000000"/>
          <w:sz w:val="24"/>
          <w:szCs w:val="24"/>
          <w:highlight w:val="none"/>
        </w:rPr>
        <w:t xml:space="preserve">xây </w:t>
      </w:r>
      <w:r>
        <w:rPr>
          <w:rFonts w:ascii="Times New Roman" w:hAnsi="Times New Roman" w:eastAsia="Times New Roman" w:cs="Times New Roman"/>
          <w:b w:val="0"/>
          <w:bCs w:val="0"/>
          <w:color w:val="000000"/>
          <w:sz w:val="24"/>
          <w:szCs w:val="24"/>
          <w:highlight w:val="none"/>
        </w:rPr>
        <w:t xml:space="preserve">mới </w:t>
      </w:r>
      <w:r>
        <w:rPr>
          <w:rFonts w:ascii="Times New Roman" w:hAnsi="Times New Roman" w:eastAsia="Times New Roman" w:cs="Times New Roman"/>
          <w:b w:val="0"/>
          <w:bCs w:val="0"/>
          <w:color w:val="000000"/>
          <w:sz w:val="24"/>
          <w:szCs w:val="24"/>
          <w:highlight w:val="none"/>
        </w:rPr>
        <w:t xml:space="preserve">của </w:t>
      </w:r>
      <w:r>
        <w:rPr>
          <w:rFonts w:ascii="Times New Roman" w:hAnsi="Times New Roman" w:eastAsia="Times New Roman" w:cs="Times New Roman"/>
          <w:b w:val="0"/>
          <w:bCs w:val="0"/>
          <w:color w:val="000000"/>
          <w:sz w:val="24"/>
          <w:szCs w:val="24"/>
          <w:highlight w:val="none"/>
        </w:rPr>
        <w:t xml:space="preserve">công </w:t>
      </w:r>
      <w:r>
        <w:rPr>
          <w:rFonts w:ascii="Times New Roman" w:hAnsi="Times New Roman" w:eastAsia="Times New Roman" w:cs="Times New Roman"/>
          <w:b w:val="0"/>
          <w:bCs w:val="0"/>
          <w:color w:val="000000"/>
          <w:sz w:val="24"/>
          <w:szCs w:val="24"/>
          <w:highlight w:val="none"/>
        </w:rPr>
        <w:t xml:space="preserve">trình </w:t>
      </w:r>
      <w:r>
        <w:rPr>
          <w:rFonts w:ascii="Times New Roman" w:hAnsi="Times New Roman" w:eastAsia="Times New Roman" w:cs="Times New Roman"/>
          <w:b w:val="0"/>
          <w:bCs w:val="0"/>
          <w:color w:val="000000"/>
          <w:sz w:val="24"/>
          <w:szCs w:val="24"/>
          <w:highlight w:val="none"/>
        </w:rPr>
        <w:t xml:space="preserve">xây </w:t>
      </w:r>
      <w:r>
        <w:rPr>
          <w:rFonts w:ascii="Times New Roman" w:hAnsi="Times New Roman" w:eastAsia="Times New Roman" w:cs="Times New Roman"/>
          <w:b w:val="0"/>
          <w:bCs w:val="0"/>
          <w:color w:val="000000"/>
          <w:sz w:val="24"/>
          <w:szCs w:val="24"/>
          <w:highlight w:val="none"/>
        </w:rPr>
        <w:t xml:space="preserve">dựng </w:t>
      </w:r>
      <w:r>
        <w:rPr>
          <w:rFonts w:ascii="Times New Roman" w:hAnsi="Times New Roman" w:eastAsia="Times New Roman" w:cs="Times New Roman"/>
          <w:b w:val="0"/>
          <w:bCs w:val="0"/>
          <w:color w:val="000000"/>
          <w:sz w:val="24"/>
          <w:szCs w:val="24"/>
          <w:highlight w:val="none"/>
        </w:rPr>
        <w:t xml:space="preserve">không </w:t>
      </w:r>
      <w:r>
        <w:rPr>
          <w:rFonts w:ascii="Times New Roman" w:hAnsi="Times New Roman" w:eastAsia="Times New Roman" w:cs="Times New Roman"/>
          <w:b w:val="0"/>
          <w:bCs w:val="0"/>
          <w:color w:val="000000"/>
          <w:sz w:val="24"/>
          <w:szCs w:val="24"/>
          <w:highlight w:val="none"/>
        </w:rPr>
        <w:t xml:space="preserve">bao </w:t>
      </w:r>
      <w:r>
        <w:rPr>
          <w:rFonts w:ascii="Times New Roman" w:hAnsi="Times New Roman" w:eastAsia="Times New Roman" w:cs="Times New Roman"/>
          <w:b w:val="0"/>
          <w:bCs w:val="0"/>
          <w:color w:val="000000"/>
          <w:sz w:val="24"/>
          <w:szCs w:val="24"/>
          <w:highlight w:val="none"/>
        </w:rPr>
        <w:t xml:space="preserve">gồ</w:t>
      </w:r>
      <w:r>
        <w:rPr>
          <w:rFonts w:ascii="Times New Roman" w:hAnsi="Times New Roman" w:eastAsia="Times New Roman" w:cs="Times New Roman"/>
          <w:b w:val="0"/>
          <w:bCs w:val="0"/>
          <w:color w:val="000000"/>
          <w:sz w:val="24"/>
          <w:szCs w:val="24"/>
          <w:highlight w:val="none"/>
        </w:rPr>
        <w:t xml:space="preserve">m</w:t>
      </w:r>
      <w:r>
        <w:rPr>
          <w:rFonts w:ascii="Times New Roman" w:hAnsi="Times New Roman" w:eastAsia="Times New Roman" w:cs="Times New Roman"/>
          <w:b w:val="0"/>
          <w:bCs w:val="0"/>
          <w:color w:val="000000"/>
          <w:sz w:val="24"/>
          <w:szCs w:val="24"/>
          <w:highlight w:val="none"/>
        </w:rPr>
        <w:t xml:space="preserve"> </w:t>
      </w:r>
      <w:r>
        <w:rPr>
          <w:rFonts w:ascii="Times New Roman" w:hAnsi="Times New Roman" w:eastAsia="Times New Roman" w:cs="Times New Roman"/>
          <w:b w:val="0"/>
          <w:bCs w:val="0"/>
          <w:color w:val="000000"/>
          <w:sz w:val="24"/>
          <w:szCs w:val="24"/>
          <w:highlight w:val="none"/>
        </w:rPr>
        <w:t xml:space="preserve">VAT </w:t>
      </w:r>
      <w:r>
        <w:rPr>
          <w:rFonts w:ascii="Times New Roman" w:hAnsi="Times New Roman" w:eastAsia="Times New Roman" w:cs="Times New Roman"/>
          <w:b w:val="0"/>
          <w:bCs w:val="0"/>
          <w:color w:val="000000"/>
          <w:sz w:val="24"/>
          <w:szCs w:val="24"/>
          <w:highlight w:val="none"/>
        </w:rPr>
        <w:t xml:space="preserve">được </w:t>
      </w:r>
      <w:r>
        <w:rPr>
          <w:rFonts w:ascii="Times New Roman" w:hAnsi="Times New Roman" w:eastAsia="Times New Roman" w:cs="Times New Roman"/>
          <w:b w:val="0"/>
          <w:bCs w:val="0"/>
          <w:color w:val="000000"/>
          <w:sz w:val="24"/>
          <w:szCs w:val="24"/>
          <w:highlight w:val="none"/>
        </w:rPr>
        <w:t xml:space="preserve">xác </w:t>
      </w:r>
      <w:r>
        <w:rPr>
          <w:rFonts w:ascii="Times New Roman" w:hAnsi="Times New Roman" w:eastAsia="Times New Roman" w:cs="Times New Roman"/>
          <w:b w:val="0"/>
          <w:bCs w:val="0"/>
          <w:color w:val="000000"/>
          <w:sz w:val="24"/>
          <w:szCs w:val="24"/>
          <w:highlight w:val="none"/>
        </w:rPr>
        <w:t xml:space="preserve">định</w:t>
      </w:r>
      <w:r>
        <w:rPr>
          <w:rFonts w:ascii="Times New Roman" w:hAnsi="Times New Roman" w:eastAsia="Times New Roman" w:cs="Times New Roman"/>
          <w:b w:val="0"/>
          <w:bCs w:val="0"/>
          <w:color w:val="000000"/>
          <w:sz w:val="24"/>
          <w:szCs w:val="24"/>
          <w:highlight w:val="none"/>
        </w:rPr>
        <w:t xml:space="preserve"> </w:t>
      </w:r>
      <w:r>
        <w:rPr>
          <w:rFonts w:ascii="Times New Roman" w:hAnsi="Times New Roman" w:eastAsia="Times New Roman" w:cs="Times New Roman"/>
          <w:b w:val="0"/>
          <w:bCs w:val="0"/>
          <w:color w:val="000000"/>
          <w:sz w:val="24"/>
          <w:szCs w:val="24"/>
          <w:highlight w:val="none"/>
        </w:rPr>
        <w:t xml:space="preserve">là: 8.370.000 </w:t>
      </w:r>
      <w:r>
        <w:rPr>
          <w:rFonts w:ascii="Times New Roman" w:hAnsi="Times New Roman" w:eastAsia="Times New Roman" w:cs="Times New Roman"/>
          <w:b w:val="0"/>
          <w:bCs w:val="0"/>
          <w:color w:val="000000"/>
          <w:sz w:val="24"/>
          <w:szCs w:val="24"/>
          <w:highlight w:val="none"/>
        </w:rPr>
        <w:t xml:space="preserve">x 1,032/1,1 = </w:t>
      </w:r>
      <w:r>
        <w:rPr>
          <w:rFonts w:ascii="Times New Roman" w:hAnsi="Times New Roman" w:eastAsia="Times New Roman" w:cs="Times New Roman"/>
          <w:b/>
          <w:bCs/>
          <w:color w:val="000000"/>
          <w:sz w:val="24"/>
          <w:szCs w:val="24"/>
          <w:highlight w:val="none"/>
        </w:rPr>
        <w:t xml:space="preserve">7.852.582</w:t>
      </w:r>
      <w:r>
        <w:rPr>
          <w:rFonts w:ascii="Times New Roman" w:hAnsi="Times New Roman" w:eastAsia="Times New Roman" w:cs="Times New Roman"/>
          <w:b/>
          <w:bCs/>
          <w:color w:val="000000"/>
          <w:sz w:val="24"/>
          <w:szCs w:val="24"/>
          <w:highlight w:val="none"/>
        </w:rPr>
        <w:t xml:space="preserve"> </w:t>
      </w:r>
      <w:r>
        <w:rPr>
          <w:b/>
          <w:bCs/>
          <w:sz w:val="24"/>
          <w:szCs w:val="24"/>
        </w:rPr>
        <w:t xml:space="preserve">đồng/m²</w:t>
      </w:r>
      <w:r>
        <w:rPr>
          <w:b/>
          <w:bCs/>
          <w:sz w:val="24"/>
          <w:szCs w:val="24"/>
          <w:highlight w:val="none"/>
        </w:rPr>
        <w:t xml:space="preserve">. </w:t>
      </w:r>
      <w:r>
        <w:rPr>
          <w:b/>
          <w:bCs/>
          <w:sz w:val="24"/>
          <w:szCs w:val="24"/>
          <w:highlight w:val="none"/>
        </w:rPr>
      </w:r>
      <w:r>
        <w:rPr>
          <w:b/>
          <w:bCs/>
          <w:sz w:val="24"/>
          <w:szCs w:val="24"/>
          <w:highlight w:val="none"/>
        </w:rPr>
      </w:r>
    </w:p>
    <w:p>
      <w:pPr>
        <w:pStyle w:val="1040"/>
        <w:numPr>
          <w:ilvl w:val="0"/>
          <w:numId w:val="44"/>
        </w:numPr>
        <w:pBdr/>
        <w:spacing w:after="120" w:before="120" w:line="276" w:lineRule="auto"/>
        <w:ind/>
        <w:jc w:val="both"/>
        <w:rPr>
          <w:b/>
          <w:bCs/>
        </w:rPr>
      </w:pPr>
      <w:r>
        <w:rPr>
          <w:b/>
          <w:bCs/>
          <w:highlight w:val="none"/>
        </w:rPr>
        <w:t xml:space="preserve">Xác </w:t>
      </w:r>
      <w:r>
        <w:rPr>
          <w:b/>
          <w:bCs/>
          <w:highlight w:val="none"/>
        </w:rPr>
        <w:t xml:space="preserve">định </w:t>
      </w:r>
      <w:r>
        <w:rPr>
          <w:b/>
          <w:bCs/>
          <w:highlight w:val="none"/>
        </w:rPr>
        <w:t xml:space="preserve">tỷ </w:t>
      </w:r>
      <w:r>
        <w:rPr>
          <w:b/>
          <w:bCs/>
          <w:highlight w:val="none"/>
        </w:rPr>
        <w:t xml:space="preserve">lệ </w:t>
      </w:r>
      <w:r>
        <w:rPr>
          <w:b/>
          <w:bCs/>
          <w:highlight w:val="none"/>
        </w:rPr>
        <w:t xml:space="preserve">hao </w:t>
      </w:r>
      <w:r>
        <w:rPr>
          <w:b/>
          <w:bCs/>
          <w:highlight w:val="none"/>
        </w:rPr>
        <w:t xml:space="preserve">mòn</w:t>
      </w:r>
      <w:r>
        <w:rPr>
          <w:b/>
          <w:bCs/>
          <w:highlight w:val="none"/>
        </w:rPr>
        <w:t xml:space="preserve"> </w:t>
      </w:r>
      <w:r>
        <w:rPr>
          <w:b/>
          <w:bCs/>
          <w:highlight w:val="none"/>
        </w:rPr>
        <w:t xml:space="preserve">của </w:t>
      </w:r>
      <w:r>
        <w:rPr>
          <w:b/>
          <w:bCs/>
          <w:highlight w:val="none"/>
        </w:rPr>
        <w:t xml:space="preserve">c</w:t>
      </w:r>
      <w:r>
        <w:rPr>
          <w:b/>
          <w:bCs/>
          <w:highlight w:val="none"/>
        </w:rPr>
        <w:t xml:space="preserve">ông </w:t>
      </w:r>
      <w:r>
        <w:rPr>
          <w:b/>
          <w:bCs/>
          <w:highlight w:val="none"/>
        </w:rPr>
        <w:t xml:space="preserve">trình </w:t>
      </w:r>
      <w:r>
        <w:rPr>
          <w:b/>
          <w:bCs/>
          <w:highlight w:val="none"/>
        </w:rPr>
        <w:t xml:space="preserve">xây </w:t>
      </w:r>
      <w:r>
        <w:rPr>
          <w:b/>
          <w:bCs/>
          <w:highlight w:val="none"/>
        </w:rPr>
        <w:t xml:space="preserve">dựng: </w:t>
      </w:r>
      <w:r>
        <w:rPr>
          <w:b/>
          <w:bCs/>
        </w:rPr>
      </w:r>
      <w:r>
        <w:rPr>
          <w:b/>
          <w:bCs/>
        </w:rP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Tỷ lệ chất lượng còn lại của tài sản được xác định căn cứ vào thực trạng của tài sản; niên hạn sử dụng và thời gian đã sử dụng của công trình xây dựng. Ngoài ra, Tổ thẩm định căn cứ vào hiện trạng sử dụng của tài sản và quá trình cải tạo, nâng cấp để xác đ</w:t>
      </w:r>
      <w:r>
        <w:rPr>
          <w:rFonts w:ascii="Times New Roman" w:hAnsi="Times New Roman" w:eastAsia="Times New Roman" w:cs="Times New Roman"/>
          <w:color w:val="000000"/>
          <w:sz w:val="24"/>
          <w:highlight w:val="white"/>
        </w:rPr>
        <w:t xml:space="preserve">ịnh tỷ lệ chất lượng còn lại của tài sản cho phù hợp với thực tế. Căn cứ theo đặc thù và hiện trạng sử dụng của tài sản, tổ thẩm định sử dụng phương pháp tuổi đời và phương pháp chuyên gia để xác định tỷ lệ chất lượng còn lại của tài sản với công thức như </w:t>
      </w:r>
      <w:r>
        <w:rPr>
          <w:rFonts w:ascii="Times New Roman" w:hAnsi="Times New Roman" w:eastAsia="Times New Roman" w:cs="Times New Roman"/>
          <w:color w:val="000000"/>
          <w:sz w:val="24"/>
          <w:highlight w:val="white"/>
        </w:rPr>
        <w:t xml:space="preserve">sau:</w:t>
      </w:r>
      <w:r/>
    </w:p>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b/>
          <w:i/>
          <w:color w:val="000000"/>
          <w:sz w:val="24"/>
        </w:rPr>
        <w:t xml:space="preserve">Tỷ lệ chất lượng còn lại = (Tỷ lệ CLCL theo PP tuổi đời + Tỷ lệ CLCL theo PP chuyên gia)/ 2</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b/>
          <w:color w:val="000000"/>
          <w:sz w:val="24"/>
          <w:highlight w:val="white"/>
        </w:rPr>
        <w:t xml:space="preserve">+ 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center"/>
        <w:rPr/>
      </w:pPr>
      <w:r>
        <w:rPr>
          <w:b/>
          <w:bCs/>
          <w:highlight w:val="none"/>
        </w:rPr>
      </w:r>
      <w:r>
        <w:rPr>
          <w:b/>
          <w:bCs/>
          <w:highlight w:val="none"/>
        </w:rPr>
        <w:t xml:space="preserve"> </w:t>
      </w:r>
      <w:r>
        <w:rPr>
          <w:rFonts w:ascii="Times New Roman" w:hAnsi="Times New Roman" w:eastAsia="Times New Roman" w:cs="Times New Roman"/>
          <w:color w:val="000000"/>
          <w:sz w:val="24"/>
          <w:highlight w:val="white"/>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Tổ thẩm định giả định rằng công trình xây dựng trong khoảng thời gian trích khấu hao được duy tu, sửa chữa định kỳ và đúng quy trình nên tuổi đời hiệu quả bằng tuổi đời thực tế. Theo thông tin khách hàng cung cấp, công trình xây dựng được hoàn thành xây dự</w:t>
      </w:r>
      <w:r>
        <w:rPr>
          <w:rFonts w:ascii="Times New Roman" w:hAnsi="Times New Roman" w:eastAsia="Times New Roman" w:cs="Times New Roman"/>
          <w:color w:val="000000"/>
          <w:sz w:val="24"/>
          <w:highlight w:val="white"/>
        </w:rPr>
        <w:t xml:space="preserve">ng năm 2023, do đó tổ thẩm định xác định tuổi đời hiệu quả của công trình là 3 năm.</w:t>
      </w:r>
      <w:r/>
    </w:p>
    <w:p>
      <w:pPr>
        <w:pBdr/>
        <w:spacing w:after="120" w:before="120" w:line="276" w:lineRule="auto"/>
        <w:ind w:firstLine="0" w:left="0"/>
        <w:jc w:val="both"/>
        <w:rPr>
          <w:b/>
          <w:bCs/>
        </w:rPr>
      </w:pPr>
      <w:r>
        <w:rPr>
          <w:rFonts w:ascii="Times New Roman" w:hAnsi="Times New Roman" w:eastAsia="Times New Roman" w:cs="Times New Roman"/>
          <w:color w:val="000000"/>
          <w:sz w:val="24"/>
          <w:highlight w:val="white"/>
        </w:rPr>
        <w:t xml:space="preserve">Vận dụng khung thời gian trích khấu hao TSCĐ tại Thông tư 45/2013/TT-BTC ngày 25/4/2013 của Bộ Tài Chính về việc hướng dẫn chế độ quản lý, sử dụng và trích khấu hao tài sản cố định, kết hợp với khảo sát thông tin thị trường và quan sát hiện trạng thực tế c</w:t>
      </w:r>
      <w:r>
        <w:rPr>
          <w:rFonts w:ascii="Times New Roman" w:hAnsi="Times New Roman" w:eastAsia="Times New Roman" w:cs="Times New Roman"/>
          <w:color w:val="000000"/>
          <w:sz w:val="24"/>
          <w:highlight w:val="white"/>
        </w:rPr>
        <w:t xml:space="preserve">ông trình, tổ thẩm định xác định tuổi đời kinh tế của tài sản thẩm định là 50 năm.</w:t>
      </w:r>
      <w:r>
        <w:rPr>
          <w:b/>
          <w:bCs/>
          <w:highlight w:val="none"/>
        </w:rPr>
      </w:r>
      <w:r>
        <w:rPr>
          <w:b/>
          <w:bCs/>
        </w:rPr>
      </w:r>
    </w:p>
    <w:tbl>
      <w:tblPr>
        <w:tblStyle w:val="1044"/>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3002"/>
        <w:gridCol w:w="1871"/>
        <w:gridCol w:w="1851"/>
        <w:gridCol w:w="1931"/>
        <w:gridCol w:w="1434"/>
        <w:gridCol w:w="2090"/>
      </w:tblGrid>
      <w:tr>
        <w:trPr>
          <w:trHeight w:val="1020"/>
        </w:trPr>
        <w:tc>
          <w:tcPr>
            <w:shd w:val="clear" w:color="ffffff" w:fill="ffffff"/>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3002"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tài sản</w:t>
            </w:r>
            <w:r/>
          </w:p>
        </w:tc>
        <w:tc>
          <w:tcPr>
            <w:tcBorders>
              <w:top w:val="single" w:color="000000" w:sz="3" w:space="0"/>
              <w:bottom w:val="single" w:color="000000" w:sz="3" w:space="0"/>
              <w:right w:val="single" w:color="000000" w:sz="3" w:space="0"/>
            </w:tcBorders>
            <w:tcMar>
              <w:left w:w="0" w:type="dxa"/>
              <w:top w:w="0" w:type="dxa"/>
              <w:right w:w="0" w:type="dxa"/>
              <w:bottom w:w="0" w:type="dxa"/>
            </w:tcMar>
            <w:tcW w:w="187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3" w:space="0"/>
              <w:bottom w:val="single" w:color="000000" w:sz="3" w:space="0"/>
              <w:right w:val="single" w:color="000000" w:sz="3" w:space="0"/>
            </w:tcBorders>
            <w:tcMar>
              <w:left w:w="0" w:type="dxa"/>
              <w:top w:w="0" w:type="dxa"/>
              <w:right w:w="0" w:type="dxa"/>
              <w:bottom w:w="0" w:type="dxa"/>
            </w:tcMar>
            <w:tcW w:w="185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3" w:space="0"/>
              <w:bottom w:val="single" w:color="000000" w:sz="3" w:space="0"/>
              <w:right w:val="single" w:color="000000" w:sz="3" w:space="0"/>
            </w:tcBorders>
            <w:tcMar>
              <w:left w:w="0" w:type="dxa"/>
              <w:top w:w="0" w:type="dxa"/>
              <w:right w:w="0" w:type="dxa"/>
              <w:bottom w:w="0" w:type="dxa"/>
            </w:tcMar>
            <w:tcW w:w="193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3" w:space="0"/>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3" w:space="0"/>
              <w:bottom w:val="single" w:color="000000" w:sz="3" w:space="0"/>
              <w:right w:val="single" w:color="000000" w:sz="3" w:space="0"/>
            </w:tcBorders>
            <w:tcMar>
              <w:left w:w="0" w:type="dxa"/>
              <w:top w:w="0" w:type="dxa"/>
              <w:right w:w="0" w:type="dxa"/>
              <w:bottom w:w="0" w:type="dxa"/>
            </w:tcMar>
            <w:tcW w:w="209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Tỉ lệ hao mòn (%)</w:t>
            </w:r>
            <w:r/>
          </w:p>
        </w:tc>
      </w:tr>
      <w:tr>
        <w:trPr>
          <w:trHeight w:val="340"/>
        </w:trPr>
        <w:tc>
          <w:tcPr>
            <w:shd w:val="clear" w:color="ffffff" w:fill="ffffff"/>
            <w:tcBorders>
              <w:left w:val="single" w:color="000000" w:sz="3" w:space="0"/>
              <w:bottom w:val="single" w:color="000000" w:sz="3" w:space="0"/>
              <w:right w:val="single" w:color="000000" w:sz="3" w:space="0"/>
            </w:tcBorders>
            <w:tcMar>
              <w:left w:w="0" w:type="dxa"/>
              <w:top w:w="0" w:type="dxa"/>
              <w:right w:w="0" w:type="dxa"/>
              <w:bottom w:w="0" w:type="dxa"/>
            </w:tcMar>
            <w:tcW w:w="300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Nhà 2 tầng</w:t>
            </w:r>
            <w:r>
              <w:rPr>
                <w:b w:val="0"/>
                <w:bCs w:val="0"/>
              </w:rPr>
            </w:r>
            <w:r>
              <w:rPr>
                <w:b w:val="0"/>
                <w:bCs w:val="0"/>
              </w:rPr>
            </w:r>
          </w:p>
        </w:tc>
        <w:tc>
          <w:tcPr>
            <w:tcBorders>
              <w:bottom w:val="single" w:color="000000" w:sz="3" w:space="0"/>
              <w:right w:val="single" w:color="000000" w:sz="3" w:space="0"/>
            </w:tcBorders>
            <w:tcMar>
              <w:left w:w="0" w:type="dxa"/>
              <w:top w:w="0" w:type="dxa"/>
              <w:right w:w="0" w:type="dxa"/>
              <w:bottom w:w="0" w:type="dxa"/>
            </w:tcMar>
            <w:tcW w:w="1871"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2023</w:t>
            </w:r>
            <w:r>
              <w:rPr>
                <w:b w:val="0"/>
                <w:bCs w:val="0"/>
              </w:rPr>
            </w:r>
            <w:r>
              <w:rPr>
                <w:b w:val="0"/>
                <w:bCs w:val="0"/>
              </w:rPr>
            </w:r>
          </w:p>
        </w:tc>
        <w:tc>
          <w:tcPr>
            <w:shd w:val="clear" w:color="ffffff" w:fill="ffffff"/>
            <w:tcBorders>
              <w:bottom w:val="single" w:color="000000" w:sz="3" w:space="0"/>
              <w:right w:val="single" w:color="000000" w:sz="3" w:space="0"/>
            </w:tcBorders>
            <w:tcMar>
              <w:left w:w="0" w:type="dxa"/>
              <w:top w:w="0" w:type="dxa"/>
              <w:right w:w="0" w:type="dxa"/>
              <w:bottom w:w="0" w:type="dxa"/>
            </w:tcMar>
            <w:tcW w:w="1851"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2026</w:t>
            </w:r>
            <w:r>
              <w:rPr>
                <w:b w:val="0"/>
                <w:bCs w:val="0"/>
              </w:rPr>
            </w:r>
            <w:r>
              <w:rPr>
                <w:b w:val="0"/>
                <w:bCs w:val="0"/>
              </w:rPr>
            </w:r>
          </w:p>
        </w:tc>
        <w:tc>
          <w:tcPr>
            <w:shd w:val="clear" w:color="ffffff" w:fill="ffffff"/>
            <w:tcBorders>
              <w:bottom w:val="single" w:color="000000" w:sz="3" w:space="0"/>
              <w:right w:val="single" w:color="000000" w:sz="3" w:space="0"/>
            </w:tcBorders>
            <w:tcMar>
              <w:left w:w="0" w:type="dxa"/>
              <w:top w:w="0" w:type="dxa"/>
              <w:right w:w="0" w:type="dxa"/>
              <w:bottom w:w="0" w:type="dxa"/>
            </w:tcMar>
            <w:tcW w:w="1931"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50</w:t>
            </w:r>
            <w:r>
              <w:rPr>
                <w:b w:val="0"/>
                <w:bCs w:val="0"/>
              </w:rPr>
            </w:r>
            <w:r>
              <w:rPr>
                <w:b w:val="0"/>
                <w:bCs w:val="0"/>
              </w:rPr>
            </w:r>
          </w:p>
        </w:tc>
        <w:tc>
          <w:tcPr>
            <w:shd w:val="clear" w:color="ffffff" w:fill="ffffff"/>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4"/>
              </w:rPr>
              <w:t xml:space="preserve">3,00</w:t>
            </w:r>
            <w:r>
              <w:rPr>
                <w:b w:val="0"/>
                <w:bCs w:val="0"/>
              </w:rPr>
            </w:r>
            <w:r>
              <w:rPr>
                <w:b w:val="0"/>
                <w:bCs w:val="0"/>
              </w:rPr>
            </w:r>
          </w:p>
        </w:tc>
        <w:tc>
          <w:tcPr>
            <w:shd w:val="clear" w:color="ffffff" w:fill="ffffff"/>
            <w:tcBorders>
              <w:bottom w:val="single" w:color="000000" w:sz="3" w:space="0"/>
              <w:right w:val="single" w:color="000000" w:sz="3" w:space="0"/>
            </w:tcBorders>
            <w:tcMar>
              <w:left w:w="0" w:type="dxa"/>
              <w:top w:w="0" w:type="dxa"/>
              <w:right w:w="0" w:type="dxa"/>
              <w:bottom w:w="0" w:type="dxa"/>
            </w:tcMar>
            <w:tcW w:w="209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6,0%</w:t>
            </w:r>
            <w:r/>
          </w:p>
        </w:tc>
      </w:tr>
    </w:tbl>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highlight w:val="white"/>
        </w:rPr>
        <w:t xml:space="preserve">Tổ thẩm định xác định tỉ lệ hao mòn theo phương pháp tuổi đời của tài sản thẩm định là: 6%, theo đó tỷ lệ chất lượng còn lại của tài sản là: 94%.</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b/>
          <w:color w:val="000000"/>
          <w:sz w:val="24"/>
          <w:highlight w:val="none"/>
        </w:rPr>
        <w:t xml:space="preserve">+ </w:t>
      </w:r>
      <w:r>
        <w:rPr>
          <w:rFonts w:ascii="Times New Roman" w:hAnsi="Times New Roman" w:eastAsia="Times New Roman" w:cs="Times New Roman"/>
          <w:b/>
          <w:color w:val="000000"/>
          <w:sz w:val="24"/>
          <w:highlight w:val="white"/>
        </w:rPr>
        <w:t xml:space="preserve">Tỉ lệ chất lượng còn lại được tính toán theo phương pháp chuyên gia:</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highlight w:val="white"/>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Công thức tính như sau:</w:t>
      </w:r>
      <w:r/>
    </w:p>
    <w:tbl>
      <w:tblPr>
        <w:tblStyle w:val="1044"/>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438"/>
        <w:gridCol w:w="503"/>
        <w:gridCol w:w="696"/>
        <w:gridCol w:w="2297"/>
        <w:gridCol w:w="554"/>
        <w:gridCol w:w="2904"/>
      </w:tblGrid>
      <w:tr>
        <w:trPr>
          <w:trHeight w:val="284"/>
        </w:trPr>
        <w:tc>
          <w:tcPr>
            <w:tcBorders/>
            <w:tcMar>
              <w:left w:w="108" w:type="dxa"/>
              <w:top w:w="0" w:type="dxa"/>
              <w:right w:w="108" w:type="dxa"/>
              <w:bottom w:w="0" w:type="dxa"/>
            </w:tcMar>
            <w:tcW w:w="243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0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696" w:type="dxa"/>
            <w:vAlign w:val="center"/>
            <w:textDirection w:val="lrTb"/>
            <w:noWrap w:val="false"/>
          </w:tcPr>
          <w:p>
            <w:pPr>
              <w:pBdr/>
              <w:spacing w:after="0" w:before="0" w:line="240" w:lineRule="auto"/>
              <w:ind/>
              <w:rPr/>
            </w:pPr>
            <w:r/>
            <w:r/>
          </w:p>
        </w:tc>
        <w:tc>
          <w:tcPr>
            <w:tcBorders>
              <w:bottom w:val="single" w:color="000000" w:sz="8" w:space="0"/>
            </w:tcBorders>
            <w:tcMar>
              <w:left w:w="108" w:type="dxa"/>
              <w:top w:w="0" w:type="dxa"/>
              <w:right w:w="108" w:type="dxa"/>
              <w:bottom w:w="0" w:type="dxa"/>
            </w:tcMar>
            <w:tcW w:w="229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55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90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rHeight w:val="284"/>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ind w:right="0" w:firstLine="426"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i: số thứ tự của kết cấu chính</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n: số các kết cấu chính.</w:t>
      </w:r>
      <w:r/>
    </w:p>
    <w:p>
      <w:pPr>
        <w:pBdr>
          <w:top w:val="none" w:color="000000" w:sz="4" w:space="0"/>
          <w:left w:val="none" w:color="000000" w:sz="4" w:space="0"/>
          <w:bottom w:val="none" w:color="000000" w:sz="4" w:space="0"/>
          <w:right w:val="none" w:color="000000" w:sz="4" w:space="0"/>
        </w:pBdr>
        <w:spacing w:before="120" w:line="276" w:lineRule="auto"/>
        <w:ind w:right="0" w:firstLine="426" w:left="0"/>
        <w:jc w:val="both"/>
        <w:rPr/>
      </w:pPr>
      <w:r>
        <w:rPr>
          <w:rFonts w:ascii="Times New Roman" w:hAnsi="Times New Roman" w:eastAsia="Times New Roman" w:cs="Times New Roman"/>
          <w:color w:val="000000"/>
          <w:sz w:val="24"/>
          <w:highlight w:val="white"/>
        </w:rPr>
        <w:t xml:space="preserve">Xác định tỷ lệ chất lượng còn lại theo phương pháp chuyên gia:</w:t>
      </w:r>
      <w:r/>
    </w:p>
    <w:tbl>
      <w:tblPr>
        <w:tblStyle w:val="1044"/>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2437"/>
        <w:gridCol w:w="2437"/>
        <w:gridCol w:w="1850"/>
        <w:gridCol w:w="1930"/>
        <w:gridCol w:w="1434"/>
      </w:tblGrid>
      <w:tr>
        <w:trPr>
          <w:trHeight w:val="935"/>
        </w:trPr>
        <w:tc>
          <w:tcPr>
            <w:tcBorders>
              <w:top w:val="single" w:color="000000" w:sz="3" w:space="0"/>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TÊN KẾT CẤU CHÍNH</w:t>
            </w:r>
            <w:r/>
          </w:p>
        </w:tc>
        <w:tc>
          <w:tcPr>
            <w:tcBorders>
              <w:top w:val="single" w:color="000000" w:sz="3" w:space="0"/>
              <w:bottom w:val="single" w:color="000000" w:sz="3" w:space="0"/>
              <w:right w:val="single" w:color="000000" w:sz="3" w:space="0"/>
            </w:tcBorders>
            <w:tcMar>
              <w:left w:w="0" w:type="dxa"/>
              <w:top w:w="0" w:type="dxa"/>
              <w:right w:w="0" w:type="dxa"/>
              <w:bottom w:w="0" w:type="dxa"/>
            </w:tcMar>
            <w:tcW w:w="185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3" w:space="0"/>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3" w:space="0"/>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giá trị còn lại các kết cấu chính (%)</w:t>
            </w:r>
            <w:r/>
          </w:p>
        </w:tc>
      </w:tr>
      <w:tr>
        <w:trPr>
          <w:trHeight w:val="34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a</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b</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c</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d</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i/>
                <w:color w:val="000000"/>
                <w:sz w:val="24"/>
              </w:rPr>
              <w:t xml:space="preserve">e = c x d/g</w:t>
            </w:r>
            <w:r/>
          </w:p>
        </w:tc>
      </w:tr>
      <w:tr>
        <w:trPr>
          <w:trHeight w:val="32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Móng</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10%</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16%</w:t>
            </w:r>
            <w:r/>
          </w:p>
        </w:tc>
      </w:tr>
      <w:tr>
        <w:trPr>
          <w:trHeight w:val="34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Khung, cột</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32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3</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Tường</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18%</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28%</w:t>
            </w:r>
            <w:r/>
          </w:p>
        </w:tc>
      </w:tr>
      <w:tr>
        <w:trPr>
          <w:trHeight w:val="32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4</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Nền, sàn</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13%</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21%</w:t>
            </w:r>
            <w:r/>
          </w:p>
        </w:tc>
      </w:tr>
      <w:tr>
        <w:trPr>
          <w:trHeight w:val="34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5</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Kết cấu đỡ mái</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r>
      <w:tr>
        <w:trPr>
          <w:trHeight w:val="32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6</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tcPr>
          <w:p>
            <w:pPr>
              <w:pBdr/>
              <w:spacing w:after="0" w:before="0" w:line="240" w:lineRule="auto"/>
              <w:ind/>
              <w:rPr/>
            </w:pPr>
            <w:r>
              <w:rPr>
                <w:rFonts w:ascii="Times New Roman" w:hAnsi="Times New Roman" w:eastAsia="Times New Roman" w:cs="Times New Roman"/>
                <w:color w:val="000000"/>
                <w:sz w:val="24"/>
              </w:rPr>
              <w:t xml:space="preserve">Mái</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16%</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90%</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25%</w:t>
            </w:r>
            <w:r/>
          </w:p>
        </w:tc>
      </w:tr>
      <w:tr>
        <w:trPr>
          <w:trHeight w:val="32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Tổng cộng (g)</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57%</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r>
      <w:tr>
        <w:trPr>
          <w:trHeight w:val="340"/>
        </w:trPr>
        <w:tc>
          <w:tcPr>
            <w:tcBorders>
              <w:left w:val="single" w:color="000000" w:sz="3" w:space="0"/>
              <w:bottom w:val="single" w:color="000000" w:sz="3" w:space="0"/>
              <w:right w:val="single" w:color="000000" w:sz="3" w:space="0"/>
            </w:tcBorders>
            <w:tcMar>
              <w:left w:w="0" w:type="dxa"/>
              <w:top w:w="0" w:type="dxa"/>
              <w:right w:w="0" w:type="dxa"/>
              <w:bottom w:w="0" w:type="dxa"/>
            </w:tcMar>
            <w:tcW w:w="419"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 </w:t>
            </w:r>
            <w:r/>
          </w:p>
        </w:tc>
        <w:tc>
          <w:tcPr>
            <w:gridSpan w:val="2"/>
            <w:tcBorders>
              <w:top w:val="single" w:color="000000" w:sz="3" w:space="0"/>
              <w:bottom w:val="single" w:color="000000" w:sz="3" w:space="0"/>
              <w:right w:val="single" w:color="000000" w:sz="4" w:space="0"/>
            </w:tcBorders>
            <w:tcMar>
              <w:left w:w="0" w:type="dxa"/>
              <w:top w:w="0" w:type="dxa"/>
              <w:right w:w="0" w:type="dxa"/>
              <w:bottom w:w="0" w:type="dxa"/>
            </w:tcMar>
            <w:tcW w:w="4875"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4"/>
              </w:rPr>
              <w:t xml:space="preserve">Tỷ lệ chất lượng còn lại:</w:t>
            </w:r>
            <w:r/>
          </w:p>
        </w:tc>
        <w:tc>
          <w:tcPr>
            <w:tcBorders>
              <w:bottom w:val="single" w:color="000000" w:sz="3" w:space="0"/>
              <w:right w:val="single" w:color="000000" w:sz="3" w:space="0"/>
            </w:tcBorders>
            <w:tcMar>
              <w:left w:w="0" w:type="dxa"/>
              <w:top w:w="0" w:type="dxa"/>
              <w:right w:w="0" w:type="dxa"/>
              <w:bottom w:w="0" w:type="dxa"/>
            </w:tcMar>
            <w:tcW w:w="185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3" w:space="0"/>
              <w:right w:val="single" w:color="000000" w:sz="3" w:space="0"/>
            </w:tcBorders>
            <w:tcMar>
              <w:left w:w="0" w:type="dxa"/>
              <w:top w:w="0" w:type="dxa"/>
              <w:right w:w="0" w:type="dxa"/>
              <w:bottom w:w="0" w:type="dxa"/>
            </w:tcMar>
            <w:tcW w:w="1930"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 </w:t>
            </w:r>
            <w:r/>
          </w:p>
        </w:tc>
        <w:tc>
          <w:tcPr>
            <w:tcBorders>
              <w:bottom w:val="single" w:color="000000" w:sz="3" w:space="0"/>
              <w:right w:val="single" w:color="000000" w:sz="3" w:space="0"/>
            </w:tcBorders>
            <w:tcMar>
              <w:left w:w="0" w:type="dxa"/>
              <w:top w:w="0" w:type="dxa"/>
              <w:right w:w="0" w:type="dxa"/>
              <w:bottom w:w="0" w:type="dxa"/>
            </w:tcMar>
            <w:tcW w:w="143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90%</w:t>
            </w:r>
            <w:r/>
          </w:p>
        </w:tc>
      </w:tr>
    </w:tbl>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highlight w:val="white"/>
        </w:rPr>
        <w:t xml:space="preserve">Tổ thẩm định xác định tỉ lệ hao mòn theo phương pháp </w:t>
      </w:r>
      <w:r>
        <w:rPr>
          <w:rFonts w:ascii="Times New Roman" w:hAnsi="Times New Roman" w:eastAsia="Times New Roman" w:cs="Times New Roman"/>
          <w:color w:val="000000"/>
          <w:sz w:val="24"/>
          <w:highlight w:val="white"/>
        </w:rPr>
        <w:t xml:space="preserve">chuyên </w:t>
      </w:r>
      <w:r>
        <w:rPr>
          <w:rFonts w:ascii="Times New Roman" w:hAnsi="Times New Roman" w:eastAsia="Times New Roman" w:cs="Times New Roman"/>
          <w:color w:val="000000"/>
          <w:sz w:val="24"/>
          <w:highlight w:val="white"/>
        </w:rPr>
        <w:t xml:space="preserve">gia</w:t>
      </w:r>
      <w:r>
        <w:rPr>
          <w:rFonts w:ascii="Times New Roman" w:hAnsi="Times New Roman" w:eastAsia="Times New Roman" w:cs="Times New Roman"/>
          <w:color w:val="000000"/>
          <w:sz w:val="24"/>
          <w:highlight w:val="white"/>
        </w:rPr>
        <w:t xml:space="preserve"> của tài sản thẩm định là: 10%, theo đó tỷ lệ chất lượng còn lại của tài sản là: 90%.</w:t>
      </w:r>
      <w:r>
        <w:rPr>
          <w:rFonts w:ascii="Times New Roman" w:hAnsi="Times New Roman" w:eastAsia="Times New Roman" w:cs="Times New Roman"/>
          <w:sz w:val="24"/>
        </w:rPr>
      </w:r>
      <w:r>
        <w:rPr>
          <w:rFonts w:ascii="Times New Roman" w:hAnsi="Times New Roman" w:eastAsia="Times New Roman" w:cs="Times New Roman"/>
          <w:sz w:val="24"/>
        </w:rPr>
      </w:r>
    </w:p>
    <w:p>
      <w:pPr>
        <w:pBdr/>
        <w:spacing w:after="120" w:before="120" w:line="276" w:lineRule="auto"/>
        <w:ind w:firstLine="0" w:left="0"/>
        <w:jc w:val="both"/>
        <w:rPr>
          <w:b/>
          <w:bCs/>
          <w:sz w:val="24"/>
          <w:szCs w:val="24"/>
          <w:highlight w:val="none"/>
        </w:rPr>
      </w:pPr>
      <w:r>
        <w:rPr>
          <w:b/>
          <w:bCs/>
          <w:sz w:val="24"/>
          <w:szCs w:val="24"/>
          <w:highlight w:val="none"/>
        </w:rPr>
      </w:r>
      <w:r>
        <w:rPr>
          <w:rFonts w:ascii="Times New Roman" w:hAnsi="Times New Roman" w:eastAsia="Times New Roman" w:cs="Times New Roman"/>
          <w:b/>
          <w:color w:val="000000"/>
          <w:sz w:val="24"/>
          <w:highlight w:val="none"/>
        </w:rPr>
        <w:t xml:space="preserve">+ </w:t>
      </w:r>
      <w:r>
        <w:rPr>
          <w:rFonts w:ascii="Times New Roman" w:hAnsi="Times New Roman" w:eastAsia="Times New Roman" w:cs="Times New Roman"/>
          <w:b/>
          <w:color w:val="000000"/>
          <w:sz w:val="24"/>
          <w:highlight w:val="white"/>
        </w:rPr>
        <w:t xml:space="preserve">Tỉ lệ chất lượng còn lại của nhà 2 tầng = (94% + 90%)/2 = 92% (Làm tròn)</w:t>
      </w:r>
      <w:r>
        <w:rPr>
          <w:b/>
          <w:bCs/>
          <w:sz w:val="24"/>
          <w:szCs w:val="24"/>
          <w:highlight w:val="none"/>
        </w:rPr>
      </w:r>
      <w:r>
        <w:rPr>
          <w:b/>
          <w:bCs/>
          <w:sz w:val="24"/>
          <w:szCs w:val="24"/>
          <w:highlight w:val="none"/>
        </w:rPr>
      </w:r>
    </w:p>
    <w:p>
      <w:pPr>
        <w:pStyle w:val="1040"/>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highlight w:val="white"/>
        </w:rPr>
        <w:t xml:space="preserve">Xác định giá trị công trình xây dựng: </w:t>
      </w:r>
      <w:r/>
    </w:p>
    <w:p>
      <w:pPr>
        <w:pBdr>
          <w:top w:val="none" w:color="000000" w:sz="4" w:space="0"/>
          <w:left w:val="none" w:color="000000" w:sz="4" w:space="0"/>
          <w:bottom w:val="none" w:color="000000" w:sz="4" w:space="0"/>
          <w:right w:val="none" w:color="000000" w:sz="4" w:space="0"/>
        </w:pBdr>
        <w:spacing w:after="80" w:before="80" w:line="276" w:lineRule="auto"/>
        <w:ind w:right="0" w:firstLine="0" w:left="360"/>
        <w:jc w:val="both"/>
        <w:rPr/>
      </w:pPr>
      <w:r>
        <w:rPr>
          <w:rFonts w:ascii="Times New Roman" w:hAnsi="Times New Roman" w:eastAsia="Times New Roman" w:cs="Times New Roman"/>
          <w:color w:val="000000"/>
          <w:spacing w:val="2"/>
          <w:sz w:val="24"/>
        </w:rPr>
        <w:t xml:space="preserve">Công thức:</w:t>
      </w:r>
      <w:r/>
    </w:p>
    <w:tbl>
      <w:tblPr>
        <w:tblStyle w:val="1044"/>
        <w:tblInd w:w="142"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fixed"/>
        <w:tblLook w:val="04A0" w:firstRow="1" w:lastRow="0" w:firstColumn="1" w:lastColumn="0" w:noHBand="0" w:noVBand="1"/>
      </w:tblPr>
      <w:tblGrid>
        <w:gridCol w:w="1642"/>
        <w:gridCol w:w="351"/>
        <w:gridCol w:w="3987"/>
        <w:gridCol w:w="567"/>
        <w:gridCol w:w="2693"/>
      </w:tblGrid>
      <w:tr>
        <w:trPr>
          <w:trHeight w:val="794"/>
        </w:trPr>
        <w:tc>
          <w:tcPr>
            <w:tcBorders/>
            <w:tcMar>
              <w:left w:w="108" w:type="dxa"/>
              <w:top w:w="0" w:type="dxa"/>
              <w:right w:w="108" w:type="dxa"/>
              <w:bottom w:w="0" w:type="dxa"/>
            </w:tcMar>
            <w:tcW w:w="16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pPr>
            <w:r>
              <w:rPr>
                <w:rFonts w:ascii="Times New Roman" w:hAnsi="Times New Roman" w:eastAsia="Times New Roman" w:cs="Times New Roman"/>
                <w:color w:val="000000"/>
                <w:sz w:val="24"/>
              </w:rPr>
              <w:t xml:space="preserve">Giá trị ước tính của tài sản</w:t>
            </w:r>
            <w:r/>
          </w:p>
        </w:tc>
        <w:tc>
          <w:tcPr>
            <w:tcBorders/>
            <w:tcMar>
              <w:left w:w="108" w:type="dxa"/>
              <w:top w:w="0" w:type="dxa"/>
              <w:right w:w="108" w:type="dxa"/>
              <w:bottom w:w="0" w:type="dxa"/>
            </w:tcMar>
            <w:tcW w:w="35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39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pPr>
            <w:r>
              <w:rPr>
                <w:rFonts w:ascii="Times New Roman" w:hAnsi="Times New Roman" w:eastAsia="Times New Roman" w:cs="Times New Roman"/>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before="0" w:line="276" w:lineRule="auto"/>
              <w:ind w:right="0" w:firstLine="0" w:left="0"/>
              <w:jc w:val="center"/>
              <w:rPr/>
            </w:pPr>
            <w:r>
              <w:rPr>
                <w:rFonts w:ascii="Times New Roman" w:hAnsi="Times New Roman" w:eastAsia="Times New Roman" w:cs="Times New Roman"/>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26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line="276" w:lineRule="auto"/>
              <w:ind w:right="0" w:firstLine="0" w:left="0"/>
              <w:jc w:val="center"/>
              <w:rPr/>
            </w:pPr>
            <w:r>
              <w:rPr>
                <w:rFonts w:ascii="Times New Roman" w:hAnsi="Times New Roman" w:eastAsia="Times New Roman" w:cs="Times New Roman"/>
                <w:color w:val="000000"/>
                <w:sz w:val="24"/>
              </w:rPr>
              <w:t xml:space="preserve">Tổng giá trị hao mòn </w:t>
            </w:r>
            <w:r/>
          </w:p>
        </w:tc>
      </w:tr>
    </w:tbl>
    <w:p>
      <w:pPr>
        <w:pBdr/>
        <w:spacing w:after="120" w:before="120" w:line="276" w:lineRule="auto"/>
        <w:ind w:firstLine="0" w:left="0"/>
        <w:jc w:val="both"/>
        <w:rPr>
          <w:b/>
          <w:bCs/>
          <w:sz w:val="24"/>
          <w:szCs w:val="24"/>
          <w:highlight w:val="none"/>
        </w:rPr>
      </w:pPr>
      <w:r>
        <w:rPr>
          <w:b/>
          <w:bCs/>
          <w:sz w:val="24"/>
          <w:szCs w:val="24"/>
          <w:highlight w:val="none"/>
        </w:rPr>
      </w:r>
      <w:r>
        <w:rPr>
          <w:b/>
          <w:bCs/>
          <w:sz w:val="24"/>
          <w:szCs w:val="24"/>
          <w:highlight w:val="none"/>
        </w:rPr>
      </w:r>
      <w:r>
        <w:rPr>
          <w:b/>
          <w:bCs/>
          <w:sz w:val="24"/>
          <w:szCs w:val="24"/>
          <w:highlight w:val="none"/>
        </w:rPr>
      </w:r>
    </w:p>
    <w:tbl>
      <w:tblPr>
        <w:tblInd w:w="170" w:type="dxa"/>
        <w:tblW w:w="97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92"/>
        <w:gridCol w:w="817"/>
        <w:gridCol w:w="1560"/>
        <w:gridCol w:w="1701"/>
        <w:gridCol w:w="1139"/>
        <w:gridCol w:w="1559"/>
        <w:gridCol w:w="1968"/>
      </w:tblGrid>
      <w:tr>
        <w:trPr>
          <w:trHeight w:val="936"/>
        </w:trPr>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817"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992"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817"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992" w:type="dxa"/>
            <w:vAlign w:val="center"/>
            <w:textDirection w:val="lrTb"/>
            <w:noWrap w:val="false"/>
          </w:tcPr>
          <w:p>
            <w:pPr>
              <w:pBdr/>
              <w:spacing w:after="60" w:before="60"/>
              <w:ind/>
              <w:jc w:val="center"/>
              <w:rPr>
                <w:sz w:val="22"/>
                <w:szCs w:val="22"/>
              </w:rPr>
            </w:pPr>
            <w:r>
              <w:rPr>
                <w:sz w:val="22"/>
                <w:szCs w:val="22"/>
              </w:rPr>
              <w:t xml:space="preserve">Nhà 2 tầng</w:t>
            </w:r>
            <w:r>
              <w:rPr>
                <w:sz w:val="22"/>
                <w:szCs w:val="22"/>
              </w:rPr>
            </w:r>
            <w:r>
              <w:rPr>
                <w:sz w:val="22"/>
                <w:szCs w:val="22"/>
              </w:rPr>
            </w:r>
          </w:p>
        </w:tc>
        <w:tc>
          <w:tcPr>
            <w:tcBorders/>
            <w:tcW w:w="817" w:type="dxa"/>
            <w:vAlign w:val="center"/>
            <w:textDirection w:val="lrTb"/>
            <w:noWrap/>
          </w:tcPr>
          <w:p>
            <w:pPr>
              <w:pBdr/>
              <w:spacing w:after="60" w:before="60"/>
              <w:ind/>
              <w:jc w:val="center"/>
              <w:rPr>
                <w:sz w:val="22"/>
                <w:szCs w:val="22"/>
              </w:rPr>
            </w:pPr>
            <w:r>
              <w:rPr>
                <w:sz w:val="22"/>
                <w:szCs w:val="22"/>
              </w:rPr>
              <w:t xml:space="preserve">389,5</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7.852.582</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3.058.580.689</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8%</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244.686.455</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2.813.894.234</w:t>
            </w:r>
            <w:r>
              <w:rPr>
                <w:sz w:val="22"/>
                <w:szCs w:val="22"/>
              </w:rPr>
            </w:r>
            <w:r>
              <w:rPr>
                <w:sz w:val="22"/>
                <w:szCs w:val="22"/>
              </w:rPr>
            </w:r>
          </w:p>
        </w:tc>
      </w:tr>
    </w:tbl>
    <w:p>
      <w:pPr>
        <w:pStyle w:val="1040"/>
        <w:pBdr/>
        <w:spacing w:after="120" w:before="120" w:line="276" w:lineRule="auto"/>
        <w:ind w:left="357"/>
        <w:jc w:val="both"/>
        <w:rPr>
          <w:b/>
          <w:lang w:val="pt-BR"/>
        </w:rPr>
      </w:pPr>
      <w:r>
        <w:rPr>
          <w:b/>
          <w:lang w:val="pt-BR"/>
        </w:rPr>
      </w:r>
      <w:r>
        <w:rPr>
          <w:b/>
          <w:lang w:val="pt-BR"/>
        </w:rPr>
      </w:r>
      <w:r>
        <w:rPr>
          <w:b/>
          <w:lang w:val="pt-BR"/>
        </w:rPr>
      </w:r>
    </w:p>
    <w:p>
      <w:pPr>
        <w:pStyle w:val="1040"/>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0"/>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09/2026</w:t>
      </w:r>
      <w:r>
        <w:t xml:space="preserve"> </w:t>
      </w:r>
      <w:r>
        <w:t xml:space="preserve">ước tính </w:t>
      </w:r>
      <w:r>
        <w:t xml:space="preserve">như sau</w:t>
      </w:r>
      <w:r>
        <w:t xml:space="preserve">:</w:t>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99"/>
        <w:gridCol w:w="2205"/>
        <w:gridCol w:w="1417"/>
        <w:gridCol w:w="1843"/>
        <w:gridCol w:w="1276"/>
        <w:gridCol w:w="1985"/>
      </w:tblGrid>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05"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417"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843"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276" w:type="dxa"/>
            <w:vAlign w:val="center"/>
            <w:textDirection w:val="lrTb"/>
            <w:noWrap w:val="false"/>
          </w:tcPr>
          <w:p>
            <w:pPr>
              <w:pBdr/>
              <w:spacing/>
              <w:ind/>
              <w:rPr>
                <w:b/>
                <w:bCs/>
              </w:rPr>
            </w:pPr>
            <w:r>
              <w:rPr>
                <w:b/>
                <w:bCs/>
              </w:rPr>
              <w:t xml:space="preserve">Tỷ </w:t>
            </w:r>
            <w:r>
              <w:rPr>
                <w:b/>
                <w:bCs/>
              </w:rPr>
              <w:t xml:space="preserve">lệ </w:t>
            </w:r>
            <w:r>
              <w:rPr>
                <w:b/>
                <w:bCs/>
              </w:rPr>
              <w:t xml:space="preserve">CLCL (%)</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4"/>
            <w:shd w:val="clear" w:color="000000" w:fill="ffffff"/>
            <w:tcBorders/>
            <w:tcW w:w="6741" w:type="dxa"/>
            <w:vAlign w:val="center"/>
            <w:textDirection w:val="lrTb"/>
            <w:noWrap w:val="false"/>
          </w:tcPr>
          <w:p>
            <w:pPr>
              <w:pBdr/>
              <w:spacing w:after="40" w:before="40" w:line="288" w:lineRule="auto"/>
              <w:ind/>
              <w:jc w:val="both"/>
              <w:rPr>
                <w:b/>
                <w:bCs/>
              </w:rPr>
            </w:pPr>
            <w:r>
              <w:rPr>
                <w:b/>
                <w:bCs/>
                <w:color w:val="000000"/>
              </w:rPr>
              <w:t xml:space="preserve">Quyề</w:t>
            </w:r>
            <w:r>
              <w:rPr>
                <w:b/>
                <w:bCs/>
                <w:color w:val="000000"/>
              </w:rPr>
              <w:t xml:space="preserve">n sử dụng đất và công trình xây dựng tại thửa đất số 145, tờ bản đồ số 12, có địa chỉ: Lô số 30+31, phân khu B8, khu TĐC Thanh Lộc Đán - Hoà Minh mở rộng, phường Thanh Khê Tây, quận Thanh Khê, thành phố Đà Nẵng (Nay là phường Thanh Khê, Thành phố Đà Nẵng) </w:t>
            </w:r>
            <w:r>
              <w:rPr>
                <w:b/>
                <w:bCs/>
                <w:color w:val="000000"/>
              </w:rPr>
              <w:t xml:space="preserve">theo Giấy chứng nhận quyền sử dụng đất quyền sở hữu nhà ở và tài sản khác gắn liền với đất số DQ 624449, số vào sổ cấp GCN: VP 6027 do Văn phòng đăng ký đất đai Thành phố Đà Nẵng cấp ngày 13/12/2024; Chủ sử dụng đất là Ông Nguyễn Bá Công và Bà Lê Bích Vân.</w:t>
            </w:r>
            <w:r>
              <w:rPr>
                <w:b/>
                <w:bCs/>
              </w:rPr>
            </w:r>
            <w:r>
              <w:rPr>
                <w:b/>
                <w:bCs/>
              </w:rPr>
            </w:r>
          </w:p>
        </w:tc>
        <w:tc>
          <w:tcPr>
            <w:shd w:val="clear" w:color="000000" w:fill="ffffff"/>
            <w:tcBorders/>
            <w:tcW w:w="1985"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2205" w:type="dxa"/>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1417"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240</w:t>
            </w:r>
            <w:r>
              <w:rPr>
                <w:b w:val="0"/>
                <w:bCs w:val="0"/>
                <w:color w:val="000000"/>
              </w:rPr>
            </w:r>
            <w:r>
              <w:rPr>
                <w:b w:val="0"/>
                <w:bCs w:val="0"/>
                <w:color w:val="000000"/>
              </w:rPr>
            </w:r>
          </w:p>
        </w:tc>
        <w:tc>
          <w:tcPr>
            <w:shd w:val="clear" w:color="000000" w:fill="ffffff"/>
            <w:tcBorders/>
            <w:tcW w:w="1843"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90.000.000</w:t>
            </w:r>
            <w:r>
              <w:rPr>
                <w:b w:val="0"/>
                <w:bCs w:val="0"/>
              </w:rPr>
            </w:r>
            <w:r>
              <w:rPr>
                <w:b w:val="0"/>
                <w:bCs w:val="0"/>
              </w:rPr>
            </w:r>
          </w:p>
        </w:tc>
        <w:tc>
          <w:tcPr>
            <w:shd w:val="clear" w:color="000000" w:fill="ffffff"/>
            <w:tcBorders/>
            <w:tcW w:w="1276" w:type="dxa"/>
            <w:vAlign w:val="center"/>
            <w:textDirection w:val="lrTb"/>
            <w:noWrap w:val="false"/>
          </w:tcPr>
          <w:p>
            <w:pPr>
              <w:pBdr/>
              <w:spacing/>
              <w:ind w:firstLine="0" w:left="0"/>
              <w:jc w:val="center"/>
              <w:rPr>
                <w:b w:val="0"/>
                <w:bCs w:val="0"/>
                <w:color w:val="000000" w:themeColor="text1"/>
              </w:rPr>
            </w:pPr>
            <w:r>
              <w:rPr>
                <w:b w:val="0"/>
                <w:bCs w:val="0"/>
                <w:color w:val="000000" w:themeColor="text1"/>
              </w:rPr>
              <w:t xml:space="preserve">100%</w:t>
            </w:r>
            <w:r>
              <w:rPr>
                <w:b w:val="0"/>
                <w:bCs w:val="0"/>
                <w:color w:val="000000" w:themeColor="text1"/>
              </w:rPr>
            </w:r>
            <w:r>
              <w:rPr>
                <w:b w:val="0"/>
                <w:bCs w:val="0"/>
                <w:color w:val="000000" w:themeColor="text1"/>
              </w:rPr>
            </w:r>
          </w:p>
        </w:tc>
        <w:tc>
          <w:tcPr>
            <w:shd w:val="clear" w:color="000000" w:fill="ffffff"/>
            <w:tcBorders/>
            <w:tcW w:w="1985"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21.600.000.000</w:t>
            </w:r>
            <w:r>
              <w:rPr>
                <w:b w:val="0"/>
                <w:bCs w:val="0"/>
              </w:rPr>
            </w:r>
            <w:r>
              <w:rPr>
                <w:b w:val="0"/>
                <w:bCs w:val="0"/>
              </w:rPr>
            </w:r>
          </w:p>
        </w:tc>
      </w:tr>
      <w:tr>
        <w:trPr>
          <w:trHeight w:val="20"/>
        </w:trPr>
        <w:tc>
          <w:tcPr>
            <w:shd w:val="clear" w:color="000000" w:fill="ffffff"/>
            <w:tcBorders/>
            <w:tcW w:w="799" w:type="dxa"/>
            <w:vAlign w:val="center"/>
            <w:textDirection w:val="lrTb"/>
            <w:noWrap w:val="false"/>
          </w:tcPr>
          <w:p>
            <w:pPr>
              <w:pBdr/>
              <w:spacing w:after="40" w:before="40" w:line="288" w:lineRule="auto"/>
              <w:ind/>
              <w:jc w:val="center"/>
              <w:rPr>
                <w:b w:val="0"/>
                <w:bCs w:val="0"/>
              </w:rPr>
            </w:pPr>
            <w:r>
              <w:rPr>
                <w:b w:val="0"/>
                <w:bCs w:val="0"/>
              </w:rPr>
              <w:t xml:space="preserve">2</w:t>
            </w:r>
            <w:r>
              <w:rPr>
                <w:b w:val="0"/>
                <w:bCs w:val="0"/>
              </w:rPr>
            </w:r>
            <w:r>
              <w:rPr>
                <w:b w:val="0"/>
                <w:bCs w:val="0"/>
              </w:rPr>
            </w:r>
          </w:p>
        </w:tc>
        <w:tc>
          <w:tcPr>
            <w:shd w:val="clear" w:color="000000" w:fill="ffffff"/>
            <w:tcBorders/>
            <w:tcW w:w="2205" w:type="dxa"/>
            <w:vAlign w:val="center"/>
            <w:textDirection w:val="lrTb"/>
            <w:noWrap w:val="false"/>
          </w:tcPr>
          <w:p>
            <w:pPr>
              <w:pBdr/>
              <w:spacing w:after="40" w:before="40" w:line="288" w:lineRule="auto"/>
              <w:ind/>
              <w:rPr>
                <w:b w:val="0"/>
                <w:bCs w:val="0"/>
              </w:rPr>
            </w:pPr>
            <w:r>
              <w:rPr>
                <w:b w:val="0"/>
                <w:bCs w:val="0"/>
              </w:rPr>
              <w:t xml:space="preserve">Nhà 2 tầng</w:t>
            </w:r>
            <w:r>
              <w:rPr>
                <w:b w:val="0"/>
                <w:bCs w:val="0"/>
              </w:rPr>
            </w:r>
            <w:r>
              <w:rPr>
                <w:b w:val="0"/>
                <w:bCs w:val="0"/>
              </w:rPr>
            </w:r>
          </w:p>
        </w:tc>
        <w:tc>
          <w:tcPr>
            <w:tcBorders/>
            <w:tcW w:w="1417" w:type="dxa"/>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389,5</w:t>
            </w:r>
            <w:r>
              <w:rPr>
                <w:b w:val="0"/>
                <w:bCs w:val="0"/>
                <w:color w:val="000000"/>
              </w:rPr>
            </w:r>
            <w:r>
              <w:rPr>
                <w:b w:val="0"/>
                <w:bCs w:val="0"/>
                <w:color w:val="000000"/>
              </w:rPr>
            </w:r>
          </w:p>
        </w:tc>
        <w:tc>
          <w:tcPr>
            <w:shd w:val="clear" w:color="000000" w:fill="ffffff"/>
            <w:tcBorders/>
            <w:tcW w:w="1843"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7.852.582</w:t>
            </w:r>
            <w:r>
              <w:rPr>
                <w:b w:val="0"/>
                <w:bCs w:val="0"/>
              </w:rPr>
            </w:r>
            <w:r>
              <w:rPr>
                <w:b w:val="0"/>
                <w:bCs w:val="0"/>
              </w:rPr>
            </w:r>
          </w:p>
        </w:tc>
        <w:tc>
          <w:tcPr>
            <w:shd w:val="clear" w:color="000000" w:fill="ffffff"/>
            <w:tcBorders/>
            <w:tcW w:w="1276" w:type="dxa"/>
            <w:vAlign w:val="center"/>
            <w:textDirection w:val="lrTb"/>
            <w:noWrap w:val="false"/>
          </w:tcPr>
          <w:p>
            <w:pPr>
              <w:pBdr/>
              <w:spacing/>
              <w:ind/>
              <w:jc w:val="center"/>
              <w:rPr>
                <w:b w:val="0"/>
                <w:bCs w:val="0"/>
                <w:color w:val="000000" w:themeColor="text1"/>
              </w:rPr>
            </w:pPr>
            <w:r>
              <w:rPr>
                <w:b w:val="0"/>
                <w:bCs w:val="0"/>
                <w:color w:val="000000" w:themeColor="text1"/>
              </w:rPr>
              <w:t xml:space="preserve">92%</w:t>
            </w:r>
            <w:r>
              <w:rPr>
                <w:b w:val="0"/>
                <w:bCs w:val="0"/>
                <w:color w:val="000000" w:themeColor="text1"/>
              </w:rPr>
            </w:r>
            <w:r>
              <w:rPr>
                <w:b w:val="0"/>
                <w:bCs w:val="0"/>
                <w:color w:val="000000" w:themeColor="text1"/>
              </w:rPr>
            </w:r>
          </w:p>
        </w:tc>
        <w:tc>
          <w:tcPr>
            <w:shd w:val="clear" w:color="000000" w:fill="ffffff"/>
            <w:tcBorders/>
            <w:tcW w:w="1985" w:type="dxa"/>
            <w:vAlign w:val="center"/>
            <w:textDirection w:val="lrTb"/>
            <w:noWrap w:val="false"/>
          </w:tcPr>
          <w:p>
            <w:pPr>
              <w:pBdr/>
              <w:spacing w:after="40" w:before="40" w:line="288" w:lineRule="auto"/>
              <w:ind/>
              <w:jc w:val="center"/>
              <w:rPr>
                <w:b w:val="0"/>
                <w:bCs w:val="0"/>
              </w:rPr>
            </w:pPr>
            <w:r>
              <w:rPr>
                <w:b w:val="0"/>
                <w:bCs w:val="0"/>
                <w:color w:val="000000" w:themeColor="text1"/>
              </w:rPr>
              <w:t xml:space="preserve">2.813.894.234</w:t>
            </w:r>
            <w:r>
              <w:rPr>
                <w:b w:val="0"/>
                <w:bCs w:val="0"/>
              </w:rPr>
            </w:r>
            <w:r>
              <w:rPr>
                <w:b w:val="0"/>
                <w:bCs w:val="0"/>
              </w:rPr>
            </w:r>
          </w:p>
        </w:tc>
      </w:tr>
      <w:tr>
        <w:trPr>
          <w:trHeight w:val="20"/>
        </w:trPr>
        <w:tc>
          <w:tcPr>
            <w:gridSpan w:val="5"/>
            <w:tcBorders/>
            <w:tcW w:w="7540"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t xml:space="preserve">24.413.894.234</w:t>
            </w:r>
            <w:r>
              <w:rPr>
                <w:b/>
                <w:bCs/>
                <w:color w:val="000000"/>
              </w:rPr>
            </w:r>
            <w:r>
              <w:rPr>
                <w:b/>
                <w:bCs/>
                <w:color w:val="000000"/>
              </w:rPr>
            </w:r>
          </w:p>
        </w:tc>
      </w:tr>
      <w:tr>
        <w:trPr>
          <w:trHeight w:val="20"/>
        </w:trPr>
        <w:tc>
          <w:tcPr>
            <w:gridSpan w:val="5"/>
            <w:tcBorders/>
            <w:tcW w:w="7540"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985" w:type="dxa"/>
            <w:vAlign w:val="center"/>
            <w:textDirection w:val="lrTb"/>
            <w:noWrap/>
          </w:tcPr>
          <w:p>
            <w:pPr>
              <w:pBdr/>
              <w:spacing w:after="40" w:before="40" w:line="288" w:lineRule="auto"/>
              <w:ind/>
              <w:jc w:val="center"/>
              <w:rPr>
                <w:b/>
                <w:bCs/>
                <w:color w:val="000000"/>
              </w:rPr>
            </w:pPr>
            <w:r>
              <w:rPr>
                <w:b/>
                <w:bCs/>
                <w:color w:val="000000"/>
              </w:rPr>
              <w:t xml:space="preserve">24.414.000.000</w:t>
            </w:r>
            <w:r>
              <w:rPr>
                <w:b/>
                <w:bCs/>
                <w:color w:val="000000"/>
              </w:rPr>
            </w:r>
            <w:r>
              <w:rPr>
                <w:b/>
                <w:bCs/>
                <w:color w:val="000000"/>
              </w:rPr>
            </w:r>
          </w:p>
        </w:tc>
      </w:tr>
      <w:tr>
        <w:trPr>
          <w:trHeight w:val="20"/>
        </w:trPr>
        <w:tc>
          <w:tcPr>
            <w:gridSpan w:val="6"/>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Hai mươi bốn tỷ bốn trăm mười </w:t>
            </w:r>
            <w:r>
              <w:rPr>
                <w:b/>
                <w:bCs/>
                <w:i/>
                <w:iCs/>
                <w:color w:val="000000"/>
              </w:rPr>
              <w:t xml:space="preserve">bốn </w:t>
            </w:r>
            <w:r>
              <w:rPr>
                <w:b/>
                <w:bCs/>
                <w:i/>
                <w:iCs/>
                <w:color w:val="000000"/>
              </w:rPr>
              <w:t xml:space="preserve">triệu</w:t>
            </w:r>
            <w:r>
              <w:rPr>
                <w:b/>
                <w:bCs/>
                <w:i/>
                <w:iCs/>
                <w:color w:val="000000"/>
              </w:rPr>
              <w:t xml:space="preserve">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0"/>
        <w:pBdr/>
        <w:tabs>
          <w:tab w:val="left" w:leader="none" w:pos="993"/>
        </w:tabs>
        <w:spacing w:after="120" w:before="120" w:line="276" w:lineRule="auto"/>
        <w:ind w:left="0"/>
        <w:jc w:val="both"/>
        <w:rPr/>
      </w:pPr>
      <w:r/>
      <w:r/>
    </w:p>
    <w:p>
      <w:pPr>
        <w:pStyle w:val="1040"/>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0"/>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0"/>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0"/>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0"/>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0"/>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0"/>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0"/>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0"/>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0"/>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0"/>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0"/>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0"/>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0"/>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0"/>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0"/>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0"/>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0"/>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0"/>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0"/>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0"/>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40"/>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0"/>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0"/>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0"/>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0"/>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0"/>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275/2026/1426/VFI-CT.69.A</w:t>
      </w:r>
      <w:r>
        <w:rPr>
          <w:color w:val="ff0000"/>
          <w:lang w:val="vi-VN"/>
        </w:rPr>
        <w:t xml:space="preserve"> </w:t>
      </w:r>
      <w:r>
        <w:rPr>
          <w:color w:val="000000" w:themeColor="text1"/>
        </w:rPr>
        <w:t xml:space="preserve">ngày 14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275/2026/1426/VFI-BC.69.A</w:t>
      </w:r>
      <w:r>
        <w:rPr>
          <w:i/>
        </w:rPr>
        <w:t xml:space="preserve"> 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4"/>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303974" cy="225071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65943" name=""/>
                              <pic:cNvPicPr>
                                <a:picLocks noChangeAspect="1"/>
                              </pic:cNvPicPr>
                              <pic:nvPr/>
                            </pic:nvPicPr>
                            <pic:blipFill rotWithShape="1">
                              <a:blip r:embed="rId19"/>
                              <a:stretch/>
                            </pic:blipFill>
                            <pic:spPr bwMode="auto">
                              <a:xfrm flipH="0" flipV="0">
                                <a:off x="0" y="0"/>
                                <a:ext cx="1303974" cy="22507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02.68pt;height:177.22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62229" cy="199667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94731" name=""/>
                              <pic:cNvPicPr>
                                <a:picLocks noChangeAspect="1"/>
                              </pic:cNvPicPr>
                              <pic:nvPr/>
                            </pic:nvPicPr>
                            <pic:blipFill rotWithShape="1">
                              <a:blip r:embed="rId20"/>
                              <a:stretch/>
                            </pic:blipFill>
                            <pic:spPr bwMode="auto">
                              <a:xfrm flipH="0" flipV="0">
                                <a:off x="0" y="0"/>
                                <a:ext cx="2662228" cy="19966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9.62pt;height:157.22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51495" cy="239125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69636" name=""/>
                              <pic:cNvPicPr>
                                <a:picLocks noChangeAspect="1"/>
                              </pic:cNvPicPr>
                              <pic:nvPr/>
                            </pic:nvPicPr>
                            <pic:blipFill rotWithShape="1">
                              <a:blip r:embed="rId21"/>
                              <a:stretch/>
                            </pic:blipFill>
                            <pic:spPr bwMode="auto">
                              <a:xfrm flipH="0" flipV="0">
                                <a:off x="0" y="0"/>
                                <a:ext cx="2751494" cy="239125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6.65pt;height:188.29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35817" cy="250792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080824" name=""/>
                              <pic:cNvPicPr>
                                <a:picLocks noChangeAspect="1"/>
                              </pic:cNvPicPr>
                              <pic:nvPr/>
                            </pic:nvPicPr>
                            <pic:blipFill rotWithShape="1">
                              <a:blip r:embed="rId22"/>
                              <a:stretch/>
                            </pic:blipFill>
                            <pic:spPr bwMode="auto">
                              <a:xfrm rot="0" flipH="0" flipV="0">
                                <a:off x="0" y="0"/>
                                <a:ext cx="2635816" cy="250792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7.54pt;height:197.47pt;mso-wrap-distance-left:0.00pt;mso-wrap-distance-top:0.00pt;mso-wrap-distance-right:0.00pt;mso-wrap-distance-bottom:0.00pt;rotation:0;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366"/>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88904" cy="2618747"/>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921532" name=""/>
                              <pic:cNvPicPr>
                                <a:picLocks noChangeAspect="1"/>
                              </pic:cNvPicPr>
                              <pic:nvPr/>
                            </pic:nvPicPr>
                            <pic:blipFill rotWithShape="1">
                              <a:blip r:embed="rId23"/>
                              <a:stretch/>
                            </pic:blipFill>
                            <pic:spPr bwMode="auto">
                              <a:xfrm flipH="0" flipV="0">
                                <a:off x="0" y="0"/>
                                <a:ext cx="2588904" cy="26187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3.85pt;height:206.2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90884" cy="2682962"/>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217341" name=""/>
                              <pic:cNvPicPr>
                                <a:picLocks noChangeAspect="1"/>
                              </pic:cNvPicPr>
                              <pic:nvPr/>
                            </pic:nvPicPr>
                            <pic:blipFill rotWithShape="1">
                              <a:blip r:embed="rId24"/>
                              <a:stretch/>
                            </pic:blipFill>
                            <pic:spPr bwMode="auto">
                              <a:xfrm flipH="0" flipV="0">
                                <a:off x="0" y="0"/>
                                <a:ext cx="2590884" cy="26829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4.01pt;height:211.26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tbl>
      <w:tblPr>
        <w:tblStyle w:val="1044"/>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1938" cy="2452463"/>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4357" name=""/>
                              <pic:cNvPicPr>
                                <a:picLocks noChangeAspect="1"/>
                              </pic:cNvPicPr>
                              <pic:nvPr/>
                            </pic:nvPicPr>
                            <pic:blipFill rotWithShape="1">
                              <a:blip r:embed="rId25"/>
                              <a:stretch/>
                            </pic:blipFill>
                            <pic:spPr bwMode="auto">
                              <a:xfrm flipH="0" flipV="0">
                                <a:off x="0" y="0"/>
                                <a:ext cx="2801938" cy="24524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0.63pt;height:193.11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12816" cy="243628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20295" name=""/>
                              <pic:cNvPicPr>
                                <a:picLocks noChangeAspect="1"/>
                              </pic:cNvPicPr>
                              <pic:nvPr/>
                            </pic:nvPicPr>
                            <pic:blipFill rotWithShape="1">
                              <a:blip r:embed="rId26"/>
                              <a:stretch/>
                            </pic:blipFill>
                            <pic:spPr bwMode="auto">
                              <a:xfrm flipH="0" flipV="0">
                                <a:off x="0" y="0"/>
                                <a:ext cx="2712816" cy="24362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13.61pt;height:191.83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c>
          <w:tcPr>
            <w:gridSpan w:val="2"/>
            <w:tcBorders/>
            <w:tcW w:w="9515" w:type="dxa"/>
            <w:vAlign w:val="center"/>
            <w:vMerge w:val="restart"/>
            <w:textDirection w:val="lrTb"/>
            <w:noWrap w:val="false"/>
          </w:tcPr>
          <w:p>
            <w:pPr>
              <w:pBdr/>
              <w:spacing w:after="120"/>
              <w:ind/>
              <w:jc w:val="center"/>
              <w:rPr>
                <w:b/>
                <w:bCs/>
                <w:i/>
              </w:rPr>
            </w:pPr>
            <w:r>
              <w:rPr>
                <w:b/>
                <w:bCs/>
                <w:i/>
                <w:lang w:val="pt-BR"/>
              </w:rPr>
              <w:t xml:space="preserve">Người </w:t>
            </w:r>
            <w:r>
              <w:rPr>
                <w:b/>
                <w:bCs/>
                <w:i/>
                <w:lang w:val="pt-BR"/>
              </w:rPr>
              <w:t xml:space="preserve">khảo </w:t>
            </w:r>
            <w:r>
              <w:rPr>
                <w:b/>
                <w:bCs/>
                <w:i/>
                <w:lang w:val="pt-BR"/>
              </w:rPr>
              <w:t xml:space="preserve">sát</w:t>
            </w:r>
            <w:r>
              <w:rPr>
                <w:b/>
                <w:bCs/>
                <w:i/>
                <w:lang w:val="pt-BR"/>
              </w:rPr>
            </w:r>
            <w:r>
              <w:rPr>
                <w:b/>
                <w:bCs/>
                <w:i/>
              </w:rPr>
            </w:r>
          </w:p>
        </w:tc>
      </w:tr>
      <w:tr>
        <w:trPr/>
        <w:tc>
          <w:tcPr>
            <w:gridSpan w:val="2"/>
            <w:tcBorders/>
            <w:tcW w:w="9515"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99652" cy="399953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20593" name=""/>
                              <pic:cNvPicPr>
                                <a:picLocks noChangeAspect="1"/>
                              </pic:cNvPicPr>
                              <pic:nvPr/>
                            </pic:nvPicPr>
                            <pic:blipFill rotWithShape="1">
                              <a:blip r:embed="rId27"/>
                              <a:stretch/>
                            </pic:blipFill>
                            <pic:spPr bwMode="auto">
                              <a:xfrm flipH="0" flipV="0">
                                <a:off x="0" y="0"/>
                                <a:ext cx="2999651" cy="39995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36.19pt;height:314.92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bl>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275/2026/1426/VFI-BC.69.A</w:t>
      </w:r>
      <w:r>
        <w:rPr>
          <w:i/>
        </w:rPr>
        <w:t xml:space="preserve"> ngày</w:t>
      </w:r>
      <w:r>
        <w:rPr>
          <w:i/>
          <w:lang w:val="pt-BR"/>
        </w:rPr>
        <w:t xml:space="preserve"> </w:t>
      </w:r>
      <w:r>
        <w:rPr>
          <w:i/>
          <w:lang w:val="pt-BR"/>
        </w:rPr>
        <w:t xml:space="preserve">14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2939"/>
        <w:gridCol w:w="604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https://web.facebook.com/marketplace/item/1247001603881491/?locale=tl_PH&amp;_rdc=1&amp;_rdr#</w:t>
            </w:r>
            <w:r>
              <w:rPr>
                <w:color w:val="000000" w:themeColor="text1"/>
                <w:sz w:val="22"/>
                <w:szCs w:val="22"/>
              </w:rPr>
              <w:br/>
              <w:t xml:space="preserve">0947060368</w:t>
            </w:r>
            <w:r>
              <w:rPr>
                <w:sz w:val="22"/>
                <w:szCs w:val="22"/>
              </w:rPr>
              <w:t xml:space="preserve"> </w:t>
            </w:r>
            <w:r>
              <w:rPr>
                <w:sz w:val="22"/>
                <w:szCs w:val="22"/>
              </w:rPr>
              <w:br/>
              <w:t xml:space="preserve">(Sale</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(119m²)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Hồ Quý Ly, Phường </w:t>
            </w:r>
            <w:r>
              <w:rPr>
                <w:color w:val="000000" w:themeColor="text1"/>
                <w:sz w:val="22"/>
                <w:szCs w:val="22"/>
              </w:rPr>
              <w:t xml:space="preserve">Thanh</w:t>
            </w:r>
            <w:r>
              <w:rPr>
                <w:color w:val="000000" w:themeColor="text1"/>
                <w:sz w:val="22"/>
                <w:szCs w:val="22"/>
              </w:rPr>
              <w:t xml:space="preserve"> </w:t>
            </w:r>
            <w:r>
              <w:rPr>
                <w:color w:val="000000" w:themeColor="text1"/>
                <w:sz w:val="22"/>
                <w:szCs w:val="22"/>
              </w:rPr>
              <w:t xml:space="preserve">K</w:t>
            </w:r>
            <w:r>
              <w:rPr>
                <w:color w:val="000000" w:themeColor="text1"/>
                <w:sz w:val="22"/>
                <w:szCs w:val="22"/>
              </w:rPr>
              <w:t xml:space="preserve">hê</w:t>
            </w:r>
            <w:r>
              <w:rPr>
                <w:color w:val="000000" w:themeColor="text1"/>
                <w:sz w:val="22"/>
                <w:szCs w:val="22"/>
              </w:rPr>
              <w:t xml:space="preserve">, Thành phố Đà Nẵng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119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2939"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4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280986" cy="2113914"/>
                      <wp:effectExtent l="0" t="0" r="0" b="0"/>
                      <wp:docPr id="16" name=""/>
                      <wp:cNvGraphicFramePr/>
                      <a:graphic xmlns:a="http://schemas.openxmlformats.org/drawingml/2006/main">
                        <a:graphicData uri="http://schemas.openxmlformats.org/drawingml/2006/picture">
                          <pic:pic xmlns:pic="http://schemas.openxmlformats.org/drawingml/2006/picture">
                            <pic:nvPicPr>
                              <pic:cNvPr id="1266628435" name="" descr=""/>
                              <pic:cNvPicPr/>
                              <pic:nvPr/>
                            </pic:nvPicPr>
                            <pic:blipFill rotWithShape="1">
                              <a:blip r:embed="rId28"/>
                              <a:stretch/>
                            </pic:blipFill>
                            <pic:spPr bwMode="auto">
                              <a:xfrm flipH="0" flipV="0">
                                <a:off x="0" y="0"/>
                                <a:ext cx="3280985" cy="211391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58.35pt;height:166.45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356011085" name="" descr=""/>
                              <pic:cNvPicPr/>
                              <pic:nvPr/>
                            </pic:nvPicPr>
                            <pic:blipFill rotWithShape="1">
                              <a:blip r:embed="rId30"/>
                              <a:stretch/>
                            </pic:blipFill>
                            <pic:spPr bwMode="auto">
                              <a:xfrm>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7.50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Thuỳ Nhật Anh</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https://batdongsan.com.vn/ban-n</w:t>
            </w:r>
            <w:r>
              <w:rPr>
                <w:color w:val="000000" w:themeColor="text1"/>
                <w:sz w:val="22"/>
                <w:szCs w:val="22"/>
              </w:rPr>
              <w:t xml:space="preserve">ha-mat-pho-duong-ho-quy-ly-phuong-hoa-minh-47/hang-gia-tot-vi-tri-kinh-doanh-3-tang-uong-10m5-gan-nguyen-xi-s-100m2-gia-9-5ty-pr45778553?gidzl=9Af5LFYM67ealK5J-OqHV2-_J5lasHLmDkz9LkU9HIjZlqbHuDaHVM7jIrQosHOfRxyVLZNb1MWUzPeSVm#js__pr-expired__content-anchor</w:t>
            </w:r>
            <w:r>
              <w:rPr>
                <w:color w:val="000000" w:themeColor="text1"/>
                <w:sz w:val="22"/>
                <w:szCs w:val="22"/>
              </w:rPr>
              <w:br/>
              <w:t xml:space="preserve">0935282118</w:t>
            </w:r>
            <w:r>
              <w:rPr>
                <w:sz w:val="22"/>
                <w:szCs w:val="22"/>
              </w:rPr>
              <w:t xml:space="preserve"> </w:t>
            </w:r>
            <w:r>
              <w:rPr>
                <w:sz w:val="22"/>
                <w:szCs w:val="22"/>
              </w:rPr>
              <w:br/>
              <w:t xml:space="preserve">(Ái Nguyễn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9.500.000.000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9.025.000.000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Hồ Quý Ly, Phường </w:t>
            </w:r>
            <w:r>
              <w:rPr>
                <w:color w:val="000000" w:themeColor="text1"/>
                <w:sz w:val="22"/>
                <w:szCs w:val="22"/>
              </w:rPr>
              <w:t xml:space="preserve">Thanh </w:t>
            </w:r>
            <w:r>
              <w:rPr>
                <w:color w:val="000000" w:themeColor="text1"/>
                <w:sz w:val="22"/>
                <w:szCs w:val="22"/>
              </w:rPr>
              <w:t xml:space="preserve">Khê</w:t>
            </w:r>
            <w:r>
              <w:rPr>
                <w:color w:val="000000" w:themeColor="text1"/>
                <w:sz w:val="22"/>
                <w:szCs w:val="22"/>
              </w:rPr>
              <w:t xml:space="preserve">, Thành phố Đà Nẵng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4.5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left"/>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57098" cy="2068286"/>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157097" cy="206828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69.85pt;height:162.86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24885" cy="2028651"/>
                      <wp:effectExtent l="0" t="0" r="0" b="0"/>
                      <wp:docPr id="20" name=""/>
                      <wp:cNvGraphicFramePr/>
                      <a:graphic xmlns:a="http://schemas.openxmlformats.org/drawingml/2006/main">
                        <a:graphicData uri="http://schemas.openxmlformats.org/drawingml/2006/picture">
                          <pic:pic xmlns:pic="http://schemas.openxmlformats.org/drawingml/2006/picture">
                            <pic:nvPicPr>
                              <pic:cNvPr id="1066961173" name="" descr=""/>
                              <pic:cNvPicPr/>
                              <pic:nvPr/>
                            </pic:nvPicPr>
                            <pic:blipFill rotWithShape="1">
                              <a:blip r:embed="rId32"/>
                              <a:stretch/>
                            </pic:blipFill>
                            <pic:spPr bwMode="auto">
                              <a:xfrm rot="0" flipH="0" flipV="0">
                                <a:off x="0" y="0"/>
                                <a:ext cx="2524884" cy="202865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8.81pt;height:159.74pt;mso-wrap-distance-left:0.00pt;mso-wrap-distance-top:0.00pt;mso-wrap-distance-right:0.00pt;mso-wrap-distance-bottom:0.00pt;rotation:0;z-index:1;" stroked="false">
                      <v:imagedata r:id="rId32"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t xml:space="preserve">Nguyễn Thuỳ Nhật Anh</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223"/>
        <w:gridCol w:w="576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https://www.facebook.com/groups/NhaDatQuanLienChieu.DaNang/permalink/27135160912743779/?sale_post_id=27135160912743779&amp;referralSurface=messenger_banner&amp;referralCode=2&amp;ref=messenger_banner</w:t>
            </w:r>
            <w:r>
              <w:rPr>
                <w:color w:val="000000" w:themeColor="text1"/>
                <w:sz w:val="22"/>
                <w:szCs w:val="22"/>
              </w:rPr>
              <w:br/>
            </w:r>
            <w:r>
              <w:rPr>
                <w:sz w:val="22"/>
                <w:szCs w:val="22"/>
              </w:rPr>
              <w:t xml:space="preserve">SĐT: </w:t>
            </w:r>
            <w:r>
              <w:rPr>
                <w:color w:val="000000" w:themeColor="text1"/>
                <w:sz w:val="22"/>
                <w:szCs w:val="22"/>
              </w:rPr>
              <w:t xml:space="preserve">0905.43.89.89</w:t>
            </w:r>
            <w:r>
              <w:rPr>
                <w:sz w:val="22"/>
                <w:szCs w:val="22"/>
              </w:rPr>
              <w:t xml:space="preserve"> </w:t>
            </w:r>
            <w:r>
              <w:rPr>
                <w:sz w:val="22"/>
                <w:szCs w:val="22"/>
              </w:rPr>
              <w:br/>
              <w:t xml:space="preserve">(Tùng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12.500.000.000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11.250.000.000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(125m²)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Đường Hồ Quý Ly, Phường </w:t>
            </w:r>
            <w:r>
              <w:rPr>
                <w:color w:val="000000" w:themeColor="text1"/>
                <w:sz w:val="22"/>
                <w:szCs w:val="22"/>
              </w:rPr>
              <w:t xml:space="preserve">Thanh </w:t>
            </w:r>
            <w:r>
              <w:rPr>
                <w:color w:val="000000" w:themeColor="text1"/>
                <w:sz w:val="22"/>
                <w:szCs w:val="22"/>
              </w:rPr>
              <w:t xml:space="preserve">Khê</w:t>
            </w:r>
            <w:r>
              <w:rPr>
                <w:color w:val="000000" w:themeColor="text1"/>
                <w:sz w:val="22"/>
                <w:szCs w:val="22"/>
              </w:rPr>
              <w:t xml:space="preserve">, Thành phố Đà Nẵng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125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76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27843" cy="2001516"/>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627843" cy="200151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06.92pt;height:157.6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33879" cy="2133325"/>
                      <wp:effectExtent l="0" t="0" r="0" b="0"/>
                      <wp:docPr id="22" name=""/>
                      <wp:cNvGraphicFramePr/>
                      <a:graphic xmlns:a="http://schemas.openxmlformats.org/drawingml/2006/main">
                        <a:graphicData uri="http://schemas.openxmlformats.org/drawingml/2006/picture">
                          <pic:pic xmlns:pic="http://schemas.openxmlformats.org/drawingml/2006/picture">
                            <pic:nvPicPr>
                              <pic:cNvPr id="556496263" name="" descr=""/>
                              <pic:cNvPicPr/>
                              <pic:nvPr/>
                            </pic:nvPicPr>
                            <pic:blipFill rotWithShape="1">
                              <a:blip r:embed="rId34"/>
                              <a:stretch/>
                            </pic:blipFill>
                            <pic:spPr bwMode="auto">
                              <a:xfrm rot="0" flipH="0" flipV="0">
                                <a:off x="0" y="0"/>
                                <a:ext cx="1933878" cy="21333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52.27pt;height:167.98pt;mso-wrap-distance-left:0.00pt;mso-wrap-distance-top:0.00pt;mso-wrap-distance-right:0.00pt;mso-wrap-distance-bottom:0.00pt;rotation:0;z-index:1;" stroked="false">
                      <v:imagedata r:id="rId34"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t xml:space="preserve">Nguyễn Thuỳ Nhật Anh</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highlight w:val="none"/>
          <w:lang w:val="pt-BR"/>
        </w:rPr>
      </w:pPr>
      <w:r>
        <w:rPr>
          <w:iCs/>
          <w:lang w:val="pt-BR"/>
        </w:rPr>
        <w:br/>
      </w:r>
      <w:r>
        <w:rPr>
          <w:iCs/>
          <w:lang w:val="pt-BR"/>
        </w:rPr>
      </w:r>
      <w:r>
        <w:rPr>
          <w:iCs/>
          <w:highlight w:val="none"/>
          <w:lang w:val="pt-BR"/>
        </w:rPr>
      </w:r>
    </w:p>
    <w:p>
      <w:pPr>
        <w:pBdr/>
        <w:shd w:val="nil" w:color="auto"/>
        <w:spacing/>
        <w:ind/>
        <w:rPr>
          <w:lang w:val="pt-BR"/>
        </w:rPr>
      </w:pPr>
      <w:r>
        <w:rPr>
          <w:lang w:val="pt-BR"/>
        </w:rPr>
        <w:br w:type="page" w:clear="all"/>
      </w:r>
      <w:r>
        <w:rPr>
          <w:lang w:val="pt-BR"/>
        </w:rPr>
      </w:r>
      <w:r>
        <w:rPr>
          <w:lang w:val="pt-BR"/>
        </w:rPr>
      </w:r>
    </w:p>
    <w:p>
      <w:pPr>
        <w:pBdr/>
        <w:spacing w:after="200" w:line="276" w:lineRule="auto"/>
        <w:ind/>
        <w:rPr>
          <w:highlight w:val="none"/>
          <w:lang w:val="pt-BR" w:bidi="pt-BR"/>
        </w:rPr>
      </w:pPr>
      <w:r>
        <w:rPr>
          <w:iCs/>
          <w:highlight w:val="none"/>
          <w:lang w:val="pt-BR" w:bidi="pt-BR"/>
        </w:rPr>
        <w:t xml:space="preserve">Hồ </w:t>
      </w:r>
      <w:r>
        <w:rPr>
          <w:iCs/>
          <w:highlight w:val="none"/>
          <w:lang w:val="pt-BR" w:bidi="pt-BR"/>
        </w:rPr>
        <w:t xml:space="preserve">sơ </w:t>
      </w:r>
      <w:r>
        <w:rPr>
          <w:iCs/>
          <w:highlight w:val="none"/>
          <w:lang w:val="pt-BR" w:bidi="pt-BR"/>
        </w:rPr>
        <w:t xml:space="preserve">ph</w:t>
      </w:r>
      <w:r>
        <w:rPr>
          <w:iCs/>
          <w:highlight w:val="none"/>
          <w:lang w:val="pt-BR" w:bidi="pt-BR"/>
        </w:rPr>
        <w:t xml:space="preserve">áp </w:t>
      </w:r>
      <w:r>
        <w:rPr>
          <w:iCs/>
          <w:highlight w:val="none"/>
          <w:lang w:val="pt-BR" w:bidi="pt-BR"/>
        </w:rPr>
        <w:t xml:space="preserve">lý</w:t>
      </w:r>
      <w:r>
        <w:rPr>
          <w:lang w:val="pt-BR"/>
        </w:rPr>
      </w:r>
      <w:r>
        <w:rPr>
          <w:highlight w:val="none"/>
          <w:lang w:val="pt-BR" w:bidi="pt-BR"/>
        </w:rPr>
      </w:r>
    </w:p>
    <w:p>
      <w:pPr>
        <w:pBdr/>
        <w:shd w:val="nil" w:color="auto"/>
        <w:spacing/>
        <w:ind/>
        <w:rPr>
          <w:lang w:val="pt-BR"/>
        </w:rPr>
      </w:pPr>
      <w:r>
        <w:rPr>
          <w:lang w:val="pt-BR"/>
        </w:rPr>
      </w:r>
      <w:r>
        <mc:AlternateContent>
          <mc:Choice Requires="wpg">
            <w:drawing>
              <wp:inline xmlns:wp="http://schemas.openxmlformats.org/drawingml/2006/wordprocessingDrawing" distT="0" distB="0" distL="0" distR="0">
                <wp:extent cx="6048375" cy="82550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103381" name=""/>
                        <pic:cNvPicPr>
                          <a:picLocks noChangeAspect="1"/>
                        </pic:cNvPicPr>
                        <pic:nvPr/>
                      </pic:nvPicPr>
                      <pic:blipFill rotWithShape="1">
                        <a:blip r:embed="rId35"/>
                        <a:stretch/>
                      </pic:blipFill>
                      <pic:spPr bwMode="auto">
                        <a:xfrm>
                          <a:off x="0" y="0"/>
                          <a:ext cx="6048374" cy="825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50.00pt;mso-wrap-distance-left:0.00pt;mso-wrap-distance-top:0.00pt;mso-wrap-distance-right:0.00pt;mso-wrap-distance-bottom:0.00pt;z-index:1;" stroked="false">
                <v:imagedata r:id="rId35" o:title=""/>
                <o:lock v:ext="edit" rotation="t"/>
              </v:shape>
            </w:pict>
          </mc:Fallback>
        </mc:AlternateContent>
      </w:r>
      <w:r>
        <w:rPr>
          <w:lang w:val="pt-BR"/>
        </w:rPr>
      </w:r>
      <w:r>
        <w:rPr>
          <w:lang w:val="pt-BR"/>
        </w:rPr>
      </w:r>
    </w:p>
    <w:p>
      <w:pPr>
        <w:pBdr/>
        <w:shd w:val="nil" w:color="000000"/>
        <w:spacing/>
        <w:ind/>
        <w:rPr>
          <w:lang w:val="pt-BR"/>
        </w:rPr>
      </w:pPr>
      <w:r>
        <w:rPr>
          <w:lang w:val="pt-BR"/>
        </w:rPr>
      </w:r>
      <w:r>
        <mc:AlternateContent>
          <mc:Choice Requires="wpg">
            <w:drawing>
              <wp:inline xmlns:wp="http://schemas.openxmlformats.org/drawingml/2006/wordprocessingDrawing" distT="0" distB="0" distL="0" distR="0">
                <wp:extent cx="6048375" cy="792162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356075" name=""/>
                        <pic:cNvPicPr>
                          <a:picLocks noChangeAspect="1"/>
                        </pic:cNvPicPr>
                        <pic:nvPr/>
                      </pic:nvPicPr>
                      <pic:blipFill rotWithShape="1">
                        <a:blip r:embed="rId36"/>
                        <a:stretch/>
                      </pic:blipFill>
                      <pic:spPr bwMode="auto">
                        <a:xfrm>
                          <a:off x="0" y="0"/>
                          <a:ext cx="6048374" cy="79216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23.75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p>
      <w:pPr>
        <w:pBdr/>
        <w:shd w:val="nil" w:color="000000"/>
        <w:spacing/>
        <w:ind/>
        <w:rPr>
          <w:lang w:val="pt-BR"/>
        </w:rPr>
      </w:pPr>
      <w:r>
        <w:rPr>
          <w:lang w:val="pt-BR"/>
        </w:rPr>
      </w:r>
      <w:r>
        <mc:AlternateContent>
          <mc:Choice Requires="wpg">
            <w:drawing>
              <wp:inline xmlns:wp="http://schemas.openxmlformats.org/drawingml/2006/wordprocessingDrawing" distT="0" distB="0" distL="0" distR="0">
                <wp:extent cx="6048375" cy="7899592"/>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046022" name=""/>
                        <pic:cNvPicPr>
                          <a:picLocks noChangeAspect="1"/>
                        </pic:cNvPicPr>
                        <pic:nvPr/>
                      </pic:nvPicPr>
                      <pic:blipFill rotWithShape="1">
                        <a:blip r:embed="rId37"/>
                        <a:stretch/>
                      </pic:blipFill>
                      <pic:spPr bwMode="auto">
                        <a:xfrm>
                          <a:off x="0" y="0"/>
                          <a:ext cx="6048374" cy="78995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22.02pt;mso-wrap-distance-left:0.00pt;mso-wrap-distance-top:0.00pt;mso-wrap-distance-right:0.00pt;mso-wrap-distance-bottom:0.00pt;z-index:1;" stroked="false">
                <v:imagedata r:id="rId37" o:title=""/>
                <o:lock v:ext="edit" rotation="t"/>
              </v:shape>
            </w:pict>
          </mc:Fallback>
        </mc:AlternateContent>
      </w:r>
      <w:r>
        <w:rPr>
          <w:lang w:val="pt-BR"/>
        </w:rPr>
      </w:r>
      <w:r>
        <w:rPr>
          <w:lang w:val="pt-BR"/>
        </w:rPr>
      </w:r>
    </w:p>
    <w:p>
      <w:pPr>
        <w:pBdr/>
        <w:shd w:val="nil" w:color="000000"/>
        <w:spacing/>
        <w:ind/>
        <w:rPr>
          <w:lang w:val="pt-BR"/>
        </w:rPr>
      </w:pPr>
      <w:r>
        <w:rPr>
          <w:lang w:val="pt-BR"/>
        </w:rPr>
      </w:r>
      <w:r>
        <mc:AlternateContent>
          <mc:Choice Requires="wpg">
            <w:drawing>
              <wp:inline xmlns:wp="http://schemas.openxmlformats.org/drawingml/2006/wordprocessingDrawing" distT="0" distB="0" distL="0" distR="0">
                <wp:extent cx="6048375" cy="8111753"/>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04096" name=""/>
                        <pic:cNvPicPr>
                          <a:picLocks noChangeAspect="1"/>
                        </pic:cNvPicPr>
                        <pic:nvPr/>
                      </pic:nvPicPr>
                      <pic:blipFill rotWithShape="1">
                        <a:blip r:embed="rId38"/>
                        <a:stretch/>
                      </pic:blipFill>
                      <pic:spPr bwMode="auto">
                        <a:xfrm>
                          <a:off x="0" y="0"/>
                          <a:ext cx="6048374" cy="811175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38.72pt;mso-wrap-distance-left:0.00pt;mso-wrap-distance-top:0.00pt;mso-wrap-distance-right:0.00pt;mso-wrap-distance-bottom:0.00pt;z-index:1;" stroked="false">
                <v:imagedata r:id="rId38" o:title=""/>
                <o:lock v:ext="edit" rotation="t"/>
              </v:shape>
            </w:pict>
          </mc:Fallback>
        </mc:AlternateContent>
      </w:r>
      <w:r>
        <w:rPr>
          <w:lang w:val="pt-BR"/>
        </w:rPr>
      </w:r>
      <w:r>
        <w:rPr>
          <w:lang w:val="pt-BR"/>
        </w:rPr>
      </w:r>
    </w:p>
    <w:p>
      <w:pPr>
        <w:pBdr/>
        <w:shd w:val="nil" w:color="000000"/>
        <w:spacing/>
        <w:ind/>
        <w:rPr>
          <w:lang w:val="pt-BR"/>
        </w:rPr>
      </w:pPr>
      <w:r>
        <w:rPr>
          <w:lang w:val="pt-BR"/>
        </w:rPr>
      </w:r>
      <w:r>
        <mc:AlternateContent>
          <mc:Choice Requires="wpg">
            <w:drawing>
              <wp:inline xmlns:wp="http://schemas.openxmlformats.org/drawingml/2006/wordprocessingDrawing" distT="0" distB="0" distL="0" distR="0">
                <wp:extent cx="6048375" cy="8372137"/>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39653" name=""/>
                        <pic:cNvPicPr>
                          <a:picLocks noChangeAspect="1"/>
                        </pic:cNvPicPr>
                        <pic:nvPr/>
                      </pic:nvPicPr>
                      <pic:blipFill rotWithShape="1">
                        <a:blip r:embed="rId39"/>
                        <a:stretch/>
                      </pic:blipFill>
                      <pic:spPr bwMode="auto">
                        <a:xfrm>
                          <a:off x="0" y="0"/>
                          <a:ext cx="6048374" cy="83721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59.22pt;mso-wrap-distance-left:0.00pt;mso-wrap-distance-top:0.00pt;mso-wrap-distance-right:0.00pt;mso-wrap-distance-bottom:0.00pt;z-index:1;" stroked="false">
                <v:imagedata r:id="rId39" o:title=""/>
                <o:lock v:ext="edit" rotation="t"/>
              </v:shape>
            </w:pict>
          </mc:Fallback>
        </mc:AlternateContent>
      </w:r>
      <w:r>
        <w:rPr>
          <w:lang w:val="pt-BR"/>
        </w:rPr>
        <w:br w:type="page" w:clear="all"/>
      </w:r>
      <w:r>
        <w:rPr>
          <w:lang w:val="pt-BR"/>
        </w:rPr>
      </w:r>
    </w:p>
    <w:p>
      <w:pPr>
        <w:pBdr/>
        <w:spacing w:after="200" w:line="276" w:lineRule="auto"/>
        <w:ind/>
        <w:jc w:val="center"/>
        <w:rPr>
          <w:b/>
          <w:bCs/>
          <w:highlight w:val="none"/>
        </w:rPr>
      </w:pPr>
      <w:r>
        <w:rPr>
          <w:b/>
          <w:bCs/>
          <w:iCs/>
          <w:highlight w:val="none"/>
          <w:lang w:val="pt-BR" w:bidi="pt-BR"/>
        </w:rPr>
        <w:t xml:space="preserve">Biên </w:t>
      </w:r>
      <w:r>
        <w:rPr>
          <w:b/>
          <w:bCs/>
          <w:iCs/>
          <w:highlight w:val="none"/>
          <w:lang w:val="pt-BR" w:bidi="pt-BR"/>
        </w:rPr>
        <w:t xml:space="preserve">bản </w:t>
      </w:r>
      <w:r>
        <w:rPr>
          <w:b/>
          <w:bCs/>
          <w:iCs/>
          <w:highlight w:val="none"/>
          <w:lang w:val="pt-BR" w:bidi="pt-BR"/>
        </w:rPr>
        <w:t xml:space="preserve">khảo </w:t>
      </w:r>
      <w:r>
        <w:rPr>
          <w:b/>
          <w:bCs/>
          <w:iCs/>
          <w:highlight w:val="none"/>
          <w:lang w:val="pt-BR" w:bidi="pt-BR"/>
        </w:rPr>
        <w:t xml:space="preserve">sát</w:t>
      </w:r>
      <w:r>
        <w:rPr>
          <w:b/>
          <w:bCs/>
          <w:lang w:val="pt-BR"/>
        </w:rPr>
      </w:r>
      <w:r>
        <w:rPr>
          <w:b/>
          <w:bCs/>
          <w:highlight w:val="none"/>
        </w:rPr>
      </w:r>
    </w:p>
    <w:p>
      <w:pPr>
        <w:pBdr/>
        <w:spacing w:after="200" w:line="276" w:lineRule="auto"/>
        <w:ind/>
        <w:rPr>
          <w:lang w:val="pt-BR"/>
        </w:rPr>
      </w:pPr>
      <w:r>
        <w:rPr>
          <w:iCs/>
          <w:highlight w:val="none"/>
          <w:lang w:val="pt-BR" w:bidi="pt-BR"/>
        </w:rPr>
      </w:r>
      <w:r>
        <mc:AlternateContent>
          <mc:Choice Requires="wpg">
            <w:drawing>
              <wp:inline xmlns:wp="http://schemas.openxmlformats.org/drawingml/2006/wordprocessingDrawing" distT="0" distB="0" distL="0" distR="0">
                <wp:extent cx="6048375" cy="8172232"/>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27175" name=""/>
                        <pic:cNvPicPr>
                          <a:picLocks noChangeAspect="1"/>
                        </pic:cNvPicPr>
                        <pic:nvPr/>
                      </pic:nvPicPr>
                      <pic:blipFill rotWithShape="1">
                        <a:blip r:embed="rId40"/>
                        <a:stretch/>
                      </pic:blipFill>
                      <pic:spPr bwMode="auto">
                        <a:xfrm>
                          <a:off x="0" y="0"/>
                          <a:ext cx="6048374" cy="817223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43.48pt;mso-wrap-distance-left:0.00pt;mso-wrap-distance-top:0.00pt;mso-wrap-distance-right:0.00pt;mso-wrap-distance-bottom:0.00pt;z-index:1;" stroked="false">
                <v:imagedata r:id="rId40" o:title=""/>
                <o:lock v:ext="edit" rotation="t"/>
              </v:shape>
            </w:pict>
          </mc:Fallback>
        </mc:AlternateContent>
      </w:r>
      <w:r>
        <w:rPr>
          <w:iCs/>
          <w:highlight w:val="none"/>
          <w:lang w:val="pt-BR" w:bidi="pt-BR"/>
        </w:rPr>
      </w:r>
      <w:r>
        <w:rPr>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6"/>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6"/>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4"/>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5F2EB61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6A7FE4D3"/>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251DAF4F"/>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451519F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2CA099C7"/>
    <w:lvl w:ilvl="0">
      <w:isLgl w:val="false"/>
      <w:lvlJc w:val="left"/>
      <w:lvlText w:val="–"/>
      <w:numFmt w:val="bullet"/>
      <w:pPr>
        <w:pBdr/>
        <w:spacing/>
        <w:ind w:hanging="360" w:left="709"/>
      </w:pPr>
      <w:rPr>
        <w:rFonts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251DAF4F"/>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3E9FA17A"/>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4">
    <w:nsid w:val="0CC154F0"/>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2">
    <w:name w:val="Table Grid Light"/>
    <w:basedOn w:val="10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1"/>
    <w:basedOn w:val="102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2"/>
    <w:basedOn w:val="102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3"/>
    <w:basedOn w:val="10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4"/>
    <w:basedOn w:val="10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5"/>
    <w:basedOn w:val="102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w:basedOn w:val="102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1"/>
    <w:basedOn w:val="10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2"/>
    <w:basedOn w:val="10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3"/>
    <w:basedOn w:val="10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4"/>
    <w:basedOn w:val="10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5"/>
    <w:basedOn w:val="10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6"/>
    <w:basedOn w:val="10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w:basedOn w:val="10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1"/>
    <w:basedOn w:val="10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2"/>
    <w:basedOn w:val="10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3"/>
    <w:basedOn w:val="10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4"/>
    <w:basedOn w:val="10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5"/>
    <w:basedOn w:val="10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6"/>
    <w:basedOn w:val="10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w:basedOn w:val="102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1"/>
    <w:basedOn w:val="102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2"/>
    <w:basedOn w:val="102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3"/>
    <w:basedOn w:val="102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4"/>
    <w:basedOn w:val="102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5"/>
    <w:basedOn w:val="102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6"/>
    <w:basedOn w:val="102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w:basedOn w:val="102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1"/>
    <w:basedOn w:val="102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2"/>
    <w:basedOn w:val="102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3"/>
    <w:basedOn w:val="102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4"/>
    <w:basedOn w:val="102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5"/>
    <w:basedOn w:val="102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6"/>
    <w:basedOn w:val="102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1"/>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2"/>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3"/>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4"/>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5"/>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6"/>
    <w:basedOn w:val="102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6 Colorful"/>
    <w:basedOn w:val="102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4">
    <w:name w:val="Grid Table 6 Colorful - Accent 1"/>
    <w:basedOn w:val="102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5">
    <w:name w:val="Grid Table 6 Colorful - Accent 2"/>
    <w:basedOn w:val="10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6">
    <w:name w:val="Grid Table 6 Colorful - Accent 3"/>
    <w:basedOn w:val="102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7">
    <w:name w:val="Grid Table 6 Colorful - Accent 4"/>
    <w:basedOn w:val="10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8">
    <w:name w:val="Grid Table 6 Colorful - Accent 5"/>
    <w:basedOn w:val="102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6 Colorful - Accent 6"/>
    <w:basedOn w:val="102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0">
    <w:name w:val="Grid Table 7 Colorful"/>
    <w:basedOn w:val="102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1"/>
    <w:basedOn w:val="102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2"/>
    <w:basedOn w:val="102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3"/>
    <w:basedOn w:val="102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4"/>
    <w:basedOn w:val="102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5"/>
    <w:basedOn w:val="102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6"/>
    <w:basedOn w:val="102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1"/>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2"/>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3"/>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4"/>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5"/>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6"/>
    <w:basedOn w:val="102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w:basedOn w:val="102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1"/>
    <w:basedOn w:val="102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2"/>
    <w:basedOn w:val="102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3"/>
    <w:basedOn w:val="102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4"/>
    <w:basedOn w:val="102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5"/>
    <w:basedOn w:val="102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6"/>
    <w:basedOn w:val="102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w:basedOn w:val="10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1"/>
    <w:basedOn w:val="102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2"/>
    <w:basedOn w:val="102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3"/>
    <w:basedOn w:val="102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4"/>
    <w:basedOn w:val="102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5"/>
    <w:basedOn w:val="102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6"/>
    <w:basedOn w:val="102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w:basedOn w:val="102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1"/>
    <w:basedOn w:val="102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2"/>
    <w:basedOn w:val="102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3"/>
    <w:basedOn w:val="102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4"/>
    <w:basedOn w:val="102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5"/>
    <w:basedOn w:val="102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6"/>
    <w:basedOn w:val="102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5 Dark"/>
    <w:basedOn w:val="102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1"/>
    <w:basedOn w:val="102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2"/>
    <w:basedOn w:val="102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3"/>
    <w:basedOn w:val="102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4"/>
    <w:basedOn w:val="102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5"/>
    <w:basedOn w:val="102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6"/>
    <w:basedOn w:val="102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6 Colorful"/>
    <w:basedOn w:val="102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1"/>
    <w:basedOn w:val="102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2"/>
    <w:basedOn w:val="102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3"/>
    <w:basedOn w:val="102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4"/>
    <w:basedOn w:val="102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5"/>
    <w:basedOn w:val="102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6"/>
    <w:basedOn w:val="102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7 Colorful"/>
    <w:basedOn w:val="102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0">
    <w:name w:val="List Table 7 Colorful - Accent 1"/>
    <w:basedOn w:val="102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1">
    <w:name w:val="List Table 7 Colorful - Accent 2"/>
    <w:basedOn w:val="102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2">
    <w:name w:val="List Table 7 Colorful - Accent 3"/>
    <w:basedOn w:val="102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3">
    <w:name w:val="List Table 7 Colorful - Accent 4"/>
    <w:basedOn w:val="102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4">
    <w:name w:val="List Table 7 Colorful - Accent 5"/>
    <w:basedOn w:val="102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5">
    <w:name w:val="List Table 7 Colorful - Accent 6"/>
    <w:basedOn w:val="102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6">
    <w:name w:val="Lined - Accent"/>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1"/>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2"/>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3"/>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4"/>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5"/>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6"/>
    <w:basedOn w:val="102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w:basedOn w:val="102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1"/>
    <w:basedOn w:val="102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2"/>
    <w:basedOn w:val="102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3"/>
    <w:basedOn w:val="102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4"/>
    <w:basedOn w:val="102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5"/>
    <w:basedOn w:val="102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6"/>
    <w:basedOn w:val="102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w:basedOn w:val="102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1"/>
    <w:basedOn w:val="102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2"/>
    <w:basedOn w:val="102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3"/>
    <w:basedOn w:val="102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4"/>
    <w:basedOn w:val="102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5"/>
    <w:basedOn w:val="102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6"/>
    <w:basedOn w:val="102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7">
    <w:name w:val="Heading 5"/>
    <w:basedOn w:val="1018"/>
    <w:next w:val="1018"/>
    <w:link w:val="982"/>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8">
    <w:name w:val="Heading 6"/>
    <w:basedOn w:val="1018"/>
    <w:next w:val="1018"/>
    <w:link w:val="983"/>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9">
    <w:name w:val="Heading 7"/>
    <w:basedOn w:val="1018"/>
    <w:next w:val="1018"/>
    <w:link w:val="984"/>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0">
    <w:name w:val="Heading 8"/>
    <w:basedOn w:val="1018"/>
    <w:next w:val="1018"/>
    <w:link w:val="985"/>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1">
    <w:name w:val="Heading 9"/>
    <w:basedOn w:val="1018"/>
    <w:next w:val="1018"/>
    <w:link w:val="986"/>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2">
    <w:name w:val="Heading 5 Char"/>
    <w:basedOn w:val="1023"/>
    <w:link w:val="977"/>
    <w:uiPriority w:val="9"/>
    <w:pPr>
      <w:pBdr/>
      <w:spacing/>
      <w:ind/>
    </w:pPr>
    <w:rPr>
      <w:rFonts w:ascii="Arial" w:hAnsi="Arial" w:eastAsia="Arial" w:cs="Arial"/>
      <w:color w:val="0f4761" w:themeColor="accent1" w:themeShade="BF"/>
    </w:rPr>
  </w:style>
  <w:style w:type="character" w:styleId="983">
    <w:name w:val="Heading 6 Char"/>
    <w:basedOn w:val="1023"/>
    <w:link w:val="978"/>
    <w:uiPriority w:val="9"/>
    <w:pPr>
      <w:pBdr/>
      <w:spacing/>
      <w:ind/>
    </w:pPr>
    <w:rPr>
      <w:rFonts w:ascii="Arial" w:hAnsi="Arial" w:eastAsia="Arial" w:cs="Arial"/>
      <w:i/>
      <w:iCs/>
      <w:color w:val="595959" w:themeColor="text1" w:themeTint="A6"/>
    </w:rPr>
  </w:style>
  <w:style w:type="character" w:styleId="984">
    <w:name w:val="Heading 7 Char"/>
    <w:basedOn w:val="1023"/>
    <w:link w:val="979"/>
    <w:uiPriority w:val="9"/>
    <w:pPr>
      <w:pBdr/>
      <w:spacing/>
      <w:ind/>
    </w:pPr>
    <w:rPr>
      <w:rFonts w:ascii="Arial" w:hAnsi="Arial" w:eastAsia="Arial" w:cs="Arial"/>
      <w:color w:val="595959" w:themeColor="text1" w:themeTint="A6"/>
    </w:rPr>
  </w:style>
  <w:style w:type="character" w:styleId="985">
    <w:name w:val="Heading 8 Char"/>
    <w:basedOn w:val="1023"/>
    <w:link w:val="980"/>
    <w:uiPriority w:val="9"/>
    <w:pPr>
      <w:pBdr/>
      <w:spacing/>
      <w:ind/>
    </w:pPr>
    <w:rPr>
      <w:rFonts w:ascii="Arial" w:hAnsi="Arial" w:eastAsia="Arial" w:cs="Arial"/>
      <w:i/>
      <w:iCs/>
      <w:color w:val="272727" w:themeColor="text1" w:themeTint="D8"/>
    </w:rPr>
  </w:style>
  <w:style w:type="character" w:styleId="986">
    <w:name w:val="Heading 9 Char"/>
    <w:basedOn w:val="1023"/>
    <w:link w:val="981"/>
    <w:uiPriority w:val="9"/>
    <w:pPr>
      <w:pBdr/>
      <w:spacing/>
      <w:ind/>
    </w:pPr>
    <w:rPr>
      <w:rFonts w:ascii="Arial" w:hAnsi="Arial" w:eastAsia="Arial" w:cs="Arial"/>
      <w:i/>
      <w:iCs/>
      <w:color w:val="272727" w:themeColor="text1" w:themeTint="D8"/>
    </w:rPr>
  </w:style>
  <w:style w:type="paragraph" w:styleId="987">
    <w:name w:val="Subtitle"/>
    <w:basedOn w:val="1018"/>
    <w:next w:val="1018"/>
    <w:link w:val="988"/>
    <w:uiPriority w:val="11"/>
    <w:qFormat/>
    <w:pPr>
      <w:numPr>
        <w:ilvl w:val="1"/>
      </w:numPr>
      <w:pBdr/>
      <w:spacing/>
      <w:ind/>
    </w:pPr>
    <w:rPr>
      <w:color w:val="595959" w:themeColor="text1" w:themeTint="A6"/>
      <w:spacing w:val="15"/>
      <w:sz w:val="28"/>
      <w:szCs w:val="28"/>
    </w:rPr>
  </w:style>
  <w:style w:type="character" w:styleId="988">
    <w:name w:val="Subtitle Char"/>
    <w:basedOn w:val="1023"/>
    <w:link w:val="987"/>
    <w:uiPriority w:val="11"/>
    <w:pPr>
      <w:pBdr/>
      <w:spacing/>
      <w:ind/>
    </w:pPr>
    <w:rPr>
      <w:color w:val="595959" w:themeColor="text1" w:themeTint="A6"/>
      <w:spacing w:val="15"/>
      <w:sz w:val="28"/>
      <w:szCs w:val="28"/>
    </w:rPr>
  </w:style>
  <w:style w:type="paragraph" w:styleId="989">
    <w:name w:val="Quote"/>
    <w:basedOn w:val="1018"/>
    <w:next w:val="1018"/>
    <w:link w:val="990"/>
    <w:uiPriority w:val="29"/>
    <w:qFormat/>
    <w:pPr>
      <w:pBdr/>
      <w:spacing w:before="160"/>
      <w:ind/>
      <w:jc w:val="center"/>
    </w:pPr>
    <w:rPr>
      <w:i/>
      <w:iCs/>
      <w:color w:val="404040" w:themeColor="text1" w:themeTint="BF"/>
    </w:rPr>
  </w:style>
  <w:style w:type="character" w:styleId="990">
    <w:name w:val="Quote Char"/>
    <w:basedOn w:val="1023"/>
    <w:link w:val="989"/>
    <w:uiPriority w:val="29"/>
    <w:pPr>
      <w:pBdr/>
      <w:spacing/>
      <w:ind/>
    </w:pPr>
    <w:rPr>
      <w:i/>
      <w:iCs/>
      <w:color w:val="404040" w:themeColor="text1" w:themeTint="BF"/>
    </w:rPr>
  </w:style>
  <w:style w:type="character" w:styleId="991">
    <w:name w:val="Intense Emphasis"/>
    <w:basedOn w:val="1023"/>
    <w:uiPriority w:val="21"/>
    <w:qFormat/>
    <w:pPr>
      <w:pBdr/>
      <w:spacing/>
      <w:ind/>
    </w:pPr>
    <w:rPr>
      <w:i/>
      <w:iCs/>
      <w:color w:val="0f4761" w:themeColor="accent1" w:themeShade="BF"/>
    </w:rPr>
  </w:style>
  <w:style w:type="paragraph" w:styleId="992">
    <w:name w:val="Intense Quote"/>
    <w:basedOn w:val="1018"/>
    <w:next w:val="1018"/>
    <w:link w:val="99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3">
    <w:name w:val="Intense Quote Char"/>
    <w:basedOn w:val="1023"/>
    <w:link w:val="992"/>
    <w:uiPriority w:val="30"/>
    <w:pPr>
      <w:pBdr/>
      <w:spacing/>
      <w:ind/>
    </w:pPr>
    <w:rPr>
      <w:i/>
      <w:iCs/>
      <w:color w:val="0f4761" w:themeColor="accent1" w:themeShade="BF"/>
    </w:rPr>
  </w:style>
  <w:style w:type="character" w:styleId="994">
    <w:name w:val="Intense Reference"/>
    <w:basedOn w:val="1023"/>
    <w:uiPriority w:val="32"/>
    <w:qFormat/>
    <w:pPr>
      <w:pBdr/>
      <w:spacing/>
      <w:ind/>
    </w:pPr>
    <w:rPr>
      <w:b/>
      <w:bCs/>
      <w:smallCaps/>
      <w:color w:val="0f4761" w:themeColor="accent1" w:themeShade="BF"/>
      <w:spacing w:val="5"/>
    </w:rPr>
  </w:style>
  <w:style w:type="paragraph" w:styleId="995">
    <w:name w:val="No Spacing"/>
    <w:basedOn w:val="1018"/>
    <w:uiPriority w:val="1"/>
    <w:qFormat/>
    <w:pPr>
      <w:pBdr/>
      <w:spacing w:after="0" w:line="240" w:lineRule="auto"/>
      <w:ind/>
    </w:pPr>
  </w:style>
  <w:style w:type="character" w:styleId="996">
    <w:name w:val="Subtle Emphasis"/>
    <w:basedOn w:val="1023"/>
    <w:uiPriority w:val="19"/>
    <w:qFormat/>
    <w:pPr>
      <w:pBdr/>
      <w:spacing/>
      <w:ind/>
    </w:pPr>
    <w:rPr>
      <w:i/>
      <w:iCs/>
      <w:color w:val="404040" w:themeColor="text1" w:themeTint="BF"/>
    </w:rPr>
  </w:style>
  <w:style w:type="character" w:styleId="997">
    <w:name w:val="Subtle Reference"/>
    <w:basedOn w:val="1023"/>
    <w:uiPriority w:val="31"/>
    <w:qFormat/>
    <w:pPr>
      <w:pBdr/>
      <w:spacing/>
      <w:ind/>
    </w:pPr>
    <w:rPr>
      <w:smallCaps/>
      <w:color w:val="5a5a5a" w:themeColor="text1" w:themeTint="A5"/>
    </w:rPr>
  </w:style>
  <w:style w:type="character" w:styleId="998">
    <w:name w:val="Book Title"/>
    <w:basedOn w:val="1023"/>
    <w:uiPriority w:val="33"/>
    <w:qFormat/>
    <w:pPr>
      <w:pBdr/>
      <w:spacing/>
      <w:ind/>
    </w:pPr>
    <w:rPr>
      <w:b/>
      <w:bCs/>
      <w:i/>
      <w:iCs/>
      <w:spacing w:val="5"/>
    </w:rPr>
  </w:style>
  <w:style w:type="paragraph" w:styleId="999">
    <w:name w:val="Caption"/>
    <w:basedOn w:val="1018"/>
    <w:next w:val="1018"/>
    <w:uiPriority w:val="35"/>
    <w:unhideWhenUsed/>
    <w:qFormat/>
    <w:pPr>
      <w:pBdr/>
      <w:spacing w:after="200" w:line="240" w:lineRule="auto"/>
      <w:ind/>
    </w:pPr>
    <w:rPr>
      <w:i/>
      <w:iCs/>
      <w:color w:val="0e2841" w:themeColor="text2"/>
      <w:sz w:val="18"/>
      <w:szCs w:val="18"/>
    </w:rPr>
  </w:style>
  <w:style w:type="paragraph" w:styleId="1000">
    <w:name w:val="footnote text"/>
    <w:basedOn w:val="1018"/>
    <w:link w:val="1001"/>
    <w:uiPriority w:val="99"/>
    <w:semiHidden/>
    <w:unhideWhenUsed/>
    <w:pPr>
      <w:pBdr/>
      <w:spacing w:after="0" w:line="240" w:lineRule="auto"/>
      <w:ind/>
    </w:pPr>
    <w:rPr>
      <w:sz w:val="20"/>
      <w:szCs w:val="20"/>
    </w:rPr>
  </w:style>
  <w:style w:type="character" w:styleId="1001">
    <w:name w:val="Footnote Text Char"/>
    <w:basedOn w:val="1023"/>
    <w:link w:val="1000"/>
    <w:uiPriority w:val="99"/>
    <w:semiHidden/>
    <w:pPr>
      <w:pBdr/>
      <w:spacing/>
      <w:ind/>
    </w:pPr>
    <w:rPr>
      <w:sz w:val="20"/>
      <w:szCs w:val="20"/>
    </w:rPr>
  </w:style>
  <w:style w:type="character" w:styleId="1002">
    <w:name w:val="footnote reference"/>
    <w:basedOn w:val="1023"/>
    <w:uiPriority w:val="99"/>
    <w:semiHidden/>
    <w:unhideWhenUsed/>
    <w:pPr>
      <w:pBdr/>
      <w:spacing/>
      <w:ind/>
    </w:pPr>
    <w:rPr>
      <w:vertAlign w:val="superscript"/>
    </w:rPr>
  </w:style>
  <w:style w:type="paragraph" w:styleId="1003">
    <w:name w:val="endnote text"/>
    <w:basedOn w:val="1018"/>
    <w:link w:val="1004"/>
    <w:uiPriority w:val="99"/>
    <w:semiHidden/>
    <w:unhideWhenUsed/>
    <w:pPr>
      <w:pBdr/>
      <w:spacing w:after="0" w:line="240" w:lineRule="auto"/>
      <w:ind/>
    </w:pPr>
    <w:rPr>
      <w:sz w:val="20"/>
      <w:szCs w:val="20"/>
    </w:rPr>
  </w:style>
  <w:style w:type="character" w:styleId="1004">
    <w:name w:val="Endnote Text Char"/>
    <w:basedOn w:val="1023"/>
    <w:link w:val="1003"/>
    <w:uiPriority w:val="99"/>
    <w:semiHidden/>
    <w:pPr>
      <w:pBdr/>
      <w:spacing/>
      <w:ind/>
    </w:pPr>
    <w:rPr>
      <w:sz w:val="20"/>
      <w:szCs w:val="20"/>
    </w:rPr>
  </w:style>
  <w:style w:type="character" w:styleId="1005">
    <w:name w:val="endnote reference"/>
    <w:basedOn w:val="1023"/>
    <w:uiPriority w:val="99"/>
    <w:semiHidden/>
    <w:unhideWhenUsed/>
    <w:pPr>
      <w:pBdr/>
      <w:spacing/>
      <w:ind/>
    </w:pPr>
    <w:rPr>
      <w:vertAlign w:val="superscript"/>
    </w:rPr>
  </w:style>
  <w:style w:type="paragraph" w:styleId="1006">
    <w:name w:val="toc 1"/>
    <w:basedOn w:val="1018"/>
    <w:next w:val="1018"/>
    <w:uiPriority w:val="39"/>
    <w:unhideWhenUsed/>
    <w:pPr>
      <w:pBdr/>
      <w:spacing w:after="100"/>
      <w:ind/>
    </w:pPr>
  </w:style>
  <w:style w:type="paragraph" w:styleId="1007">
    <w:name w:val="toc 2"/>
    <w:basedOn w:val="1018"/>
    <w:next w:val="1018"/>
    <w:uiPriority w:val="39"/>
    <w:unhideWhenUsed/>
    <w:pPr>
      <w:pBdr/>
      <w:spacing w:after="100"/>
      <w:ind w:left="220"/>
    </w:pPr>
  </w:style>
  <w:style w:type="paragraph" w:styleId="1008">
    <w:name w:val="toc 3"/>
    <w:basedOn w:val="1018"/>
    <w:next w:val="1018"/>
    <w:uiPriority w:val="39"/>
    <w:unhideWhenUsed/>
    <w:pPr>
      <w:pBdr/>
      <w:spacing w:after="100"/>
      <w:ind w:left="440"/>
    </w:pPr>
  </w:style>
  <w:style w:type="paragraph" w:styleId="1009">
    <w:name w:val="toc 4"/>
    <w:basedOn w:val="1018"/>
    <w:next w:val="1018"/>
    <w:uiPriority w:val="39"/>
    <w:unhideWhenUsed/>
    <w:pPr>
      <w:pBdr/>
      <w:spacing w:after="100"/>
      <w:ind w:left="660"/>
    </w:pPr>
  </w:style>
  <w:style w:type="paragraph" w:styleId="1010">
    <w:name w:val="toc 5"/>
    <w:basedOn w:val="1018"/>
    <w:next w:val="1018"/>
    <w:uiPriority w:val="39"/>
    <w:unhideWhenUsed/>
    <w:pPr>
      <w:pBdr/>
      <w:spacing w:after="100"/>
      <w:ind w:left="880"/>
    </w:pPr>
  </w:style>
  <w:style w:type="paragraph" w:styleId="1011">
    <w:name w:val="toc 6"/>
    <w:basedOn w:val="1018"/>
    <w:next w:val="1018"/>
    <w:uiPriority w:val="39"/>
    <w:unhideWhenUsed/>
    <w:pPr>
      <w:pBdr/>
      <w:spacing w:after="100"/>
      <w:ind w:left="1100"/>
    </w:pPr>
  </w:style>
  <w:style w:type="paragraph" w:styleId="1012">
    <w:name w:val="toc 7"/>
    <w:basedOn w:val="1018"/>
    <w:next w:val="1018"/>
    <w:uiPriority w:val="39"/>
    <w:unhideWhenUsed/>
    <w:pPr>
      <w:pBdr/>
      <w:spacing w:after="100"/>
      <w:ind w:left="1320"/>
    </w:pPr>
  </w:style>
  <w:style w:type="paragraph" w:styleId="1013">
    <w:name w:val="toc 8"/>
    <w:basedOn w:val="1018"/>
    <w:next w:val="1018"/>
    <w:uiPriority w:val="39"/>
    <w:unhideWhenUsed/>
    <w:pPr>
      <w:pBdr/>
      <w:spacing w:after="100"/>
      <w:ind w:left="1540"/>
    </w:pPr>
  </w:style>
  <w:style w:type="paragraph" w:styleId="1014">
    <w:name w:val="toc 9"/>
    <w:basedOn w:val="1018"/>
    <w:next w:val="1018"/>
    <w:uiPriority w:val="39"/>
    <w:unhideWhenUsed/>
    <w:pPr>
      <w:pBdr/>
      <w:spacing w:after="100"/>
      <w:ind w:left="1760"/>
    </w:pPr>
  </w:style>
  <w:style w:type="character" w:styleId="1015">
    <w:name w:val="Placeholder Text"/>
    <w:basedOn w:val="1023"/>
    <w:uiPriority w:val="99"/>
    <w:semiHidden/>
    <w:pPr>
      <w:pBdr/>
      <w:spacing/>
      <w:ind/>
    </w:pPr>
    <w:rPr>
      <w:color w:val="666666"/>
    </w:rPr>
  </w:style>
  <w:style w:type="paragraph" w:styleId="1016">
    <w:name w:val="TOC Heading"/>
    <w:uiPriority w:val="39"/>
    <w:unhideWhenUsed/>
    <w:pPr>
      <w:pBdr/>
      <w:spacing/>
      <w:ind/>
    </w:pPr>
  </w:style>
  <w:style w:type="paragraph" w:styleId="1017">
    <w:name w:val="table of figures"/>
    <w:basedOn w:val="1018"/>
    <w:next w:val="1018"/>
    <w:uiPriority w:val="99"/>
    <w:unhideWhenUsed/>
    <w:pPr>
      <w:pBdr/>
      <w:spacing w:after="0" w:afterAutospacing="0"/>
      <w:ind/>
    </w:pPr>
  </w:style>
  <w:style w:type="paragraph" w:styleId="1018" w:default="1">
    <w:name w:val="Normal"/>
    <w:qFormat/>
    <w:pPr>
      <w:pBdr/>
      <w:spacing w:after="0" w:line="240" w:lineRule="auto"/>
      <w:ind/>
    </w:pPr>
    <w:rPr>
      <w:rFonts w:ascii="Times New Roman" w:hAnsi="Times New Roman" w:eastAsia="Times New Roman" w:cs="Times New Roman"/>
      <w:sz w:val="24"/>
      <w:szCs w:val="24"/>
    </w:rPr>
  </w:style>
  <w:style w:type="paragraph" w:styleId="1019">
    <w:name w:val="Heading 1"/>
    <w:basedOn w:val="1018"/>
    <w:next w:val="1018"/>
    <w:link w:val="1026"/>
    <w:qFormat/>
    <w:pPr>
      <w:keepNext w:val="true"/>
      <w:pBdr/>
      <w:spacing w:after="120" w:before="120"/>
      <w:ind/>
      <w:jc w:val="center"/>
      <w:outlineLvl w:val="0"/>
    </w:pPr>
    <w:rPr>
      <w:b/>
      <w:bCs/>
      <w:sz w:val="27"/>
      <w:szCs w:val="27"/>
    </w:rPr>
  </w:style>
  <w:style w:type="paragraph" w:styleId="1020">
    <w:name w:val="Heading 2"/>
    <w:basedOn w:val="1018"/>
    <w:next w:val="1018"/>
    <w:link w:val="1027"/>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1">
    <w:name w:val="Heading 3"/>
    <w:basedOn w:val="1018"/>
    <w:next w:val="1018"/>
    <w:link w:val="1028"/>
    <w:qFormat/>
    <w:pPr>
      <w:keepNext w:val="true"/>
      <w:pBdr/>
      <w:spacing w:before="60"/>
      <w:ind/>
      <w:outlineLvl w:val="2"/>
    </w:pPr>
    <w:rPr>
      <w:sz w:val="28"/>
      <w:szCs w:val="28"/>
    </w:rPr>
  </w:style>
  <w:style w:type="paragraph" w:styleId="1022">
    <w:name w:val="Heading 4"/>
    <w:basedOn w:val="1018"/>
    <w:next w:val="1018"/>
    <w:link w:val="1029"/>
    <w:qFormat/>
    <w:pPr>
      <w:keepNext w:val="true"/>
      <w:pBdr/>
      <w:spacing/>
      <w:ind/>
      <w:jc w:val="center"/>
      <w:outlineLvl w:val="3"/>
    </w:pPr>
    <w:rPr>
      <w:b/>
      <w:bCs/>
    </w:rPr>
  </w:style>
  <w:style w:type="character" w:styleId="1023" w:default="1">
    <w:name w:val="Default Paragraph Font"/>
    <w:uiPriority w:val="1"/>
    <w:semiHidden/>
    <w:unhideWhenUsed/>
    <w:pPr>
      <w:pBdr/>
      <w:spacing/>
      <w:ind/>
    </w:pPr>
  </w:style>
  <w:style w:type="table" w:styleId="102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5" w:default="1">
    <w:name w:val="No List"/>
    <w:uiPriority w:val="99"/>
    <w:semiHidden/>
    <w:unhideWhenUsed/>
    <w:pPr>
      <w:pBdr/>
      <w:spacing/>
      <w:ind/>
    </w:pPr>
  </w:style>
  <w:style w:type="character" w:styleId="1026" w:customStyle="1">
    <w:name w:val="Heading 1 Char"/>
    <w:basedOn w:val="1023"/>
    <w:link w:val="1019"/>
    <w:pPr>
      <w:pBdr/>
      <w:spacing/>
      <w:ind/>
    </w:pPr>
    <w:rPr>
      <w:rFonts w:ascii="Times New Roman" w:hAnsi="Times New Roman" w:eastAsia="Times New Roman" w:cs="Times New Roman"/>
      <w:b/>
      <w:bCs/>
      <w:sz w:val="27"/>
      <w:szCs w:val="27"/>
    </w:rPr>
  </w:style>
  <w:style w:type="character" w:styleId="1027" w:customStyle="1">
    <w:name w:val="Heading 2 Char"/>
    <w:basedOn w:val="1023"/>
    <w:link w:val="1020"/>
    <w:uiPriority w:val="9"/>
    <w:pPr>
      <w:pBdr/>
      <w:spacing/>
      <w:ind/>
    </w:pPr>
    <w:rPr>
      <w:rFonts w:asciiTheme="majorHAnsi" w:hAnsiTheme="majorHAnsi" w:eastAsiaTheme="majorEastAsia" w:cstheme="majorBidi"/>
      <w:color w:val="365f91" w:themeColor="accent1" w:themeShade="BF"/>
      <w:sz w:val="26"/>
      <w:szCs w:val="26"/>
    </w:rPr>
  </w:style>
  <w:style w:type="character" w:styleId="1028" w:customStyle="1">
    <w:name w:val="Heading 3 Char"/>
    <w:basedOn w:val="1023"/>
    <w:link w:val="1021"/>
    <w:pPr>
      <w:pBdr/>
      <w:spacing/>
      <w:ind/>
    </w:pPr>
    <w:rPr>
      <w:rFonts w:ascii="Times New Roman" w:hAnsi="Times New Roman" w:eastAsia="Times New Roman" w:cs="Times New Roman"/>
      <w:sz w:val="28"/>
      <w:szCs w:val="28"/>
    </w:rPr>
  </w:style>
  <w:style w:type="character" w:styleId="1029" w:customStyle="1">
    <w:name w:val="Heading 4 Char"/>
    <w:basedOn w:val="1023"/>
    <w:link w:val="1022"/>
    <w:pPr>
      <w:pBdr/>
      <w:spacing/>
      <w:ind/>
    </w:pPr>
    <w:rPr>
      <w:rFonts w:ascii="Times New Roman" w:hAnsi="Times New Roman" w:eastAsia="Times New Roman" w:cs="Times New Roman"/>
      <w:b/>
      <w:bCs/>
      <w:sz w:val="24"/>
      <w:szCs w:val="24"/>
    </w:rPr>
  </w:style>
  <w:style w:type="character" w:styleId="1030">
    <w:name w:val="Hyperlink"/>
    <w:uiPriority w:val="99"/>
    <w:pPr>
      <w:pBdr/>
      <w:spacing/>
      <w:ind/>
    </w:pPr>
    <w:rPr>
      <w:color w:val="000000"/>
      <w:u w:val="single"/>
    </w:rPr>
  </w:style>
  <w:style w:type="character" w:styleId="1031">
    <w:name w:val="Strong"/>
    <w:uiPriority w:val="22"/>
    <w:qFormat/>
    <w:pPr>
      <w:pBdr/>
      <w:spacing/>
      <w:ind/>
    </w:pPr>
    <w:rPr>
      <w:b/>
      <w:bCs/>
    </w:rPr>
  </w:style>
  <w:style w:type="paragraph" w:styleId="1032">
    <w:name w:val="Balloon Text"/>
    <w:basedOn w:val="1018"/>
    <w:link w:val="1033"/>
    <w:uiPriority w:val="99"/>
    <w:semiHidden/>
    <w:unhideWhenUsed/>
    <w:pPr>
      <w:pBdr/>
      <w:spacing/>
      <w:ind/>
    </w:pPr>
    <w:rPr>
      <w:rFonts w:ascii="Tahoma" w:hAnsi="Tahoma" w:cs="Tahoma"/>
      <w:sz w:val="16"/>
      <w:szCs w:val="16"/>
    </w:rPr>
  </w:style>
  <w:style w:type="character" w:styleId="1033" w:customStyle="1">
    <w:name w:val="Balloon Text Char"/>
    <w:basedOn w:val="1023"/>
    <w:link w:val="1032"/>
    <w:uiPriority w:val="99"/>
    <w:semiHidden/>
    <w:pPr>
      <w:pBdr/>
      <w:spacing/>
      <w:ind/>
    </w:pPr>
    <w:rPr>
      <w:rFonts w:ascii="Tahoma" w:hAnsi="Tahoma" w:eastAsia="Times New Roman" w:cs="Tahoma"/>
      <w:sz w:val="16"/>
      <w:szCs w:val="16"/>
    </w:rPr>
  </w:style>
  <w:style w:type="paragraph" w:styleId="1034">
    <w:name w:val="Header"/>
    <w:basedOn w:val="1018"/>
    <w:link w:val="1035"/>
    <w:unhideWhenUsed/>
    <w:pPr>
      <w:pBdr/>
      <w:tabs>
        <w:tab w:val="center" w:leader="none" w:pos="4680"/>
        <w:tab w:val="right" w:leader="none" w:pos="9360"/>
      </w:tabs>
      <w:spacing/>
      <w:ind/>
    </w:pPr>
  </w:style>
  <w:style w:type="character" w:styleId="1035" w:customStyle="1">
    <w:name w:val="Header Char"/>
    <w:basedOn w:val="1023"/>
    <w:link w:val="1034"/>
    <w:pPr>
      <w:pBdr/>
      <w:spacing/>
      <w:ind/>
    </w:pPr>
    <w:rPr>
      <w:rFonts w:ascii="Times New Roman" w:hAnsi="Times New Roman" w:eastAsia="Times New Roman" w:cs="Times New Roman"/>
      <w:sz w:val="24"/>
      <w:szCs w:val="24"/>
    </w:rPr>
  </w:style>
  <w:style w:type="paragraph" w:styleId="1036">
    <w:name w:val="Footer"/>
    <w:basedOn w:val="1018"/>
    <w:link w:val="1037"/>
    <w:uiPriority w:val="99"/>
    <w:unhideWhenUsed/>
    <w:pPr>
      <w:pBdr/>
      <w:tabs>
        <w:tab w:val="center" w:leader="none" w:pos="4680"/>
        <w:tab w:val="right" w:leader="none" w:pos="9360"/>
      </w:tabs>
      <w:spacing/>
      <w:ind/>
    </w:pPr>
  </w:style>
  <w:style w:type="character" w:styleId="1037" w:customStyle="1">
    <w:name w:val="Footer Char"/>
    <w:basedOn w:val="1023"/>
    <w:link w:val="1036"/>
    <w:uiPriority w:val="99"/>
    <w:pPr>
      <w:pBdr/>
      <w:spacing/>
      <w:ind/>
    </w:pPr>
    <w:rPr>
      <w:rFonts w:ascii="Times New Roman" w:hAnsi="Times New Roman" w:eastAsia="Times New Roman" w:cs="Times New Roman"/>
      <w:sz w:val="24"/>
      <w:szCs w:val="24"/>
    </w:rPr>
  </w:style>
  <w:style w:type="character" w:styleId="1038" w:customStyle="1">
    <w:name w:val="normal-h1"/>
    <w:pPr>
      <w:pBdr/>
      <w:spacing/>
      <w:ind/>
    </w:pPr>
    <w:rPr>
      <w:rFonts w:hint="default" w:ascii=".VnTime" w:hAnsi=".VnTime"/>
      <w:color w:val="0000ff"/>
      <w:sz w:val="24"/>
      <w:szCs w:val="24"/>
    </w:rPr>
  </w:style>
  <w:style w:type="paragraph" w:styleId="1039" w:customStyle="1">
    <w:name w:val="normal-p"/>
    <w:basedOn w:val="1018"/>
    <w:pPr>
      <w:pBdr/>
      <w:spacing/>
      <w:ind/>
      <w:jc w:val="both"/>
    </w:pPr>
    <w:rPr>
      <w:sz w:val="20"/>
      <w:szCs w:val="20"/>
    </w:rPr>
  </w:style>
  <w:style w:type="paragraph" w:styleId="1040">
    <w:name w:val="List Paragraph"/>
    <w:basedOn w:val="1018"/>
    <w:link w:val="1127"/>
    <w:uiPriority w:val="34"/>
    <w:qFormat/>
    <w:pPr>
      <w:pBdr/>
      <w:spacing/>
      <w:ind w:left="720"/>
    </w:pPr>
  </w:style>
  <w:style w:type="paragraph" w:styleId="1041">
    <w:name w:val="Normal (Web)"/>
    <w:basedOn w:val="1018"/>
    <w:uiPriority w:val="99"/>
    <w:pPr>
      <w:pBdr/>
      <w:spacing w:after="100" w:afterAutospacing="1" w:before="100" w:beforeAutospacing="1"/>
      <w:ind/>
    </w:pPr>
  </w:style>
  <w:style w:type="paragraph" w:styleId="1042">
    <w:name w:val="Body Text"/>
    <w:basedOn w:val="1018"/>
    <w:link w:val="1043"/>
    <w:pPr>
      <w:pBdr/>
      <w:spacing w:after="120"/>
      <w:ind/>
      <w:jc w:val="both"/>
    </w:pPr>
  </w:style>
  <w:style w:type="character" w:styleId="1043" w:customStyle="1">
    <w:name w:val="Body Text Char"/>
    <w:basedOn w:val="1023"/>
    <w:link w:val="1042"/>
    <w:pPr>
      <w:pBdr/>
      <w:spacing/>
      <w:ind/>
    </w:pPr>
    <w:rPr>
      <w:rFonts w:ascii="Times New Roman" w:hAnsi="Times New Roman" w:eastAsia="Times New Roman" w:cs="Times New Roman"/>
      <w:sz w:val="24"/>
      <w:szCs w:val="24"/>
    </w:rPr>
  </w:style>
  <w:style w:type="table" w:styleId="1044">
    <w:name w:val="Table Grid"/>
    <w:basedOn w:val="1024"/>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5"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6">
    <w:name w:val="annotation reference"/>
    <w:basedOn w:val="1023"/>
    <w:uiPriority w:val="99"/>
    <w:semiHidden/>
    <w:unhideWhenUsed/>
    <w:pPr>
      <w:pBdr/>
      <w:spacing/>
      <w:ind/>
    </w:pPr>
    <w:rPr>
      <w:sz w:val="16"/>
      <w:szCs w:val="16"/>
    </w:rPr>
  </w:style>
  <w:style w:type="paragraph" w:styleId="1047">
    <w:name w:val="annotation text"/>
    <w:basedOn w:val="1018"/>
    <w:link w:val="1048"/>
    <w:uiPriority w:val="99"/>
    <w:unhideWhenUsed/>
    <w:pPr>
      <w:pBdr/>
      <w:spacing/>
      <w:ind/>
    </w:pPr>
    <w:rPr>
      <w:sz w:val="20"/>
      <w:szCs w:val="20"/>
    </w:rPr>
  </w:style>
  <w:style w:type="character" w:styleId="1048" w:customStyle="1">
    <w:name w:val="Comment Text Char"/>
    <w:basedOn w:val="1023"/>
    <w:link w:val="1047"/>
    <w:uiPriority w:val="99"/>
    <w:pPr>
      <w:pBdr/>
      <w:spacing/>
      <w:ind/>
    </w:pPr>
    <w:rPr>
      <w:rFonts w:ascii="Times New Roman" w:hAnsi="Times New Roman" w:eastAsia="Times New Roman" w:cs="Times New Roman"/>
      <w:sz w:val="20"/>
      <w:szCs w:val="20"/>
    </w:rPr>
  </w:style>
  <w:style w:type="paragraph" w:styleId="1049">
    <w:name w:val="annotation subject"/>
    <w:basedOn w:val="1047"/>
    <w:next w:val="1047"/>
    <w:link w:val="1050"/>
    <w:uiPriority w:val="99"/>
    <w:semiHidden/>
    <w:unhideWhenUsed/>
    <w:pPr>
      <w:pBdr/>
      <w:spacing/>
      <w:ind/>
    </w:pPr>
    <w:rPr>
      <w:b/>
      <w:bCs/>
    </w:rPr>
  </w:style>
  <w:style w:type="character" w:styleId="1050" w:customStyle="1">
    <w:name w:val="Comment Subject Char"/>
    <w:basedOn w:val="1048"/>
    <w:link w:val="1049"/>
    <w:uiPriority w:val="99"/>
    <w:semiHidden/>
    <w:pPr>
      <w:pBdr/>
      <w:spacing/>
      <w:ind/>
    </w:pPr>
    <w:rPr>
      <w:rFonts w:ascii="Times New Roman" w:hAnsi="Times New Roman" w:eastAsia="Times New Roman" w:cs="Times New Roman"/>
      <w:b/>
      <w:bCs/>
      <w:sz w:val="20"/>
      <w:szCs w:val="20"/>
    </w:rPr>
  </w:style>
  <w:style w:type="paragraph" w:styleId="1051" w:customStyle="1">
    <w:name w:val="font5"/>
    <w:basedOn w:val="1018"/>
    <w:pPr>
      <w:pBdr/>
      <w:spacing w:after="100" w:afterAutospacing="1" w:before="100" w:beforeAutospacing="1"/>
      <w:ind/>
    </w:pPr>
    <w:rPr>
      <w:rFonts w:ascii="Tahoma" w:hAnsi="Tahoma" w:cs="Tahoma"/>
      <w:color w:val="000000"/>
      <w:sz w:val="18"/>
      <w:szCs w:val="18"/>
    </w:rPr>
  </w:style>
  <w:style w:type="paragraph" w:styleId="1052" w:customStyle="1">
    <w:name w:val="font6"/>
    <w:basedOn w:val="1018"/>
    <w:pPr>
      <w:pBdr/>
      <w:spacing w:after="100" w:afterAutospacing="1" w:before="100" w:beforeAutospacing="1"/>
      <w:ind/>
    </w:pPr>
    <w:rPr>
      <w:rFonts w:ascii="Tahoma" w:hAnsi="Tahoma" w:cs="Tahoma"/>
      <w:b/>
      <w:bCs/>
      <w:color w:val="000000"/>
      <w:sz w:val="18"/>
      <w:szCs w:val="18"/>
    </w:rPr>
  </w:style>
  <w:style w:type="paragraph" w:styleId="1053" w:customStyle="1">
    <w:name w:val="xl233"/>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4" w:customStyle="1">
    <w:name w:val="xl234"/>
    <w:basedOn w:val="1018"/>
    <w:pPr>
      <w:pBdr/>
      <w:spacing w:after="100" w:afterAutospacing="1" w:before="100" w:beforeAutospacing="1"/>
      <w:ind/>
      <w:jc w:val="center"/>
    </w:pPr>
  </w:style>
  <w:style w:type="paragraph" w:styleId="1055" w:customStyle="1">
    <w:name w:val="xl235"/>
    <w:basedOn w:val="1018"/>
    <w:pPr>
      <w:pBdr/>
      <w:spacing w:after="100" w:afterAutospacing="1" w:before="100" w:beforeAutospacing="1"/>
      <w:ind/>
      <w:jc w:val="center"/>
    </w:pPr>
    <w:rPr>
      <w:b/>
      <w:bCs/>
    </w:rPr>
  </w:style>
  <w:style w:type="paragraph" w:styleId="1056" w:customStyle="1">
    <w:name w:val="xl236"/>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37"/>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8" w:customStyle="1">
    <w:name w:val="xl238"/>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9" w:customStyle="1">
    <w:name w:val="xl23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0" w:customStyle="1">
    <w:name w:val="xl240"/>
    <w:basedOn w:val="1018"/>
    <w:pPr>
      <w:pBdr/>
      <w:spacing w:after="100" w:afterAutospacing="1" w:before="100" w:beforeAutospacing="1"/>
      <w:ind/>
    </w:pPr>
  </w:style>
  <w:style w:type="paragraph" w:styleId="1061" w:customStyle="1">
    <w:name w:val="xl241"/>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2" w:customStyle="1">
    <w:name w:val="xl242"/>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3" w:customStyle="1">
    <w:name w:val="xl243"/>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44"/>
    <w:basedOn w:val="1018"/>
    <w:pPr>
      <w:pBdr/>
      <w:spacing w:after="100" w:afterAutospacing="1" w:before="100" w:beforeAutospacing="1"/>
      <w:ind/>
    </w:pPr>
    <w:rPr>
      <w:b/>
      <w:bCs/>
    </w:rPr>
  </w:style>
  <w:style w:type="paragraph" w:styleId="1065" w:customStyle="1">
    <w:name w:val="xl245"/>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6"/>
    <w:basedOn w:val="101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7" w:customStyle="1">
    <w:name w:val="xl247"/>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8" w:customStyle="1">
    <w:name w:val="xl248"/>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9" w:customStyle="1">
    <w:name w:val="xl24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0" w:customStyle="1">
    <w:name w:val="xl250"/>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51"/>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2" w:customStyle="1">
    <w:name w:val="xl252"/>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3"/>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4"/>
    <w:basedOn w:val="1018"/>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5"/>
    <w:basedOn w:val="101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6"/>
    <w:basedOn w:val="1018"/>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7" w:customStyle="1">
    <w:name w:val="xl257"/>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8"/>
    <w:basedOn w:val="1018"/>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0"/>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1" w:customStyle="1">
    <w:name w:val="xl261"/>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2" w:customStyle="1">
    <w:name w:val="xl262"/>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63"/>
    <w:basedOn w:val="1018"/>
    <w:pPr>
      <w:pBdr/>
      <w:shd w:val="clear" w:color="000000" w:fill="ffffff"/>
      <w:spacing w:after="100" w:afterAutospacing="1" w:before="100" w:beforeAutospacing="1"/>
      <w:ind/>
    </w:pPr>
  </w:style>
  <w:style w:type="paragraph" w:styleId="1084" w:customStyle="1">
    <w:name w:val="xl264"/>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5"/>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66"/>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7" w:customStyle="1">
    <w:name w:val="xl267"/>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68"/>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69"/>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70"/>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71"/>
    <w:basedOn w:val="1018"/>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2" w:customStyle="1">
    <w:name w:val="xl272"/>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3" w:customStyle="1">
    <w:name w:val="xl273"/>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4" w:customStyle="1">
    <w:name w:val="xl274"/>
    <w:basedOn w:val="1018"/>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5" w:customStyle="1">
    <w:name w:val="xl275"/>
    <w:basedOn w:val="1018"/>
    <w:pPr>
      <w:pBdr/>
      <w:spacing w:after="100" w:afterAutospacing="1" w:before="100" w:beforeAutospacing="1"/>
      <w:ind/>
    </w:pPr>
  </w:style>
  <w:style w:type="paragraph" w:styleId="1096" w:customStyle="1">
    <w:name w:val="xl276"/>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77"/>
    <w:basedOn w:val="1018"/>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8" w:customStyle="1">
    <w:name w:val="xl278"/>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79"/>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0"/>
    <w:basedOn w:val="1018"/>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1" w:customStyle="1">
    <w:name w:val="xl281"/>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2" w:customStyle="1">
    <w:name w:val="xl282"/>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3" w:customStyle="1">
    <w:name w:val="xl283"/>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4"/>
    <w:basedOn w:val="1018"/>
    <w:pPr>
      <w:pBdr>
        <w:left w:val="single" w:color="000000" w:sz="4" w:space="0"/>
        <w:bottom w:val="single" w:color="000000" w:sz="4" w:space="0"/>
        <w:right w:val="single" w:color="000000" w:sz="4" w:space="0"/>
      </w:pBdr>
      <w:spacing w:after="100" w:afterAutospacing="1" w:before="100" w:beforeAutospacing="1"/>
      <w:ind/>
    </w:pPr>
  </w:style>
  <w:style w:type="paragraph" w:styleId="1105" w:customStyle="1">
    <w:name w:val="xl285"/>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6"/>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customStyle="1">
    <w:name w:val="xl287"/>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8"/>
    <w:basedOn w:val="1018"/>
    <w:pPr>
      <w:pBdr>
        <w:top w:val="single" w:color="000000" w:sz="4" w:space="0"/>
        <w:left w:val="single" w:color="000000" w:sz="4" w:space="0"/>
        <w:right w:val="single" w:color="000000" w:sz="4" w:space="0"/>
      </w:pBdr>
      <w:spacing w:after="100" w:afterAutospacing="1" w:before="100" w:beforeAutospacing="1"/>
      <w:ind/>
    </w:pPr>
  </w:style>
  <w:style w:type="paragraph" w:styleId="1109" w:customStyle="1">
    <w:name w:val="xl289"/>
    <w:basedOn w:val="1018"/>
    <w:pPr>
      <w:pBdr>
        <w:left w:val="single" w:color="000000" w:sz="4" w:space="0"/>
        <w:right w:val="single" w:color="000000" w:sz="4" w:space="0"/>
      </w:pBdr>
      <w:spacing w:after="100" w:afterAutospacing="1" w:before="100" w:beforeAutospacing="1"/>
      <w:ind/>
    </w:pPr>
    <w:rPr>
      <w:b/>
      <w:bCs/>
    </w:rPr>
  </w:style>
  <w:style w:type="paragraph" w:styleId="1110" w:customStyle="1">
    <w:name w:val="xl290"/>
    <w:basedOn w:val="1018"/>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1" w:customStyle="1">
    <w:name w:val="xl291"/>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2" w:customStyle="1">
    <w:name w:val="xl292"/>
    <w:basedOn w:val="1018"/>
    <w:pPr>
      <w:pBdr>
        <w:top w:val="single" w:color="000000" w:sz="4" w:space="0"/>
        <w:left w:val="single" w:color="000000" w:sz="4" w:space="0"/>
        <w:right w:val="single" w:color="000000" w:sz="4" w:space="0"/>
      </w:pBdr>
      <w:spacing w:after="100" w:afterAutospacing="1" w:before="100" w:beforeAutospacing="1"/>
      <w:ind/>
    </w:pPr>
  </w:style>
  <w:style w:type="paragraph" w:styleId="1113" w:customStyle="1">
    <w:name w:val="xl293"/>
    <w:basedOn w:val="1018"/>
    <w:pPr>
      <w:pBdr>
        <w:left w:val="single" w:color="000000" w:sz="4" w:space="0"/>
        <w:bottom w:val="single" w:color="000000" w:sz="4" w:space="0"/>
        <w:right w:val="single" w:color="000000" w:sz="4" w:space="0"/>
      </w:pBdr>
      <w:spacing w:after="100" w:afterAutospacing="1" w:before="100" w:beforeAutospacing="1"/>
      <w:ind/>
    </w:pPr>
  </w:style>
  <w:style w:type="paragraph" w:styleId="1114" w:customStyle="1">
    <w:name w:val="xl294"/>
    <w:basedOn w:val="1018"/>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5">
    <w:name w:val="Title"/>
    <w:basedOn w:val="1018"/>
    <w:link w:val="1116"/>
    <w:qFormat/>
    <w:pPr>
      <w:pBdr/>
      <w:spacing/>
      <w:ind/>
      <w:jc w:val="center"/>
    </w:pPr>
    <w:rPr>
      <w:b/>
      <w:bCs/>
      <w:sz w:val="32"/>
      <w:szCs w:val="26"/>
    </w:rPr>
  </w:style>
  <w:style w:type="character" w:styleId="1116" w:customStyle="1">
    <w:name w:val="Title Char"/>
    <w:basedOn w:val="1023"/>
    <w:link w:val="1115"/>
    <w:pPr>
      <w:pBdr/>
      <w:spacing/>
      <w:ind/>
    </w:pPr>
    <w:rPr>
      <w:rFonts w:ascii="Times New Roman" w:hAnsi="Times New Roman" w:eastAsia="Times New Roman" w:cs="Times New Roman"/>
      <w:b/>
      <w:bCs/>
      <w:sz w:val="32"/>
      <w:szCs w:val="26"/>
    </w:rPr>
  </w:style>
  <w:style w:type="character" w:styleId="1117" w:customStyle="1">
    <w:name w:val="Unresolved Mention1"/>
    <w:basedOn w:val="1023"/>
    <w:uiPriority w:val="99"/>
    <w:semiHidden/>
    <w:unhideWhenUsed/>
    <w:pPr>
      <w:pBdr/>
      <w:spacing/>
      <w:ind/>
    </w:pPr>
    <w:rPr>
      <w:color w:val="605e5c"/>
      <w:shd w:val="clear" w:color="auto" w:fill="e1dfdd"/>
    </w:rPr>
  </w:style>
  <w:style w:type="character" w:styleId="1118" w:customStyle="1">
    <w:name w:val="Body text (3)_"/>
    <w:link w:val="1119"/>
    <w:pPr>
      <w:pBdr/>
      <w:spacing/>
      <w:ind/>
    </w:pPr>
    <w:rPr>
      <w:rFonts w:ascii="Times New Roman" w:hAnsi="Times New Roman" w:cs="Times New Roman"/>
      <w:i/>
      <w:iCs/>
      <w:spacing w:val="4"/>
      <w:shd w:val="clear" w:color="auto" w:fill="ffffff"/>
    </w:rPr>
  </w:style>
  <w:style w:type="paragraph" w:styleId="1119" w:customStyle="1">
    <w:name w:val="Body text (3)1"/>
    <w:basedOn w:val="1018"/>
    <w:link w:val="1118"/>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0" w:customStyle="1">
    <w:name w:val="t-j"/>
    <w:basedOn w:val="1018"/>
    <w:pPr>
      <w:pBdr/>
      <w:spacing w:after="100" w:afterAutospacing="1" w:before="100" w:beforeAutospacing="1"/>
      <w:ind/>
    </w:pPr>
  </w:style>
  <w:style w:type="character" w:styleId="1121" w:customStyle="1">
    <w:name w:val="Unresolved Mention2"/>
    <w:basedOn w:val="1023"/>
    <w:uiPriority w:val="99"/>
    <w:semiHidden/>
    <w:unhideWhenUsed/>
    <w:pPr>
      <w:pBdr/>
      <w:spacing/>
      <w:ind/>
    </w:pPr>
    <w:rPr>
      <w:color w:val="605e5c"/>
      <w:shd w:val="clear" w:color="auto" w:fill="e1dfdd"/>
    </w:rPr>
  </w:style>
  <w:style w:type="character" w:styleId="1122">
    <w:name w:val="FollowedHyperlink"/>
    <w:basedOn w:val="1023"/>
    <w:uiPriority w:val="99"/>
    <w:semiHidden/>
    <w:unhideWhenUsed/>
    <w:pPr>
      <w:pBdr/>
      <w:spacing/>
      <w:ind/>
    </w:pPr>
    <w:rPr>
      <w:color w:val="800080" w:themeColor="followedHyperlink"/>
      <w:u w:val="single"/>
    </w:rPr>
  </w:style>
  <w:style w:type="character" w:styleId="1123" w:customStyle="1">
    <w:name w:val="text"/>
    <w:basedOn w:val="1023"/>
    <w:pPr>
      <w:pBdr/>
      <w:spacing/>
      <w:ind/>
    </w:pPr>
  </w:style>
  <w:style w:type="character" w:styleId="1124" w:customStyle="1">
    <w:name w:val="card-send-time__sendtime"/>
    <w:basedOn w:val="1023"/>
    <w:pPr>
      <w:pBdr/>
      <w:spacing/>
      <w:ind/>
    </w:pPr>
  </w:style>
  <w:style w:type="character" w:styleId="1125" w:customStyle="1">
    <w:name w:val="Đề cập Chưa giải quyết1"/>
    <w:basedOn w:val="1023"/>
    <w:uiPriority w:val="99"/>
    <w:semiHidden/>
    <w:unhideWhenUsed/>
    <w:pPr>
      <w:pBdr/>
      <w:spacing/>
      <w:ind/>
    </w:pPr>
    <w:rPr>
      <w:color w:val="605e5c"/>
      <w:shd w:val="clear" w:color="auto" w:fill="e1dfdd"/>
    </w:rPr>
  </w:style>
  <w:style w:type="paragraph" w:styleId="1126" w:customStyle="1">
    <w:name w:val="nqtitle"/>
    <w:basedOn w:val="1018"/>
    <w:pPr>
      <w:pBdr/>
      <w:spacing w:after="100" w:afterAutospacing="1" w:before="100" w:beforeAutospacing="1"/>
      <w:ind/>
    </w:pPr>
    <w:rPr>
      <w:lang w:val="vi-VN" w:eastAsia="vi-VN"/>
    </w:rPr>
  </w:style>
  <w:style w:type="character" w:styleId="1127" w:customStyle="1">
    <w:name w:val="List Paragraph Char"/>
    <w:link w:val="1040"/>
    <w:uiPriority w:val="34"/>
    <w:qFormat/>
    <w:pPr>
      <w:pBdr/>
      <w:spacing/>
      <w:ind/>
    </w:pPr>
    <w:rPr>
      <w:rFonts w:ascii="Times New Roman" w:hAnsi="Times New Roman" w:eastAsia="Times New Roman" w:cs="Times New Roman"/>
      <w:sz w:val="24"/>
      <w:szCs w:val="24"/>
    </w:rPr>
  </w:style>
  <w:style w:type="character" w:styleId="1128" w:customStyle="1">
    <w:name w:val="Đề cập Chưa giải quyết2"/>
    <w:basedOn w:val="1023"/>
    <w:uiPriority w:val="99"/>
    <w:semiHidden/>
    <w:unhideWhenUsed/>
    <w:pPr>
      <w:pBdr/>
      <w:spacing/>
      <w:ind/>
    </w:pPr>
    <w:rPr>
      <w:color w:val="605e5c"/>
      <w:shd w:val="clear" w:color="auto" w:fill="e1dfdd"/>
    </w:rPr>
  </w:style>
  <w:style w:type="character" w:styleId="1129" w:customStyle="1">
    <w:name w:val="Unresolved Mention3"/>
    <w:basedOn w:val="1023"/>
    <w:uiPriority w:val="99"/>
    <w:semiHidden/>
    <w:unhideWhenUsed/>
    <w:pPr>
      <w:pBdr/>
      <w:spacing/>
      <w:ind/>
    </w:pPr>
    <w:rPr>
      <w:color w:val="605e5c"/>
      <w:shd w:val="clear" w:color="auto" w:fill="e1dfdd"/>
    </w:rPr>
  </w:style>
  <w:style w:type="character" w:styleId="1130" w:customStyle="1">
    <w:name w:val="copy"/>
    <w:basedOn w:val="1023"/>
    <w:pPr>
      <w:pBdr/>
      <w:spacing/>
      <w:ind/>
    </w:pPr>
  </w:style>
  <w:style w:type="paragraph" w:styleId="1131" w:customStyle="1">
    <w:name w:val="align-justify"/>
    <w:basedOn w:val="1018"/>
    <w:pPr>
      <w:pBdr/>
      <w:spacing w:after="100" w:afterAutospacing="1" w:before="100" w:beforeAutospacing="1"/>
      <w:ind/>
    </w:pPr>
  </w:style>
  <w:style w:type="character" w:styleId="1132" w:customStyle="1">
    <w:name w:val="btn"/>
    <w:basedOn w:val="1023"/>
    <w:pPr>
      <w:pBdr/>
      <w:spacing/>
      <w:ind/>
    </w:pPr>
  </w:style>
  <w:style w:type="character" w:styleId="1133" w:customStyle="1">
    <w:name w:val="hide_mobile"/>
    <w:basedOn w:val="1023"/>
    <w:pPr>
      <w:pBdr/>
      <w:spacing/>
      <w:ind/>
    </w:pPr>
  </w:style>
  <w:style w:type="character" w:styleId="1134">
    <w:name w:val="Emphasis"/>
    <w:basedOn w:val="1023"/>
    <w:uiPriority w:val="20"/>
    <w:qFormat/>
    <w:pPr>
      <w:pBdr/>
      <w:spacing/>
      <w:ind/>
    </w:pPr>
    <w:rPr>
      <w:i/>
      <w:iCs/>
    </w:rPr>
  </w:style>
  <w:style w:type="character" w:styleId="1135" w:customStyle="1">
    <w:name w:val="t1"/>
    <w:basedOn w:val="1023"/>
    <w:pPr>
      <w:pBdr/>
      <w:spacing/>
      <w:ind/>
    </w:pPr>
  </w:style>
  <w:style w:type="character" w:styleId="1136" w:customStyle="1">
    <w:name w:val="Unresolved Mention4"/>
    <w:basedOn w:val="1023"/>
    <w:uiPriority w:val="99"/>
    <w:semiHidden/>
    <w:unhideWhenUsed/>
    <w:pPr>
      <w:pBdr/>
      <w:spacing/>
      <w:ind/>
    </w:pPr>
    <w:rPr>
      <w:color w:val="605e5c"/>
      <w:shd w:val="clear" w:color="auto" w:fill="e1dfdd"/>
    </w:rPr>
  </w:style>
  <w:style w:type="character" w:styleId="1137">
    <w:name w:val="Unresolved Mention"/>
    <w:basedOn w:val="1023"/>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Thuỳ Nhật Anh</cp:lastModifiedBy>
  <cp:revision>511</cp:revision>
  <dcterms:created xsi:type="dcterms:W3CDTF">2025-09-15T02:01:00Z</dcterms:created>
  <dcterms:modified xsi:type="dcterms:W3CDTF">2026-09-15T02:05:33Z</dcterms:modified>
</cp:coreProperties>
</file>