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-150635</wp:posOffset>
                </wp:positionH>
                <wp:positionV relativeFrom="paragraph">
                  <wp:posOffset>116554</wp:posOffset>
                </wp:positionV>
                <wp:extent cx="5834062" cy="33102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834061" cy="33102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275/2026/1215/VFI-CT.T02</w:t>
                            </w:r>
                            <w:r>
                              <w:rPr>
                                <w:b/>
                              </w:rPr>
                            </w:r>
                            <w:r>
                              <w:rPr>
                                <w:b/>
                              </w:rPr>
                            </w:r>
                          </w:p>
                          <w:p>
                            <w:pPr>
                              <w:pBdr/>
                              <w:tabs>
                                <w:tab w:val="left" w:leader="none" w:pos="3002"/>
                              </w:tabs>
                              <w:spacing w:after="198" w:afterAutospacing="0" w:before="198" w:beforeAutospacing="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THỰC PHẨM SẠCH VẠN XUÂN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219, tờ bản đồ số: 13, địa chỉ: Căn hộ số 4, nhà B6, TT Cty Kim Khí Hà Nội, phường Đức Giang, quận Long Biên, Thành phố Hà Nội (</w:t>
                            </w:r>
                            <w:r>
                              <w:rPr>
                                <w:i/>
                                <w:iCs/>
                                <w:color w:val="000000"/>
                              </w:rPr>
                              <w:t xml:space="preserve">nay là phường V</w:t>
                            </w:r>
                            <w:r>
                              <w:rPr>
                                <w:i/>
                                <w:iCs/>
                                <w:color w:val="000000"/>
                              </w:rPr>
                              <w:t xml:space="preserve">iệt </w:t>
                            </w:r>
                            <w:r>
                              <w:rPr>
                                <w:i/>
                                <w:iCs/>
                                <w:color w:val="000000"/>
                              </w:rPr>
                              <w:t xml:space="preserve">Hưng</w:t>
                            </w:r>
                            <w:r>
                              <w:rPr>
                                <w:i/>
                                <w:iCs/>
                                <w:color w:val="000000"/>
                              </w:rPr>
                              <w:t xml:space="preserve">, Thành phố Hà Nội</w:t>
                            </w:r>
                            <w:r>
                              <w:rPr>
                                <w:color w:val="000000"/>
                              </w:rPr>
                              <w:t xml:space="preserve">) theo Giấy chứng nhận quyền sử dụng đất, quyền sở hữu nhà ở và tài sản khác gắn liền với đất số: DO 685643, số vào sổ cấp GCN: CN 04020 do Chi nhánh Văn phòng Đăng ký Đất đai </w:t>
                            </w:r>
                            <w:r>
                              <w:rPr>
                                <w:color w:val="000000" w:themeColor="text1"/>
                              </w:rPr>
                              <w:t xml:space="preserve">Hà Nội - quận Long Biên</w:t>
                            </w:r>
                            <w:r>
                              <w:rPr>
                                <w:color w:val="000000"/>
                              </w:rPr>
                              <w:t xml:space="preserve"> cấp ngày 25/4/2024; Chủ sử dụng đất là Ông Nguyễn Tuấn Anh.</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11.86pt;mso-position-horizontal:absolute;mso-position-vertical-relative:text;margin-top:9.18pt;mso-position-vertical:absolute;width:459.37pt;height:260.6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275/2026/1215/VFI-CT.T02</w:t>
                      </w:r>
                      <w:r>
                        <w:rPr>
                          <w:b/>
                        </w:rPr>
                      </w:r>
                      <w:r>
                        <w:rPr>
                          <w:b/>
                        </w:rPr>
                      </w:r>
                    </w:p>
                    <w:p>
                      <w:pPr>
                        <w:pBdr/>
                        <w:tabs>
                          <w:tab w:val="left" w:leader="none" w:pos="3002"/>
                        </w:tabs>
                        <w:spacing w:after="198" w:afterAutospacing="0" w:before="198" w:beforeAutospacing="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THỰC PHẨM SẠCH VẠN XUÂN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219, tờ bản đồ số: 13, địa chỉ: Căn hộ số 4, nhà B6, TT Cty Kim Khí Hà Nội, phường Đức Giang, quận Long Biên, Thành phố Hà Nội (</w:t>
                      </w:r>
                      <w:r>
                        <w:rPr>
                          <w:i/>
                          <w:iCs/>
                          <w:color w:val="000000"/>
                        </w:rPr>
                        <w:t xml:space="preserve">nay là phường V</w:t>
                      </w:r>
                      <w:r>
                        <w:rPr>
                          <w:i/>
                          <w:iCs/>
                          <w:color w:val="000000"/>
                        </w:rPr>
                        <w:t xml:space="preserve">iệt </w:t>
                      </w:r>
                      <w:r>
                        <w:rPr>
                          <w:i/>
                          <w:iCs/>
                          <w:color w:val="000000"/>
                        </w:rPr>
                        <w:t xml:space="preserve">Hưng</w:t>
                      </w:r>
                      <w:r>
                        <w:rPr>
                          <w:i/>
                          <w:iCs/>
                          <w:color w:val="000000"/>
                        </w:rPr>
                        <w:t xml:space="preserve">, Thành phố Hà Nội</w:t>
                      </w:r>
                      <w:r>
                        <w:rPr>
                          <w:color w:val="000000"/>
                        </w:rPr>
                        <w:t xml:space="preserve">) theo Giấy chứng nhận quyền sử dụng đất, quyền sở hữu nhà ở và tài sản khác gắn liền với đất số: DO 685643, số vào sổ cấp GCN: CN 04020 do Chi nhánh Văn phòng Đăng ký Đất đai </w:t>
                      </w:r>
                      <w:r>
                        <w:rPr>
                          <w:color w:val="000000" w:themeColor="text1"/>
                        </w:rPr>
                        <w:t xml:space="preserve">Hà Nội - quận Long Biên</w:t>
                      </w:r>
                      <w:r>
                        <w:rPr>
                          <w:color w:val="000000"/>
                        </w:rPr>
                        <w:t xml:space="preserve"> cấp ngày 25/4/2024; Chủ sử dụng đất là Ông Nguyễn Tuấn Anh.</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white"/>
                <w:u w:val="single"/>
              </w:rPr>
            </w:pPr>
            <w:r>
              <w:rPr>
                <w:rFonts w:eastAsia="Calibri"/>
                <w:b/>
                <w:highlight w:val="white"/>
                <w:u w:val="single"/>
              </w:rPr>
              <w:t xml:space="preserve">NỘI DUNG</w:t>
            </w:r>
            <w:r>
              <w:rPr>
                <w:rFonts w:eastAsia="Calibri"/>
                <w:b/>
                <w:highlight w:val="white"/>
                <w:u w:val="single"/>
              </w:rPr>
            </w:r>
            <w:r>
              <w:rPr>
                <w:rFonts w:eastAsia="Calibri"/>
                <w:b/>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u w:val="single"/>
              </w:rPr>
            </w:pPr>
            <w:r>
              <w:rPr>
                <w:b/>
                <w:highlight w:val="white"/>
                <w:u w:val="single"/>
              </w:rPr>
              <w:t xml:space="preserve">TRANG</w:t>
            </w:r>
            <w:r>
              <w:rPr>
                <w:b/>
                <w:highlight w:val="white"/>
                <w:u w:val="single"/>
              </w:rPr>
            </w:r>
            <w:r>
              <w:rPr>
                <w:b/>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highlight w:val="white"/>
              </w:rPr>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Chứng thư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Báo cáo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4-20</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Các phụ lục chi tiết kèm theo</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6"/>
              <w:pBdr/>
              <w:tabs>
                <w:tab w:val="left" w:leader="none" w:pos="993"/>
              </w:tabs>
              <w:spacing w:after="120" w:before="120" w:line="288" w:lineRule="auto"/>
              <w:ind w:left="0"/>
              <w:jc w:val="both"/>
              <w:rPr>
                <w:bCs/>
                <w:highlight w:val="white"/>
              </w:rPr>
            </w:pPr>
            <w:r>
              <w:rPr>
                <w:bCs/>
                <w:highlight w:val="white"/>
                <w:lang w:val="pt-BR"/>
              </w:rPr>
              <w:t xml:space="preserve">Phụ lục 1: Thông tin hiện trạng</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none"/>
              </w:rPr>
              <w:t xml:space="preserve">21</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6"/>
              <w:pBdr/>
              <w:tabs>
                <w:tab w:val="left" w:leader="none" w:pos="993"/>
              </w:tabs>
              <w:spacing w:after="120" w:before="120" w:line="288" w:lineRule="auto"/>
              <w:ind w:left="0"/>
              <w:jc w:val="both"/>
              <w:rPr>
                <w:bCs/>
                <w:highlight w:val="white"/>
              </w:rPr>
            </w:pPr>
            <w:r>
              <w:rPr>
                <w:bCs/>
                <w:highlight w:val="white"/>
                <w:lang w:val="pt-BR"/>
              </w:rPr>
              <w:t xml:space="preserve">Phụ lục 2: Thông tin thu thập thị trường + Hồ sơ pháp lý + BBKS</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none"/>
              </w:rPr>
              <w:t xml:space="preserve">22</w:t>
            </w:r>
            <w:r>
              <w:rPr>
                <w:b/>
                <w:bCs/>
                <w:highlight w:val="white"/>
              </w:rPr>
              <w:t xml:space="preserve">-30</w:t>
            </w:r>
            <w:r>
              <w:rPr>
                <w:b/>
                <w:bCs/>
                <w:highlight w:val="white"/>
              </w:rPr>
            </w:r>
            <w:r>
              <w:rPr>
                <w:b/>
                <w:bCs/>
                <w:highlight w:val="white"/>
              </w:rPr>
            </w:r>
          </w:p>
        </w:tc>
      </w:tr>
    </w:tbl>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856"/>
        <w:gridCol w:w="590"/>
        <w:gridCol w:w="12968"/>
      </w:tblGrid>
      <w:tr>
        <w:trPr>
          <w:trHeight w:val="1152"/>
        </w:trPr>
        <w:tc>
          <w:tcPr>
            <w:gridSpan w:val="2"/>
            <w:tcBorders/>
            <w:tcW w:w="144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96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3558" w:type="dxa"/>
            <w:textDirection w:val="lrTb"/>
            <w:noWrap w:val="false"/>
          </w:tcPr>
          <w:p>
            <w:pPr>
              <w:pStyle w:val="1035"/>
              <w:pBdr/>
              <w:tabs>
                <w:tab w:val="center" w:leader="none" w:pos="6671"/>
              </w:tabs>
              <w:spacing w:after="60"/>
              <w:ind/>
              <w:rPr>
                <w:color w:val="000000" w:themeColor="text1"/>
                <w:sz w:val="24"/>
                <w:szCs w:val="24"/>
              </w:rPr>
            </w:pPr>
            <w:r>
              <w:rPr>
                <w:rStyle w:val="1034"/>
                <w:rFonts w:ascii="Times New Roman" w:hAnsi="Times New Roman"/>
                <w:color w:val="000000" w:themeColor="text1"/>
                <w:lang w:val="pt-BR"/>
              </w:rPr>
              <w:t xml:space="preserve">Số: </w:t>
            </w:r>
            <w:r>
              <w:rPr>
                <w:rStyle w:val="1034"/>
                <w:rFonts w:ascii="Times New Roman" w:hAnsi="Times New Roman"/>
                <w:color w:val="000000" w:themeColor="text1"/>
                <w:lang w:val="pt-BR"/>
              </w:rPr>
              <w:t xml:space="preserve">275/2026/1215/VFI-CT.T02</w:t>
            </w:r>
            <w:r>
              <w:rPr>
                <w:color w:val="000000" w:themeColor="text1"/>
                <w:sz w:val="24"/>
                <w:szCs w:val="24"/>
              </w:rPr>
              <w:tab/>
            </w:r>
            <w:r>
              <w:rPr>
                <w:rStyle w:val="1034"/>
                <w:rFonts w:ascii="Times New Roman" w:hAnsi="Times New Roman"/>
                <w:i/>
                <w:color w:val="auto"/>
              </w:rPr>
              <w:t xml:space="preserve">TP. Hà Nội</w:t>
            </w:r>
            <w:r>
              <w:rPr>
                <w:rStyle w:val="1034"/>
                <w:rFonts w:ascii="Times New Roman" w:hAnsi="Times New Roman"/>
                <w:i/>
                <w:color w:val="auto"/>
                <w:lang w:val="vi-VN"/>
              </w:rPr>
              <w:t xml:space="preserve">, </w:t>
            </w:r>
            <w:r>
              <w:rPr>
                <w:rStyle w:val="1034"/>
                <w:rFonts w:ascii="Times New Roman" w:hAnsi="Times New Roman"/>
                <w:i/>
                <w:color w:val="000000" w:themeColor="text1"/>
                <w:lang w:val="vi-VN"/>
              </w:rPr>
              <w:t xml:space="preserve">ngày 06 tháng 8 năm 2026</w:t>
            </w:r>
            <w:r>
              <w:rPr>
                <w:color w:val="000000" w:themeColor="text1"/>
                <w:sz w:val="24"/>
                <w:szCs w:val="24"/>
              </w:rPr>
            </w:r>
            <w:r>
              <w:rPr>
                <w:color w:val="000000" w:themeColor="text1"/>
                <w:sz w:val="24"/>
                <w:szCs w:val="24"/>
              </w:rPr>
            </w:r>
          </w:p>
        </w:tc>
      </w:tr>
    </w:tbl>
    <w:p>
      <w:pPr>
        <w:pStyle w:val="1035"/>
        <w:pBdr/>
        <w:spacing w:after="120" w:before="200" w:line="288" w:lineRule="auto"/>
        <w:ind/>
        <w:jc w:val="center"/>
        <w:rPr>
          <w:rStyle w:val="1034"/>
          <w:rFonts w:ascii="Times New Roman" w:hAnsi="Times New Roman"/>
          <w:b/>
          <w:bCs/>
          <w:color w:val="auto"/>
          <w:sz w:val="30"/>
          <w:szCs w:val="30"/>
          <w:lang w:val="vi-VN"/>
        </w:rPr>
      </w:pPr>
      <w:r>
        <w:rPr>
          <w:rStyle w:val="1034"/>
          <w:rFonts w:ascii="Times New Roman" w:hAnsi="Times New Roman"/>
          <w:b/>
          <w:bCs/>
          <w:color w:val="auto"/>
          <w:sz w:val="30"/>
          <w:szCs w:val="30"/>
          <w:lang w:val="vi-VN"/>
        </w:rPr>
        <w:t xml:space="preserve">CHỨNG THƯ THẨM ĐỊNH GIÁ</w:t>
      </w:r>
      <w:r>
        <w:rPr>
          <w:rStyle w:val="1034"/>
          <w:rFonts w:ascii="Times New Roman" w:hAnsi="Times New Roman"/>
          <w:b/>
          <w:bCs/>
          <w:color w:val="auto"/>
          <w:sz w:val="30"/>
          <w:szCs w:val="30"/>
          <w:lang w:val="vi-VN"/>
        </w:rPr>
      </w:r>
      <w:r>
        <w:rPr>
          <w:rStyle w:val="1034"/>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CỔ PHẦN THỰC PHẨM SẠCH VẠN XUÂN</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275/2026/1214/VFI-HĐTĐ.T02</w:t>
      </w:r>
      <w:r>
        <w:rPr>
          <w:spacing w:val="-4"/>
          <w:lang w:val="vi-VN"/>
        </w:rPr>
        <w:t xml:space="preserve"> ký ngày 0</w:t>
      </w:r>
      <w:r>
        <w:rPr>
          <w:color w:val="000000" w:themeColor="text1"/>
          <w:spacing w:val="-4"/>
        </w:rPr>
        <w:t xml:space="preserve">3 tháng 8 năm 2026</w:t>
      </w:r>
      <w:r>
        <w:rPr>
          <w:spacing w:val="-4"/>
          <w:lang w:val="vi-VN"/>
        </w:rPr>
        <w:t xml:space="preserve"> </w:t>
      </w:r>
      <w:r>
        <w:rPr>
          <w:spacing w:val="-4"/>
          <w:lang w:val="vi-VN"/>
        </w:rPr>
        <w:t xml:space="preserve">giữa </w:t>
      </w:r>
      <w:r>
        <w:rPr>
          <w:rFonts w:ascii="Times New Roman" w:hAnsi="Times New Roman" w:eastAsia="Times New Roman" w:cs="Times New Roman"/>
          <w:color w:val="000000"/>
          <w:sz w:val="24"/>
        </w:rPr>
        <w:t xml:space="preserve">Công ty Cổ phần Thực phẩm sạch Vạn Xuân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275/2026/1215/VFI-BC.T02</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06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9" w:firstLine="0" w:left="0"/>
              <w:rPr/>
            </w:pPr>
            <w:r>
              <w:rPr>
                <w:rFonts w:ascii="Times New Roman" w:hAnsi="Times New Roman" w:eastAsia="Times New Roman" w:cs="Times New Roman"/>
                <w:color w:val="000000"/>
                <w:sz w:val="24"/>
              </w:rPr>
              <w:t xml:space="preserve">Tên khách hàng</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9" w:firstLine="0" w:left="0"/>
              <w:jc w:val="center"/>
              <w:rPr/>
            </w:pPr>
            <w:r>
              <w:rPr>
                <w:rFonts w:ascii="Times New Roman" w:hAnsi="Times New Roman" w:eastAsia="Times New Roman" w:cs="Times New Roman"/>
                <w:b/>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CÔNG TY CỔ PHẦN THỰC PHẨM SẠCH VẠN XUÂN </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rPr>
              <w:t xml:space="preserve">Địa chỉ </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Số nhà 2- ngõ 93/29 Phố Giáp Nhị, Tổ 9, phường Thịnh Liệt, quận Hoàng Mai, Thành phố Hà Nội, Việt Nam (</w:t>
            </w:r>
            <w:r>
              <w:rPr>
                <w:rFonts w:ascii="Times New Roman" w:hAnsi="Times New Roman" w:eastAsia="Times New Roman" w:cs="Times New Roman"/>
                <w:i/>
                <w:iCs/>
                <w:color w:val="000000"/>
                <w:sz w:val="24"/>
              </w:rPr>
              <w:t xml:space="preserve">Nay là Phường Hoàng Mai, Thành phố Hà Nội</w:t>
            </w:r>
            <w:r>
              <w:rPr>
                <w:rFonts w:ascii="Times New Roman" w:hAnsi="Times New Roman" w:eastAsia="Times New Roman" w:cs="Times New Roman"/>
                <w:color w:val="000000"/>
                <w:sz w:val="24"/>
              </w:rPr>
              <w:t xml:space="preserve">).</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rPr>
              <w:t xml:space="preserve">Điện thoại</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0903441676</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rPr>
              <w:t xml:space="preserve">Mã số thuế</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0109826299 </w:t>
            </w:r>
            <w:r/>
          </w:p>
        </w:tc>
      </w:tr>
      <w:tr>
        <w:trPr>
          <w:trHeight w:val="20"/>
        </w:trPr>
        <w:tc>
          <w:tcPr>
            <w:shd w:val="clear" w:color="ffffff" w:fill="ffffff"/>
            <w:tcBorders/>
            <w:tcW w:w="1109"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rPr>
              <w:t xml:space="preserve">Đại diện </w:t>
            </w:r>
            <w:r/>
          </w:p>
        </w:tc>
        <w:tc>
          <w:tcPr>
            <w:shd w:val="clear" w:color="ffffff" w:fill="ffffff"/>
            <w:tcBorders/>
            <w:tcW w:w="248"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pacing w:val="-2"/>
                <w:sz w:val="24"/>
              </w:rPr>
              <w:t xml:space="preserve">Bà Nguyễn Thị Thuận</w:t>
            </w:r>
            <w:r/>
          </w:p>
        </w:tc>
      </w:tr>
      <w:tr>
        <w:trPr>
          <w:trHeight w:val="20"/>
        </w:trPr>
        <w:tc>
          <w:tcPr>
            <w:shd w:val="clear" w:color="ffffff" w:fill="ffffff"/>
            <w:tcBorders/>
            <w:tcW w:w="1109"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rPr>
              <w:t xml:space="preserve">Chức vụ</w:t>
            </w:r>
            <w:r/>
          </w:p>
        </w:tc>
        <w:tc>
          <w:tcPr>
            <w:shd w:val="clear" w:color="ffffff" w:fill="ffffff"/>
            <w:tcBorders/>
            <w:tcW w:w="248"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Giám đốc</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rFonts w:ascii="Times New Roman Bold" w:hAnsi="Times New Roman Bold"/>
                <w:b/>
                <w:bCs/>
                <w:spacing w:val="-16"/>
                <w:lang w:val="pt-BR"/>
              </w:rPr>
            </w:pPr>
            <w:r>
              <w:rPr>
                <w:b/>
                <w:bCs/>
                <w:color w:val="000000" w:themeColor="text1"/>
                <w:spacing w:val="-4"/>
                <w:lang w:val="pt-BR"/>
              </w:rPr>
              <w:t xml:space="preserve">CÔNG TY CP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        Chức vụ: </w:t>
            </w:r>
            <w:r>
              <w:rPr>
                <w:b/>
                <w:bCs/>
              </w:rPr>
              <w:t xml:space="preserve">Chủ tịch HĐQT kiêm Tổng GĐ</w:t>
            </w:r>
            <w:r>
              <w:rPr>
                <w:b/>
                <w:bCs/>
                <w:lang w:val="vi-VN"/>
              </w:rPr>
            </w:r>
            <w:r>
              <w:rPr>
                <w:b/>
                <w:bCs/>
                <w:lang w:val="vi-VN"/>
              </w:rPr>
            </w:r>
          </w:p>
        </w:tc>
      </w:tr>
    </w:tbl>
    <w:p>
      <w:pPr>
        <w:pBdr/>
        <w:spacing w:after="120" w:before="120" w:line="276"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rPr>
        <w:t xml:space="preserve">Quyền sử dụng đất tại Thửa đất số: 219, tờ bản đồ số: 13, địa chỉ: Căn hộ số 4, nhà B6, TT Cty Kim Khí Hà Nội, phường Đức Giang, quận Long Biên, Thành phố Hà Nội (</w:t>
      </w:r>
      <w:r>
        <w:rPr>
          <w:i/>
          <w:iCs/>
          <w:color w:val="000000"/>
        </w:rPr>
        <w:t xml:space="preserve">nay là phường </w:t>
      </w:r>
      <w:r>
        <w:rPr>
          <w:i/>
          <w:iCs/>
          <w:color w:val="000000"/>
        </w:rPr>
        <w:t xml:space="preserve">Việt </w:t>
      </w:r>
      <w:r>
        <w:rPr>
          <w:i/>
          <w:iCs/>
          <w:color w:val="000000"/>
        </w:rPr>
        <w:t xml:space="preserve">Hưng</w:t>
      </w:r>
      <w:r>
        <w:rPr>
          <w:i/>
          <w:iCs/>
          <w:color w:val="000000"/>
        </w:rPr>
        <w:t xml:space="preserve">, Thành phố Hà Nội</w:t>
      </w:r>
      <w:r>
        <w:rPr>
          <w:color w:val="000000"/>
        </w:rPr>
        <w:t xml:space="preserve">) theo Giấy chứng nhận quyền sử dụng đất, quyền sở hữu nhà ở và tài sản khác gắn liền với đất số: DO 685643, số vào sổ cấp GCN: CN 04020 do Chi nhánh Văn phòng Đăng ký Đất đai</w:t>
      </w:r>
      <w:r>
        <w:rPr>
          <w:color w:val="000000" w:themeColor="text1"/>
        </w:rPr>
        <w:t xml:space="preserve"> </w:t>
      </w:r>
      <w:r>
        <w:rPr>
          <w:color w:val="000000" w:themeColor="text1"/>
        </w:rPr>
        <w:t xml:space="preserve">Hà Nội - quận Long Biên</w:t>
      </w:r>
      <w:r>
        <w:rPr>
          <w:color w:val="000000"/>
        </w:rPr>
        <w:t xml:space="preserve"> cấp ngày 25/4/2024; Chủ sử dụng đất là Ông Nguyễn Tuấn Anh</w:t>
      </w:r>
      <w:r>
        <w:rPr>
          <w:color w:val="000000" w:themeColor="text1"/>
        </w:rPr>
        <w:t xml:space="preserve">.</w:t>
      </w:r>
      <w:r>
        <w:rPr>
          <w:b/>
          <w:bCs/>
        </w:rPr>
      </w:r>
      <w:r>
        <w:rPr>
          <w:b/>
          <w:bCs/>
        </w:rPr>
      </w:r>
    </w:p>
    <w:p>
      <w:pPr>
        <w:pBdr/>
        <w:spacing w:after="120" w:before="120" w:line="276"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8/2026</w:t>
      </w:r>
      <w:r>
        <w:rPr>
          <w:bCs/>
          <w:lang w:val="nl-NL"/>
        </w:rPr>
        <w:t xml:space="preserve">.</w:t>
      </w:r>
      <w:r>
        <w:rPr>
          <w:b/>
          <w:bCs/>
        </w:rPr>
      </w:r>
      <w:r>
        <w:rPr>
          <w:b/>
          <w:bCs/>
        </w:rPr>
      </w:r>
    </w:p>
    <w:p>
      <w:pPr>
        <w:pBdr/>
        <w:tabs>
          <w:tab w:val="left" w:leader="none" w:pos="851"/>
        </w:tabs>
        <w:spacing w:after="120" w:before="120" w:line="276"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276"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276"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276"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276"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276"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276"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276"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276"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8/2026</w:t>
      </w:r>
      <w:r>
        <w:rPr>
          <w:lang w:val="vi-VN"/>
        </w:rPr>
        <w:t xml:space="preserve"> ước tính</w:t>
      </w:r>
      <w:r>
        <w:t xml:space="preserve"> </w:t>
      </w:r>
      <w:r>
        <w:rPr>
          <w:lang w:val="vi-VN"/>
        </w:rPr>
        <w:t xml:space="preserve">như sau:</w:t>
      </w:r>
      <w:r/>
    </w:p>
    <w:tbl>
      <w:tblPr>
        <w:tblW w:w="5009"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8"/>
        <w:gridCol w:w="1217"/>
        <w:gridCol w:w="1061"/>
        <w:gridCol w:w="1628"/>
        <w:gridCol w:w="1700"/>
        <w:gridCol w:w="1242"/>
        <w:gridCol w:w="1955"/>
      </w:tblGrid>
      <w:tr>
        <w:trPr>
          <w:trHeight w:val="20"/>
        </w:trPr>
        <w:tc>
          <w:tcPr>
            <w:shd w:val="clear" w:color="000000" w:fill="ffffff"/>
            <w:tcBorders/>
            <w:tcW w:w="817"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gridSpan w:val="2"/>
            <w:shd w:val="clear" w:color="000000" w:fill="ffffff"/>
            <w:tcBorders/>
            <w:tcW w:w="2376"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88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242" w:type="dxa"/>
            <w:vAlign w:val="center"/>
            <w:textDirection w:val="lrTb"/>
            <w:noWrap w:val="false"/>
          </w:tcPr>
          <w:p>
            <w:pPr>
              <w:pBdr/>
              <w:spacing/>
              <w:ind/>
              <w:jc w:val="center"/>
              <w:rPr>
                <w:b/>
                <w:bCs/>
              </w:rPr>
            </w:pPr>
            <w:r>
              <w:rPr>
                <w:b/>
                <w:bCs/>
              </w:rPr>
              <w:t xml:space="preserve">Hệ số (%)</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703"/>
        </w:trPr>
        <w:tc>
          <w:tcPr>
            <w:shd w:val="clear" w:color="000000" w:fill="ffffff"/>
            <w:tcBorders/>
            <w:tcW w:w="817"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5"/>
            <w:shd w:val="clear" w:color="000000" w:fill="ffffff"/>
            <w:tcBorders/>
            <w:tcW w:w="6849" w:type="dxa"/>
            <w:vAlign w:val="center"/>
            <w:textDirection w:val="lrTb"/>
            <w:noWrap w:val="false"/>
          </w:tcPr>
          <w:p>
            <w:pPr>
              <w:pBdr/>
              <w:spacing w:after="40" w:before="40" w:line="288" w:lineRule="auto"/>
              <w:ind/>
              <w:jc w:val="both"/>
              <w:rPr>
                <w:b/>
                <w:bCs/>
              </w:rPr>
            </w:pPr>
            <w:r>
              <w:rPr>
                <w:b/>
                <w:bCs/>
                <w:color w:val="000000"/>
              </w:rPr>
            </w:r>
            <w:r>
              <w:rPr>
                <w:b/>
                <w:bCs/>
                <w:color w:val="000000"/>
              </w:rPr>
              <w:t xml:space="preserve">Quyền sử dụng đất tại Thửa đất số: 219, tờ bản đồ số: 13, địa chỉ: Căn hộ số 4, nhà B6, TT Cty Kim Khí Hà Nội, phường Đức Giang, quận Long Biên, Thành phố Hà Nội (</w:t>
            </w:r>
            <w:r>
              <w:rPr>
                <w:b/>
                <w:bCs/>
                <w:i/>
                <w:iCs/>
                <w:color w:val="000000"/>
              </w:rPr>
              <w:t xml:space="preserve">nay là phường </w:t>
            </w:r>
            <w:r>
              <w:rPr>
                <w:b/>
                <w:bCs/>
                <w:i/>
                <w:iCs/>
                <w:color w:val="000000"/>
              </w:rPr>
              <w:t xml:space="preserve">Việt </w:t>
            </w:r>
            <w:r>
              <w:rPr>
                <w:b/>
                <w:bCs/>
                <w:i/>
                <w:iCs/>
                <w:color w:val="000000"/>
              </w:rPr>
              <w:t xml:space="preserve">Hưng</w:t>
            </w:r>
            <w:r>
              <w:rPr>
                <w:b/>
                <w:bCs/>
                <w:i/>
                <w:iCs/>
                <w:color w:val="000000"/>
              </w:rPr>
              <w:t xml:space="preserve">, Thành phố Hà Nội</w:t>
            </w:r>
            <w:r>
              <w:rPr>
                <w:b/>
                <w:bCs/>
                <w:color w:val="000000"/>
              </w:rPr>
              <w:t xml:space="preserve">) theo Giấy chứng nhận quyền sử dụng đất, quyền sở hữu nhà ở và tài sản khác gắn liền với đất số: DO 685643, số vào sổ cấp GCN: CN 04020 do Chi nhánh Văn phòng Đăng ký Đất đai</w:t>
            </w:r>
            <w:r>
              <w:rPr>
                <w:b/>
                <w:bCs/>
                <w:color w:val="000000" w:themeColor="text1"/>
              </w:rPr>
              <w:t xml:space="preserve"> </w:t>
            </w:r>
            <w:r>
              <w:rPr>
                <w:b/>
                <w:bCs/>
                <w:color w:val="000000" w:themeColor="text1"/>
              </w:rPr>
              <w:t xml:space="preserve">Hà Nội - quận Long Biên</w:t>
            </w:r>
            <w:r>
              <w:rPr>
                <w:b/>
                <w:bCs/>
                <w:color w:val="000000" w:themeColor="text1"/>
              </w:rPr>
              <w:t xml:space="preserve"> </w:t>
            </w:r>
            <w:r>
              <w:rPr>
                <w:b/>
                <w:bCs/>
                <w:color w:val="000000"/>
              </w:rPr>
              <w:t xml:space="preserve">cấp ngày 25/4/2024; Chủ sử dụng đất là Ông Nguyễn Tuấn Anh.</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817" w:type="dxa"/>
            <w:vAlign w:val="center"/>
            <w:textDirection w:val="lrTb"/>
            <w:noWrap w:val="false"/>
          </w:tcPr>
          <w:p>
            <w:pPr>
              <w:pBdr/>
              <w:spacing w:after="40" w:before="40" w:line="288" w:lineRule="auto"/>
              <w:ind/>
              <w:jc w:val="center"/>
              <w:rPr>
                <w:b w:val="0"/>
                <w:bCs w:val="0"/>
              </w:rPr>
            </w:pPr>
            <w:r>
              <w:rPr>
                <w:b w:val="0"/>
                <w:bCs w:val="0"/>
              </w:rPr>
              <w:t xml:space="preserve">01</w:t>
            </w:r>
            <w:r>
              <w:rPr>
                <w:b w:val="0"/>
                <w:bCs w:val="0"/>
              </w:rPr>
            </w:r>
            <w:r>
              <w:rPr>
                <w:b w:val="0"/>
                <w:bCs w:val="0"/>
              </w:rPr>
            </w:r>
          </w:p>
        </w:tc>
        <w:tc>
          <w:tcPr>
            <w:gridSpan w:val="2"/>
            <w:shd w:val="clear" w:color="000000" w:fill="ffffff"/>
            <w:tcBorders/>
            <w:tcW w:w="2376"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75,1</w:t>
            </w:r>
            <w:r>
              <w:rPr>
                <w:color w:val="000000"/>
              </w:rPr>
            </w:r>
            <w:r>
              <w:rPr>
                <w:color w:val="000000"/>
              </w:rPr>
            </w:r>
          </w:p>
        </w:tc>
        <w:tc>
          <w:tcPr>
            <w:shd w:val="clear" w:color="000000" w:fill="ffffff"/>
            <w:tcBorders/>
            <w:tcW w:w="1881" w:type="dxa"/>
            <w:vAlign w:val="center"/>
            <w:textDirection w:val="lrTb"/>
            <w:noWrap w:val="false"/>
          </w:tcPr>
          <w:p>
            <w:pPr>
              <w:pBdr/>
              <w:spacing w:after="40" w:before="40" w:line="288" w:lineRule="auto"/>
              <w:ind/>
              <w:jc w:val="center"/>
              <w:rPr/>
            </w:pPr>
            <w:r>
              <w:rPr>
                <w:color w:val="000000" w:themeColor="text1"/>
              </w:rPr>
              <w:t xml:space="preserve">196.000.000</w:t>
            </w:r>
            <w:r/>
          </w:p>
        </w:tc>
        <w:tc>
          <w:tcPr>
            <w:shd w:val="clear" w:color="000000" w:fill="ffffff"/>
            <w:tcBorders/>
            <w:tcW w:w="1242" w:type="dxa"/>
            <w:vAlign w:val="center"/>
            <w:textDirection w:val="lrTb"/>
            <w:noWrap w:val="false"/>
          </w:tcPr>
          <w:p>
            <w:pPr>
              <w:pBdr/>
              <w:spacing/>
              <w:ind/>
              <w:jc w:val="center"/>
              <w:rPr>
                <w:color w:val="000000" w:themeColor="text1"/>
              </w:rPr>
            </w:pPr>
            <w:r>
              <w:rPr>
                <w:color w:val="000000" w:themeColor="text1"/>
              </w:rPr>
              <w:t xml:space="preserve">100%</w:t>
            </w:r>
            <w:r>
              <w:rPr>
                <w:color w:val="000000" w:themeColor="text1"/>
              </w:rPr>
            </w:r>
            <w:r>
              <w:rPr>
                <w:color w:val="000000" w:themeColor="text1"/>
              </w:rPr>
            </w:r>
          </w:p>
        </w:tc>
        <w:tc>
          <w:tcPr>
            <w:shd w:val="clear" w:color="000000" w:fill="ffffff"/>
            <w:tcBorders/>
            <w:tcW w:w="2164" w:type="dxa"/>
            <w:vAlign w:val="center"/>
            <w:textDirection w:val="lrTb"/>
            <w:noWrap w:val="false"/>
          </w:tcPr>
          <w:p>
            <w:pPr>
              <w:pBdr/>
              <w:spacing w:after="40" w:before="40" w:line="288" w:lineRule="auto"/>
              <w:ind/>
              <w:jc w:val="right"/>
              <w:rPr/>
            </w:pPr>
            <w:r>
              <w:rPr>
                <w:color w:val="000000" w:themeColor="text1"/>
              </w:rPr>
              <w:t xml:space="preserve">14.719.600.000</w:t>
            </w:r>
            <w:r/>
          </w:p>
        </w:tc>
      </w:tr>
      <w:tr>
        <w:trPr>
          <w:trHeight w:val="20"/>
        </w:trPr>
        <w:tc>
          <w:tcPr>
            <w:gridSpan w:val="5"/>
            <w:tcBorders/>
            <w:tcW w:w="6389"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242" w:type="dxa"/>
            <w:vAlign w:val="center"/>
            <w:textDirection w:val="lrTb"/>
            <w:noWrap/>
          </w:tcPr>
          <w:p>
            <w:pPr>
              <w:pBdr/>
              <w:spacing/>
              <w:ind/>
              <w:rPr>
                <w:b/>
                <w:bCs/>
                <w:color w:val="000000" w:themeColor="text1"/>
              </w:rPr>
            </w:pPr>
            <w:r>
              <w:rPr>
                <w:b/>
                <w:bCs/>
                <w:color w:val="000000" w:themeColor="text1"/>
              </w:rPr>
            </w:r>
            <w:r>
              <w:rPr>
                <w:b/>
                <w:bCs/>
                <w:color w:val="000000" w:themeColor="text1"/>
              </w:rPr>
            </w:r>
            <w:r>
              <w:rPr>
                <w:b/>
                <w:bCs/>
                <w:color w:val="000000" w:themeColor="text1"/>
              </w:rPr>
            </w:r>
          </w:p>
        </w:tc>
        <w:tc>
          <w:tcPr>
            <w:tcBorders/>
            <w:tcW w:w="2164" w:type="dxa"/>
            <w:vAlign w:val="center"/>
            <w:textDirection w:val="lrTb"/>
            <w:noWrap/>
          </w:tcPr>
          <w:p>
            <w:pPr>
              <w:pBdr/>
              <w:spacing w:after="40" w:before="40" w:line="288" w:lineRule="auto"/>
              <w:ind/>
              <w:jc w:val="right"/>
              <w:rPr>
                <w:b/>
                <w:bCs/>
              </w:rPr>
            </w:pPr>
            <w:r>
              <w:rPr>
                <w:b/>
                <w:bCs/>
                <w:color w:val="000000" w:themeColor="text1"/>
              </w:rPr>
              <w:t xml:space="preserve">14.719.600.000</w:t>
            </w:r>
            <w:r>
              <w:rPr>
                <w:b/>
                <w:bCs/>
              </w:rPr>
            </w:r>
            <w:r>
              <w:rPr>
                <w:b/>
                <w:bCs/>
              </w:rPr>
            </w:r>
          </w:p>
        </w:tc>
      </w:tr>
      <w:tr>
        <w:trPr>
          <w:trHeight w:val="20"/>
        </w:trPr>
        <w:tc>
          <w:tcPr>
            <w:gridSpan w:val="5"/>
            <w:tcBorders/>
            <w:tcW w:w="6389" w:type="dxa"/>
            <w:vAlign w:val="center"/>
            <w:vMerge w:val="restart"/>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242" w:type="dxa"/>
            <w:vAlign w:val="center"/>
            <w:textDirection w:val="lrTb"/>
            <w:noWrap/>
          </w:tcPr>
          <w:p>
            <w:pPr>
              <w:pBdr/>
              <w:spacing/>
              <w:ind/>
              <w:rPr>
                <w:b/>
                <w:bCs/>
                <w:color w:val="000000" w:themeColor="text1"/>
              </w:rPr>
            </w:pPr>
            <w:r>
              <w:rPr>
                <w:b/>
                <w:bCs/>
                <w:color w:val="000000" w:themeColor="text1"/>
              </w:rPr>
            </w:r>
            <w:r>
              <w:rPr>
                <w:b/>
                <w:bCs/>
                <w:color w:val="000000" w:themeColor="text1"/>
              </w:rPr>
            </w:r>
            <w:r>
              <w:rPr>
                <w:b/>
                <w:bCs/>
                <w:color w:val="000000" w:themeColor="text1"/>
              </w:rPr>
            </w:r>
          </w:p>
        </w:tc>
        <w:tc>
          <w:tcPr>
            <w:tcBorders/>
            <w:tcW w:w="2164" w:type="dxa"/>
            <w:vAlign w:val="center"/>
            <w:vMerge w:val="restart"/>
            <w:textDirection w:val="lrTb"/>
            <w:noWrap/>
          </w:tcPr>
          <w:p>
            <w:pPr>
              <w:pBdr/>
              <w:spacing w:after="40" w:before="40" w:line="288" w:lineRule="auto"/>
              <w:ind/>
              <w:jc w:val="right"/>
              <w:rPr>
                <w:b/>
                <w:bCs/>
              </w:rPr>
            </w:pPr>
            <w:r>
              <w:rPr>
                <w:b/>
                <w:bCs/>
                <w:color w:val="000000" w:themeColor="text1"/>
              </w:rPr>
              <w:t xml:space="preserve">14.720.000.000</w:t>
            </w:r>
            <w:r>
              <w:rPr>
                <w:b/>
                <w:bCs/>
              </w:rPr>
            </w:r>
            <w:r>
              <w:rPr>
                <w:b/>
                <w:bCs/>
              </w:rPr>
            </w:r>
          </w:p>
        </w:tc>
      </w:tr>
      <w:tr>
        <w:trPr>
          <w:trHeight w:val="20"/>
        </w:trPr>
        <w:tc>
          <w:tcPr>
            <w:gridSpan w:val="7"/>
            <w:tcBorders/>
            <w:tcW w:w="9542"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M</w:t>
            </w:r>
            <w:r>
              <w:rPr>
                <w:b/>
                <w:bCs/>
                <w:i/>
                <w:iCs/>
                <w:color w:val="000000"/>
              </w:rPr>
              <w:t xml:space="preserve">ư</w:t>
            </w:r>
            <w:r>
              <w:rPr>
                <w:b/>
                <w:bCs/>
                <w:i/>
                <w:iCs/>
                <w:color w:val="000000"/>
              </w:rPr>
              <w:t xml:space="preserve">ời</w:t>
            </w:r>
            <w:r>
              <w:rPr>
                <w:b/>
                <w:bCs/>
                <w:i/>
                <w:iCs/>
                <w:color w:val="000000"/>
              </w:rPr>
              <w:t xml:space="preserve"> b</w:t>
            </w:r>
            <w:r>
              <w:rPr>
                <w:b/>
                <w:bCs/>
                <w:i/>
                <w:iCs/>
                <w:color w:val="000000"/>
              </w:rPr>
              <w:t xml:space="preserve">ốn</w:t>
            </w:r>
            <w:r>
              <w:rPr>
                <w:b/>
                <w:bCs/>
                <w:i/>
                <w:iCs/>
                <w:color w:val="000000"/>
              </w:rPr>
              <w:t xml:space="preserve"> t</w:t>
            </w:r>
            <w:r>
              <w:rPr>
                <w:b/>
                <w:bCs/>
                <w:i/>
                <w:iCs/>
                <w:color w:val="000000"/>
              </w:rPr>
              <w:t xml:space="preserve">ỷ</w:t>
            </w:r>
            <w:r>
              <w:rPr>
                <w:b/>
                <w:bCs/>
                <w:i/>
                <w:iCs/>
                <w:color w:val="000000"/>
              </w:rPr>
              <w:t xml:space="preserve">, b</w:t>
            </w:r>
            <w:r>
              <w:rPr>
                <w:b/>
                <w:bCs/>
                <w:i/>
                <w:iCs/>
                <w:color w:val="000000"/>
              </w:rPr>
              <w:t xml:space="preserve">ảy</w:t>
            </w:r>
            <w:r>
              <w:rPr>
                <w:b/>
                <w:bCs/>
                <w:i/>
                <w:iCs/>
                <w:color w:val="000000"/>
              </w:rPr>
              <w:t xml:space="preserve"> tr</w:t>
            </w:r>
            <w:r>
              <w:rPr>
                <w:b/>
                <w:bCs/>
                <w:i/>
                <w:iCs/>
                <w:color w:val="000000"/>
              </w:rPr>
              <w:t xml:space="preserve">ă</w:t>
            </w:r>
            <w:r>
              <w:rPr>
                <w:b/>
                <w:bCs/>
                <w:i/>
                <w:iCs/>
                <w:color w:val="000000"/>
              </w:rPr>
              <w:t xml:space="preserve">m hai m</w:t>
            </w:r>
            <w:r>
              <w:rPr>
                <w:b/>
                <w:bCs/>
                <w:i/>
                <w:iCs/>
                <w:color w:val="000000"/>
              </w:rPr>
              <w:t xml:space="preserve">ươ</w:t>
            </w:r>
            <w:r>
              <w:rPr>
                <w:b/>
                <w:bCs/>
                <w:i/>
                <w:iCs/>
                <w:color w:val="000000"/>
              </w:rPr>
              <w:t xml:space="preserve">i tri</w:t>
            </w:r>
            <w:r>
              <w:rPr>
                <w:b/>
                <w:bCs/>
                <w:i/>
                <w:iCs/>
                <w:color w:val="000000"/>
              </w:rPr>
              <w:t xml:space="preserve">ệu</w:t>
            </w:r>
            <w:r>
              <w:rPr>
                <w:b/>
                <w:bCs/>
                <w:i/>
                <w:iCs/>
                <w:color w:val="000000"/>
              </w:rPr>
              <w:t xml:space="preserve"> </w:t>
            </w:r>
            <w:r>
              <w:rPr>
                <w:b/>
                <w:bCs/>
                <w:i/>
                <w:iCs/>
                <w:color w:val="000000"/>
              </w:rPr>
              <w:t xml:space="preserve">đ</w:t>
            </w:r>
            <w:r>
              <w:rPr>
                <w:b/>
                <w:bCs/>
                <w:i/>
                <w:iCs/>
                <w:color w:val="000000"/>
              </w:rPr>
              <w:t xml:space="preserve">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highlight w:val="none"/>
          <w:lang w:val="vi-VN"/>
        </w:rPr>
      </w:r>
      <w:r>
        <w:rPr>
          <w:lang w:val="pt-BR"/>
        </w:rPr>
      </w:r>
      <w:r>
        <w:rPr>
          <w:lang w:val="pt-BR"/>
        </w:rPr>
      </w:r>
    </w:p>
    <w:p>
      <w:pPr>
        <w:pBdr/>
        <w:spacing w:after="120" w:before="120" w:line="312" w:lineRule="auto"/>
        <w:ind/>
        <w:rPr>
          <w:rFonts w:eastAsia="Calibri"/>
          <w:b/>
          <w:bCs/>
          <w:spacing w:val="-4"/>
          <w:highlight w:val="none"/>
          <w:lang w:val="vi-VN"/>
        </w:rPr>
      </w:pPr>
      <w:r>
        <w:rPr>
          <w:rFonts w:eastAsia="Calibri"/>
          <w:b/>
          <w:spacing w:val="-4"/>
          <w:lang w:val="pt-BR"/>
        </w:rPr>
        <w:t xml:space="preserve">12</w:t>
      </w:r>
      <w:r>
        <w:rPr>
          <w:rFonts w:eastAsia="Calibri"/>
          <w:b/>
          <w:spacing w:val="-4"/>
          <w:lang w:val="vi-VN"/>
        </w:rPr>
        <w:t xml:space="preserve">. Các tài liệu kèm theo:</w:t>
      </w:r>
      <w:r>
        <w:rPr>
          <w:rFonts w:eastAsia="Calibri"/>
          <w:b/>
          <w:bCs/>
          <w:spacing w:val="-4"/>
          <w:highlight w:val="none"/>
          <w:lang w:val="vi-VN"/>
        </w:rPr>
      </w:r>
      <w:r>
        <w:rPr>
          <w:rFonts w:eastAsia="Calibri"/>
          <w:b/>
          <w:bCs/>
          <w:spacing w:val="-4"/>
          <w:highlight w:val="none"/>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856"/>
        <w:gridCol w:w="1299"/>
        <w:gridCol w:w="12263"/>
      </w:tblGrid>
      <w:tr>
        <w:trPr>
          <w:trHeight w:val="1559"/>
        </w:trPr>
        <w:tc>
          <w:tcPr>
            <w:gridSpan w:val="2"/>
            <w:tcBorders/>
            <w:tcW w:w="2155"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263"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13562" w:type="dxa"/>
            <w:textDirection w:val="lrTb"/>
            <w:noWrap w:val="false"/>
          </w:tcPr>
          <w:p>
            <w:pPr>
              <w:pStyle w:val="1035"/>
              <w:pBdr/>
              <w:tabs>
                <w:tab w:val="left" w:leader="none" w:pos="5628"/>
              </w:tabs>
              <w:spacing w:after="60"/>
              <w:ind/>
              <w:rPr>
                <w:color w:val="000000" w:themeColor="text1"/>
                <w:sz w:val="24"/>
                <w:szCs w:val="24"/>
              </w:rPr>
            </w:pPr>
            <w:r>
              <w:rPr>
                <w:rStyle w:val="1034"/>
                <w:rFonts w:ascii="Times New Roman" w:hAnsi="Times New Roman"/>
                <w:color w:val="000000" w:themeColor="text1"/>
                <w:lang w:val="pt-BR"/>
              </w:rPr>
              <w:t xml:space="preserve">Số: </w:t>
            </w:r>
            <w:r>
              <w:rPr>
                <w:rStyle w:val="1034"/>
                <w:rFonts w:ascii="Times New Roman" w:hAnsi="Times New Roman"/>
                <w:color w:val="000000" w:themeColor="text1"/>
                <w:lang w:val="pt-BR"/>
              </w:rPr>
              <w:t xml:space="preserve">275/2026/1215/VFI-BC.T02</w:t>
            </w:r>
            <w:r>
              <w:rPr>
                <w:color w:val="000000" w:themeColor="text1"/>
                <w:sz w:val="24"/>
                <w:szCs w:val="24"/>
              </w:rPr>
              <w:tab/>
            </w:r>
            <w:r>
              <w:rPr>
                <w:rStyle w:val="1034"/>
                <w:rFonts w:ascii="Times New Roman" w:hAnsi="Times New Roman"/>
                <w:i/>
                <w:color w:val="auto"/>
              </w:rPr>
              <w:t xml:space="preserve">TP. Hà Nội</w:t>
            </w:r>
            <w:r>
              <w:rPr>
                <w:rStyle w:val="1034"/>
                <w:rFonts w:ascii="Times New Roman" w:hAnsi="Times New Roman"/>
                <w:i/>
                <w:color w:val="auto"/>
                <w:lang w:val="vi-VN"/>
              </w:rPr>
              <w:t xml:space="preserve">, </w:t>
            </w:r>
            <w:r>
              <w:rPr>
                <w:rStyle w:val="1034"/>
                <w:rFonts w:ascii="Times New Roman" w:hAnsi="Times New Roman"/>
                <w:i/>
                <w:color w:val="000000" w:themeColor="text1"/>
                <w:lang w:val="vi-VN"/>
              </w:rPr>
              <w:t xml:space="preserve">ngày 06 tháng 8 năm 2026</w:t>
            </w:r>
            <w:r>
              <w:rPr>
                <w:color w:val="000000" w:themeColor="text1"/>
                <w:sz w:val="24"/>
                <w:szCs w:val="24"/>
              </w:rPr>
            </w:r>
            <w:r>
              <w:rPr>
                <w:color w:val="000000" w:themeColor="text1"/>
                <w:sz w:val="24"/>
                <w:szCs w:val="24"/>
              </w:rPr>
            </w:r>
          </w:p>
        </w:tc>
      </w:tr>
      <w:tr>
        <w:trPr>
          <w:gridBefore w:val="1"/>
          <w:trHeight w:val="84"/>
        </w:trPr>
        <w:tc>
          <w:tcPr>
            <w:shd w:val="clear" w:color="auto" w:fill="auto"/>
            <w:tcBorders/>
            <w:tcMar>
              <w:left w:w="108" w:type="dxa"/>
              <w:top w:w="0" w:type="dxa"/>
              <w:right w:w="108" w:type="dxa"/>
              <w:bottom w:w="0" w:type="dxa"/>
            </w:tcMar>
            <w:tcW w:w="1299" w:type="dxa"/>
            <w:textDirection w:val="lrTb"/>
            <w:noWrap w:val="false"/>
          </w:tcPr>
          <w:p>
            <w:pPr>
              <w:pStyle w:val="1035"/>
              <w:pBdr/>
              <w:spacing w:after="60"/>
              <w:ind/>
              <w:rPr>
                <w:rStyle w:val="1034"/>
                <w:rFonts w:ascii="Times New Roman" w:hAnsi="Times New Roman"/>
                <w:color w:val="000000" w:themeColor="text1"/>
                <w:lang w:val="pt-BR"/>
              </w:rPr>
            </w:pPr>
            <w:r>
              <w:rPr>
                <w:rStyle w:val="1034"/>
                <w:rFonts w:ascii="Times New Roman" w:hAnsi="Times New Roman"/>
                <w:color w:val="000000" w:themeColor="text1"/>
                <w:lang w:val="pt-BR"/>
              </w:rPr>
            </w:r>
            <w:r>
              <w:rPr>
                <w:rStyle w:val="1034"/>
                <w:rFonts w:ascii="Times New Roman" w:hAnsi="Times New Roman"/>
                <w:color w:val="000000" w:themeColor="text1"/>
                <w:lang w:val="pt-BR"/>
              </w:rPr>
            </w:r>
            <w:r>
              <w:rPr>
                <w:rStyle w:val="1034"/>
                <w:rFonts w:ascii="Times New Roman" w:hAnsi="Times New Roman"/>
                <w:color w:val="000000" w:themeColor="text1"/>
                <w:lang w:val="pt-BR"/>
              </w:rPr>
            </w:r>
          </w:p>
        </w:tc>
        <w:tc>
          <w:tcPr>
            <w:shd w:val="clear" w:color="auto" w:fill="auto"/>
            <w:tcBorders/>
            <w:tcMar>
              <w:left w:w="108" w:type="dxa"/>
              <w:top w:w="0" w:type="dxa"/>
              <w:right w:w="108" w:type="dxa"/>
              <w:bottom w:w="0" w:type="dxa"/>
            </w:tcMar>
            <w:tcW w:w="12263" w:type="dxa"/>
            <w:textDirection w:val="lrTb"/>
            <w:noWrap w:val="false"/>
          </w:tcPr>
          <w:p>
            <w:pPr>
              <w:pStyle w:val="1035"/>
              <w:pBdr/>
              <w:spacing w:after="60"/>
              <w:ind w:right="-56"/>
              <w:rPr>
                <w:rStyle w:val="1034"/>
                <w:rFonts w:ascii="Times New Roman" w:hAnsi="Times New Roman"/>
                <w:i/>
                <w:color w:val="auto"/>
              </w:rPr>
            </w:pPr>
            <w:r>
              <w:rPr>
                <w:rFonts w:ascii="Times New Roman" w:hAnsi="Times New Roman"/>
                <w:i/>
                <w:color w:val="auto"/>
              </w:rPr>
            </w:r>
            <w:r>
              <w:rPr>
                <w:rStyle w:val="1034"/>
                <w:rFonts w:ascii="Times New Roman" w:hAnsi="Times New Roman"/>
                <w:i/>
                <w:color w:val="auto"/>
              </w:rPr>
            </w:r>
            <w:r>
              <w:rPr>
                <w:rStyle w:val="1034"/>
                <w:rFonts w:ascii="Times New Roman" w:hAnsi="Times New Roman"/>
                <w:i/>
                <w:color w:val="auto"/>
              </w:rPr>
            </w:r>
          </w:p>
        </w:tc>
      </w:tr>
    </w:tbl>
    <w:p>
      <w:pPr>
        <w:pStyle w:val="1035"/>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275/2026/1215/VFI-CT.T02</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06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CP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Style w:val="103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Ind w:w="28" w:type="dxa"/>
        <w:tblW w:w="9719" w:type="dxa"/>
        <w:tblBorders/>
        <w:tblLayout w:type="fixed"/>
        <w:tblLook w:val="04A0" w:firstRow="1" w:lastRow="0" w:firstColumn="1" w:lastColumn="0" w:noHBand="0" w:noVBand="1"/>
      </w:tblPr>
      <w:tblGrid>
        <w:gridCol w:w="2490"/>
        <w:gridCol w:w="284"/>
        <w:gridCol w:w="6945"/>
      </w:tblGrid>
      <w:tr>
        <w:trPr>
          <w:trHeight w:val="20"/>
        </w:trPr>
        <w:tc>
          <w:tcPr>
            <w:tcBorders/>
            <w:tcW w:w="24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9"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Tên khách hàng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9"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CÔNG TY CỔ PHẦN THỰC PHẨM SẠCH VẠN XUÂN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4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Số nhà 2- ngõ 93/29 Phố Giáp Nhị, Tổ 9, phường Thịnh Liệt, quận Hoàng Mai, Thành phố Hà Nội, Việt Nam (</w:t>
            </w:r>
            <w:r>
              <w:rPr>
                <w:rFonts w:ascii="Times New Roman" w:hAnsi="Times New Roman" w:eastAsia="Times New Roman" w:cs="Times New Roman"/>
                <w:i/>
                <w:iCs/>
                <w:color w:val="000000"/>
                <w:sz w:val="24"/>
              </w:rPr>
              <w:t xml:space="preserve">Nay là Phường Hoàng Mai, Thành phố Hà Nội</w:t>
            </w: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4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Điện thoại</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0903441676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4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Mã số thuế</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0109826299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49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Đại diện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pacing w:val="-2"/>
                <w:sz w:val="24"/>
              </w:rPr>
              <w:t xml:space="preserve">Bà Nguyễn Thị Thuận</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49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Chức vụ</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Giám đốc</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490"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color w:val="000000"/>
              </w:rPr>
              <w:t xml:space="preserve">Quyền sử dụng đất tại Thửa đất số: 219, tờ bản đồ số: 13, địa chỉ: Căn hộ số 4, nhà B6, TT Cty Kim Khí Hà Nội, phường Đức Giang, quận Long Biên, Thành phố Hà Nội (</w:t>
            </w:r>
            <w:r>
              <w:rPr>
                <w:i/>
                <w:iCs/>
                <w:color w:val="000000"/>
              </w:rPr>
              <w:t xml:space="preserve">nay là phường </w:t>
            </w:r>
            <w:r>
              <w:rPr>
                <w:i/>
                <w:iCs/>
                <w:color w:val="000000"/>
              </w:rPr>
              <w:t xml:space="preserve">Việt </w:t>
            </w:r>
            <w:r>
              <w:rPr>
                <w:i/>
                <w:iCs/>
                <w:color w:val="000000"/>
              </w:rPr>
              <w:t xml:space="preserve">Hưng</w:t>
            </w:r>
            <w:r>
              <w:rPr>
                <w:i/>
                <w:iCs/>
                <w:color w:val="000000"/>
              </w:rPr>
              <w:t xml:space="preserve">, Thành phố Hà Nội</w:t>
            </w:r>
            <w:r>
              <w:rPr>
                <w:color w:val="000000"/>
              </w:rPr>
              <w:t xml:space="preserve">) theo Giấy chứng nhận quyền sử dụng đất, quyền sở hữu nhà ở và tài sản khác gắn liền với đất số: DO 685643, số vào sổ cấp GCN: CN 04020 do Chi nhánh Văn phòng Đăng ký Đất đai </w:t>
            </w:r>
            <w:r>
              <w:rPr>
                <w:color w:val="000000" w:themeColor="text1"/>
              </w:rPr>
              <w:t xml:space="preserve">Hà Nội - quận Long Biên</w:t>
            </w:r>
            <w:r>
              <w:rPr>
                <w:color w:val="000000"/>
              </w:rPr>
              <w:t xml:space="preserve"> cấp ngày 25/4/2024; Chủ sử dụng đất là Ông Nguyễn Tuấn Anh.</w:t>
            </w:r>
            <w:r>
              <w:rPr>
                <w:b/>
                <w:bCs/>
                <w:spacing w:val="2"/>
                <w:lang w:val="vi-VN"/>
              </w:rPr>
            </w:r>
            <w:r>
              <w:rPr>
                <w:b/>
                <w:bCs/>
                <w:spacing w:val="2"/>
                <w:lang w:val="vi-VN"/>
              </w:rPr>
            </w:r>
          </w:p>
        </w:tc>
      </w:tr>
      <w:tr>
        <w:trPr>
          <w:trHeight w:val="20"/>
        </w:trPr>
        <w:tc>
          <w:tcPr>
            <w:tcBorders/>
            <w:tcW w:w="2490"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490"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490"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8/2026</w:t>
            </w:r>
            <w:r>
              <w:rPr>
                <w:lang w:val="pt-BR"/>
              </w:rPr>
              <w:t xml:space="preserve">.</w:t>
            </w:r>
            <w:r>
              <w:rPr>
                <w:bCs/>
                <w:spacing w:val="-4"/>
                <w:lang w:val="pt-BR"/>
              </w:rPr>
            </w:r>
            <w:r>
              <w:rPr>
                <w:bCs/>
                <w:spacing w:val="-4"/>
                <w:lang w:val="pt-BR"/>
              </w:rPr>
            </w:r>
          </w:p>
        </w:tc>
      </w:tr>
      <w:tr>
        <w:trPr>
          <w:trHeight w:val="20"/>
        </w:trPr>
        <w:tc>
          <w:tcPr>
            <w:tcBorders/>
            <w:tcW w:w="2490"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Long Biên, Thành phố Hà Nội</w:t>
            </w:r>
            <w:r>
              <w:rPr>
                <w:color w:val="ee0000"/>
                <w:lang w:val="pt-BR"/>
              </w:rPr>
            </w:r>
            <w:r>
              <w:rPr>
                <w:color w:val="ee0000"/>
                <w:lang w:val="pt-BR"/>
              </w:rPr>
            </w:r>
          </w:p>
        </w:tc>
      </w:tr>
      <w:tr>
        <w:trPr>
          <w:trHeight w:val="20"/>
        </w:trPr>
        <w:tc>
          <w:tcPr>
            <w:tcBorders/>
            <w:tcW w:w="2490"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60" w:line="298" w:lineRule="atLeast"/>
              <w:ind w:right="0" w:firstLine="0" w:left="0"/>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w:t>
            </w:r>
            <w:r>
              <w:rPr>
                <w:rFonts w:ascii="Times New Roman" w:hAnsi="Times New Roman" w:eastAsia="Times New Roman" w:cs="Times New Roman"/>
                <w:color w:val="000000" w:themeColor="text1"/>
                <w:spacing w:val="1"/>
                <w:sz w:val="22"/>
                <w:szCs w:val="22"/>
              </w:rPr>
              <w:t xml:space="preserve">21.068855, 105.88860</w:t>
            </w:r>
            <w:r>
              <w:rPr>
                <w:rFonts w:ascii="Times New Roman" w:hAnsi="Times New Roman" w:eastAsia="Times New Roman" w:cs="Times New Roman"/>
                <w:color w:val="000000" w:themeColor="text1"/>
                <w:sz w:val="22"/>
                <w:szCs w:val="22"/>
              </w:rPr>
              <w:t xml:space="preserve">)</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2490"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Ngày 04/8/2026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6"/>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6"/>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6"/>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6"/>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6"/>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6"/>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6"/>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6"/>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6"/>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6"/>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6"/>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6"/>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color w:val="000000"/>
        </w:rPr>
        <w:t xml:space="preserve">Giấy chứng nhận quyền sử dụng đất, quyền sở hữu nhà ở và tài sản khác gắn liền với đất số: DO 685643, số vào sổ cấp GCN: CN 04020 do Chi nhánh Văn phòng Đăng ký Đất đai cấp ngày 25/4/2024; Chủ sử dụng đất là Ông Nguyễn Tuấn Anh</w:t>
      </w:r>
      <w:r>
        <w:rPr>
          <w:bCs/>
          <w:color w:val="000000" w:themeColor="text1"/>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6"/>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dịch vụ thẩm định giá số </w:t>
      </w:r>
      <w:r>
        <w:rPr>
          <w:color w:val="000000" w:themeColor="text1"/>
          <w:spacing w:val="-4"/>
          <w:lang w:val="vi-VN"/>
        </w:rPr>
        <w:t xml:space="preserve">275/2026/1214/VFI-HĐTĐ.T02</w:t>
      </w:r>
      <w:r>
        <w:rPr>
          <w:spacing w:val="-4"/>
          <w:lang w:val="vi-VN"/>
        </w:rPr>
        <w:t xml:space="preserve"> ký ngày 0</w:t>
      </w:r>
      <w:r>
        <w:rPr>
          <w:color w:val="000000" w:themeColor="text1"/>
          <w:spacing w:val="-4"/>
        </w:rPr>
        <w:t xml:space="preserve">3 tháng 8 năm 2026</w:t>
      </w:r>
      <w:r>
        <w:rPr>
          <w:spacing w:val="-4"/>
          <w:lang w:val="vi-VN"/>
        </w:rPr>
        <w:t xml:space="preserve"> </w:t>
      </w:r>
      <w:r>
        <w:rPr>
          <w:spacing w:val="-4"/>
          <w:lang w:val="vi-VN"/>
        </w:rPr>
        <w:t xml:space="preserve">giữa </w:t>
      </w:r>
      <w:r>
        <w:rPr>
          <w:rFonts w:ascii="Times New Roman" w:hAnsi="Times New Roman" w:eastAsia="Times New Roman" w:cs="Times New Roman"/>
          <w:color w:val="000000"/>
          <w:sz w:val="24"/>
        </w:rPr>
        <w:t xml:space="preserve">Công ty Cổ phần Thực phẩm sạch Vạn Xuân</w:t>
      </w:r>
      <w:r>
        <w:rPr>
          <w:bCs/>
        </w:rPr>
        <w:t xml:space="preserve"> </w:t>
      </w:r>
      <w:r>
        <w:rPr>
          <w:color w:val="000000" w:themeColor="text1"/>
          <w:lang w:val="pt-BR"/>
        </w:rPr>
        <w:t xml:space="preserve">với Công ty Cổ phần Thẩm định và Đầu tư Tài chính Hoa Sen.</w:t>
      </w:r>
      <w:r>
        <w:rPr>
          <w:b/>
          <w:lang w:val="pt-BR"/>
        </w:rPr>
      </w:r>
      <w:r>
        <w:rPr>
          <w:b/>
          <w:lang w:val="pt-BR"/>
        </w:rPr>
      </w:r>
    </w:p>
    <w:p>
      <w:pPr>
        <w:pStyle w:val="1036"/>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highlight w:val="none"/>
        </w:rPr>
      </w:pPr>
      <w:r>
        <w:rPr>
          <w:b/>
          <w:bCs/>
          <w:highlight w:val="none"/>
          <w:lang w:val="pt-BR"/>
        </w:rPr>
        <w:t xml:space="preserve">III</w:t>
      </w:r>
      <w:r>
        <w:rPr>
          <w:b/>
          <w:bCs/>
          <w:highlight w:val="none"/>
          <w:lang w:val="pt-BR"/>
        </w:rPr>
        <w:t xml:space="preserve">. TỔNG QUAN VỀ THỊ TRƯỜNG CỦA TÀI SẢN THẨM ĐỊNH GIÁ</w:t>
      </w:r>
      <w:r>
        <w:rPr>
          <w:b/>
          <w:bCs/>
          <w:highlight w:val="none"/>
        </w:rPr>
      </w:r>
      <w:r>
        <w:rPr>
          <w:b/>
          <w:bCs/>
          <w:highlight w:val="none"/>
        </w:rPr>
      </w:r>
    </w:p>
    <w:p>
      <w:pPr>
        <w:pBdr>
          <w:top w:val="none" w:color="000000" w:sz="4" w:space="0"/>
          <w:left w:val="none" w:color="000000" w:sz="4" w:space="0"/>
          <w:bottom w:val="none" w:color="000000" w:sz="4" w:space="0"/>
          <w:right w:val="none" w:color="000000" w:sz="4" w:space="0"/>
        </w:pBdr>
        <w:shd w:val="clear" w:color="ffffff" w:fill="ffffff"/>
        <w:spacing w:after="239" w:before="0" w:line="276" w:lineRule="auto"/>
        <w:ind w:right="0" w:firstLine="283"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Theo dữ liệu từ One Mount, quý 2/2026, thị trường thổ cư Hà Nội ghi nhận khoảng 4.700 giao dịch, giảm 23% so với quý trước và thấp hơn 64% so với cùng kỳ năm 2025. </w:t>
      </w:r>
      <w:r>
        <w:rPr>
          <w:rFonts w:ascii="Times New Roman" w:hAnsi="Times New Roman" w:eastAsia="Times New Roman" w:cs="Times New Roman"/>
          <w:color w:val="000000" w:themeColor="text1"/>
          <w:sz w:val="24"/>
          <w:szCs w:val="24"/>
        </w:rPr>
        <w:t xml:space="preserve">Diễn biến này đáng chú ý khi trái với thông lệ hàng năm, quý 2 thường là giai đoạn giao dịch sôi động hơn quý 1. Việc thanh khoản tiếp tục đi xuống cho thấy thị trường thổ cư đang suy yếu rõ rệt. </w:t>
      </w:r>
      <w:r>
        <w:rPr>
          <w:rFonts w:ascii="Times New Roman" w:hAnsi="Times New Roman" w:eastAsia="Times New Roman" w:cs="Times New Roman"/>
          <w:color w:val="000000" w:themeColor="text1"/>
          <w:sz w:val="24"/>
          <w:szCs w:val="24"/>
        </w:rPr>
        <w:t xml:space="preserve">Theo One Mount, một trong những nguyên nhân đáng chú ý là hoạt động quy hoạch và giải phóng mặt bằng diễn ra trên diện rộng, làm gia tăng tâm lý e ngại dính quy hoạch của người mua. </w:t>
      </w:r>
      <w:r>
        <w:rPr>
          <w:rFonts w:ascii="Times New Roman" w:hAnsi="Times New Roman" w:eastAsia="Times New Roman" w:cs="Times New Roman"/>
          <w:color w:val="000000" w:themeColor="text1"/>
          <w:sz w:val="24"/>
          <w:szCs w:val="24"/>
        </w:rPr>
        <w:t xml:space="preserve">Thanh khoản giảm tại tất cả các khu vực của Hà Nội. Trong đó, khu Tây ghi nhận mức giảm mạnh nhất, tới 70% so với cùng kỳ. Khu Nội thành giảm 66%, trong khi khu Đông giảm 61%.</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hd w:val="clear" w:color="ffffff" w:fill="ffffff"/>
        <w:spacing w:after="239" w:before="0" w:line="276" w:lineRule="auto"/>
        <w:ind w:right="0" w:firstLine="283"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Xét về thị phần giao dịch trong quý 2/2026, khu Bắc dẫn đầu với 27% tổng giao dịch toàn thị trường, chủ yếu nhờ thanh khoản tại các xã thuộc huyện Đông Anh cũ. Khu Nội thành chiếm 25%, trong khi khu Đông và khu Tây có thị phần tương đương nhau, cùng ở mức </w:t>
      </w:r>
      <w:r>
        <w:rPr>
          <w:rFonts w:ascii="Times New Roman" w:hAnsi="Times New Roman" w:eastAsia="Times New Roman" w:cs="Times New Roman"/>
          <w:color w:val="000000" w:themeColor="text1"/>
          <w:sz w:val="24"/>
          <w:szCs w:val="24"/>
        </w:rPr>
        <w:t xml:space="preserve">22%. </w:t>
      </w:r>
      <w:r>
        <w:rPr>
          <w:rFonts w:ascii="Times New Roman" w:hAnsi="Times New Roman" w:eastAsia="Times New Roman" w:cs="Times New Roman"/>
          <w:color w:val="000000" w:themeColor="text1"/>
          <w:sz w:val="24"/>
          <w:szCs w:val="24"/>
        </w:rPr>
        <w:t xml:space="preserve">Ở nhóm phường có thanh khoản dẫn đầu tại từng khu vực, các địa bàn ngoài lõi trung tâm như Bồ Đề, Việt Hưng, Long Biên, Yên Nghĩa, Hoàng Mai và Lĩnh Nam tiếp tục nằm trong nhóm có lượng giao dịch cao. </w:t>
      </w:r>
      <w:r>
        <w:rPr>
          <w:rFonts w:ascii="Times New Roman" w:hAnsi="Times New Roman" w:eastAsia="Times New Roman" w:cs="Times New Roman"/>
          <w:color w:val="000000" w:themeColor="text1"/>
          <w:sz w:val="24"/>
          <w:szCs w:val="24"/>
        </w:rPr>
        <w:t xml:space="preserve">Đây là những khu vực có mặt bằng giá thấp hơn khu vực lõi và vẫn duy trì nhu cầu ở thực. Tuy nhiên, thanh khoản tại tất cả các phường này đều giảm mạnh so với cùng kỳ năm ngoái, với mức giảm dao động từ 27% đến 83%.</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hd w:val="clear" w:color="ffffff" w:fill="ffffff"/>
        <w:spacing w:after="239" w:before="0" w:line="276" w:lineRule="auto"/>
        <w:ind w:right="0" w:firstLine="283"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shd w:val="clear" w:color="auto" w:fill="ffffff"/>
        </w:rPr>
      </w:r>
      <w:r>
        <w:rPr>
          <w:rFonts w:ascii="Times New Roman" w:hAnsi="Times New Roman" w:eastAsia="Times New Roman" w:cs="Times New Roman"/>
          <w:color w:val="000000" w:themeColor="text1"/>
          <w:sz w:val="24"/>
          <w:szCs w:val="24"/>
          <w:highlight w:val="white"/>
        </w:rPr>
        <w:t xml:space="preserve">Khu Tây và khu Đông ghi nhận mức giảm mạnh nhất. Theo One Mount, bên cạnh tâm lý e ngại trước các thông tin quy hoạch và giải phóng mặt bằng, mặt bằng giá thổ cư đã neo cao trong nhiều năm khiến hai khu vực này suy giảm lợi thế về giá và kém hấp dẫn hơn đố</w:t>
      </w:r>
      <w:r>
        <w:rPr>
          <w:rFonts w:ascii="Times New Roman" w:hAnsi="Times New Roman" w:eastAsia="Times New Roman" w:cs="Times New Roman"/>
          <w:color w:val="000000" w:themeColor="text1"/>
          <w:sz w:val="24"/>
          <w:szCs w:val="24"/>
          <w:highlight w:val="white"/>
        </w:rPr>
        <w:t xml:space="preserve">i với người mua ở thực.</w:t>
      </w:r>
      <w:r>
        <w:rPr>
          <w:rFonts w:ascii="Times New Roman" w:hAnsi="Times New Roman" w:eastAsia="Times New Roman" w:cs="Times New Roman"/>
          <w:color w:val="000000" w:themeColor="text1"/>
          <w:sz w:val="24"/>
          <w:szCs w:val="24"/>
        </w:rPr>
        <w:t xml:space="preserve">Theo One Mount, thị trường thổ cư Hà Nội năm 2026 được dự báo tiếp tục đối mặt với nhiều thách thức. Tổng lượng giao dịch cả năm có thể giảm 40% - 50% so với năm 2025.</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hd w:val="clear" w:color="ffffff" w:fill="ffffff"/>
        <w:spacing w:after="239" w:before="0" w:line="276" w:lineRule="auto"/>
        <w:ind w:right="0" w:firstLine="283"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Thị trường được dự báo suy yếu trong bối cảnh tăng trưởng kinh tế gặp nhiều thách thức, lãi suất duy trì ở mức cao và dòng tiền đầu tư thận trọng hơn. </w:t>
      </w:r>
      <w:r>
        <w:rPr>
          <w:rFonts w:ascii="Times New Roman" w:hAnsi="Times New Roman" w:eastAsia="Times New Roman" w:cs="Times New Roman"/>
          <w:color w:val="000000" w:themeColor="text1"/>
          <w:sz w:val="24"/>
          <w:szCs w:val="24"/>
        </w:rPr>
        <w:t xml:space="preserve">Đặc biệt, hoạt động giải phóng mặt bằng và thu hồi đất trên diện rộng làm gia tăng rủi ro liên quan đến quy hoạch. Điều này đang tác động trực tiếp đến tâm lý của người mua thổ cư. </w:t>
      </w:r>
      <w:r>
        <w:rPr>
          <w:rFonts w:ascii="Times New Roman" w:hAnsi="Times New Roman" w:eastAsia="Times New Roman" w:cs="Times New Roman"/>
          <w:color w:val="000000" w:themeColor="text1"/>
          <w:sz w:val="24"/>
          <w:szCs w:val="24"/>
        </w:rPr>
        <w:t xml:space="preserve">Nếu trước đây một bộ phận nhà đầu tư có tâm lý “mua đón quy hoạch”, thì hiện nay xu hướng đang chuyển sang “chờ quy hoạch rõ hơn”. Người mua có xu hướng ưu tiên những tài sản có thông tin pháp lý, quy hoạch rõ ràng thay vì chấp nhận rủi ro để kỳ vọng vào m</w:t>
      </w:r>
      <w:r>
        <w:rPr>
          <w:rFonts w:ascii="Times New Roman" w:hAnsi="Times New Roman" w:eastAsia="Times New Roman" w:cs="Times New Roman"/>
          <w:color w:val="000000" w:themeColor="text1"/>
          <w:sz w:val="24"/>
          <w:szCs w:val="24"/>
        </w:rPr>
        <w:t xml:space="preserve">ức tăng giá trong tương lai.</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hd w:val="clear" w:color="ffffff" w:fill="ffffff"/>
        <w:spacing w:after="239" w:before="0" w:line="276" w:lineRule="auto"/>
        <w:ind w:right="0" w:firstLine="283" w:left="0"/>
        <w:jc w:val="both"/>
        <w:rPr>
          <w:rFonts w:ascii="Times New Roman" w:hAnsi="Times New Roman" w:eastAsia="Times New Roman" w:cs="Times New Roman"/>
          <w:color w:val="000000" w:themeColor="text1"/>
          <w:sz w:val="24"/>
          <w:szCs w:val="24"/>
          <w:highlight w:val="none"/>
        </w:rPr>
      </w:pPr>
      <w:r>
        <w:rPr>
          <w:rFonts w:ascii="Times New Roman" w:hAnsi="Times New Roman" w:eastAsia="Times New Roman" w:cs="Times New Roman"/>
          <w:color w:val="000000" w:themeColor="text1"/>
          <w:sz w:val="24"/>
          <w:szCs w:val="24"/>
        </w:rPr>
        <w:t xml:space="preserve">Theo dự báo của One Mount, triển vọng thị trường có thể chuyển biến tích cực hơn trong năm 2027 khi quy hoạch rõ ràng hơn và mặt bằng giá hạ nhiệt. Đây được kỳ vọng là những yếu tố giúp người mua yên tâm giao dịch trở lại và hỗ trợ thanh khoản thị trường p</w:t>
      </w:r>
      <w:r>
        <w:rPr>
          <w:rFonts w:ascii="Times New Roman" w:hAnsi="Times New Roman" w:eastAsia="Times New Roman" w:cs="Times New Roman"/>
          <w:color w:val="000000" w:themeColor="text1"/>
          <w:sz w:val="24"/>
          <w:szCs w:val="24"/>
        </w:rPr>
        <w:t xml:space="preserve">hục hồi.</w:t>
      </w: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highlight w:val="none"/>
        </w:rPr>
      </w:r>
    </w:p>
    <w:p>
      <w:pPr>
        <w:pBdr>
          <w:top w:val="none" w:color="000000" w:sz="4" w:space="0"/>
          <w:left w:val="none" w:color="000000" w:sz="4" w:space="0"/>
          <w:bottom w:val="none" w:color="000000" w:sz="4" w:space="0"/>
          <w:right w:val="none" w:color="000000" w:sz="4" w:space="0"/>
        </w:pBdr>
        <w:shd w:val="clear" w:color="ffffff" w:fill="ffffff"/>
        <w:spacing w:after="239" w:before="0" w:line="276" w:lineRule="auto"/>
        <w:ind w:right="0" w:firstLine="0" w:left="0"/>
        <w:jc w:val="center"/>
        <w:rPr>
          <w:rFonts w:ascii="Times New Roman" w:hAnsi="Times New Roman" w:cs="Times New Roman"/>
          <w:bCs/>
          <w:i/>
          <w:color w:val="000000" w:themeColor="text1"/>
          <w:sz w:val="24"/>
          <w:szCs w:val="24"/>
        </w:rPr>
      </w:pPr>
      <w:r>
        <w:rPr>
          <w:rFonts w:ascii="Times New Roman" w:hAnsi="Times New Roman" w:eastAsia="Times New Roman" w:cs="Times New Roman"/>
          <w:i/>
          <w:iCs/>
          <w:color w:val="000000" w:themeColor="text1"/>
          <w:sz w:val="24"/>
          <w:szCs w:val="24"/>
          <w:highlight w:val="none"/>
        </w:rPr>
        <w:t xml:space="preserve">( Ngu</w:t>
      </w:r>
      <w:r>
        <w:rPr>
          <w:rFonts w:ascii="Times New Roman" w:hAnsi="Times New Roman" w:eastAsia="Times New Roman" w:cs="Times New Roman"/>
          <w:i/>
          <w:iCs/>
          <w:color w:val="000000" w:themeColor="text1"/>
          <w:sz w:val="24"/>
          <w:szCs w:val="24"/>
          <w:highlight w:val="none"/>
        </w:rPr>
        <w:t xml:space="preserve">ồn</w:t>
      </w:r>
      <w:r>
        <w:rPr>
          <w:rFonts w:ascii="Times New Roman" w:hAnsi="Times New Roman" w:eastAsia="Times New Roman" w:cs="Times New Roman"/>
          <w:i/>
          <w:iCs/>
          <w:color w:val="000000" w:themeColor="text1"/>
          <w:sz w:val="24"/>
          <w:szCs w:val="24"/>
          <w:highlight w:val="none"/>
        </w:rPr>
        <w:t xml:space="preserve"> tham kh</w:t>
      </w:r>
      <w:r>
        <w:rPr>
          <w:rFonts w:ascii="Times New Roman" w:hAnsi="Times New Roman" w:eastAsia="Times New Roman" w:cs="Times New Roman"/>
          <w:i/>
          <w:iCs/>
          <w:color w:val="000000" w:themeColor="text1"/>
          <w:sz w:val="24"/>
          <w:szCs w:val="24"/>
          <w:highlight w:val="none"/>
        </w:rPr>
        <w:t xml:space="preserve">ảo</w:t>
      </w:r>
      <w:r>
        <w:rPr>
          <w:rFonts w:ascii="Times New Roman" w:hAnsi="Times New Roman" w:eastAsia="Times New Roman" w:cs="Times New Roman"/>
          <w:i/>
          <w:iCs/>
          <w:color w:val="000000" w:themeColor="text1"/>
          <w:sz w:val="24"/>
          <w:szCs w:val="24"/>
          <w:highlight w:val="none"/>
        </w:rPr>
        <w:t xml:space="preserve">: </w:t>
      </w:r>
      <w:r>
        <w:rPr>
          <w:rFonts w:ascii="Times New Roman" w:hAnsi="Times New Roman" w:eastAsia="Times New Roman" w:cs="Times New Roman"/>
          <w:i/>
          <w:iCs/>
          <w:color w:val="000000" w:themeColor="text1"/>
          <w:sz w:val="24"/>
          <w:szCs w:val="24"/>
          <w:highlight w:val="none"/>
        </w:rPr>
        <w:t xml:space="preserve">https://markettimes.vn/thi-truong-tho-cu-ha-noi-dang-dien-bien-ra-sao-sau-loat-thong-tin-ve-quy-hoach-giai-phong-mat-bang-dien-rong-128097.html</w:t>
      </w:r>
      <w:r>
        <w:rPr>
          <w:rFonts w:ascii="Times New Roman" w:hAnsi="Times New Roman" w:eastAsia="Times New Roman" w:cs="Times New Roman"/>
          <w:i/>
          <w:iCs/>
          <w:color w:val="000000" w:themeColor="text1"/>
          <w:sz w:val="24"/>
          <w:szCs w:val="24"/>
          <w:highlight w:val="none"/>
        </w:rPr>
        <w:t xml:space="preserve">)</w:t>
      </w:r>
      <w:r>
        <w:rPr>
          <w:rFonts w:ascii="Times New Roman" w:hAnsi="Times New Roman" w:cs="Times New Roman"/>
          <w:bCs/>
          <w:i/>
          <w:color w:val="000000" w:themeColor="text1"/>
          <w:sz w:val="24"/>
          <w:szCs w:val="24"/>
        </w:rPr>
      </w:r>
      <w:r>
        <w:rPr>
          <w:rFonts w:ascii="Times New Roman" w:hAnsi="Times New Roman" w:cs="Times New Roman"/>
          <w:bCs/>
          <w:i/>
          <w:color w:val="000000" w:themeColor="text1"/>
          <w:sz w:val="24"/>
          <w:szCs w:val="24"/>
        </w:rPr>
      </w:r>
    </w:p>
    <w:p>
      <w:pPr>
        <w:pStyle w:val="103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Tên tài sản</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jc w:val="both"/>
              <w:rPr>
                <w:b/>
                <w:bCs/>
                <w:color w:val="000000"/>
                <w:highlight w:val="white"/>
              </w:rPr>
            </w:pPr>
            <w:r>
              <w:rPr>
                <w:b/>
                <w:bCs/>
                <w:color w:val="000000"/>
                <w:highlight w:val="white"/>
              </w:rPr>
            </w:r>
            <w:r>
              <w:rPr>
                <w:b/>
                <w:bCs/>
                <w:color w:val="000000"/>
              </w:rPr>
              <w:t xml:space="preserve">Quyền sử dụng đất tại Thửa đất số: 219, tờ bản đồ số: 13, địa chỉ: Căn hộ số 4, nhà B6, TT Cty Kim Khí Hà Nội, phường Đức Giang, quận Long Biên, Thành phố Hà Nội (</w:t>
            </w:r>
            <w:r>
              <w:rPr>
                <w:b/>
                <w:bCs/>
                <w:i/>
                <w:iCs/>
                <w:color w:val="000000"/>
              </w:rPr>
              <w:t xml:space="preserve">nay là phường </w:t>
            </w:r>
            <w:r>
              <w:rPr>
                <w:b/>
                <w:bCs/>
                <w:i/>
                <w:iCs/>
                <w:color w:val="000000"/>
              </w:rPr>
              <w:t xml:space="preserve">Việt </w:t>
            </w:r>
            <w:r>
              <w:rPr>
                <w:b/>
                <w:bCs/>
                <w:i/>
                <w:iCs/>
                <w:color w:val="000000"/>
              </w:rPr>
              <w:t xml:space="preserve">Hưng</w:t>
            </w:r>
            <w:r>
              <w:rPr>
                <w:b/>
                <w:bCs/>
                <w:i/>
                <w:iCs/>
                <w:color w:val="000000"/>
              </w:rPr>
              <w:t xml:space="preserve">, Thành phố Hà Nội</w:t>
            </w:r>
            <w:r>
              <w:rPr>
                <w:b/>
                <w:bCs/>
                <w:color w:val="000000"/>
              </w:rPr>
              <w:t xml:space="preserve">) theo Giấy chứng nhận quyền sử dụng đất, quyền sở hữu nhà ở và tài sản khác gắn liền với đất số: DO 685643, số vào sổ cấp GCN: CN 04020 do Chi nhánh Văn phòng Đăng ký Đất đai </w:t>
            </w:r>
            <w:r>
              <w:rPr>
                <w:b/>
                <w:bCs/>
                <w:color w:val="000000" w:themeColor="text1"/>
              </w:rPr>
              <w:t xml:space="preserve">Hà Nội - quận Long Biên</w:t>
            </w:r>
            <w:r>
              <w:rPr>
                <w:b/>
                <w:bCs/>
                <w:color w:val="000000" w:themeColor="text1"/>
              </w:rPr>
              <w:t xml:space="preserve"> </w:t>
            </w:r>
            <w:r>
              <w:rPr>
                <w:b/>
                <w:bCs/>
                <w:color w:val="000000"/>
              </w:rPr>
              <w:t xml:space="preserve">cấp ngày 25/4/2024; Chủ sử dụng đất là Ông Nguyễn Tuấn Anh.</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1.</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Nội dung Thửa đất theo Hồ sơ pháp lý</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Thửa đất số:</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219</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Tờ bản đồ số:</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ee0000"/>
                <w:highlight w:val="white"/>
              </w:rPr>
            </w:pPr>
            <w:r>
              <w:rPr>
                <w:color w:val="000000" w:themeColor="text1"/>
                <w:highlight w:val="white"/>
              </w:rPr>
              <w:t xml:space="preserve">13</w:t>
            </w:r>
            <w:r>
              <w:rPr>
                <w:color w:val="ee0000"/>
                <w:highlight w:val="white"/>
              </w:rPr>
            </w:r>
            <w:r>
              <w:rPr>
                <w:color w:val="ee0000"/>
                <w:highlight w:val="white"/>
              </w:rPr>
            </w:r>
          </w:p>
        </w:tc>
      </w:tr>
      <w:tr>
        <w:trPr>
          <w:trHeight w:val="85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Địa chỉ:</w:t>
            </w:r>
            <w:r>
              <w:rPr>
                <w:color w:val="000000"/>
                <w:highlight w:val="white"/>
              </w:rPr>
            </w:r>
            <w:r>
              <w:rPr>
                <w:color w:val="000000"/>
                <w:highlight w:val="white"/>
              </w:rPr>
            </w:r>
          </w:p>
        </w:tc>
        <w:tc>
          <w:tcPr>
            <w:gridSpan w:val="3"/>
            <w:tcBorders/>
            <w:tcW w:w="6259" w:type="dxa"/>
            <w:vAlign w:val="center"/>
            <w:textDirection w:val="lrTb"/>
            <w:noWrap w:val="false"/>
          </w:tcPr>
          <w:p>
            <w:pPr>
              <w:pBdr/>
              <w:spacing/>
              <w:ind/>
              <w:jc w:val="both"/>
              <w:rPr>
                <w:color w:val="000000"/>
                <w:highlight w:val="white"/>
              </w:rPr>
            </w:pPr>
            <w:r>
              <w:rPr>
                <w:color w:val="000000"/>
                <w:highlight w:val="white"/>
              </w:rPr>
              <w:t xml:space="preserve">Căn hộ số 4, nhà B6, TT Kim Khí Hà Nội, Phường Đức Giang, quận Long Biên, Thành phố Hà Nội (</w:t>
            </w:r>
            <w:r>
              <w:rPr>
                <w:i/>
                <w:iCs/>
                <w:color w:val="000000"/>
                <w:highlight w:val="white"/>
              </w:rPr>
              <w:t xml:space="preserve">Nay là phườngVi</w:t>
            </w:r>
            <w:r>
              <w:rPr>
                <w:i/>
                <w:iCs/>
                <w:color w:val="000000"/>
                <w:highlight w:val="white"/>
              </w:rPr>
            </w:r>
            <w:r>
              <w:rPr>
                <w:i/>
                <w:iCs/>
                <w:color w:val="000000"/>
                <w:highlight w:val="white"/>
              </w:rPr>
              <w:t xml:space="preserve">ệt</w:t>
            </w:r>
            <w:r>
              <w:rPr>
                <w:i/>
                <w:iCs/>
                <w:color w:val="000000"/>
                <w:highlight w:val="white"/>
              </w:rPr>
              <w:t xml:space="preserve"> H</w:t>
            </w:r>
            <w:r>
              <w:rPr>
                <w:i/>
                <w:iCs/>
                <w:color w:val="000000"/>
                <w:highlight w:val="white"/>
              </w:rPr>
              <w:t xml:space="preserve">ư</w:t>
            </w:r>
            <w:r>
              <w:rPr>
                <w:i/>
                <w:iCs/>
                <w:color w:val="000000"/>
                <w:highlight w:val="white"/>
              </w:rPr>
              <w:t xml:space="preserve">ng, Thành phố Hà Nội</w:t>
            </w:r>
            <w:r>
              <w:rPr>
                <w:color w:val="000000"/>
                <w:highlight w:val="white"/>
              </w:rPr>
              <w:t xml:space="preserve">).</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Diện tích (m²):</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highlight w:val="white"/>
              </w:rPr>
              <w:t xml:space="preserve">75,1</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Hình thức sử dụng:</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highlight w:val="white"/>
              </w:rPr>
              <w:t xml:space="preserve">Sử dụng riêng</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Mục đích sử dụng:</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Đất ở tại đô thị</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Thời hạn sử dụng:</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t xml:space="preserve">Lâu dài</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Nguồn gốc sử dụng đất:</w:t>
            </w:r>
            <w:r>
              <w:rPr>
                <w:color w:val="000000"/>
                <w:highlight w:val="white"/>
              </w:rPr>
            </w:r>
            <w:r>
              <w:rPr>
                <w:color w:val="000000"/>
                <w:highlight w:val="white"/>
              </w:rPr>
            </w:r>
          </w:p>
        </w:tc>
        <w:tc>
          <w:tcPr>
            <w:gridSpan w:val="3"/>
            <w:tcBorders/>
            <w:tcW w:w="6259" w:type="dxa"/>
            <w:vAlign w:val="center"/>
            <w:textDirection w:val="lrTb"/>
            <w:noWrap w:val="false"/>
          </w:tcPr>
          <w:p>
            <w:pPr>
              <w:pBdr/>
              <w:spacing/>
              <w:ind/>
              <w:jc w:val="both"/>
              <w:rPr>
                <w:color w:val="000000"/>
                <w:highlight w:val="white"/>
              </w:rPr>
            </w:pPr>
            <w:r>
              <w:rPr>
                <w:color w:val="000000"/>
                <w:highlight w:val="white"/>
              </w:rPr>
              <w:t xml:space="preserve">Nhận thừa kế và được tặng cho đất được Nhà nước giao đất có thu tiền sử dụng đất.</w:t>
            </w:r>
            <w:r>
              <w:rPr>
                <w:color w:val="000000"/>
                <w:highlight w:val="white"/>
              </w:rPr>
            </w:r>
            <w:r>
              <w:rPr>
                <w:color w:val="000000"/>
                <w:highlight w:val="white"/>
              </w:rPr>
            </w:r>
          </w:p>
        </w:tc>
      </w:tr>
      <w:tr>
        <w:trPr>
          <w:trHeight w:val="303"/>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Thông tin quy hoạch:</w:t>
            </w:r>
            <w:r>
              <w:rPr>
                <w:color w:val="000000"/>
                <w:highlight w:val="white"/>
              </w:rPr>
            </w:r>
            <w:r>
              <w:rPr>
                <w:color w:val="000000"/>
                <w:highlight w:val="white"/>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color w:val="000000" w:themeColor="text1"/>
              </w:rPr>
            </w:pP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rPr>
              <w:t xml:space="preserve">định vị trí tài sản thuộc quy hoạch đất ở. </w:t>
            </w:r>
            <w:r>
              <w:rPr>
                <w:color w:val="000000" w:themeColor="text1"/>
              </w:rPr>
            </w:r>
            <w:r>
              <w:rPr>
                <w:color w:val="000000" w:themeColor="text1"/>
              </w:rPr>
            </w:r>
          </w:p>
          <w:p>
            <w:pPr>
              <w:pBdr/>
              <w:spacing/>
              <w:ind/>
              <w:jc w:val="both"/>
              <w:rPr>
                <w:color w:val="000000"/>
                <w:highlight w:val="white"/>
              </w:rPr>
            </w:pPr>
            <w:r>
              <w:rPr>
                <w:color w:val="000000"/>
                <w:highlight w:val="white"/>
              </w:rPr>
            </w:r>
            <w:r>
              <w:rPr>
                <w:highlight w:val="white"/>
              </w:rPr>
              <mc:AlternateContent>
                <mc:Choice Requires="wpg">
                  <w:drawing>
                    <wp:inline xmlns:wp="http://schemas.openxmlformats.org/drawingml/2006/wordprocessingDrawing" distT="0" distB="0" distL="0" distR="0">
                      <wp:extent cx="4241416" cy="214576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685023" name=""/>
                              <pic:cNvPicPr>
                                <a:picLocks noChangeAspect="1"/>
                              </pic:cNvPicPr>
                              <pic:nvPr/>
                            </pic:nvPicPr>
                            <pic:blipFill rotWithShape="1">
                              <a:blip r:embed="rId17"/>
                              <a:stretch/>
                            </pic:blipFill>
                            <pic:spPr bwMode="auto">
                              <a:xfrm flipH="0" flipV="0">
                                <a:off x="0" y="0"/>
                                <a:ext cx="4241416" cy="21457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33.97pt;height:168.96pt;mso-wrap-distance-left:0.00pt;mso-wrap-distance-top:0.00pt;mso-wrap-distance-right:0.00pt;mso-wrap-distance-bottom:0.00pt;z-index:1;" stroked="false">
                      <v:imagedata r:id="rId17" o:title=""/>
                      <o:lock v:ext="edit" rotation="t"/>
                    </v:shape>
                  </w:pict>
                </mc:Fallback>
              </mc:AlternateConten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2.</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Về đất:</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2.1</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Vị trí; Giao thông:</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Đường tiếp giáp chính:</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highlight w:val="white"/>
              </w:rPr>
            </w:r>
            <w:r>
              <w:rPr>
                <w:color w:val="000000"/>
                <w:highlight w:val="white"/>
              </w:rPr>
              <w:t xml:space="preserve">Đ</w:t>
            </w:r>
            <w:r>
              <w:rPr>
                <w:color w:val="000000"/>
                <w:highlight w:val="white"/>
              </w:rPr>
              <w:t xml:space="preserve">ư</w:t>
            </w:r>
            <w:r>
              <w:rPr>
                <w:color w:val="000000"/>
                <w:highlight w:val="white"/>
              </w:rPr>
              <w:t xml:space="preserve">ờng</w:t>
            </w:r>
            <w:r>
              <w:rPr>
                <w:color w:val="000000"/>
                <w:highlight w:val="white"/>
              </w:rPr>
              <w:t xml:space="preserve"> nh</w:t>
            </w:r>
            <w:r>
              <w:rPr>
                <w:color w:val="000000"/>
                <w:highlight w:val="white"/>
              </w:rPr>
              <w:t xml:space="preserve">ựa</w:t>
            </w:r>
            <w:r>
              <w:rPr>
                <w:color w:val="000000"/>
                <w:highlight w:val="none"/>
              </w:rPr>
              <w:t xml:space="preserve"> c</w:t>
            </w:r>
            <w:r>
              <w:rPr>
                <w:color w:val="000000"/>
                <w:highlight w:val="none"/>
              </w:rPr>
              <w:t xml:space="preserve">ó</w:t>
            </w:r>
            <w:r>
              <w:rPr>
                <w:color w:val="000000"/>
                <w:highlight w:val="none"/>
              </w:rPr>
              <w:t xml:space="preserve"> v</w:t>
            </w:r>
            <w:r>
              <w:rPr>
                <w:color w:val="000000"/>
                <w:highlight w:val="none"/>
              </w:rPr>
              <w:t xml:space="preserve">ỉa</w:t>
            </w:r>
            <w:r>
              <w:rPr>
                <w:color w:val="000000"/>
                <w:highlight w:val="none"/>
              </w:rPr>
              <w:t xml:space="preserve"> h</w:t>
            </w:r>
            <w:r>
              <w:rPr>
                <w:color w:val="000000"/>
                <w:highlight w:val="none"/>
              </w:rPr>
              <w:t xml:space="preserve">è</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Số mặt tiền:</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highlight w:val="white"/>
              </w:rPr>
              <w:t xml:space="preserve">Tiếp giáp 01 mặt tiền</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jc w:val="both"/>
              <w:rPr>
                <w:color w:val="000000"/>
                <w:highlight w:val="white"/>
              </w:rPr>
            </w:pPr>
            <w:r>
              <w:rPr>
                <w:color w:val="000000"/>
                <w:highlight w:val="white"/>
              </w:rPr>
              <w:t xml:space="preserve">Mặt cắt đường/ngõ nhỏ nhất từ đường chính dẫn đến tài sản thẩm định giá</w:t>
            </w:r>
            <w:r>
              <w:rPr>
                <w:color w:val="000000"/>
                <w:highlight w:val="white"/>
              </w:rPr>
              <w:t xml:space="preserve"> (m)</w:t>
            </w:r>
            <w:r>
              <w:rPr>
                <w:color w:val="000000"/>
                <w:highlight w:val="white"/>
              </w:rPr>
              <w:t xml:space="preserve">:</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none"/>
              </w:rPr>
              <w:t xml:space="preserve">5,</w:t>
            </w:r>
            <w:r>
              <w:rPr>
                <w:color w:val="000000" w:themeColor="text1"/>
                <w:highlight w:val="none"/>
              </w:rPr>
              <w:t xml:space="preserve">5</w:t>
            </w:r>
            <w:r>
              <w:rPr>
                <w:color w:val="000000"/>
                <w:highlight w:val="white"/>
              </w:rPr>
            </w:r>
            <w:r>
              <w:rPr>
                <w:color w:val="000000"/>
                <w:highlight w:val="white"/>
              </w:rPr>
            </w:r>
          </w:p>
        </w:tc>
        <w:tc>
          <w:tcPr>
            <w:tcBorders/>
            <w:tcW w:w="2126" w:type="dxa"/>
            <w:vAlign w:val="center"/>
            <w:textDirection w:val="lrTb"/>
            <w:noWrap w:val="false"/>
          </w:tcPr>
          <w:p>
            <w:pPr>
              <w:pBdr/>
              <w:spacing/>
              <w:ind/>
              <w:jc w:val="both"/>
              <w:rPr>
                <w:color w:val="000000"/>
                <w:highlight w:val="white"/>
              </w:rPr>
            </w:pPr>
            <w:r>
              <w:rPr>
                <w:color w:val="000000"/>
                <w:highlight w:val="white"/>
              </w:rPr>
              <w:t xml:space="preserve">Mặt cắt đường/ngõ trước mặt tài sản thẩm định giá</w:t>
            </w:r>
            <w:r>
              <w:rPr>
                <w:color w:val="000000"/>
                <w:highlight w:val="white"/>
              </w:rPr>
              <w:t xml:space="preserve"> (m)</w:t>
            </w:r>
            <w:r>
              <w:rPr>
                <w:color w:val="000000"/>
                <w:highlight w:val="white"/>
              </w:rPr>
              <w:t xml:space="preserve">:</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t xml:space="preserve">6,0</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Khoảng cách đến trục đường chính</w:t>
            </w:r>
            <w:r>
              <w:rPr>
                <w:color w:val="000000"/>
                <w:highlight w:val="white"/>
              </w:rPr>
              <w:t xml:space="preserve"> (m)</w:t>
            </w:r>
            <w:r>
              <w:rPr>
                <w:color w:val="000000"/>
                <w:highlight w:val="white"/>
              </w:rPr>
              <w:t xml:space="preserve">:</w:t>
            </w:r>
            <w:r>
              <w:rPr>
                <w:color w:val="000000"/>
                <w:highlight w:val="white"/>
              </w:rPr>
            </w:r>
            <w:r>
              <w:rPr>
                <w:color w:val="000000"/>
                <w:highlight w:val="white"/>
              </w:rPr>
            </w:r>
          </w:p>
        </w:tc>
        <w:tc>
          <w:tcPr>
            <w:gridSpan w:val="3"/>
            <w:tcBorders/>
            <w:tcW w:w="6259" w:type="dxa"/>
            <w:vAlign w:val="center"/>
            <w:textDirection w:val="lrTb"/>
            <w:noWrap w:val="false"/>
          </w:tcPr>
          <w:p>
            <w:pPr>
              <w:pBdr/>
              <w:spacing/>
              <w:ind/>
              <w:jc w:val="both"/>
              <w:rPr>
                <w:color w:val="000000"/>
                <w:highlight w:val="white"/>
              </w:rPr>
            </w:pPr>
            <w:r>
              <w:rPr>
                <w:color w:val="000000" w:themeColor="text1"/>
                <w:highlight w:val="none"/>
              </w:rPr>
              <w:t xml:space="preserve">T</w:t>
            </w:r>
            <w:r>
              <w:rPr>
                <w:color w:val="000000" w:themeColor="text1"/>
                <w:highlight w:val="none"/>
              </w:rPr>
              <w:t xml:space="preserve">ài</w:t>
            </w:r>
            <w:r>
              <w:rPr>
                <w:color w:val="000000" w:themeColor="text1"/>
                <w:highlight w:val="none"/>
              </w:rPr>
              <w:t xml:space="preserve"> s</w:t>
            </w:r>
            <w:r>
              <w:rPr>
                <w:color w:val="000000" w:themeColor="text1"/>
                <w:highlight w:val="none"/>
              </w:rPr>
              <w:t xml:space="preserve">ản</w:t>
            </w:r>
            <w:r>
              <w:rPr>
                <w:color w:val="000000" w:themeColor="text1"/>
                <w:highlight w:val="none"/>
              </w:rPr>
              <w:t xml:space="preserve"> n</w:t>
            </w:r>
            <w:r>
              <w:rPr>
                <w:color w:val="000000" w:themeColor="text1"/>
                <w:highlight w:val="none"/>
              </w:rPr>
              <w:t xml:space="preserve">ằ</w:t>
            </w:r>
            <w:r>
              <w:rPr>
                <w:color w:val="000000" w:themeColor="text1"/>
                <w:highlight w:val="none"/>
              </w:rPr>
              <w:t xml:space="preserve">m </w:t>
            </w:r>
            <w:r>
              <w:rPr>
                <w:color w:val="000000"/>
                <w:highlight w:val="none"/>
              </w:rPr>
              <w:t xml:space="preserve">tại </w:t>
            </w:r>
            <w:r>
              <w:rPr>
                <w:color w:val="000000"/>
                <w:highlight w:val="none"/>
              </w:rPr>
              <w:t xml:space="preserve">ngõ </w:t>
            </w:r>
            <w:r>
              <w:rPr>
                <w:color w:val="000000"/>
                <w:highlight w:val="none"/>
              </w:rPr>
              <w:t xml:space="preserve">87 </w:t>
            </w:r>
            <w:r>
              <w:rPr>
                <w:color w:val="000000"/>
                <w:highlight w:val="none"/>
              </w:rPr>
              <w:t xml:space="preserve">Đức </w:t>
            </w:r>
            <w:r>
              <w:rPr>
                <w:color w:val="000000"/>
                <w:highlight w:val="none"/>
              </w:rPr>
              <w:t xml:space="preserve">Giang, </w:t>
            </w:r>
            <w:r>
              <w:rPr>
                <w:color w:val="000000"/>
                <w:highlight w:val="none"/>
              </w:rPr>
              <w:t xml:space="preserve">và </w:t>
            </w:r>
            <w:r>
              <w:rPr>
                <w:color w:val="000000"/>
                <w:highlight w:val="none"/>
              </w:rPr>
              <w:t xml:space="preserve">cách </w:t>
            </w:r>
            <w:r>
              <w:rPr>
                <w:color w:val="000000"/>
                <w:highlight w:val="none"/>
              </w:rPr>
              <w:t xml:space="preserve">ngõ </w:t>
            </w:r>
            <w:r>
              <w:rPr>
                <w:color w:val="000000"/>
                <w:highlight w:val="none"/>
              </w:rPr>
              <w:t xml:space="preserve">81 </w:t>
            </w:r>
            <w:r>
              <w:rPr>
                <w:color w:val="000000"/>
                <w:highlight w:val="none"/>
              </w:rPr>
              <w:t xml:space="preserve">Đức </w:t>
            </w:r>
            <w:r>
              <w:rPr>
                <w:color w:val="000000"/>
                <w:highlight w:val="none"/>
              </w:rPr>
              <w:t xml:space="preserve">Giang </w:t>
            </w:r>
            <w:r>
              <w:rPr>
                <w:color w:val="000000"/>
                <w:highlight w:val="none"/>
              </w:rPr>
              <w:t xml:space="preserve">170m.</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Các hướng tiếp giáp: </w:t>
            </w:r>
            <w:r>
              <w:rPr>
                <w:color w:val="000000"/>
                <w:highlight w:val="white"/>
              </w:rPr>
            </w:r>
            <w:r>
              <w:rPr>
                <w:color w:val="000000"/>
                <w:highlight w:val="white"/>
              </w:rPr>
            </w:r>
          </w:p>
        </w:tc>
        <w:tc>
          <w:tcPr>
            <w:gridSpan w:val="3"/>
            <w:tcBorders/>
            <w:tcW w:w="6259" w:type="dxa"/>
            <w:vAlign w:val="center"/>
            <w:textDirection w:val="lrTb"/>
            <w:noWrap w:val="false"/>
          </w:tcPr>
          <w:p>
            <w:pPr>
              <w:pBdr/>
              <w:spacing/>
              <w:ind/>
              <w:jc w:val="both"/>
              <w:rPr>
                <w:color w:val="000000" w:themeColor="text1"/>
                <w:highlight w:val="none"/>
              </w:rPr>
            </w:pPr>
            <w:r>
              <w:rPr>
                <w:color w:val="000000" w:themeColor="text1"/>
                <w:highlight w:val="none"/>
              </w:rPr>
              <w:t xml:space="preserve">+ Hướng Đông Nam: Ti</w:t>
            </w:r>
            <w:r>
              <w:rPr>
                <w:color w:val="000000" w:themeColor="text1"/>
                <w:highlight w:val="white"/>
              </w:rPr>
              <w:t xml:space="preserve">ếp</w:t>
            </w:r>
            <w:r>
              <w:rPr>
                <w:color w:val="000000" w:themeColor="text1"/>
                <w:highlight w:val="none"/>
              </w:rPr>
              <w:t xml:space="preserve"> gi</w:t>
            </w:r>
            <w:r>
              <w:rPr>
                <w:color w:val="000000" w:themeColor="text1"/>
                <w:highlight w:val="none"/>
              </w:rPr>
              <w:t xml:space="preserve">áp</w:t>
            </w:r>
            <w:r>
              <w:rPr>
                <w:color w:val="000000" w:themeColor="text1"/>
                <w:highlight w:val="none"/>
              </w:rPr>
              <w:t xml:space="preserve"> </w:t>
            </w:r>
            <w:r>
              <w:rPr>
                <w:color w:val="000000" w:themeColor="text1"/>
                <w:highlight w:val="none"/>
              </w:rPr>
              <w:t xml:space="preserve">đ</w:t>
            </w:r>
            <w:r>
              <w:rPr>
                <w:color w:val="000000" w:themeColor="text1"/>
                <w:highlight w:val="white"/>
              </w:rPr>
              <w:t xml:space="preserve">ư</w:t>
            </w:r>
            <w:r>
              <w:rPr>
                <w:color w:val="000000" w:themeColor="text1"/>
                <w:highlight w:val="white"/>
              </w:rPr>
              <w:t xml:space="preserve">ờng</w:t>
            </w:r>
            <w:r>
              <w:rPr>
                <w:color w:val="000000" w:themeColor="text1"/>
                <w:highlight w:val="white"/>
              </w:rPr>
              <w:t xml:space="preserve"> nh</w:t>
            </w:r>
            <w:r>
              <w:rPr>
                <w:color w:val="000000" w:themeColor="text1"/>
                <w:highlight w:val="white"/>
              </w:rPr>
              <w:t xml:space="preserve">ựa</w:t>
            </w:r>
            <w:r>
              <w:rPr>
                <w:color w:val="000000" w:themeColor="text1"/>
                <w:highlight w:val="none"/>
              </w:rPr>
              <w:t xml:space="preserve"> c</w:t>
            </w:r>
            <w:r>
              <w:rPr>
                <w:color w:val="000000" w:themeColor="text1"/>
                <w:highlight w:val="none"/>
              </w:rPr>
              <w:t xml:space="preserve">ó</w:t>
            </w:r>
            <w:r>
              <w:rPr>
                <w:color w:val="000000" w:themeColor="text1"/>
                <w:highlight w:val="none"/>
              </w:rPr>
              <w:t xml:space="preserve"> v</w:t>
            </w:r>
            <w:r>
              <w:rPr>
                <w:color w:val="000000" w:themeColor="text1"/>
                <w:highlight w:val="none"/>
              </w:rPr>
              <w:t xml:space="preserve">ỉa</w:t>
            </w:r>
            <w:r>
              <w:rPr>
                <w:color w:val="000000" w:themeColor="text1"/>
                <w:highlight w:val="none"/>
              </w:rPr>
              <w:t xml:space="preserve"> h</w:t>
            </w:r>
            <w:r>
              <w:rPr>
                <w:color w:val="000000" w:themeColor="text1"/>
                <w:highlight w:val="none"/>
              </w:rPr>
              <w:t xml:space="preserve">è</w:t>
            </w:r>
            <w:r>
              <w:rPr>
                <w:color w:val="000000" w:themeColor="text1"/>
                <w:highlight w:val="none"/>
              </w:rPr>
              <w:t xml:space="preserve"> r</w:t>
            </w:r>
            <w:r>
              <w:rPr>
                <w:color w:val="000000" w:themeColor="text1"/>
                <w:highlight w:val="white"/>
              </w:rPr>
              <w:t xml:space="preserve">ộng</w:t>
            </w:r>
            <w:r>
              <w:rPr>
                <w:color w:val="000000" w:themeColor="text1"/>
                <w:highlight w:val="none"/>
              </w:rPr>
              <w:t xml:space="preserve"> kho</w:t>
            </w:r>
            <w:r>
              <w:rPr>
                <w:color w:val="000000" w:themeColor="text1"/>
                <w:highlight w:val="none"/>
              </w:rPr>
              <w:t xml:space="preserve">ảng</w:t>
            </w:r>
            <w:r>
              <w:rPr>
                <w:color w:val="000000" w:themeColor="text1"/>
                <w:highlight w:val="none"/>
              </w:rPr>
              <w:t xml:space="preserve"> 6m;</w:t>
            </w:r>
            <w:r>
              <w:rPr>
                <w:color w:val="000000" w:themeColor="text1"/>
                <w:highlight w:val="none"/>
              </w:rPr>
            </w:r>
            <w:r>
              <w:rPr>
                <w:color w:val="000000" w:themeColor="text1"/>
                <w:highlight w:val="none"/>
              </w:rPr>
            </w:r>
          </w:p>
          <w:p>
            <w:pPr>
              <w:pBdr/>
              <w:spacing/>
              <w:ind/>
              <w:rPr>
                <w:color w:val="000000" w:themeColor="text1"/>
                <w:highlight w:val="white"/>
              </w:rPr>
            </w:pPr>
            <w:r>
              <w:rPr>
                <w:color w:val="000000" w:themeColor="text1"/>
                <w:highlight w:val="none"/>
              </w:rPr>
              <w:t xml:space="preserve">+ Các hướng còn lại:</w:t>
            </w:r>
            <w:r>
              <w:rPr>
                <w:color w:val="000000" w:themeColor="text1"/>
                <w:highlight w:val="none"/>
              </w:rPr>
              <w:t xml:space="preserve">Tiếp </w:t>
            </w:r>
            <w:r>
              <w:rPr>
                <w:color w:val="000000" w:themeColor="text1"/>
                <w:highlight w:val="none"/>
              </w:rPr>
              <w:t xml:space="preserve">giáp </w:t>
            </w:r>
            <w:r>
              <w:rPr>
                <w:color w:val="000000" w:themeColor="text1"/>
                <w:highlight w:val="none"/>
              </w:rPr>
              <w:t xml:space="preserve">với </w:t>
            </w:r>
            <w:r>
              <w:rPr>
                <w:color w:val="000000" w:themeColor="text1"/>
                <w:highlight w:val="none"/>
              </w:rPr>
              <w:t xml:space="preserve">các </w:t>
            </w:r>
            <w:r>
              <w:rPr>
                <w:color w:val="000000" w:themeColor="text1"/>
                <w:highlight w:val="none"/>
              </w:rPr>
              <w:t xml:space="preserve">thửa </w:t>
            </w:r>
            <w:r>
              <w:rPr>
                <w:color w:val="000000" w:themeColor="text1"/>
                <w:highlight w:val="none"/>
              </w:rPr>
              <w:t xml:space="preserve">đất </w:t>
            </w:r>
            <w:r>
              <w:rPr>
                <w:color w:val="000000" w:themeColor="text1"/>
                <w:highlight w:val="none"/>
              </w:rPr>
              <w:t xml:space="preserve">khác.</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gridSpan w:val="4"/>
            <w:tcBorders/>
            <w:tcW w:w="87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60" w:line="298" w:lineRule="atLeast"/>
              <w:ind w:right="0" w:firstLine="0" w:left="0"/>
              <w:rPr/>
            </w:pPr>
            <w:r>
              <w:rPr>
                <w:color w:val="000000"/>
                <w:highlight w:val="white"/>
              </w:rPr>
              <w:t xml:space="preserve">Vị trí trên bản đồ vệ tinh: </w:t>
            </w:r>
            <w:r>
              <w:rPr>
                <w:rFonts w:ascii="Times New Roman" w:hAnsi="Times New Roman" w:eastAsia="Times New Roman" w:cs="Times New Roman"/>
                <w:color w:val="000000" w:themeColor="text1"/>
                <w:sz w:val="22"/>
                <w:szCs w:val="22"/>
                <w:highlight w:val="white"/>
              </w:rPr>
              <w:t xml:space="preserve">(</w:t>
            </w:r>
            <w:r>
              <w:rPr>
                <w:rFonts w:ascii="Times New Roman" w:hAnsi="Times New Roman" w:eastAsia="Times New Roman" w:cs="Times New Roman"/>
                <w:color w:val="000000" w:themeColor="text1"/>
                <w:spacing w:val="1"/>
                <w:sz w:val="22"/>
                <w:szCs w:val="22"/>
              </w:rPr>
              <w:t xml:space="preserve">21.068855, 105.888607</w:t>
            </w:r>
            <w:r>
              <w:rPr>
                <w:rFonts w:ascii="Times New Roman" w:hAnsi="Times New Roman" w:eastAsia="Times New Roman" w:cs="Times New Roman"/>
                <w:color w:val="000000" w:themeColor="text1"/>
                <w:sz w:val="22"/>
                <w:szCs w:val="22"/>
                <w:highlight w:val="white"/>
              </w:rPr>
              <w:t xml:space="preserve">)</w:t>
            </w:r>
            <w:r>
              <w:rPr>
                <w:rFonts w:ascii="Arial" w:hAnsi="Arial" w:eastAsia="Arial" w:cs="Arial"/>
                <w:sz w:val="21"/>
              </w:rPr>
            </w: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gridSpan w:val="4"/>
            <w:tcBorders/>
            <w:tcW w:w="8781" w:type="dxa"/>
            <w:vAlign w:val="center"/>
            <w:textDirection w:val="lrTb"/>
            <w:noWrap w:val="false"/>
          </w:tcPr>
          <w:p>
            <w:pPr>
              <w:pBdr/>
              <w:spacing/>
              <w:ind/>
              <w:jc w:val="center"/>
              <w:rPr>
                <w:color w:val="000000"/>
                <w:highlight w:val="white"/>
              </w:rPr>
            </w:pPr>
            <w:r>
              <w:rPr>
                <w:color w:val="000000"/>
                <w:highlight w:val="white"/>
              </w:rPr>
            </w:r>
            <w:r>
              <w:rPr>
                <w:color w:val="000000"/>
                <w:highlight w:val="white"/>
              </w:rPr>
              <mc:AlternateContent>
                <mc:Choice Requires="wpg">
                  <w:drawing>
                    <wp:inline xmlns:wp="http://schemas.openxmlformats.org/drawingml/2006/wordprocessingDrawing" distT="0" distB="0" distL="0" distR="0">
                      <wp:extent cx="5358393"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1914764998" name="" descr=""/>
                              <pic:cNvPicPr/>
                              <pic:nvPr/>
                            </pic:nvPicPr>
                            <pic:blipFill rotWithShape="1">
                              <a:blip r:embed="rId18"/>
                              <a:stretch/>
                            </pic:blipFill>
                            <pic:spPr bwMode="auto">
                              <a:xfrm flipH="0" flipV="0">
                                <a:off x="0" y="0"/>
                                <a:ext cx="5358393"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21.92pt;height:200.00pt;mso-wrap-distance-left:0.00pt;mso-wrap-distance-top:0.00pt;mso-wrap-distance-right:0.00pt;mso-wrap-distance-bottom:0.00pt;z-index:1;" stroked="false">
                      <v:imagedata r:id="rId18" o:title=""/>
                      <o:lock v:ext="edit" rotation="t"/>
                    </v:shape>
                  </w:pict>
                </mc:Fallback>
              </mc:AlternateConten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2.2.</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Diện tích; Kích thước; Hình dáng</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Diện tích sử dụng riêng thực tế (m²):</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75,1</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Diện tích sử dụng chung thực tế (m²):</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none"/>
              </w:rPr>
              <w:t xml:space="preserve">-</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Mặt tiền (m):</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3,85</w:t>
            </w:r>
            <w:r>
              <w:rPr>
                <w:color w:val="000000"/>
                <w:highlight w:val="white"/>
              </w:rPr>
            </w:r>
            <w:r>
              <w:rPr>
                <w:color w:val="000000"/>
                <w:highlight w:val="white"/>
              </w:rPr>
            </w:r>
          </w:p>
        </w:tc>
        <w:tc>
          <w:tcPr>
            <w:tcBorders/>
            <w:tcW w:w="2126" w:type="dxa"/>
            <w:vAlign w:val="center"/>
            <w:textDirection w:val="lrTb"/>
            <w:noWrap w:val="false"/>
          </w:tcPr>
          <w:p>
            <w:pPr>
              <w:pBdr/>
              <w:spacing/>
              <w:ind/>
              <w:rPr>
                <w:highlight w:val="white"/>
              </w:rPr>
            </w:pPr>
            <w:r>
              <w:rPr>
                <w:highlight w:val="white"/>
              </w:rPr>
              <w:t xml:space="preserve">Chiều sâu (m): </w:t>
            </w:r>
            <w:r>
              <w:rPr>
                <w:highlight w:val="white"/>
              </w:rPr>
            </w:r>
            <w:r>
              <w:rPr>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none"/>
              </w:rPr>
              <w:t xml:space="preserve">1</w:t>
            </w:r>
            <w:r>
              <w:rPr>
                <w:color w:val="000000" w:themeColor="text1"/>
                <w:highlight w:val="white"/>
              </w:rPr>
              <w:t xml:space="preserve">9,5</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Hình dáng:</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highlight w:val="white"/>
              </w:rPr>
              <w:t xml:space="preserve">Hình chữ nhật</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Hướng:</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t xml:space="preserve">Đông Nam</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2.3.</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Điều kiện kinh doanh; Hạ tầng nội bộ; Hạ tầng xung quanh</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Hạ tầng nội bộ:</w:t>
            </w:r>
            <w:r>
              <w:rPr>
                <w:color w:val="000000"/>
                <w:highlight w:val="white"/>
              </w:rPr>
            </w:r>
            <w:r>
              <w:rPr>
                <w:color w:val="000000"/>
                <w:highlight w:val="white"/>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Hạ tầng xung quanh:</w:t>
            </w:r>
            <w:r>
              <w:rPr>
                <w:color w:val="000000"/>
                <w:highlight w:val="white"/>
              </w:rPr>
            </w:r>
            <w:r>
              <w:rPr>
                <w:color w:val="000000"/>
                <w:highlight w:val="white"/>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Mật độ dân cư:</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highlight w:val="white"/>
              </w:rPr>
              <w:t xml:space="preserve">Cao</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Đời sống dân cư:</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highlight w:val="none"/>
              </w:rPr>
              <w:t xml:space="preserve">Ổn </w:t>
            </w:r>
            <w:r>
              <w:rPr>
                <w:color w:val="000000"/>
                <w:highlight w:val="none"/>
              </w:rPr>
              <w:t xml:space="preserve">định</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Lợi thế kinh doanh:</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Không có lợi thế kinh doanh</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Khả năng chuyển nhượng:</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none"/>
              </w:rPr>
              <w:t xml:space="preserve">T</w:t>
            </w:r>
            <w:r>
              <w:rPr>
                <w:color w:val="000000"/>
                <w:highlight w:val="white"/>
              </w:rPr>
              <w:t xml:space="preserve">ốt</w:t>
            </w:r>
            <w:r>
              <w:rPr>
                <w:color w:val="000000"/>
                <w:highlight w:val="white"/>
              </w:rPr>
            </w:r>
            <w:r>
              <w:rPr>
                <w:color w:val="000000"/>
                <w:highlight w:val="white"/>
              </w:rPr>
            </w:r>
          </w:p>
        </w:tc>
      </w:tr>
      <w:tr>
        <w:trPr>
          <w:trHeight w:val="225"/>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3.</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Tài sản gắn liền với đất: </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ff0000"/>
                <w:highlight w:val="white"/>
              </w:rPr>
            </w:pPr>
            <w:r>
              <w:rPr>
                <w:color w:val="ff0000"/>
                <w:highlight w:val="white"/>
              </w:rPr>
              <w:t xml:space="preserve"> </w:t>
            </w:r>
            <w:r>
              <w:rPr>
                <w:color w:val="ff0000"/>
                <w:highlight w:val="white"/>
              </w:rPr>
            </w:r>
            <w:r>
              <w:rPr>
                <w:color w:val="ff0000"/>
                <w:highlight w:val="white"/>
              </w:rPr>
            </w:r>
          </w:p>
        </w:tc>
        <w:tc>
          <w:tcPr>
            <w:gridSpan w:val="4"/>
            <w:tcBorders/>
            <w:tcW w:w="8781" w:type="dxa"/>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pacing w:val="3"/>
                <w:sz w:val="23"/>
                <w:szCs w:val="23"/>
                <w:highlight w:val="none"/>
              </w:rPr>
            </w:pPr>
            <w:r>
              <w:rPr>
                <w:rFonts w:ascii="Times New Roman" w:hAnsi="Times New Roman" w:eastAsia="Times New Roman" w:cs="Times New Roman"/>
                <w:color w:val="000000"/>
                <w:sz w:val="24"/>
              </w:rPr>
              <w:t xml:space="preserve">+ Theo GCN, trên bất động sản là ngôi nhà cấp 4 (DTS = 18m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 Tuy nhiên, tại thời điểm khảo sát, trên bất động sản là ngôi </w:t>
            </w:r>
            <w:r>
              <w:rPr>
                <w:rFonts w:ascii="Times New Roman" w:hAnsi="Times New Roman" w:eastAsia="Times New Roman" w:cs="Times New Roman"/>
                <w:color w:val="000000"/>
                <w:spacing w:val="3"/>
                <w:sz w:val="23"/>
                <w:highlight w:val="white"/>
              </w:rPr>
              <w:t xml:space="preserve">nhà 02 tầng + 01 l</w:t>
            </w:r>
            <w:r>
              <w:rPr>
                <w:rFonts w:ascii="Times New Roman" w:hAnsi="Times New Roman" w:eastAsia="Times New Roman" w:cs="Times New Roman"/>
                <w:color w:val="000000"/>
                <w:spacing w:val="3"/>
                <w:sz w:val="23"/>
                <w:highlight w:val="white"/>
              </w:rPr>
              <w:t xml:space="preserve">ửng</w:t>
            </w:r>
            <w:r>
              <w:rPr>
                <w:rFonts w:ascii="Times New Roman" w:hAnsi="Times New Roman" w:eastAsia="Times New Roman" w:cs="Times New Roman"/>
                <w:color w:val="000000"/>
                <w:spacing w:val="3"/>
                <w:sz w:val="23"/>
                <w:highlight w:val="white"/>
              </w:rPr>
              <w:t xml:space="preserve">, diện tích xây dựng tầng 1 là 75,1m</w:t>
            </w:r>
            <w:r>
              <w:rPr>
                <w:rFonts w:ascii="Times New Roman" w:hAnsi="Times New Roman" w:eastAsia="Times New Roman" w:cs="Times New Roman"/>
                <w:color w:val="000000"/>
                <w:spacing w:val="3"/>
                <w:sz w:val="19"/>
                <w:highlight w:val="white"/>
                <w:vertAlign w:val="superscript"/>
              </w:rPr>
              <w:t xml:space="preserve">2</w:t>
            </w:r>
            <w:r>
              <w:rPr>
                <w:rFonts w:ascii="Times New Roman" w:hAnsi="Times New Roman" w:eastAsia="Times New Roman" w:cs="Times New Roman"/>
                <w:color w:val="000000"/>
                <w:spacing w:val="3"/>
                <w:sz w:val="23"/>
                <w:highlight w:val="white"/>
              </w:rPr>
              <w:t xml:space="preserve">. CTXD </w:t>
            </w:r>
            <w:r>
              <w:rPr>
                <w:rFonts w:ascii="Times New Roman" w:hAnsi="Times New Roman" w:eastAsia="Times New Roman" w:cs="Times New Roman"/>
                <w:color w:val="000000"/>
                <w:spacing w:val="3"/>
                <w:sz w:val="23"/>
                <w:highlight w:val="none"/>
              </w:rPr>
              <w:t xml:space="preserve">ho</w:t>
            </w:r>
            <w:r>
              <w:rPr>
                <w:rFonts w:ascii="Times New Roman" w:hAnsi="Times New Roman" w:eastAsia="Times New Roman" w:cs="Times New Roman"/>
                <w:color w:val="000000"/>
                <w:spacing w:val="3"/>
                <w:sz w:val="23"/>
                <w:highlight w:val="none"/>
              </w:rPr>
              <w:t xml:space="preserve">àn</w:t>
            </w:r>
            <w:r>
              <w:rPr>
                <w:rFonts w:ascii="Times New Roman" w:hAnsi="Times New Roman" w:eastAsia="Times New Roman" w:cs="Times New Roman"/>
                <w:color w:val="000000"/>
                <w:spacing w:val="3"/>
                <w:sz w:val="23"/>
                <w:highlight w:val="none"/>
              </w:rPr>
              <w:t xml:space="preserve"> thi</w:t>
            </w:r>
            <w:r>
              <w:rPr>
                <w:rFonts w:ascii="Times New Roman" w:hAnsi="Times New Roman" w:eastAsia="Times New Roman" w:cs="Times New Roman"/>
                <w:color w:val="000000"/>
                <w:spacing w:val="3"/>
                <w:sz w:val="23"/>
                <w:highlight w:val="none"/>
              </w:rPr>
              <w:t xml:space="preserve">ện</w:t>
            </w:r>
            <w:r>
              <w:rPr>
                <w:rFonts w:ascii="Times New Roman" w:hAnsi="Times New Roman" w:eastAsia="Times New Roman" w:cs="Times New Roman"/>
                <w:color w:val="000000"/>
                <w:spacing w:val="3"/>
                <w:sz w:val="23"/>
                <w:highlight w:val="none"/>
              </w:rPr>
              <w:t xml:space="preserve"> n</w:t>
            </w:r>
            <w:r>
              <w:rPr>
                <w:rFonts w:ascii="Times New Roman" w:hAnsi="Times New Roman" w:eastAsia="Times New Roman" w:cs="Times New Roman"/>
                <w:color w:val="000000"/>
                <w:spacing w:val="3"/>
                <w:sz w:val="23"/>
                <w:highlight w:val="none"/>
              </w:rPr>
              <w:t xml:space="preserve">ă</w:t>
            </w:r>
            <w:r>
              <w:rPr>
                <w:rFonts w:ascii="Times New Roman" w:hAnsi="Times New Roman" w:eastAsia="Times New Roman" w:cs="Times New Roman"/>
                <w:color w:val="000000"/>
                <w:spacing w:val="3"/>
                <w:sz w:val="23"/>
                <w:highlight w:val="none"/>
              </w:rPr>
              <w:t xml:space="preserve">m 1997.</w:t>
            </w:r>
            <w:r>
              <w:rPr>
                <w:rFonts w:ascii="Times New Roman" w:hAnsi="Times New Roman" w:eastAsia="Times New Roman" w:cs="Times New Roman"/>
                <w:color w:val="000000"/>
                <w:spacing w:val="3"/>
                <w:sz w:val="23"/>
                <w:szCs w:val="23"/>
                <w:highlight w:val="none"/>
              </w:rPr>
            </w:r>
            <w:r>
              <w:rPr>
                <w:rFonts w:ascii="Times New Roman" w:hAnsi="Times New Roman" w:eastAsia="Times New Roman" w:cs="Times New Roman"/>
                <w:color w:val="000000"/>
                <w:spacing w:val="3"/>
                <w:sz w:val="23"/>
                <w:szCs w:val="23"/>
                <w:highlight w:val="none"/>
              </w:rP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val="0"/>
                <w:bCs w:val="0"/>
                <w:color w:val="000000"/>
                <w:spacing w:val="3"/>
                <w:sz w:val="23"/>
                <w:highlight w:val="none"/>
              </w:rPr>
              <w:t xml:space="preserve">+ CTXD trên chưa được cập nhật trên </w:t>
            </w:r>
            <w:r>
              <w:rPr>
                <w:b w:val="0"/>
                <w:bCs w:val="0"/>
              </w:rPr>
              <w:t xml:space="preserve">GCN </w:t>
            </w:r>
            <w:r>
              <w:rPr>
                <w:rFonts w:ascii="Times New Roman" w:hAnsi="Times New Roman" w:eastAsia="Times New Roman" w:cs="Times New Roman"/>
                <w:b w:val="0"/>
                <w:bCs w:val="0"/>
                <w:color w:val="000000"/>
                <w:spacing w:val="3"/>
                <w:sz w:val="23"/>
                <w:highlight w:val="white"/>
              </w:rPr>
              <w:t xml:space="preserve">QSDĐ</w:t>
            </w:r>
            <w:r>
              <w:rPr>
                <w:rFonts w:ascii="Times New Roman" w:hAnsi="Times New Roman" w:eastAsia="Times New Roman" w:cs="Times New Roman"/>
                <w:b w:val="0"/>
                <w:bCs w:val="0"/>
                <w:color w:val="000000"/>
                <w:spacing w:val="3"/>
                <w:sz w:val="23"/>
                <w:highlight w:val="white"/>
              </w:rPr>
              <w:t xml:space="preserve"> </w:t>
            </w:r>
            <w:r>
              <w:rPr>
                <w:rFonts w:ascii="Times New Roman" w:hAnsi="Times New Roman" w:eastAsia="Times New Roman" w:cs="Times New Roman"/>
                <w:b w:val="0"/>
                <w:bCs w:val="0"/>
                <w:color w:val="000000"/>
                <w:spacing w:val="3"/>
                <w:sz w:val="23"/>
                <w:highlight w:val="white"/>
              </w:rPr>
              <w:t xml:space="preserve">số</w:t>
            </w:r>
            <w:r>
              <w:rPr>
                <w:b w:val="0"/>
                <w:bCs w:val="0"/>
              </w:rPr>
              <w:t xml:space="preserve">: </w:t>
            </w:r>
            <w:r>
              <w:rPr>
                <w:b w:val="0"/>
                <w:bCs w:val="0"/>
                <w:color w:val="000000"/>
              </w:rPr>
              <w:t xml:space="preserve">DO 685643</w:t>
            </w:r>
            <w:r>
              <w:rPr>
                <w:b w:val="0"/>
                <w:bCs w:val="0"/>
                <w:color w:val="000000"/>
              </w:rPr>
              <w:t xml:space="preserve">.</w:t>
            </w:r>
            <w:r>
              <w:rPr>
                <w:b w:val="0"/>
                <w:bCs w:val="0"/>
                <w:color w:val="000000"/>
              </w:rPr>
              <w:t xml:space="preserve"> </w:t>
            </w:r>
            <w:r/>
          </w:p>
        </w:tc>
      </w:tr>
    </w:tbl>
    <w:p>
      <w:pPr>
        <w:pBdr/>
        <w:spacing/>
        <w:ind/>
        <w:rPr>
          <w:b/>
          <w:bCs/>
        </w:rPr>
      </w:pPr>
      <w:r>
        <w:rPr>
          <w:b/>
          <w:bCs/>
        </w:rPr>
      </w:r>
      <w:r>
        <w:rPr>
          <w:b/>
          <w:bCs/>
        </w:rPr>
      </w:r>
      <w:r>
        <w:rPr>
          <w:b/>
          <w:bCs/>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6"/>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numPr>
          <w:ilvl w:val="0"/>
          <w:numId w:val="42"/>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3"/>
          <w:sz w:val="23"/>
          <w:highlight w:val="none"/>
        </w:rPr>
        <w:t xml:space="preserve">Theo GCN, trên bất động sản là ngôi nhà c</w:t>
      </w:r>
      <w:r>
        <w:rPr>
          <w:rFonts w:ascii="Times New Roman" w:hAnsi="Times New Roman" w:eastAsia="Times New Roman" w:cs="Times New Roman"/>
          <w:color w:val="000000"/>
          <w:spacing w:val="3"/>
          <w:sz w:val="23"/>
          <w:highlight w:val="none"/>
        </w:rPr>
        <w:t xml:space="preserve">ấp</w:t>
      </w:r>
      <w:r>
        <w:rPr>
          <w:rFonts w:ascii="Times New Roman" w:hAnsi="Times New Roman" w:eastAsia="Times New Roman" w:cs="Times New Roman"/>
          <w:color w:val="000000"/>
          <w:spacing w:val="3"/>
          <w:sz w:val="23"/>
          <w:highlight w:val="none"/>
        </w:rPr>
        <w:t xml:space="preserve"> 4 (DTS = 18m</w:t>
      </w:r>
      <w:r>
        <w:rPr>
          <w:rFonts w:ascii="Times New Roman" w:hAnsi="Times New Roman" w:eastAsia="Times New Roman" w:cs="Times New Roman"/>
          <w:color w:val="000000"/>
          <w:spacing w:val="3"/>
          <w:sz w:val="23"/>
          <w:highlight w:val="none"/>
          <w:vertAlign w:val="superscript"/>
        </w:rPr>
        <w:t xml:space="preserve">2</w:t>
      </w:r>
      <w:r>
        <w:rPr>
          <w:rFonts w:ascii="Times New Roman" w:hAnsi="Times New Roman" w:eastAsia="Times New Roman" w:cs="Times New Roman"/>
          <w:color w:val="000000"/>
          <w:spacing w:val="3"/>
          <w:sz w:val="23"/>
          <w:highlight w:val="none"/>
        </w:rPr>
        <w:t xml:space="preserve">). Tuy nhiên, </w:t>
      </w:r>
      <w:r>
        <w:rPr>
          <w:rFonts w:ascii="Times New Roman" w:hAnsi="Times New Roman" w:eastAsia="Times New Roman" w:cs="Times New Roman"/>
          <w:color w:val="000000"/>
          <w:spacing w:val="3"/>
          <w:sz w:val="23"/>
          <w:highlight w:val="none"/>
        </w:rPr>
        <w:t xml:space="preserve">t</w:t>
      </w:r>
      <w:r>
        <w:rPr>
          <w:rFonts w:ascii="Times New Roman" w:hAnsi="Times New Roman" w:eastAsia="Times New Roman" w:cs="Times New Roman"/>
          <w:color w:val="000000"/>
          <w:spacing w:val="3"/>
          <w:sz w:val="23"/>
          <w:highlight w:val="white"/>
        </w:rPr>
        <w:t xml:space="preserve">ại thời điểm khảo sát, Tổ thẩm định xác nhận trên đất có CTXD nhà 02 tầng + 01 l</w:t>
      </w:r>
      <w:r>
        <w:rPr>
          <w:rFonts w:ascii="Times New Roman" w:hAnsi="Times New Roman" w:eastAsia="Times New Roman" w:cs="Times New Roman"/>
          <w:color w:val="000000"/>
          <w:spacing w:val="3"/>
          <w:sz w:val="23"/>
          <w:highlight w:val="white"/>
        </w:rPr>
        <w:t xml:space="preserve">ửng</w:t>
      </w:r>
      <w:r>
        <w:rPr>
          <w:rFonts w:ascii="Times New Roman" w:hAnsi="Times New Roman" w:eastAsia="Times New Roman" w:cs="Times New Roman"/>
          <w:color w:val="000000"/>
          <w:spacing w:val="3"/>
          <w:sz w:val="23"/>
          <w:highlight w:val="white"/>
        </w:rPr>
        <w:t xml:space="preserve">, diện tích xây dựng tầng 1 khoảng 75,1 m</w:t>
      </w:r>
      <w:r>
        <w:rPr>
          <w:rFonts w:ascii="Times New Roman" w:hAnsi="Times New Roman" w:eastAsia="Times New Roman" w:cs="Times New Roman"/>
          <w:color w:val="000000"/>
          <w:spacing w:val="3"/>
          <w:sz w:val="19"/>
          <w:highlight w:val="white"/>
          <w:vertAlign w:val="superscript"/>
        </w:rPr>
        <w:t xml:space="preserve">2</w:t>
      </w:r>
      <w:r>
        <w:rPr>
          <w:rFonts w:ascii="Times New Roman" w:hAnsi="Times New Roman" w:eastAsia="Times New Roman" w:cs="Times New Roman"/>
          <w:color w:val="000000"/>
          <w:spacing w:val="3"/>
          <w:sz w:val="23"/>
          <w:highlight w:val="white"/>
        </w:rPr>
        <w:t xml:space="preserve">. CTXD hoàn thiện n</w:t>
      </w:r>
      <w:r>
        <w:rPr>
          <w:rFonts w:ascii="Times New Roman" w:hAnsi="Times New Roman" w:eastAsia="Times New Roman" w:cs="Times New Roman"/>
          <w:color w:val="000000"/>
          <w:spacing w:val="3"/>
          <w:sz w:val="23"/>
          <w:highlight w:val="white"/>
        </w:rPr>
        <w:t xml:space="preserve">ă</w:t>
      </w:r>
      <w:r>
        <w:rPr>
          <w:rFonts w:ascii="Times New Roman" w:hAnsi="Times New Roman" w:eastAsia="Times New Roman" w:cs="Times New Roman"/>
          <w:color w:val="000000"/>
          <w:spacing w:val="3"/>
          <w:sz w:val="23"/>
          <w:highlight w:val="white"/>
        </w:rPr>
        <w:t xml:space="preserve">m 1997, công trình này chưa được cập nhật trên </w:t>
      </w:r>
      <w:r>
        <w:rPr>
          <w:rFonts w:ascii="Times New Roman" w:hAnsi="Times New Roman" w:eastAsia="Times New Roman" w:cs="Times New Roman"/>
          <w:color w:val="000000"/>
          <w:spacing w:val="3"/>
          <w:sz w:val="23"/>
          <w:highlight w:val="white"/>
        </w:rPr>
        <w:t xml:space="preserve">GCN </w:t>
      </w:r>
      <w:r>
        <w:rPr>
          <w:rFonts w:ascii="Times New Roman" w:hAnsi="Times New Roman" w:eastAsia="Times New Roman" w:cs="Times New Roman"/>
          <w:color w:val="000000"/>
          <w:spacing w:val="3"/>
          <w:sz w:val="23"/>
          <w:highlight w:val="white"/>
        </w:rPr>
        <w:t xml:space="preserve">QSDĐ</w:t>
      </w:r>
      <w:r>
        <w:rPr>
          <w:rFonts w:ascii="Times New Roman" w:hAnsi="Times New Roman" w:eastAsia="Times New Roman" w:cs="Times New Roman"/>
          <w:color w:val="000000"/>
          <w:spacing w:val="3"/>
          <w:sz w:val="23"/>
          <w:highlight w:val="white"/>
        </w:rPr>
        <w:t xml:space="preserve"> </w:t>
      </w:r>
      <w:r>
        <w:rPr>
          <w:rFonts w:ascii="Times New Roman" w:hAnsi="Times New Roman" w:eastAsia="Times New Roman" w:cs="Times New Roman"/>
          <w:color w:val="000000"/>
          <w:spacing w:val="3"/>
          <w:sz w:val="23"/>
          <w:highlight w:val="white"/>
        </w:rPr>
        <w:t xml:space="preserve">số</w:t>
      </w:r>
      <w:r>
        <w:rPr>
          <w:rFonts w:ascii="Times New Roman" w:hAnsi="Times New Roman" w:eastAsia="Times New Roman" w:cs="Times New Roman"/>
          <w:color w:val="000000"/>
          <w:spacing w:val="3"/>
          <w:sz w:val="23"/>
          <w:highlight w:val="white"/>
        </w:rPr>
        <w:t xml:space="preserve">: </w:t>
      </w:r>
      <w:r>
        <w:rPr>
          <w:b w:val="0"/>
          <w:bCs w:val="0"/>
          <w:color w:val="000000"/>
        </w:rPr>
        <w:t xml:space="preserve">DO 685643</w:t>
      </w:r>
      <w:r>
        <w:rPr>
          <w:rFonts w:ascii="Times New Roman" w:hAnsi="Times New Roman" w:eastAsia="Times New Roman" w:cs="Times New Roman"/>
          <w:color w:val="000000"/>
          <w:spacing w:val="3"/>
          <w:sz w:val="23"/>
          <w:highlight w:val="white"/>
        </w:rPr>
        <w:t xml:space="preserve">. Do vậy, theo đề nghị của Ngân hàng/Khách hàng, Tổ thẩm định không xác định giá trị công trình hiện có trên đất, nhưng vẫn coi đó là phần không thể tách rời của tải sản thẩm định. Đề nghị đơn vị sử dụng kết quả lưu ý.</w:t>
      </w:r>
      <w:r>
        <w:rPr>
          <w:spacing w:val="-2"/>
          <w:highlight w:val="none"/>
          <w:lang w:val="pt-BR"/>
        </w:rPr>
      </w:r>
      <w:r/>
    </w:p>
    <w:p>
      <w:pPr>
        <w:pStyle w:val="1036"/>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6"/>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6"/>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6"/>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6"/>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6"/>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6"/>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6"/>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6"/>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36"/>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95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w:t>
            </w:r>
            <w:r>
              <w:rPr>
                <w:color w:val="000000" w:themeColor="text1"/>
                <w:sz w:val="22"/>
                <w:szCs w:val="22"/>
              </w:rPr>
              <w:t xml:space="preserve">Việt </w:t>
            </w:r>
            <w:r>
              <w:rPr>
                <w:color w:val="000000" w:themeColor="text1"/>
                <w:sz w:val="22"/>
                <w:szCs w:val="22"/>
              </w:rPr>
              <w:t xml:space="preserve">Hưng</w:t>
            </w:r>
            <w:r>
              <w:rPr>
                <w:color w:val="000000" w:themeColor="text1"/>
                <w:sz w:val="22"/>
                <w:szCs w:val="22"/>
              </w:rPr>
              <w:t xml:space="preserve">,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Phường </w:t>
            </w:r>
            <w:r>
              <w:rPr>
                <w:color w:val="000000" w:themeColor="text1"/>
                <w:sz w:val="22"/>
                <w:szCs w:val="22"/>
              </w:rPr>
              <w:t xml:space="preserve">Việt </w:t>
            </w:r>
            <w:r>
              <w:rPr>
                <w:color w:val="000000" w:themeColor="text1"/>
                <w:sz w:val="22"/>
                <w:szCs w:val="22"/>
              </w:rPr>
              <w:t xml:space="preserve">Hưng</w:t>
            </w:r>
            <w:r>
              <w:rPr>
                <w:color w:val="000000" w:themeColor="text1"/>
                <w:sz w:val="22"/>
                <w:szCs w:val="22"/>
              </w:rPr>
              <w:t xml:space="preserve">, Thành phố Hà Nội</w:t>
            </w:r>
            <w:r>
              <w:rPr>
                <w:sz w:val="22"/>
                <w:szCs w:val="22"/>
              </w:rPr>
            </w:r>
            <w:r>
              <w:rPr>
                <w:sz w:val="22"/>
                <w:szCs w:val="22"/>
              </w:rPr>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Phường </w:t>
            </w:r>
            <w:r>
              <w:rPr>
                <w:color w:val="000000" w:themeColor="text1"/>
                <w:sz w:val="22"/>
                <w:szCs w:val="22"/>
              </w:rPr>
              <w:t xml:space="preserve">Việt </w:t>
            </w:r>
            <w:r>
              <w:rPr>
                <w:color w:val="000000" w:themeColor="text1"/>
                <w:sz w:val="22"/>
                <w:szCs w:val="22"/>
              </w:rPr>
              <w:t xml:space="preserve">Hưng</w:t>
            </w:r>
            <w:r>
              <w:rPr>
                <w:color w:val="000000" w:themeColor="text1"/>
                <w:sz w:val="22"/>
                <w:szCs w:val="22"/>
              </w:rPr>
              <w:t xml:space="preserve">, Thành phố Hà Nội</w:t>
            </w:r>
            <w:r>
              <w:rPr>
                <w:sz w:val="22"/>
                <w:szCs w:val="22"/>
              </w:rPr>
            </w:r>
            <w:r>
              <w:rPr>
                <w:sz w:val="22"/>
                <w:szCs w:val="22"/>
              </w:rPr>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Phường </w:t>
            </w:r>
            <w:r>
              <w:rPr>
                <w:color w:val="000000" w:themeColor="text1"/>
                <w:sz w:val="22"/>
                <w:szCs w:val="22"/>
              </w:rPr>
              <w:t xml:space="preserve">Việt </w:t>
            </w:r>
            <w:r>
              <w:rPr>
                <w:color w:val="000000" w:themeColor="text1"/>
                <w:sz w:val="22"/>
                <w:szCs w:val="22"/>
              </w:rPr>
              <w:t xml:space="preserve">Hưng</w:t>
            </w:r>
            <w:r>
              <w:rPr>
                <w:color w:val="000000" w:themeColor="text1"/>
                <w:sz w:val="22"/>
                <w:szCs w:val="22"/>
              </w:rPr>
              <w:t xml:space="preserve">, Thành phố Hà Nội</w:t>
            </w:r>
            <w:r>
              <w:rPr>
                <w:sz w:val="22"/>
                <w:szCs w:val="22"/>
              </w:rPr>
            </w:r>
            <w:r>
              <w:rPr>
                <w:sz w:val="22"/>
                <w:szCs w:val="22"/>
              </w:rPr>
            </w:r>
            <w:r>
              <w:rPr>
                <w:sz w:val="22"/>
                <w:szCs w:val="22"/>
              </w:rPr>
            </w:r>
            <w:r/>
          </w:p>
        </w:tc>
      </w:tr>
      <w:tr>
        <w:trPr>
          <w:trHeight w:val="220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https://www.facebook.com/share/p/1H4XzMnUPQ/</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https://guland.vn/post/duc-gianglong-bien-nha-moi-o-ngay-gara-o-to-thang-may-dt40m2-gia-11-ty-1271371#</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0961.29.6116</w:t>
            </w:r>
            <w:r>
              <w:rPr>
                <w:sz w:val="22"/>
                <w:szCs w:val="22"/>
              </w:rPr>
              <w:t xml:space="preserve"> </w:t>
            </w:r>
            <w:r>
              <w:rPr>
                <w:sz w:val="22"/>
                <w:szCs w:val="22"/>
              </w:rPr>
              <w:br/>
              <w:t xml:space="preserve">(</w:t>
            </w:r>
            <w:r>
              <w:rPr>
                <w:sz w:val="22"/>
                <w:szCs w:val="22"/>
              </w:rPr>
              <w:t xml:space="preserve">Minh Đức Germany</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0338.659286</w:t>
            </w:r>
            <w:r>
              <w:rPr>
                <w:sz w:val="22"/>
                <w:szCs w:val="22"/>
              </w:rPr>
              <w:br/>
            </w:r>
            <w:r>
              <w:rPr>
                <w:sz w:val="22"/>
                <w:szCs w:val="22"/>
              </w:rPr>
              <w:t xml:space="preserve">(</w:t>
            </w:r>
            <w:r>
              <w:rPr>
                <w:sz w:val="22"/>
                <w:szCs w:val="22"/>
              </w:rPr>
              <w:t xml:space="preserve">Hn Đức Trọng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0961.296116</w:t>
            </w:r>
            <w:r>
              <w:rPr>
                <w:sz w:val="22"/>
                <w:szCs w:val="22"/>
              </w:rPr>
              <w:br/>
            </w:r>
            <w:r>
              <w:rPr>
                <w:sz w:val="22"/>
                <w:szCs w:val="22"/>
              </w:rPr>
              <w:t xml:space="preserve">(</w:t>
            </w:r>
            <w:r>
              <w:rPr>
                <w:sz w:val="22"/>
                <w:szCs w:val="22"/>
              </w:rPr>
              <w:t xml:space="preserve">Minh Đức Germany</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Tình trạng giao dịch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ff0000"/>
                <w:sz w:val="22"/>
                <w:szCs w:val="22"/>
              </w:rPr>
              <w:t xml:space="preserve"> </w:t>
            </w:r>
            <w:r>
              <w:rPr>
                <w:color w:val="ff0000"/>
                <w:sz w:val="22"/>
                <w:szCs w:val="22"/>
              </w:rPr>
            </w:r>
            <w:r>
              <w:rPr>
                <w:color w:val="ff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color w:val="ff0000"/>
                <w:sz w:val="22"/>
                <w:szCs w:val="22"/>
              </w:rPr>
              <w:t xml:space="preserve"> </w:t>
            </w:r>
            <w:r>
              <w:rPr>
                <w:color w:val="ff0000"/>
                <w:sz w:val="22"/>
                <w:szCs w:val="22"/>
              </w:rPr>
            </w:r>
            <w:r>
              <w:rPr>
                <w:color w:val="ff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color w:val="ff0000"/>
                <w:sz w:val="22"/>
                <w:szCs w:val="22"/>
              </w:rPr>
              <w:t xml:space="preserve"> </w:t>
            </w:r>
            <w:r>
              <w:rPr>
                <w:color w:val="ff0000"/>
                <w:sz w:val="22"/>
                <w:szCs w:val="22"/>
              </w:rPr>
              <w:t xml:space="preserve"> </w:t>
            </w:r>
            <w:r>
              <w:rPr>
                <w:color w:val="ff0000"/>
                <w:sz w:val="22"/>
                <w:szCs w:val="22"/>
              </w:rPr>
            </w:r>
            <w:r>
              <w:rPr>
                <w:color w:val="ff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color w:val="ff0000"/>
                <w:sz w:val="22"/>
                <w:szCs w:val="22"/>
              </w:rPr>
              <w:t xml:space="preserve"> </w:t>
            </w:r>
            <w:r>
              <w:rPr>
                <w:color w:val="ff0000"/>
                <w:sz w:val="22"/>
                <w:szCs w:val="22"/>
              </w:rPr>
              <w:t xml:space="preserve"> </w:t>
            </w:r>
            <w:r>
              <w:rPr>
                <w:color w:val="ff0000"/>
                <w:sz w:val="22"/>
                <w:szCs w:val="22"/>
              </w:rPr>
            </w:r>
            <w:r>
              <w:rPr>
                <w:color w:val="ff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w:t>
            </w:r>
            <w:r>
              <w:rPr>
                <w:color w:val="000000" w:themeColor="text1"/>
                <w:sz w:val="22"/>
                <w:szCs w:val="22"/>
              </w:rPr>
              <w:t xml:space="preserve">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w:t>
            </w:r>
            <w:r>
              <w:rPr>
                <w:color w:val="000000" w:themeColor="text1"/>
                <w:sz w:val="22"/>
                <w:szCs w:val="22"/>
              </w:rPr>
              <w:t xml:space="preserve">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w:t>
            </w:r>
            <w:r>
              <w:rPr>
                <w:color w:val="000000" w:themeColor="text1"/>
                <w:sz w:val="22"/>
                <w:szCs w:val="22"/>
              </w:rPr>
              <w:t xml:space="preserve">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w:t>
            </w:r>
            <w:r>
              <w:rPr>
                <w:color w:val="000000" w:themeColor="text1"/>
                <w:sz w:val="22"/>
                <w:szCs w:val="22"/>
              </w:rPr>
              <w:t xml:space="preserve">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w:t>
            </w:r>
            <w:r>
              <w:rPr>
                <w:color w:val="000000" w:themeColor="text1"/>
                <w:sz w:val="22"/>
                <w:szCs w:val="22"/>
              </w:rPr>
              <w:t xml:space="preserve">Vi</w:t>
            </w:r>
            <w:r>
              <w:rPr>
                <w:color w:val="000000" w:themeColor="text1"/>
                <w:sz w:val="22"/>
                <w:szCs w:val="22"/>
              </w:rPr>
              <w:t xml:space="preserve">ệt</w:t>
            </w:r>
            <w:r>
              <w:rPr>
                <w:color w:val="000000" w:themeColor="text1"/>
                <w:sz w:val="22"/>
                <w:szCs w:val="22"/>
              </w:rPr>
              <w:t xml:space="preserve"> </w:t>
            </w:r>
            <w:r>
              <w:rPr>
                <w:color w:val="000000" w:themeColor="text1"/>
                <w:sz w:val="22"/>
                <w:szCs w:val="22"/>
              </w:rPr>
              <w:t xml:space="preserve">H</w:t>
            </w:r>
            <w:r>
              <w:rPr>
                <w:color w:val="000000" w:themeColor="text1"/>
                <w:sz w:val="22"/>
                <w:szCs w:val="22"/>
              </w:rPr>
              <w:t xml:space="preserve">ư</w:t>
            </w:r>
            <w:r>
              <w:rPr>
                <w:color w:val="000000" w:themeColor="text1"/>
                <w:sz w:val="22"/>
                <w:szCs w:val="22"/>
              </w:rPr>
              <w:t xml:space="preserve">ng</w:t>
            </w:r>
            <w:r>
              <w:rPr>
                <w:color w:val="000000" w:themeColor="text1"/>
                <w:sz w:val="22"/>
                <w:szCs w:val="22"/>
              </w:rPr>
            </w:r>
            <w:r>
              <w:rPr>
                <w:color w:val="000000" w:themeColor="text1"/>
                <w:sz w:val="22"/>
                <w:szCs w:val="22"/>
              </w:rPr>
              <w:t xml:space="preserve">, Thành phố Hà Nội, </w:t>
            </w:r>
            <w:r>
              <w:rPr>
                <w:color w:val="000000" w:themeColor="text1"/>
                <w:sz w:val="22"/>
                <w:szCs w:val="22"/>
              </w:rPr>
              <w:t xml:space="preserve">cách</w:t>
            </w:r>
            <w:r>
              <w:rPr>
                <w:color w:val="000000" w:themeColor="text1"/>
                <w:sz w:val="22"/>
                <w:szCs w:val="22"/>
              </w:rPr>
              <w:t xml:space="preserve"> đường Nam Đuống 450mm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Ngõ 210 P. Đức Giang, Phường </w:t>
            </w:r>
            <w:r>
              <w:rPr>
                <w:color w:val="000000" w:themeColor="text1"/>
                <w:sz w:val="22"/>
                <w:szCs w:val="22"/>
              </w:rPr>
              <w:t xml:space="preserve">Việt </w:t>
            </w:r>
            <w:r>
              <w:rPr>
                <w:color w:val="000000" w:themeColor="text1"/>
                <w:sz w:val="22"/>
                <w:szCs w:val="22"/>
              </w:rPr>
              <w:t xml:space="preserve">Hưng</w:t>
            </w:r>
            <w:r>
              <w:rPr>
                <w:color w:val="000000" w:themeColor="text1"/>
                <w:sz w:val="22"/>
                <w:szCs w:val="22"/>
              </w:rPr>
              <w:t xml:space="preserve">, Thành phố Hà Nội,  </w:t>
            </w:r>
            <w:r>
              <w:rPr>
                <w:color w:val="000000" w:themeColor="text1"/>
                <w:sz w:val="22"/>
                <w:szCs w:val="22"/>
              </w:rPr>
              <w:t xml:space="preserve">c</w:t>
            </w:r>
            <w:r>
              <w:rPr>
                <w:color w:val="000000" w:themeColor="text1"/>
                <w:sz w:val="22"/>
                <w:szCs w:val="22"/>
              </w:rPr>
              <w:t xml:space="preserve">ách đường Nam Đuống 500mm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Ngõ 210 P. Đức Giang, Phường </w:t>
            </w:r>
            <w:r>
              <w:rPr>
                <w:color w:val="000000" w:themeColor="text1"/>
                <w:sz w:val="22"/>
                <w:szCs w:val="22"/>
              </w:rPr>
              <w:t xml:space="preserve">Việt </w:t>
            </w:r>
            <w:r>
              <w:rPr>
                <w:color w:val="000000" w:themeColor="text1"/>
                <w:sz w:val="22"/>
                <w:szCs w:val="22"/>
              </w:rPr>
              <w:t xml:space="preserve">Hưng</w:t>
            </w:r>
            <w:r>
              <w:rPr>
                <w:color w:val="000000" w:themeColor="text1"/>
                <w:sz w:val="22"/>
                <w:szCs w:val="22"/>
              </w:rPr>
              <w:t xml:space="preserve">, Thành phố Hà Nội, </w:t>
            </w:r>
            <w:r>
              <w:rPr>
                <w:color w:val="000000" w:themeColor="text1"/>
                <w:sz w:val="22"/>
                <w:szCs w:val="22"/>
              </w:rPr>
              <w:t xml:space="preserve">c</w:t>
            </w:r>
            <w:r>
              <w:rPr>
                <w:color w:val="000000" w:themeColor="text1"/>
                <w:sz w:val="22"/>
                <w:szCs w:val="22"/>
              </w:rPr>
              <w:t xml:space="preserve">ách đường Nam Đuống 600m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Ngõ 97 P. Đức Giang, Phường </w:t>
            </w:r>
            <w:r>
              <w:rPr>
                <w:color w:val="000000" w:themeColor="text1"/>
                <w:sz w:val="22"/>
                <w:szCs w:val="22"/>
              </w:rPr>
              <w:t xml:space="preserve">Việt </w:t>
            </w:r>
            <w:r>
              <w:rPr>
                <w:color w:val="000000" w:themeColor="text1"/>
                <w:sz w:val="22"/>
                <w:szCs w:val="22"/>
              </w:rPr>
              <w:t xml:space="preserve">Hưng</w:t>
            </w:r>
            <w:r>
              <w:rPr>
                <w:color w:val="000000" w:themeColor="text1"/>
                <w:sz w:val="22"/>
                <w:szCs w:val="22"/>
              </w:rPr>
              <w:t xml:space="preserve">, Thành phố Hà Nội cách đường Lý Sơn 200m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5,</w:t>
            </w: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20,0</w:t>
            </w:r>
            <w:r>
              <w:rPr>
                <w:color w:val="000000"/>
                <w:sz w:val="22"/>
                <w:szCs w:val="22"/>
              </w:rPr>
            </w:r>
            <w:r>
              <w:rPr>
                <w:color w:val="000000"/>
                <w:sz w:val="22"/>
                <w:szCs w:val="22"/>
              </w:rPr>
            </w:r>
          </w:p>
        </w:tc>
      </w:tr>
      <w:tr>
        <w:trPr>
          <w:trHeight w:val="45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47,9</w:t>
            </w:r>
            <w:r>
              <w:rPr>
                <w:color w:val="000000"/>
                <w:sz w:val="22"/>
                <w:szCs w:val="22"/>
              </w:rPr>
            </w:r>
            <w:r>
              <w:rPr>
                <w:color w:val="000000"/>
                <w:sz w:val="22"/>
                <w:szCs w:val="22"/>
              </w:rPr>
            </w:r>
          </w:p>
        </w:tc>
      </w:tr>
      <w:tr>
        <w:trPr>
          <w:trHeight w:val="4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3,6</w:t>
            </w:r>
            <w:r>
              <w:rPr>
                <w:color w:val="000000"/>
                <w:sz w:val="22"/>
                <w:szCs w:val="22"/>
              </w:rPr>
            </w:r>
            <w:r>
              <w:rPr>
                <w:color w:val="000000"/>
                <w:sz w:val="22"/>
                <w:szCs w:val="22"/>
              </w:rPr>
            </w:r>
          </w:p>
        </w:tc>
      </w:tr>
      <w:tr>
        <w:trPr>
          <w:trHeight w:val="27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19,5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10,81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13,31</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283"/>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rPr>
                <w:rFonts w:ascii="Times New Roman" w:hAnsi="Times New Roman" w:eastAsia="Times New Roman" w:cs="Times New Roman"/>
                <w:color w:val="000000"/>
                <w:sz w:val="22"/>
              </w:rPr>
              <w:t xml:space="preserve">7</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Tài sản trên đất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Nhà 0</w:t>
            </w:r>
            <w:r>
              <w:rPr>
                <w:rFonts w:ascii="Times New Roman" w:hAnsi="Times New Roman" w:eastAsia="Times New Roman" w:cs="Times New Roman"/>
                <w:color w:val="000000"/>
                <w:sz w:val="22"/>
              </w:rPr>
              <w:t xml:space="preserve">6 </w:t>
            </w:r>
            <w:r>
              <w:rPr>
                <w:rFonts w:ascii="Times New Roman" w:hAnsi="Times New Roman" w:eastAsia="Times New Roman" w:cs="Times New Roman"/>
                <w:color w:val="000000"/>
                <w:sz w:val="22"/>
              </w:rPr>
              <w:t xml:space="preserve">tầng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Nhà 0</w:t>
            </w:r>
            <w:r>
              <w:rPr>
                <w:rFonts w:ascii="Times New Roman" w:hAnsi="Times New Roman" w:eastAsia="Times New Roman" w:cs="Times New Roman"/>
                <w:color w:val="000000"/>
                <w:sz w:val="22"/>
              </w:rPr>
              <w:t xml:space="preserve">6 </w:t>
            </w:r>
            <w:r>
              <w:rPr>
                <w:rFonts w:ascii="Times New Roman" w:hAnsi="Times New Roman" w:eastAsia="Times New Roman" w:cs="Times New Roman"/>
                <w:color w:val="000000"/>
                <w:sz w:val="22"/>
              </w:rPr>
              <w:t xml:space="preserve">tầng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Nhà 0</w:t>
            </w:r>
            <w:r>
              <w:rPr>
                <w:rFonts w:ascii="Times New Roman" w:hAnsi="Times New Roman" w:eastAsia="Times New Roman" w:cs="Times New Roman"/>
                <w:color w:val="000000"/>
                <w:sz w:val="22"/>
              </w:rPr>
              <w:t xml:space="preserve">4 </w:t>
            </w:r>
            <w:r>
              <w:rPr>
                <w:rFonts w:ascii="Times New Roman" w:hAnsi="Times New Roman" w:eastAsia="Times New Roman" w:cs="Times New Roman"/>
                <w:color w:val="000000"/>
                <w:sz w:val="22"/>
              </w:rPr>
              <w:t xml:space="preserve">tầng</w:t>
            </w:r>
            <w:r/>
          </w:p>
        </w:tc>
      </w:tr>
      <w:tr>
        <w:trPr>
          <w:trHeight w:val="288"/>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Số tầng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06</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06</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04</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sàn sử dụng (m²)</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210,0</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240,0</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191,6</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11.600.000.000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16.000.000.000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10.440.000.000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9.900.000.000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14.400.000.000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b/>
                <w:bCs/>
                <w:i/>
              </w:rPr>
            </w:pPr>
            <w:r>
              <w:rPr>
                <w:rFonts w:ascii="Times New Roman" w:hAnsi="Times New Roman" w:eastAsia="Times New Roman" w:cs="Times New Roman"/>
                <w:b/>
                <w:bCs/>
                <w:i/>
                <w:iCs/>
                <w:color w:val="000000"/>
                <w:sz w:val="22"/>
              </w:rPr>
              <w:t xml:space="preserve">1.824.070.080</w:t>
            </w:r>
            <w:r>
              <w:rPr>
                <w:b/>
                <w:bCs/>
                <w:i/>
              </w:rPr>
            </w:r>
            <w:r>
              <w:rPr>
                <w:b/>
                <w:bCs/>
                <w:i/>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b/>
                <w:bCs/>
                <w:i/>
              </w:rPr>
            </w:pPr>
            <w:r>
              <w:rPr>
                <w:rFonts w:ascii="Times New Roman" w:hAnsi="Times New Roman" w:eastAsia="Times New Roman" w:cs="Times New Roman"/>
                <w:b/>
                <w:bCs/>
                <w:i/>
                <w:iCs/>
                <w:color w:val="000000"/>
                <w:sz w:val="22"/>
              </w:rPr>
              <w:t xml:space="preserve">2.084.651.520</w:t>
            </w:r>
            <w:r>
              <w:rPr>
                <w:b/>
                <w:bCs/>
                <w:i/>
              </w:rPr>
            </w:r>
            <w:r>
              <w:rPr>
                <w:b/>
                <w:bCs/>
                <w:i/>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b/>
                <w:bCs/>
                <w:i/>
              </w:rPr>
            </w:pPr>
            <w:r>
              <w:rPr>
                <w:rFonts w:ascii="Times New Roman" w:hAnsi="Times New Roman" w:eastAsia="Times New Roman" w:cs="Times New Roman"/>
                <w:b/>
                <w:bCs/>
                <w:i/>
                <w:iCs/>
                <w:color w:val="000000"/>
                <w:sz w:val="22"/>
              </w:rPr>
              <w:t xml:space="preserve">1.497.822.117</w:t>
            </w:r>
            <w:r>
              <w:rPr>
                <w:b/>
                <w:bCs/>
                <w:i/>
              </w:rPr>
            </w:r>
            <w:r>
              <w:rPr>
                <w:b/>
                <w:bCs/>
                <w:i/>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Cs/>
                <w:i/>
                <w:color w:val="000000"/>
                <w:sz w:val="22"/>
                <w:szCs w:val="22"/>
              </w:rPr>
            </w:pPr>
            <w:r>
              <w:rPr>
                <w:i/>
                <w:iCs/>
                <w:color w:val="000000"/>
                <w:sz w:val="22"/>
                <w:szCs w:val="22"/>
              </w:rPr>
              <w:t xml:space="preserve">-</w:t>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Cs/>
                <w:i/>
                <w:color w:val="000000"/>
                <w:sz w:val="22"/>
                <w:szCs w:val="22"/>
              </w:rPr>
            </w:pPr>
            <w:r>
              <w:rPr>
                <w:i/>
                <w:iCs/>
                <w:color w:val="000000"/>
                <w:sz w:val="22"/>
                <w:szCs w:val="22"/>
              </w:rPr>
              <w:t xml:space="preserve">Đơn giá xây dựng theo Quyết định số 4</w:t>
            </w:r>
            <w:r>
              <w:rPr>
                <w:i/>
                <w:iCs/>
                <w:color w:val="000000"/>
                <w:sz w:val="22"/>
                <w:szCs w:val="22"/>
              </w:rPr>
              <w:t xml:space="preserve">2</w:t>
            </w:r>
            <w:r>
              <w:rPr>
                <w:i/>
                <w:iCs/>
                <w:color w:val="000000"/>
                <w:sz w:val="22"/>
                <w:szCs w:val="22"/>
              </w:rPr>
              <w:t xml:space="preserve">5</w:t>
            </w:r>
            <w:r>
              <w:rPr>
                <w:i/>
                <w:iCs/>
                <w:color w:val="000000"/>
                <w:sz w:val="22"/>
                <w:szCs w:val="22"/>
              </w:rPr>
              <w:t xml:space="preserve">/QĐ-BXD ngày </w:t>
            </w:r>
            <w:r>
              <w:rPr>
                <w:i/>
                <w:iCs/>
                <w:color w:val="000000"/>
                <w:sz w:val="22"/>
                <w:szCs w:val="22"/>
              </w:rPr>
              <w:t xml:space="preserve">30</w:t>
            </w:r>
            <w:r>
              <w:rPr>
                <w:i/>
                <w:iCs/>
                <w:color w:val="000000"/>
                <w:sz w:val="22"/>
                <w:szCs w:val="22"/>
              </w:rPr>
              <w:t xml:space="preserve">/</w:t>
            </w:r>
            <w:r>
              <w:rPr>
                <w:i/>
                <w:iCs/>
                <w:color w:val="000000"/>
                <w:sz w:val="22"/>
                <w:szCs w:val="22"/>
              </w:rPr>
              <w:t xml:space="preserve">6</w:t>
            </w:r>
            <w:r>
              <w:rPr>
                <w:i/>
                <w:iCs/>
                <w:color w:val="000000"/>
                <w:sz w:val="22"/>
                <w:szCs w:val="22"/>
              </w:rPr>
              <w:t xml:space="preserve">/202</w:t>
            </w:r>
            <w:r>
              <w:rPr>
                <w:i/>
                <w:iCs/>
                <w:color w:val="000000"/>
                <w:sz w:val="22"/>
                <w:szCs w:val="22"/>
              </w:rPr>
              <w:t xml:space="preserve">6</w:t>
            </w:r>
            <w:r>
              <w:rPr>
                <w:i/>
                <w:iCs/>
                <w:color w:val="000000"/>
                <w:sz w:val="22"/>
                <w:szCs w:val="22"/>
              </w:rPr>
              <w:t xml:space="preserve"> của Bộ Xây Dựng (đồng/m²)</w:t>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sz w:val="22"/>
                <w:szCs w:val="22"/>
              </w:rPr>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8.686.048</w:t>
            </w:r>
            <w:r>
              <w:rPr>
                <w:bCs/>
                <w:i/>
              </w:rPr>
            </w:r>
            <w:r>
              <w:rPr>
                <w:bCs/>
                <w:i/>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8.686.048</w:t>
            </w:r>
            <w:r>
              <w:rPr>
                <w:bCs/>
                <w:i/>
              </w:rPr>
            </w:r>
            <w:r>
              <w:rPr>
                <w:bCs/>
                <w:i/>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bCs/>
                <w:i/>
              </w:rPr>
            </w:pPr>
            <w:r>
              <w:rPr>
                <w:rFonts w:ascii="Times New Roman" w:hAnsi="Times New Roman" w:eastAsia="Times New Roman" w:cs="Times New Roman"/>
                <w:i/>
                <w:iCs/>
                <w:color w:val="000000"/>
                <w:sz w:val="22"/>
              </w:rPr>
              <w:t xml:space="preserve">8.686.048</w:t>
            </w:r>
            <w:r>
              <w:rPr>
                <w:bCs/>
                <w:i/>
              </w:rPr>
            </w:r>
            <w:r>
              <w:rPr>
                <w:bCs/>
                <w:i/>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Cs/>
                <w:i/>
                <w:color w:val="000000"/>
                <w:sz w:val="22"/>
                <w:szCs w:val="22"/>
              </w:rPr>
            </w:pPr>
            <w:r>
              <w:rPr>
                <w:i/>
                <w:iCs/>
                <w:color w:val="000000"/>
                <w:sz w:val="22"/>
                <w:szCs w:val="22"/>
              </w:rPr>
              <w:t xml:space="preserve">-</w:t>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Cs/>
                <w:i/>
                <w:color w:val="000000"/>
                <w:sz w:val="22"/>
                <w:szCs w:val="22"/>
              </w:rPr>
            </w:pPr>
            <w:r>
              <w:rPr>
                <w:i/>
                <w:iCs/>
                <w:color w:val="000000"/>
                <w:sz w:val="22"/>
                <w:szCs w:val="22"/>
              </w:rPr>
              <w:t xml:space="preserve"> Tỷ lệ % CLCL </w:t>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100</w:t>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100</w:t>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90</w:t>
            </w:r>
            <w:r>
              <w:rPr>
                <w:bCs/>
                <w:i/>
                <w:color w:val="000000"/>
                <w:sz w:val="22"/>
                <w:szCs w:val="22"/>
              </w:rPr>
            </w:r>
            <w:r>
              <w:rPr>
                <w:bCs/>
                <w:i/>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Cs/>
                <w:i/>
                <w:color w:val="000000"/>
                <w:sz w:val="22"/>
                <w:szCs w:val="22"/>
              </w:rPr>
            </w:pPr>
            <w:r>
              <w:rPr>
                <w:i/>
                <w:iCs/>
                <w:color w:val="000000"/>
                <w:sz w:val="22"/>
                <w:szCs w:val="22"/>
              </w:rPr>
              <w:t xml:space="preserve">- </w:t>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rPr>
                <w:bCs/>
                <w:i/>
                <w:color w:val="000000"/>
                <w:sz w:val="22"/>
                <w:szCs w:val="22"/>
              </w:rPr>
            </w:pPr>
            <w:r>
              <w:rPr>
                <w:i/>
                <w:iCs/>
                <w:color w:val="000000"/>
                <w:sz w:val="22"/>
                <w:szCs w:val="22"/>
              </w:rPr>
              <w:t xml:space="preserve">Tỷ lệ % hoàn thiện</w:t>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sz w:val="22"/>
                <w:szCs w:val="22"/>
              </w:rPr>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100</w:t>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100</w:t>
            </w:r>
            <w:r>
              <w:rPr>
                <w:bCs/>
                <w:i/>
                <w:color w:val="000000"/>
                <w:sz w:val="22"/>
                <w:szCs w:val="22"/>
              </w:rPr>
            </w:r>
            <w:r>
              <w:rPr>
                <w:bCs/>
                <w:i/>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sz w:val="22"/>
                <w:szCs w:val="22"/>
              </w:rPr>
            </w:pPr>
            <w:r>
              <w:rPr>
                <w:i/>
                <w:iCs/>
                <w:color w:val="000000" w:themeColor="text1"/>
                <w:sz w:val="22"/>
                <w:szCs w:val="22"/>
              </w:rPr>
              <w:t xml:space="preserve">100</w:t>
            </w:r>
            <w:r>
              <w:rPr>
                <w:bCs/>
                <w:i/>
                <w:color w:val="000000"/>
                <w:sz w:val="22"/>
                <w:szCs w:val="22"/>
              </w:rPr>
            </w:r>
            <w:r>
              <w:rPr>
                <w:bCs/>
                <w:i/>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8.615.929.920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7.815.348.480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12.902.177.883</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246.169.426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195.383.712</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269.356.532</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w:t>
            </w:r>
            <w:r>
              <w:rPr>
                <w:color w:val="000000" w:themeColor="text1"/>
                <w:sz w:val="22"/>
                <w:szCs w:val="22"/>
              </w:rPr>
              <w:t xml:space="preserve">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w:t>
            </w:r>
            <w:r>
              <w:rPr>
                <w:color w:val="000000" w:themeColor="text1"/>
                <w:sz w:val="22"/>
                <w:szCs w:val="22"/>
              </w:rPr>
              <w:t xml:space="preserve">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w:t>
            </w:r>
            <w:r>
              <w:rPr>
                <w:color w:val="000000" w:themeColor="text1"/>
                <w:sz w:val="22"/>
                <w:szCs w:val="22"/>
              </w:rPr>
              <w:t xml:space="preserve">đồng </w:t>
            </w:r>
            <w:r>
              <w:rPr>
                <w:color w:val="000000" w:themeColor="text1"/>
                <w:sz w:val="22"/>
                <w:szCs w:val="22"/>
              </w:rPr>
            </w:r>
            <w:r>
              <w:rPr>
                <w:color w:val="000000" w:themeColor="text1"/>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6"/>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667"/>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rFonts w:ascii="Times New Roman" w:hAnsi="Times New Roman" w:eastAsia="Times New Roman" w:cs="Times New Roman"/>
                <w:color w:val="000000"/>
                <w:sz w:val="22"/>
                <w:szCs w:val="22"/>
                <w14:ligatures w14:val="none"/>
              </w:rPr>
            </w:pPr>
            <w:r>
              <w:rPr>
                <w:rFonts w:ascii="Times New Roman" w:hAnsi="Times New Roman" w:eastAsia="Times New Roman" w:cs="Times New Roman"/>
                <w:color w:val="000000"/>
                <w:sz w:val="22"/>
                <w:szCs w:val="22"/>
              </w:rPr>
              <w:t xml:space="preserve">8.615.929.920</w:t>
            </w:r>
            <w:r>
              <w:rPr>
                <w:rFonts w:ascii="Times New Roman" w:hAnsi="Times New Roman" w:eastAsia="Times New Roman" w:cs="Times New Roman"/>
                <w:color w:val="000000"/>
                <w:sz w:val="22"/>
                <w:szCs w:val="22"/>
                <w14:ligatures w14:val="none"/>
              </w:rPr>
            </w:r>
            <w:r>
              <w:rPr>
                <w:rFonts w:ascii="Times New Roman" w:hAnsi="Times New Roman" w:eastAsia="Times New Roman" w:cs="Times New Roman"/>
                <w:color w:val="000000"/>
                <w:sz w:val="22"/>
                <w:szCs w:val="22"/>
                <w14:ligatures w14:val="none"/>
              </w:rPr>
            </w:r>
          </w:p>
        </w:tc>
        <w:tc>
          <w:tcPr>
            <w:shd w:val="clear" w:color="000000" w:fill="ffffff"/>
            <w:tcBorders/>
            <w:tcW w:w="1522" w:type="dxa"/>
            <w:vAlign w:val="center"/>
            <w:textDirection w:val="lrTb"/>
            <w:noWrap w:val="false"/>
          </w:tcPr>
          <w:p>
            <w:pPr>
              <w:pBdr/>
              <w:spacing w:after="0" w:before="0" w:line="240" w:lineRule="auto"/>
              <w:ind/>
              <w:jc w:val="center"/>
              <w:rPr>
                <w:rFonts w:ascii="Times New Roman" w:hAnsi="Times New Roman" w:eastAsia="Times New Roman" w:cs="Times New Roman"/>
                <w:color w:val="000000"/>
                <w:sz w:val="22"/>
                <w:szCs w:val="22"/>
                <w14:ligatures w14:val="none"/>
              </w:rPr>
            </w:pPr>
            <w:r>
              <w:rPr>
                <w:rFonts w:ascii="Times New Roman" w:hAnsi="Times New Roman" w:eastAsia="Times New Roman" w:cs="Times New Roman"/>
                <w:color w:val="000000"/>
                <w:sz w:val="22"/>
                <w:szCs w:val="22"/>
              </w:rPr>
              <w:t xml:space="preserve">7.815.348.480</w:t>
            </w:r>
            <w:r>
              <w:rPr>
                <w:rFonts w:ascii="Times New Roman" w:hAnsi="Times New Roman" w:eastAsia="Times New Roman" w:cs="Times New Roman"/>
                <w:color w:val="000000"/>
                <w:sz w:val="22"/>
                <w:szCs w:val="22"/>
                <w14:ligatures w14:val="none"/>
              </w:rPr>
            </w:r>
            <w:r>
              <w:rPr>
                <w:rFonts w:ascii="Times New Roman" w:hAnsi="Times New Roman" w:eastAsia="Times New Roman" w:cs="Times New Roman"/>
                <w:color w:val="000000"/>
                <w:sz w:val="22"/>
                <w:szCs w:val="22"/>
                <w14:ligatures w14:val="none"/>
              </w:rPr>
            </w:r>
          </w:p>
        </w:tc>
        <w:tc>
          <w:tcPr>
            <w:shd w:val="clear" w:color="000000" w:fill="ffffff"/>
            <w:tcBorders/>
            <w:tcW w:w="16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12.902.177.883</w:t>
            </w: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246.169.426</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195.383.712</w:t>
            </w:r>
            <w:r/>
          </w:p>
        </w:tc>
        <w:tc>
          <w:tcPr>
            <w:shd w:val="clear" w:color="000000" w:fill="ffffff"/>
            <w:tcBorders/>
            <w:tcW w:w="16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269.356.532</w:t>
            </w: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67"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Có Giấy chứng nhận Quyền sử dụng đất</w:t>
            </w:r>
            <w:r>
              <w:rPr>
                <w:b w:val="0"/>
                <w:bCs w:val="0"/>
              </w:rPr>
            </w:r>
            <w:r>
              <w:rPr>
                <w:b w:val="0"/>
                <w:bCs w:val="0"/>
              </w:rPr>
            </w:r>
          </w:p>
        </w:tc>
        <w:tc>
          <w:tcPr>
            <w:shd w:val="clear" w:color="000000" w:fill="ffffff"/>
            <w:tcBorders/>
            <w:tcW w:w="1522"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Có Giấy chứng nhận Quyền sử dụng đất</w:t>
            </w:r>
            <w:r>
              <w:rPr>
                <w:b w:val="0"/>
                <w:bCs w:val="0"/>
              </w:rPr>
            </w:r>
            <w:r>
              <w:rPr>
                <w:b w:val="0"/>
                <w:bCs w:val="0"/>
              </w:rPr>
            </w:r>
          </w:p>
        </w:tc>
        <w:tc>
          <w:tcPr>
            <w:shd w:val="clear" w:color="000000" w:fill="ffffff"/>
            <w:tcBorders/>
            <w:tcW w:w="1522"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Có Giấy chứng nhận Quyền sử dụng đất</w:t>
            </w:r>
            <w:r>
              <w:rPr>
                <w:b w:val="0"/>
                <w:bCs w:val="0"/>
              </w:rPr>
            </w:r>
            <w:r>
              <w:rPr>
                <w:b w:val="0"/>
                <w:bCs w:val="0"/>
              </w:rPr>
            </w:r>
          </w:p>
        </w:tc>
        <w:tc>
          <w:tcPr>
            <w:shd w:val="clear" w:color="000000" w:fill="ffffff"/>
            <w:tcBorders/>
            <w:tcW w:w="1667"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Có Giấy chứng nhận Quyền sử dụng đất</w:t>
            </w:r>
            <w:r>
              <w:rPr>
                <w:b w:val="0"/>
                <w:bCs w:val="0"/>
              </w:rPr>
            </w:r>
            <w:r>
              <w:rPr>
                <w:b w:val="0"/>
                <w:bCs w:val="0"/>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246.169.426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195.383.712 </w:t>
            </w:r>
            <w:r/>
          </w:p>
        </w:tc>
        <w:tc>
          <w:tcPr>
            <w:shd w:val="clear" w:color="000000" w:fill="ffffff"/>
            <w:tcBorders/>
            <w:tcW w:w="166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269.356.532 </w:t>
            </w: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rPr>
              <w:t xml:space="preserve">Tài sản tại: </w:t>
            </w:r>
            <w:r>
              <w:rPr>
                <w:color w:val="000000" w:themeColor="text1"/>
                <w:sz w:val="22"/>
                <w:szCs w:val="22"/>
              </w:rPr>
              <w:t xml:space="preserve">Ngõ </w:t>
            </w:r>
            <w:r>
              <w:rPr>
                <w:color w:val="000000" w:themeColor="text1"/>
                <w:sz w:val="22"/>
                <w:szCs w:val="22"/>
              </w:rPr>
              <w:t xml:space="preserve">87 </w:t>
            </w:r>
            <w:r>
              <w:rPr>
                <w:color w:val="000000" w:themeColor="text1"/>
                <w:sz w:val="22"/>
                <w:szCs w:val="22"/>
              </w:rPr>
              <w:t xml:space="preserve">P. </w:t>
            </w:r>
            <w:r>
              <w:rPr>
                <w:color w:val="000000" w:themeColor="text1"/>
                <w:sz w:val="22"/>
                <w:szCs w:val="22"/>
              </w:rPr>
              <w:t xml:space="preserve">Đức </w:t>
            </w:r>
            <w:r>
              <w:rPr>
                <w:color w:val="000000" w:themeColor="text1"/>
                <w:sz w:val="22"/>
                <w:szCs w:val="22"/>
              </w:rPr>
              <w:t xml:space="preserve">Giang </w:t>
            </w:r>
            <w:r>
              <w:rPr>
                <w:color w:val="000000" w:themeColor="text1"/>
                <w:sz w:val="22"/>
                <w:szCs w:val="22"/>
              </w:rPr>
              <w:t xml:space="preserve">Phường Long Biên, Thành phố Hà Nội,  cách </w:t>
            </w:r>
            <w:r>
              <w:rPr>
                <w:color w:val="000000" w:themeColor="text1"/>
                <w:sz w:val="22"/>
                <w:szCs w:val="22"/>
              </w:rPr>
              <w:t xml:space="preserve">ngõ </w:t>
            </w:r>
            <w:r>
              <w:rPr>
                <w:color w:val="000000" w:themeColor="text1"/>
                <w:sz w:val="22"/>
                <w:szCs w:val="22"/>
              </w:rPr>
              <w:t xml:space="preserve">81 </w:t>
            </w:r>
            <w:r>
              <w:rPr>
                <w:color w:val="000000" w:themeColor="text1"/>
                <w:sz w:val="22"/>
                <w:szCs w:val="22"/>
              </w:rPr>
              <w:t xml:space="preserve">Đức </w:t>
            </w:r>
            <w:r>
              <w:rPr>
                <w:color w:val="000000" w:themeColor="text1"/>
                <w:sz w:val="22"/>
                <w:szCs w:val="22"/>
              </w:rPr>
              <w:t xml:space="preserve">Giang </w:t>
            </w:r>
            <w:r>
              <w:rPr>
                <w:color w:val="000000" w:themeColor="text1"/>
                <w:sz w:val="22"/>
                <w:szCs w:val="22"/>
              </w:rPr>
              <w:t xml:space="preserve">170m</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Ngõ 210 P. Đức Giang, Phường Long Biên, Thành phố Hà Nội,  Cách đường Nam Đuống 500mm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Ngõ 210 P. Đức Giang, Phường Long Biên, Thành phố Hà Nội,  </w:t>
            </w:r>
            <w:r>
              <w:rPr>
                <w:color w:val="000000" w:themeColor="text1"/>
                <w:sz w:val="22"/>
                <w:szCs w:val="22"/>
              </w:rPr>
              <w:t xml:space="preserve">c</w:t>
            </w:r>
            <w:r>
              <w:rPr>
                <w:color w:val="000000" w:themeColor="text1"/>
                <w:sz w:val="22"/>
                <w:szCs w:val="22"/>
              </w:rPr>
              <w:t xml:space="preserve">ách đường Nam Đuống 600m</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Ngõ 97 P. Đức Giang, Phường Long Biên, Thành phố Hà Nội, cách đường Lý Sơn 200m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000000" w:fill="ffffff"/>
            <w:tcBorders/>
            <w:tcW w:w="16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000000" w:fill="ffffff"/>
            <w:tcBorders/>
            <w:tcW w:w="166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-8.080.696 </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246.169.426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195.383.712 </w:t>
            </w:r>
            <w:r/>
          </w:p>
        </w:tc>
        <w:tc>
          <w:tcPr>
            <w:shd w:val="clear" w:color="000000" w:fill="ffffff"/>
            <w:tcBorders/>
            <w:tcW w:w="166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261.275.836 </w:t>
            </w: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000000" w:fill="ffffff"/>
            <w:tcBorders/>
            <w:tcW w:w="16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000000" w:fill="ffffff"/>
            <w:tcBorders/>
            <w:tcW w:w="166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246.169.426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195.383.712 </w:t>
            </w:r>
            <w:r/>
          </w:p>
        </w:tc>
        <w:tc>
          <w:tcPr>
            <w:shd w:val="clear" w:color="000000" w:fill="ffffff"/>
            <w:tcBorders/>
            <w:tcW w:w="166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261.275.836 </w:t>
            </w: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val="0"/>
                <w:bCs w:val="0"/>
                <w:color w:val="000000"/>
                <w:sz w:val="22"/>
                <w:szCs w:val="22"/>
              </w:rPr>
            </w:pPr>
            <w:r>
              <w:rPr>
                <w:b w:val="0"/>
                <w:bCs w:val="0"/>
                <w:color w:val="000000"/>
                <w:sz w:val="22"/>
                <w:szCs w:val="22"/>
              </w:rPr>
              <w:t xml:space="preserve">5,</w:t>
            </w:r>
            <w:r>
              <w:rPr>
                <w:b w:val="0"/>
                <w:bCs w:val="0"/>
                <w:color w:val="000000"/>
                <w:sz w:val="22"/>
                <w:szCs w:val="22"/>
              </w:rPr>
              <w:t xml:space="preserve">5</w:t>
            </w:r>
            <w:r>
              <w:rPr>
                <w:b w:val="0"/>
                <w:bCs w:val="0"/>
                <w:color w:val="000000"/>
                <w:sz w:val="22"/>
                <w:szCs w:val="22"/>
              </w:rPr>
            </w:r>
            <w:r>
              <w:rPr>
                <w:b w:val="0"/>
                <w:bCs w:val="0"/>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000000" w:fill="ffffff"/>
            <w:tcBorders/>
            <w:tcW w:w="166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-40.403.480 </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246.169.426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195.383.712 </w:t>
            </w:r>
            <w:r/>
          </w:p>
        </w:tc>
        <w:tc>
          <w:tcPr>
            <w:shd w:val="clear" w:color="000000" w:fill="ffffff"/>
            <w:tcBorders/>
            <w:tcW w:w="166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220.872.356 </w:t>
            </w: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ind/>
              <w:jc w:val="center"/>
              <w:rPr>
                <w:b/>
                <w:bCs/>
                <w:color w:val="000000"/>
                <w:sz w:val="22"/>
                <w:szCs w:val="22"/>
              </w:rPr>
            </w:pPr>
            <w:r>
              <w:rPr>
                <w:color w:val="000000" w:themeColor="text1"/>
                <w:sz w:val="22"/>
                <w:szCs w:val="22"/>
              </w:rPr>
              <w:t xml:space="preserve">47,9</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-6,00%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-6,00%</w:t>
            </w:r>
            <w:r/>
          </w:p>
        </w:tc>
        <w:tc>
          <w:tcPr>
            <w:shd w:val="clear" w:color="000000" w:fill="ffffff"/>
            <w:tcBorders/>
            <w:tcW w:w="16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-4,00%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-14.770.166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-11.723.023 </w:t>
            </w:r>
            <w:r/>
          </w:p>
        </w:tc>
        <w:tc>
          <w:tcPr>
            <w:shd w:val="clear" w:color="000000" w:fill="ffffff"/>
            <w:tcBorders/>
            <w:tcW w:w="166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-10.774.261 </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231.399.261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183.660.689 </w:t>
            </w:r>
            <w:r/>
          </w:p>
        </w:tc>
        <w:tc>
          <w:tcPr>
            <w:shd w:val="clear" w:color="000000" w:fill="ffffff"/>
            <w:tcBorders/>
            <w:tcW w:w="166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210.098.095 </w:t>
            </w: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3,85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3,7</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ind/>
              <w:jc w:val="center"/>
              <w:rPr>
                <w:b/>
                <w:bCs/>
                <w:color w:val="000000"/>
                <w:sz w:val="22"/>
                <w:szCs w:val="22"/>
              </w:rPr>
            </w:pPr>
            <w:r>
              <w:rPr>
                <w:color w:val="000000" w:themeColor="text1"/>
                <w:sz w:val="22"/>
                <w:szCs w:val="22"/>
              </w:rPr>
              <w:t xml:space="preserve">3,6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000000" w:fill="ffffff"/>
            <w:tcBorders/>
            <w:tcW w:w="16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-7.385.083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000000" w:fill="ffffff"/>
            <w:tcBorders/>
            <w:tcW w:w="166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224.014.178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183.660.689 </w:t>
            </w:r>
            <w:r/>
          </w:p>
        </w:tc>
        <w:tc>
          <w:tcPr>
            <w:shd w:val="clear" w:color="000000" w:fill="ffffff"/>
            <w:tcBorders/>
            <w:tcW w:w="166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210.098.095 </w:t>
            </w: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224.014.178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183.660.689 </w:t>
            </w:r>
            <w:r/>
          </w:p>
        </w:tc>
        <w:tc>
          <w:tcPr>
            <w:shd w:val="clear" w:color="000000" w:fill="ffffff"/>
            <w:tcBorders/>
            <w:tcW w:w="166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210.098.095 </w:t>
            </w: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224.014.178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183.660.689 </w:t>
            </w:r>
            <w:r/>
          </w:p>
        </w:tc>
        <w:tc>
          <w:tcPr>
            <w:shd w:val="clear" w:color="000000" w:fill="ffffff"/>
            <w:tcBorders/>
            <w:tcW w:w="166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210.098.095 </w:t>
            </w: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C.9</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Các thông tin khác</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Nhà </w:t>
            </w:r>
            <w:r>
              <w:rPr>
                <w:color w:val="000000" w:themeColor="text1"/>
                <w:sz w:val="22"/>
                <w:szCs w:val="22"/>
              </w:rPr>
              <w:t xml:space="preserve">không </w:t>
            </w:r>
            <w:r>
              <w:rPr>
                <w:color w:val="000000" w:themeColor="text1"/>
                <w:sz w:val="22"/>
                <w:szCs w:val="22"/>
              </w:rPr>
              <w:t xml:space="preserve">thang </w:t>
            </w:r>
            <w:r>
              <w:rPr>
                <w:color w:val="000000" w:themeColor="text1"/>
                <w:sz w:val="22"/>
                <w:szCs w:val="22"/>
              </w:rPr>
              <w:t xml:space="preserve">máy</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Nhà </w:t>
            </w:r>
            <w:r>
              <w:rPr>
                <w:color w:val="000000" w:themeColor="text1"/>
                <w:sz w:val="22"/>
                <w:szCs w:val="22"/>
              </w:rPr>
              <w:t xml:space="preserve">có </w:t>
            </w:r>
            <w:r>
              <w:rPr>
                <w:color w:val="000000" w:themeColor="text1"/>
                <w:sz w:val="22"/>
                <w:szCs w:val="22"/>
              </w:rPr>
              <w:t xml:space="preserve">thang </w:t>
            </w:r>
            <w:r>
              <w:rPr>
                <w:color w:val="000000" w:themeColor="text1"/>
                <w:sz w:val="22"/>
                <w:szCs w:val="22"/>
              </w:rPr>
              <w:t xml:space="preserve">máy</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Nhà </w:t>
            </w:r>
            <w:r>
              <w:rPr>
                <w:color w:val="000000" w:themeColor="text1"/>
                <w:sz w:val="22"/>
                <w:szCs w:val="22"/>
              </w:rPr>
              <w:t xml:space="preserve">có </w:t>
            </w:r>
            <w:r>
              <w:rPr>
                <w:color w:val="000000" w:themeColor="text1"/>
                <w:sz w:val="22"/>
                <w:szCs w:val="22"/>
              </w:rPr>
              <w:t xml:space="preserve">thang </w:t>
            </w:r>
            <w:r>
              <w:rPr>
                <w:color w:val="000000" w:themeColor="text1"/>
                <w:sz w:val="22"/>
                <w:szCs w:val="22"/>
              </w:rPr>
              <w:t xml:space="preserve">máy</w:t>
            </w:r>
            <w:r>
              <w:rPr>
                <w:b/>
                <w:bCs/>
                <w:color w:val="000000" w:themeColor="text1"/>
                <w:sz w:val="22"/>
                <w:szCs w:val="22"/>
              </w:rPr>
            </w:r>
            <w:r>
              <w:rPr>
                <w:b/>
                <w:bCs/>
                <w:color w:val="000000" w:themeColor="text1"/>
                <w:sz w:val="22"/>
                <w:szCs w:val="22"/>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Nhà </w:t>
            </w:r>
            <w:r>
              <w:rPr>
                <w:color w:val="000000" w:themeColor="text1"/>
                <w:sz w:val="22"/>
                <w:szCs w:val="22"/>
              </w:rPr>
              <w:t xml:space="preserve">không</w:t>
            </w:r>
            <w:r>
              <w:rPr>
                <w:color w:val="000000" w:themeColor="text1"/>
                <w:sz w:val="22"/>
                <w:szCs w:val="22"/>
              </w:rPr>
              <w:t xml:space="preserve"> </w:t>
            </w:r>
            <w:r>
              <w:rPr>
                <w:color w:val="000000" w:themeColor="text1"/>
                <w:sz w:val="22"/>
                <w:szCs w:val="22"/>
              </w:rPr>
              <w:t xml:space="preserve">thang </w:t>
            </w:r>
            <w:r>
              <w:rPr>
                <w:color w:val="000000" w:themeColor="text1"/>
                <w:sz w:val="22"/>
                <w:szCs w:val="22"/>
              </w:rPr>
              <w:t xml:space="preserve">máy</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-7,00%</w:t>
            </w:r>
            <w:r>
              <w:rPr>
                <w:color w:val="000000" w:themeColor="text1"/>
              </w:rPr>
            </w:r>
            <w:r>
              <w:rPr>
                <w:color w:val="000000" w:themeColor="text1"/>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-7,00%</w:t>
            </w:r>
            <w:r>
              <w:rPr>
                <w:color w:val="000000" w:themeColor="text1"/>
              </w:rPr>
            </w:r>
            <w:r>
              <w:rPr>
                <w:color w:val="000000" w:themeColor="text1"/>
              </w:rPr>
            </w:r>
          </w:p>
        </w:tc>
        <w:tc>
          <w:tcPr>
            <w:shd w:val="clear" w:color="000000" w:fill="ffffff"/>
            <w:tcBorders/>
            <w:tcW w:w="166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-17.231.860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-13.676.860 </w:t>
            </w:r>
            <w:r/>
          </w:p>
        </w:tc>
        <w:tc>
          <w:tcPr>
            <w:shd w:val="clear" w:color="000000" w:fill="ffffff"/>
            <w:tcBorders/>
            <w:tcW w:w="166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206.782.318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169.983.829 </w:t>
            </w:r>
            <w:r/>
          </w:p>
        </w:tc>
        <w:tc>
          <w:tcPr>
            <w:shd w:val="clear" w:color="000000" w:fill="ffffff"/>
            <w:tcBorders/>
            <w:tcW w:w="166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210.098.095 </w:t>
            </w: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206.782.318 </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169.983.829 </w:t>
            </w:r>
            <w:r/>
          </w:p>
        </w:tc>
        <w:tc>
          <w:tcPr>
            <w:shd w:val="clear" w:color="000000" w:fill="ffffff"/>
            <w:tcBorders/>
            <w:tcW w:w="166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210.098.095 </w:t>
            </w: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71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195.621.414 </w:t>
            </w: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5,7%</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-13,1%</w:t>
            </w:r>
            <w:r/>
          </w:p>
        </w:tc>
        <w:tc>
          <w:tcPr>
            <w:shd w:val="clear" w:color="000000" w:fill="ffffff"/>
            <w:tcBorders/>
            <w:tcW w:w="16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7,4%</w:t>
            </w: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39.387.108 </w:t>
            </w:r>
            <w:r>
              <w:rPr>
                <w:b w:val="0"/>
                <w:bCs w:val="0"/>
              </w:rPr>
            </w:r>
            <w:r>
              <w:rPr>
                <w:b w:val="0"/>
                <w:bCs w:val="0"/>
              </w:rPr>
            </w:r>
          </w:p>
        </w:tc>
        <w:tc>
          <w:tcPr>
            <w:shd w:val="clear" w:color="000000" w:fill="ffffff"/>
            <w:tcBorders/>
            <w:tcW w:w="1522"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25.399.883 </w:t>
            </w:r>
            <w:r>
              <w:rPr>
                <w:b w:val="0"/>
                <w:bCs w:val="0"/>
              </w:rPr>
            </w:r>
            <w:r>
              <w:rPr>
                <w:b w:val="0"/>
                <w:bCs w:val="0"/>
              </w:rPr>
            </w:r>
          </w:p>
        </w:tc>
        <w:tc>
          <w:tcPr>
            <w:shd w:val="clear" w:color="000000" w:fill="ffffff"/>
            <w:tcBorders/>
            <w:tcW w:w="1667"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59.258.437 </w:t>
            </w:r>
            <w:r>
              <w:rPr>
                <w:b w:val="0"/>
                <w:bCs w:val="0"/>
              </w:rPr>
            </w:r>
            <w:r>
              <w:rPr>
                <w:b w:val="0"/>
                <w:bCs w:val="0"/>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667"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 - 7%</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 - 7%</w:t>
            </w:r>
            <w:r/>
          </w:p>
        </w:tc>
        <w:tc>
          <w:tcPr>
            <w:shd w:val="clear" w:color="000000" w:fill="ffffff"/>
            <w:tcBorders/>
            <w:tcW w:w="166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 - 15%</w:t>
            </w: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39.387.108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25.399.883 </w:t>
            </w:r>
            <w:r/>
          </w:p>
        </w:tc>
        <w:tc>
          <w:tcPr>
            <w:shd w:val="clear" w:color="000000" w:fill="ffffff"/>
            <w:tcBorders/>
            <w:tcW w:w="166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59.258.437 </w:t>
            </w: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w:t>
      </w:r>
      <w:r>
        <w:t xml:space="preserve">13,</w:t>
      </w:r>
      <w:r>
        <w:t xml:space="preserve">1</w:t>
      </w:r>
      <w:r>
        <w:t xml:space="preserve">% đến </w:t>
      </w:r>
      <w:r>
        <w:t xml:space="preserve">7,</w:t>
      </w:r>
      <w:r>
        <w:t xml:space="preserve">4 </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206.782.318</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68.927.439</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169.983.829</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56.661.276</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210.098.095</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70.032.698</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lang w:val="vi-VN"/>
              </w:rPr>
              <w:t xml:space="preserve">195.621.414</w:t>
            </w:r>
            <w:r>
              <w:rPr>
                <w:b/>
                <w:bCs/>
                <w:color w:val="000000" w:themeColor="text1"/>
              </w:rPr>
            </w:r>
            <w:r>
              <w:rPr>
                <w:b/>
                <w:bCs/>
                <w:color w:val="000000" w:themeColor="text1"/>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196.000.000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196.000.000</w:t>
      </w:r>
      <w:r>
        <w:rPr>
          <w:b/>
          <w:bCs/>
          <w:color w:val="000000" w:themeColor="text1"/>
        </w:rPr>
        <w:t xml:space="preserve"> </w:t>
      </w:r>
      <w:r>
        <w:rPr>
          <w:b/>
          <w:bCs/>
        </w:rPr>
        <w:t xml:space="preserve">đồng/m².</w:t>
      </w:r>
      <w:r>
        <w:rPr>
          <w:b/>
          <w:bCs/>
        </w:rPr>
      </w:r>
      <w:r>
        <w:rPr>
          <w:b/>
          <w:bCs/>
        </w:rPr>
      </w:r>
    </w:p>
    <w:p>
      <w:pPr>
        <w:pStyle w:val="1036"/>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6"/>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8/2026</w:t>
      </w:r>
      <w:r>
        <w:t xml:space="preserve"> </w:t>
      </w:r>
      <w:r>
        <w:t xml:space="preserve">ước tính </w:t>
      </w:r>
      <w:r>
        <w:t xml:space="preserve">như sau</w:t>
      </w:r>
      <w:r>
        <w:t xml:space="preserve">:</w:t>
      </w:r>
      <w:r>
        <w:rPr>
          <w:highlight w:val="none"/>
        </w:rPr>
      </w:r>
      <w:r>
        <w:rPr>
          <w:highlight w:val="none"/>
        </w:rPr>
      </w:r>
    </w:p>
    <w:tbl>
      <w:tblPr>
        <w:tblW w:w="5009"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38"/>
        <w:gridCol w:w="1217"/>
        <w:gridCol w:w="1061"/>
        <w:gridCol w:w="1628"/>
        <w:gridCol w:w="1700"/>
        <w:gridCol w:w="1242"/>
        <w:gridCol w:w="1955"/>
      </w:tblGrid>
      <w:tr>
        <w:trPr>
          <w:trHeight w:val="20"/>
        </w:trPr>
        <w:tc>
          <w:tcPr>
            <w:shd w:val="clear" w:color="000000" w:fill="ffffff"/>
            <w:tcBorders/>
            <w:tcW w:w="817"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gridSpan w:val="2"/>
            <w:shd w:val="clear" w:color="000000" w:fill="ffffff"/>
            <w:tcBorders/>
            <w:tcW w:w="2376"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88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242" w:type="dxa"/>
            <w:vAlign w:val="center"/>
            <w:textDirection w:val="lrTb"/>
            <w:noWrap w:val="false"/>
          </w:tcPr>
          <w:p>
            <w:pPr>
              <w:pBdr/>
              <w:spacing/>
              <w:ind/>
              <w:jc w:val="center"/>
              <w:rPr>
                <w:b/>
                <w:bCs/>
              </w:rPr>
            </w:pPr>
            <w:r>
              <w:rPr>
                <w:b/>
                <w:bCs/>
              </w:rPr>
              <w:t xml:space="preserve">Hệ số (%)</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703"/>
        </w:trPr>
        <w:tc>
          <w:tcPr>
            <w:shd w:val="clear" w:color="000000" w:fill="ffffff"/>
            <w:tcBorders/>
            <w:tcW w:w="817"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5"/>
            <w:shd w:val="clear" w:color="000000" w:fill="ffffff"/>
            <w:tcBorders/>
            <w:tcW w:w="6849" w:type="dxa"/>
            <w:vAlign w:val="center"/>
            <w:textDirection w:val="lrTb"/>
            <w:noWrap w:val="false"/>
          </w:tcPr>
          <w:p>
            <w:pPr>
              <w:pBdr/>
              <w:spacing w:after="40" w:before="40" w:line="288" w:lineRule="auto"/>
              <w:ind/>
              <w:jc w:val="both"/>
              <w:rPr>
                <w:b/>
                <w:bCs/>
              </w:rPr>
            </w:pPr>
            <w:r>
              <w:rPr>
                <w:b/>
                <w:bCs/>
                <w:color w:val="000000"/>
              </w:rPr>
            </w:r>
            <w:r>
              <w:rPr>
                <w:b/>
                <w:bCs/>
                <w:color w:val="000000"/>
              </w:rPr>
              <w:t xml:space="preserve">Quyền sử dụng đất tại Thửa đất số: 219, tờ bản đồ số: 13, địa chỉ: Căn hộ số 4, nhà B6, TT Cty Kim Khí Hà Nội, phường Đức Giang, quận Long Biên, Thành phố Hà Nội (</w:t>
            </w:r>
            <w:r>
              <w:rPr>
                <w:b/>
                <w:bCs/>
                <w:i/>
                <w:iCs/>
                <w:color w:val="000000"/>
              </w:rPr>
              <w:t xml:space="preserve">nay là phườn</w:t>
            </w:r>
            <w:r>
              <w:rPr>
                <w:b/>
                <w:bCs/>
                <w:i/>
                <w:iCs/>
                <w:color w:val="000000"/>
              </w:rPr>
              <w:t xml:space="preserve">g </w:t>
            </w:r>
            <w:r>
              <w:rPr>
                <w:b/>
                <w:bCs/>
                <w:i/>
                <w:iCs/>
                <w:color w:val="000000"/>
              </w:rPr>
              <w:t xml:space="preserve">Vi</w:t>
            </w:r>
            <w:r>
              <w:rPr>
                <w:b/>
                <w:bCs/>
                <w:i/>
                <w:iCs/>
                <w:color w:val="000000"/>
              </w:rPr>
              <w:t xml:space="preserve">ệt</w:t>
            </w:r>
            <w:r>
              <w:rPr>
                <w:b/>
                <w:bCs/>
                <w:i/>
                <w:iCs/>
                <w:color w:val="000000"/>
              </w:rPr>
              <w:t xml:space="preserve"> </w:t>
            </w:r>
            <w:r>
              <w:rPr>
                <w:b/>
                <w:bCs/>
                <w:i/>
                <w:iCs/>
                <w:color w:val="000000"/>
              </w:rPr>
              <w:t xml:space="preserve">H</w:t>
            </w:r>
            <w:r>
              <w:rPr>
                <w:b/>
                <w:bCs/>
                <w:i/>
                <w:iCs/>
                <w:color w:val="000000"/>
              </w:rPr>
              <w:t xml:space="preserve">ư</w:t>
            </w:r>
            <w:r>
              <w:rPr>
                <w:b/>
                <w:bCs/>
                <w:i/>
                <w:iCs/>
                <w:color w:val="000000"/>
              </w:rPr>
              <w:t xml:space="preserve">ng</w:t>
            </w:r>
            <w:r>
              <w:rPr>
                <w:b/>
                <w:bCs/>
                <w:i/>
                <w:iCs/>
                <w:color w:val="000000"/>
              </w:rPr>
            </w:r>
            <w:r>
              <w:rPr>
                <w:b/>
                <w:bCs/>
                <w:i/>
                <w:iCs/>
                <w:color w:val="000000"/>
              </w:rPr>
              <w:t xml:space="preserve">, Thành phố Hà Nội</w:t>
            </w:r>
            <w:r>
              <w:rPr>
                <w:b/>
                <w:bCs/>
                <w:color w:val="000000"/>
              </w:rPr>
              <w:t xml:space="preserve">) theo Giấy chứng nhận quyền sử dụng đất, quyền sở hữu nhà ở và tài sản khác gắn liền với đất số: DO 685643, số vào sổ cấp GCN: CN 04020 do Chi nhánh Văn phòng Đăng ký Đất đai cấp ngày 25/4/2024; Chủ sử dụng đất là Ông Nguyễn Tuấn Anh.</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817" w:type="dxa"/>
            <w:vAlign w:val="center"/>
            <w:textDirection w:val="lrTb"/>
            <w:noWrap w:val="false"/>
          </w:tcPr>
          <w:p>
            <w:pPr>
              <w:pBdr/>
              <w:spacing w:after="40" w:before="40" w:line="288" w:lineRule="auto"/>
              <w:ind/>
              <w:jc w:val="center"/>
              <w:rPr>
                <w:b w:val="0"/>
                <w:bCs w:val="0"/>
              </w:rPr>
            </w:pPr>
            <w:r>
              <w:rPr>
                <w:b w:val="0"/>
                <w:bCs w:val="0"/>
              </w:rPr>
              <w:t xml:space="preserve">01</w:t>
            </w:r>
            <w:r>
              <w:rPr>
                <w:b w:val="0"/>
                <w:bCs w:val="0"/>
              </w:rPr>
            </w:r>
            <w:r>
              <w:rPr>
                <w:b w:val="0"/>
                <w:bCs w:val="0"/>
              </w:rPr>
            </w:r>
          </w:p>
        </w:tc>
        <w:tc>
          <w:tcPr>
            <w:gridSpan w:val="2"/>
            <w:shd w:val="clear" w:color="000000" w:fill="ffffff"/>
            <w:tcBorders/>
            <w:tcW w:w="2376"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75,1</w:t>
            </w:r>
            <w:r>
              <w:rPr>
                <w:color w:val="000000"/>
              </w:rPr>
            </w:r>
            <w:r>
              <w:rPr>
                <w:color w:val="000000"/>
              </w:rPr>
            </w:r>
          </w:p>
        </w:tc>
        <w:tc>
          <w:tcPr>
            <w:shd w:val="clear" w:color="000000" w:fill="ffffff"/>
            <w:tcBorders/>
            <w:tcW w:w="1881" w:type="dxa"/>
            <w:vAlign w:val="center"/>
            <w:textDirection w:val="lrTb"/>
            <w:noWrap w:val="false"/>
          </w:tcPr>
          <w:p>
            <w:pPr>
              <w:pBdr/>
              <w:spacing w:after="40" w:before="40" w:line="288" w:lineRule="auto"/>
              <w:ind/>
              <w:jc w:val="center"/>
              <w:rPr/>
            </w:pPr>
            <w:r>
              <w:rPr>
                <w:color w:val="000000" w:themeColor="text1"/>
              </w:rPr>
              <w:t xml:space="preserve">196.000.000</w:t>
            </w:r>
            <w:r/>
          </w:p>
        </w:tc>
        <w:tc>
          <w:tcPr>
            <w:shd w:val="clear" w:color="000000" w:fill="ffffff"/>
            <w:tcBorders/>
            <w:tcW w:w="1242" w:type="dxa"/>
            <w:vAlign w:val="center"/>
            <w:textDirection w:val="lrTb"/>
            <w:noWrap w:val="false"/>
          </w:tcPr>
          <w:p>
            <w:pPr>
              <w:pBdr/>
              <w:spacing/>
              <w:ind/>
              <w:jc w:val="center"/>
              <w:rPr>
                <w:color w:val="000000" w:themeColor="text1"/>
              </w:rPr>
            </w:pPr>
            <w:r>
              <w:rPr>
                <w:color w:val="000000" w:themeColor="text1"/>
              </w:rPr>
              <w:t xml:space="preserve">100%</w:t>
            </w:r>
            <w:r>
              <w:rPr>
                <w:color w:val="000000" w:themeColor="text1"/>
              </w:rPr>
            </w:r>
            <w:r>
              <w:rPr>
                <w:color w:val="000000" w:themeColor="text1"/>
              </w:rPr>
            </w:r>
          </w:p>
        </w:tc>
        <w:tc>
          <w:tcPr>
            <w:shd w:val="clear" w:color="000000" w:fill="ffffff"/>
            <w:tcBorders/>
            <w:tcW w:w="2164" w:type="dxa"/>
            <w:vAlign w:val="center"/>
            <w:textDirection w:val="lrTb"/>
            <w:noWrap w:val="false"/>
          </w:tcPr>
          <w:p>
            <w:pPr>
              <w:pBdr/>
              <w:spacing w:after="40" w:before="40" w:line="288" w:lineRule="auto"/>
              <w:ind/>
              <w:jc w:val="right"/>
              <w:rPr/>
            </w:pPr>
            <w:r>
              <w:rPr>
                <w:color w:val="000000" w:themeColor="text1"/>
              </w:rPr>
              <w:t xml:space="preserve">14.719.600.000</w:t>
            </w:r>
            <w:r/>
          </w:p>
        </w:tc>
      </w:tr>
      <w:tr>
        <w:trPr>
          <w:trHeight w:val="20"/>
        </w:trPr>
        <w:tc>
          <w:tcPr>
            <w:gridSpan w:val="5"/>
            <w:tcBorders/>
            <w:tcW w:w="6389"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242" w:type="dxa"/>
            <w:vAlign w:val="center"/>
            <w:textDirection w:val="lrTb"/>
            <w:noWrap/>
          </w:tcPr>
          <w:p>
            <w:pPr>
              <w:pBdr/>
              <w:spacing/>
              <w:ind/>
              <w:rPr>
                <w:b/>
                <w:bCs/>
                <w:color w:val="000000" w:themeColor="text1"/>
              </w:rPr>
            </w:pPr>
            <w:r>
              <w:rPr>
                <w:b/>
                <w:bCs/>
                <w:color w:val="000000" w:themeColor="text1"/>
              </w:rPr>
            </w:r>
            <w:r>
              <w:rPr>
                <w:b/>
                <w:bCs/>
                <w:color w:val="000000" w:themeColor="text1"/>
              </w:rPr>
            </w:r>
            <w:r>
              <w:rPr>
                <w:b/>
                <w:bCs/>
                <w:color w:val="000000" w:themeColor="text1"/>
              </w:rPr>
            </w:r>
          </w:p>
        </w:tc>
        <w:tc>
          <w:tcPr>
            <w:tcBorders/>
            <w:tcW w:w="2164" w:type="dxa"/>
            <w:vAlign w:val="center"/>
            <w:textDirection w:val="lrTb"/>
            <w:noWrap/>
          </w:tcPr>
          <w:p>
            <w:pPr>
              <w:pBdr/>
              <w:spacing w:after="40" w:before="40" w:line="288" w:lineRule="auto"/>
              <w:ind/>
              <w:jc w:val="right"/>
              <w:rPr>
                <w:b/>
                <w:bCs/>
              </w:rPr>
            </w:pPr>
            <w:r>
              <w:rPr>
                <w:b/>
                <w:bCs/>
                <w:color w:val="000000" w:themeColor="text1"/>
              </w:rPr>
              <w:t xml:space="preserve">14.719.600.000</w:t>
            </w:r>
            <w:r>
              <w:rPr>
                <w:b/>
                <w:bCs/>
              </w:rPr>
            </w:r>
            <w:r>
              <w:rPr>
                <w:b/>
                <w:bCs/>
              </w:rPr>
            </w:r>
          </w:p>
        </w:tc>
      </w:tr>
      <w:tr>
        <w:trPr>
          <w:trHeight w:val="20"/>
        </w:trPr>
        <w:tc>
          <w:tcPr>
            <w:gridSpan w:val="5"/>
            <w:tcBorders/>
            <w:tcW w:w="6389" w:type="dxa"/>
            <w:vAlign w:val="center"/>
            <w:vMerge w:val="restart"/>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242" w:type="dxa"/>
            <w:vAlign w:val="center"/>
            <w:textDirection w:val="lrTb"/>
            <w:noWrap/>
          </w:tcPr>
          <w:p>
            <w:pPr>
              <w:pBdr/>
              <w:spacing/>
              <w:ind/>
              <w:rPr>
                <w:b/>
                <w:bCs/>
                <w:color w:val="000000" w:themeColor="text1"/>
              </w:rPr>
            </w:pPr>
            <w:r>
              <w:rPr>
                <w:b/>
                <w:bCs/>
                <w:color w:val="000000" w:themeColor="text1"/>
              </w:rPr>
            </w:r>
            <w:r>
              <w:rPr>
                <w:b/>
                <w:bCs/>
                <w:color w:val="000000" w:themeColor="text1"/>
              </w:rPr>
            </w:r>
            <w:r>
              <w:rPr>
                <w:b/>
                <w:bCs/>
                <w:color w:val="000000" w:themeColor="text1"/>
              </w:rPr>
            </w:r>
          </w:p>
        </w:tc>
        <w:tc>
          <w:tcPr>
            <w:tcBorders/>
            <w:tcW w:w="2164" w:type="dxa"/>
            <w:vAlign w:val="center"/>
            <w:vMerge w:val="restart"/>
            <w:textDirection w:val="lrTb"/>
            <w:noWrap/>
          </w:tcPr>
          <w:p>
            <w:pPr>
              <w:pBdr/>
              <w:spacing w:after="40" w:before="40" w:line="288" w:lineRule="auto"/>
              <w:ind/>
              <w:jc w:val="right"/>
              <w:rPr>
                <w:b/>
                <w:bCs/>
              </w:rPr>
            </w:pPr>
            <w:r>
              <w:rPr>
                <w:b/>
                <w:bCs/>
                <w:color w:val="000000" w:themeColor="text1"/>
              </w:rPr>
              <w:t xml:space="preserve">14.720.000.000</w:t>
            </w:r>
            <w:r>
              <w:rPr>
                <w:b/>
                <w:bCs/>
              </w:rPr>
            </w:r>
            <w:r>
              <w:rPr>
                <w:b/>
                <w:bCs/>
              </w:rPr>
            </w:r>
          </w:p>
        </w:tc>
      </w:tr>
      <w:tr>
        <w:trPr>
          <w:trHeight w:val="20"/>
        </w:trPr>
        <w:tc>
          <w:tcPr>
            <w:gridSpan w:val="7"/>
            <w:tcBorders/>
            <w:tcW w:w="9542"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M</w:t>
            </w:r>
            <w:r>
              <w:rPr>
                <w:b/>
                <w:bCs/>
                <w:i/>
                <w:iCs/>
                <w:color w:val="000000"/>
              </w:rPr>
              <w:t xml:space="preserve">ư</w:t>
            </w:r>
            <w:r>
              <w:rPr>
                <w:b/>
                <w:bCs/>
                <w:i/>
                <w:iCs/>
                <w:color w:val="000000"/>
              </w:rPr>
              <w:t xml:space="preserve">ời</w:t>
            </w:r>
            <w:r>
              <w:rPr>
                <w:b/>
                <w:bCs/>
                <w:i/>
                <w:iCs/>
                <w:color w:val="000000"/>
              </w:rPr>
              <w:t xml:space="preserve"> b</w:t>
            </w:r>
            <w:r>
              <w:rPr>
                <w:b/>
                <w:bCs/>
                <w:i/>
                <w:iCs/>
                <w:color w:val="000000"/>
              </w:rPr>
              <w:t xml:space="preserve">ốn</w:t>
            </w:r>
            <w:r>
              <w:rPr>
                <w:b/>
                <w:bCs/>
                <w:i/>
                <w:iCs/>
                <w:color w:val="000000"/>
              </w:rPr>
              <w:t xml:space="preserve"> t</w:t>
            </w:r>
            <w:r>
              <w:rPr>
                <w:b/>
                <w:bCs/>
                <w:i/>
                <w:iCs/>
                <w:color w:val="000000"/>
              </w:rPr>
              <w:t xml:space="preserve">ỷ</w:t>
            </w:r>
            <w:r>
              <w:rPr>
                <w:b/>
                <w:bCs/>
                <w:i/>
                <w:iCs/>
                <w:color w:val="000000"/>
              </w:rPr>
              <w:t xml:space="preserve">, b</w:t>
            </w:r>
            <w:r>
              <w:rPr>
                <w:b/>
                <w:bCs/>
                <w:i/>
                <w:iCs/>
                <w:color w:val="000000"/>
              </w:rPr>
              <w:t xml:space="preserve">ảy</w:t>
            </w:r>
            <w:r>
              <w:rPr>
                <w:b/>
                <w:bCs/>
                <w:i/>
                <w:iCs/>
                <w:color w:val="000000"/>
              </w:rPr>
              <w:t xml:space="preserve"> tr</w:t>
            </w:r>
            <w:r>
              <w:rPr>
                <w:b/>
                <w:bCs/>
                <w:i/>
                <w:iCs/>
                <w:color w:val="000000"/>
              </w:rPr>
              <w:t xml:space="preserve">ă</w:t>
            </w:r>
            <w:r>
              <w:rPr>
                <w:b/>
                <w:bCs/>
                <w:i/>
                <w:iCs/>
                <w:color w:val="000000"/>
              </w:rPr>
              <w:t xml:space="preserve">m hai m</w:t>
            </w:r>
            <w:r>
              <w:rPr>
                <w:b/>
                <w:bCs/>
                <w:i/>
                <w:iCs/>
                <w:color w:val="000000"/>
              </w:rPr>
              <w:t xml:space="preserve">ươ</w:t>
            </w:r>
            <w:r>
              <w:rPr>
                <w:b/>
                <w:bCs/>
                <w:i/>
                <w:iCs/>
                <w:color w:val="000000"/>
              </w:rPr>
              <w:t xml:space="preserve">i tri</w:t>
            </w:r>
            <w:r>
              <w:rPr>
                <w:b/>
                <w:bCs/>
                <w:i/>
                <w:iCs/>
                <w:color w:val="000000"/>
              </w:rPr>
              <w:t xml:space="preserve">ệu</w:t>
            </w:r>
            <w:r>
              <w:rPr>
                <w:b/>
                <w:bCs/>
                <w:i/>
                <w:iCs/>
                <w:color w:val="000000"/>
              </w:rPr>
              <w:t xml:space="preserve"> </w:t>
            </w:r>
            <w:r>
              <w:rPr>
                <w:b/>
                <w:bCs/>
                <w:i/>
                <w:iCs/>
                <w:color w:val="000000"/>
              </w:rPr>
              <w:t xml:space="preserve">đ</w:t>
            </w:r>
            <w:r>
              <w:rPr>
                <w:b/>
                <w:bCs/>
                <w:i/>
                <w:iCs/>
                <w:color w:val="000000"/>
              </w:rPr>
              <w:t xml:space="preserve">ồng</w:t>
            </w:r>
            <w:r>
              <w:rPr>
                <w:b/>
                <w:bCs/>
                <w:i/>
                <w:iCs/>
                <w:color w:val="000000"/>
              </w:rPr>
              <w:t xml:space="preserve">./.)</w:t>
            </w:r>
            <w:r>
              <w:rPr>
                <w:b/>
                <w:bCs/>
                <w:i/>
                <w:iCs/>
                <w:color w:val="000000"/>
              </w:rPr>
            </w:r>
            <w:r>
              <w:rPr>
                <w:b/>
                <w:bCs/>
                <w:i/>
                <w:iCs/>
                <w:color w:val="000000"/>
              </w:rPr>
            </w:r>
          </w:p>
        </w:tc>
      </w:tr>
    </w:tbl>
    <w:p>
      <w:pPr>
        <w:pStyle w:val="1036"/>
        <w:pBdr/>
        <w:tabs>
          <w:tab w:val="left" w:leader="none" w:pos="993"/>
        </w:tabs>
        <w:spacing w:after="120" w:before="120" w:line="331"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6"/>
        <w:numPr>
          <w:ilvl w:val="0"/>
          <w:numId w:val="4"/>
        </w:numPr>
        <w:pBdr/>
        <w:tabs>
          <w:tab w:val="left" w:leader="none" w:pos="993"/>
        </w:tabs>
        <w:spacing w:after="120" w:before="120" w:line="331"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6"/>
        <w:pBdr/>
        <w:tabs>
          <w:tab w:val="left" w:leader="none" w:pos="993"/>
        </w:tabs>
        <w:spacing w:after="120" w:before="120" w:line="331"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6"/>
        <w:numPr>
          <w:ilvl w:val="0"/>
          <w:numId w:val="5"/>
        </w:numPr>
        <w:pBdr/>
        <w:tabs>
          <w:tab w:val="left" w:leader="none" w:pos="993"/>
        </w:tabs>
        <w:spacing w:after="120" w:before="120" w:line="331"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6"/>
        <w:numPr>
          <w:ilvl w:val="0"/>
          <w:numId w:val="5"/>
        </w:numPr>
        <w:pBdr/>
        <w:tabs>
          <w:tab w:val="left" w:leader="none" w:pos="993"/>
        </w:tabs>
        <w:spacing w:after="120" w:before="120" w:line="331"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6"/>
        <w:numPr>
          <w:ilvl w:val="0"/>
          <w:numId w:val="5"/>
        </w:numPr>
        <w:pBdr/>
        <w:tabs>
          <w:tab w:val="left" w:leader="none" w:pos="993"/>
        </w:tabs>
        <w:spacing w:after="120" w:before="120" w:line="331"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6"/>
        <w:numPr>
          <w:ilvl w:val="0"/>
          <w:numId w:val="5"/>
        </w:numPr>
        <w:pBdr/>
        <w:tabs>
          <w:tab w:val="left" w:leader="none" w:pos="993"/>
        </w:tabs>
        <w:spacing w:after="120" w:before="120" w:line="331"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6"/>
        <w:numPr>
          <w:ilvl w:val="0"/>
          <w:numId w:val="10"/>
        </w:numPr>
        <w:pBdr/>
        <w:spacing w:after="120" w:before="120" w:line="331"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6"/>
        <w:numPr>
          <w:ilvl w:val="0"/>
          <w:numId w:val="10"/>
        </w:numPr>
        <w:pBdr/>
        <w:spacing w:after="120" w:before="120" w:line="331"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6"/>
        <w:numPr>
          <w:ilvl w:val="0"/>
          <w:numId w:val="10"/>
        </w:numPr>
        <w:pBdr/>
        <w:spacing w:after="120" w:before="120" w:line="331"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6"/>
        <w:pBdr/>
        <w:tabs>
          <w:tab w:val="left" w:leader="none" w:pos="993"/>
        </w:tabs>
        <w:spacing w:after="120" w:before="120" w:line="331"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6"/>
        <w:numPr>
          <w:ilvl w:val="0"/>
          <w:numId w:val="5"/>
        </w:numPr>
        <w:pBdr/>
        <w:tabs>
          <w:tab w:val="left" w:leader="none" w:pos="993"/>
        </w:tabs>
        <w:spacing w:after="120" w:before="120" w:line="331"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6"/>
        <w:numPr>
          <w:ilvl w:val="0"/>
          <w:numId w:val="5"/>
        </w:numPr>
        <w:pBdr/>
        <w:tabs>
          <w:tab w:val="left" w:leader="none" w:pos="993"/>
        </w:tabs>
        <w:spacing w:after="120" w:before="120" w:line="331"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6"/>
        <w:numPr>
          <w:ilvl w:val="0"/>
          <w:numId w:val="5"/>
        </w:numPr>
        <w:pBdr/>
        <w:tabs>
          <w:tab w:val="left" w:leader="none" w:pos="993"/>
        </w:tabs>
        <w:spacing w:after="120" w:before="120" w:line="331"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6"/>
        <w:numPr>
          <w:ilvl w:val="0"/>
          <w:numId w:val="5"/>
        </w:numPr>
        <w:pBdr/>
        <w:tabs>
          <w:tab w:val="left" w:leader="none" w:pos="993"/>
        </w:tabs>
        <w:spacing w:after="120" w:before="120" w:line="331"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6"/>
        <w:numPr>
          <w:ilvl w:val="0"/>
          <w:numId w:val="5"/>
        </w:numPr>
        <w:pBdr/>
        <w:tabs>
          <w:tab w:val="left" w:leader="none" w:pos="993"/>
        </w:tabs>
        <w:spacing w:after="120" w:before="120" w:line="331"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6"/>
        <w:numPr>
          <w:ilvl w:val="0"/>
          <w:numId w:val="5"/>
        </w:numPr>
        <w:pBdr/>
        <w:tabs>
          <w:tab w:val="left" w:leader="none" w:pos="993"/>
        </w:tabs>
        <w:spacing w:after="120" w:before="120" w:line="331"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6"/>
        <w:numPr>
          <w:ilvl w:val="0"/>
          <w:numId w:val="5"/>
        </w:numPr>
        <w:pBdr/>
        <w:spacing w:after="120" w:before="120" w:line="331"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6"/>
        <w:numPr>
          <w:ilvl w:val="0"/>
          <w:numId w:val="5"/>
        </w:numPr>
        <w:pBdr/>
        <w:tabs>
          <w:tab w:val="left" w:leader="none" w:pos="993"/>
        </w:tabs>
        <w:spacing w:after="120" w:before="120" w:line="331"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36"/>
        <w:numPr>
          <w:ilvl w:val="0"/>
          <w:numId w:val="5"/>
        </w:numPr>
        <w:pBdr/>
        <w:spacing w:after="120" w:before="120" w:line="331"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numPr>
          <w:ilvl w:val="0"/>
          <w:numId w:val="44"/>
        </w:numPr>
        <w:pBdr>
          <w:top w:val="none" w:color="000000" w:sz="4" w:space="0"/>
          <w:left w:val="none" w:color="000000" w:sz="4" w:space="0"/>
          <w:bottom w:val="none" w:color="000000" w:sz="4" w:space="0"/>
          <w:right w:val="none" w:color="000000" w:sz="4" w:space="0"/>
        </w:pBdr>
        <w:spacing w:after="120" w:before="120" w:line="331" w:lineRule="auto"/>
        <w:ind/>
        <w:jc w:val="both"/>
        <w:rPr>
          <w:color w:val="000000" w:themeColor="text1"/>
        </w:rPr>
      </w:pPr>
      <w:r>
        <w:rPr>
          <w:rFonts w:ascii="Times New Roman" w:hAnsi="Times New Roman" w:eastAsia="Times New Roman" w:cs="Times New Roman"/>
          <w:color w:val="000000" w:themeColor="text1"/>
          <w:spacing w:val="3"/>
          <w:sz w:val="23"/>
          <w:highlight w:val="none"/>
        </w:rPr>
        <w:t xml:space="preserve">Theo GCN, trên bất động sản là ngôi nhà c</w:t>
      </w:r>
      <w:r>
        <w:rPr>
          <w:rFonts w:ascii="Times New Roman" w:hAnsi="Times New Roman" w:eastAsia="Times New Roman" w:cs="Times New Roman"/>
          <w:color w:val="000000" w:themeColor="text1"/>
          <w:spacing w:val="3"/>
          <w:sz w:val="23"/>
          <w:highlight w:val="none"/>
        </w:rPr>
        <w:t xml:space="preserve">ấp</w:t>
      </w:r>
      <w:r>
        <w:rPr>
          <w:rFonts w:ascii="Times New Roman" w:hAnsi="Times New Roman" w:eastAsia="Times New Roman" w:cs="Times New Roman"/>
          <w:color w:val="000000" w:themeColor="text1"/>
          <w:spacing w:val="3"/>
          <w:sz w:val="23"/>
          <w:highlight w:val="none"/>
        </w:rPr>
        <w:t xml:space="preserve"> 4 (DTS = 18m</w:t>
      </w:r>
      <w:r>
        <w:rPr>
          <w:rFonts w:ascii="Times New Roman" w:hAnsi="Times New Roman" w:eastAsia="Times New Roman" w:cs="Times New Roman"/>
          <w:color w:val="000000" w:themeColor="text1"/>
          <w:spacing w:val="3"/>
          <w:sz w:val="23"/>
          <w:highlight w:val="none"/>
          <w:vertAlign w:val="superscript"/>
        </w:rPr>
        <w:t xml:space="preserve">2</w:t>
      </w:r>
      <w:r>
        <w:rPr>
          <w:rFonts w:ascii="Times New Roman" w:hAnsi="Times New Roman" w:eastAsia="Times New Roman" w:cs="Times New Roman"/>
          <w:color w:val="000000" w:themeColor="text1"/>
          <w:spacing w:val="3"/>
          <w:sz w:val="23"/>
          <w:highlight w:val="none"/>
        </w:rPr>
        <w:t xml:space="preserve">). Tuy nhiên, </w:t>
      </w:r>
      <w:r>
        <w:rPr>
          <w:rFonts w:ascii="Times New Roman" w:hAnsi="Times New Roman" w:eastAsia="Times New Roman" w:cs="Times New Roman"/>
          <w:color w:val="000000" w:themeColor="text1"/>
          <w:spacing w:val="3"/>
          <w:sz w:val="23"/>
          <w:highlight w:val="none"/>
        </w:rPr>
        <w:t xml:space="preserve">t</w:t>
      </w:r>
      <w:r>
        <w:rPr>
          <w:rFonts w:ascii="Times New Roman" w:hAnsi="Times New Roman" w:eastAsia="Times New Roman" w:cs="Times New Roman"/>
          <w:color w:val="000000" w:themeColor="text1"/>
          <w:spacing w:val="3"/>
          <w:sz w:val="23"/>
          <w:highlight w:val="white"/>
        </w:rPr>
        <w:t xml:space="preserve">ại thời điểm khảo sát, Tổ thẩm định xác nhận trên đất có CTXD nhà 02 tầng + 01 l</w:t>
      </w:r>
      <w:r>
        <w:rPr>
          <w:rFonts w:ascii="Times New Roman" w:hAnsi="Times New Roman" w:eastAsia="Times New Roman" w:cs="Times New Roman"/>
          <w:color w:val="000000" w:themeColor="text1"/>
          <w:spacing w:val="3"/>
          <w:sz w:val="23"/>
          <w:highlight w:val="white"/>
        </w:rPr>
        <w:t xml:space="preserve">ửng</w:t>
      </w:r>
      <w:r>
        <w:rPr>
          <w:rFonts w:ascii="Times New Roman" w:hAnsi="Times New Roman" w:eastAsia="Times New Roman" w:cs="Times New Roman"/>
          <w:color w:val="000000" w:themeColor="text1"/>
          <w:spacing w:val="3"/>
          <w:sz w:val="23"/>
          <w:highlight w:val="white"/>
        </w:rPr>
        <w:t xml:space="preserve">, diện tích xây dựng tầng 1 khoảng 75,1 m</w:t>
      </w:r>
      <w:r>
        <w:rPr>
          <w:rFonts w:ascii="Times New Roman" w:hAnsi="Times New Roman" w:eastAsia="Times New Roman" w:cs="Times New Roman"/>
          <w:color w:val="000000" w:themeColor="text1"/>
          <w:spacing w:val="3"/>
          <w:sz w:val="19"/>
          <w:highlight w:val="white"/>
          <w:vertAlign w:val="superscript"/>
        </w:rPr>
        <w:t xml:space="preserve">2</w:t>
      </w:r>
      <w:r>
        <w:rPr>
          <w:rFonts w:ascii="Times New Roman" w:hAnsi="Times New Roman" w:eastAsia="Times New Roman" w:cs="Times New Roman"/>
          <w:color w:val="000000" w:themeColor="text1"/>
          <w:spacing w:val="3"/>
          <w:sz w:val="23"/>
          <w:highlight w:val="white"/>
        </w:rPr>
        <w:t xml:space="preserve">. CTXD hoàn thiện n</w:t>
      </w:r>
      <w:r>
        <w:rPr>
          <w:rFonts w:ascii="Times New Roman" w:hAnsi="Times New Roman" w:eastAsia="Times New Roman" w:cs="Times New Roman"/>
          <w:color w:val="000000" w:themeColor="text1"/>
          <w:spacing w:val="3"/>
          <w:sz w:val="23"/>
          <w:highlight w:val="white"/>
        </w:rPr>
        <w:t xml:space="preserve">ă</w:t>
      </w:r>
      <w:r>
        <w:rPr>
          <w:rFonts w:ascii="Times New Roman" w:hAnsi="Times New Roman" w:eastAsia="Times New Roman" w:cs="Times New Roman"/>
          <w:color w:val="000000" w:themeColor="text1"/>
          <w:spacing w:val="3"/>
          <w:sz w:val="23"/>
          <w:highlight w:val="white"/>
        </w:rPr>
        <w:t xml:space="preserve">m 1997, công trình này chưa được cập nhật trên </w:t>
      </w:r>
      <w:r>
        <w:rPr>
          <w:rFonts w:ascii="Times New Roman" w:hAnsi="Times New Roman" w:eastAsia="Times New Roman" w:cs="Times New Roman"/>
          <w:color w:val="000000" w:themeColor="text1"/>
          <w:spacing w:val="3"/>
          <w:sz w:val="23"/>
          <w:highlight w:val="white"/>
        </w:rPr>
        <w:t xml:space="preserve">GCN </w:t>
      </w:r>
      <w:r>
        <w:rPr>
          <w:rFonts w:ascii="Times New Roman" w:hAnsi="Times New Roman" w:eastAsia="Times New Roman" w:cs="Times New Roman"/>
          <w:color w:val="000000" w:themeColor="text1"/>
          <w:spacing w:val="3"/>
          <w:sz w:val="23"/>
          <w:highlight w:val="white"/>
        </w:rPr>
        <w:t xml:space="preserve">QSDĐ</w:t>
      </w:r>
      <w:r>
        <w:rPr>
          <w:rFonts w:ascii="Times New Roman" w:hAnsi="Times New Roman" w:eastAsia="Times New Roman" w:cs="Times New Roman"/>
          <w:color w:val="000000" w:themeColor="text1"/>
          <w:spacing w:val="3"/>
          <w:sz w:val="23"/>
          <w:highlight w:val="white"/>
        </w:rPr>
        <w:t xml:space="preserve"> </w:t>
      </w:r>
      <w:r>
        <w:rPr>
          <w:rFonts w:ascii="Times New Roman" w:hAnsi="Times New Roman" w:eastAsia="Times New Roman" w:cs="Times New Roman"/>
          <w:color w:val="000000" w:themeColor="text1"/>
          <w:spacing w:val="3"/>
          <w:sz w:val="23"/>
          <w:highlight w:val="white"/>
        </w:rPr>
        <w:t xml:space="preserve">số</w:t>
      </w:r>
      <w:r>
        <w:rPr>
          <w:rFonts w:ascii="Times New Roman" w:hAnsi="Times New Roman" w:eastAsia="Times New Roman" w:cs="Times New Roman"/>
          <w:color w:val="000000" w:themeColor="text1"/>
          <w:spacing w:val="3"/>
          <w:sz w:val="23"/>
          <w:highlight w:val="white"/>
        </w:rPr>
        <w:t xml:space="preserve">: </w:t>
      </w:r>
      <w:r>
        <w:rPr>
          <w:b w:val="0"/>
          <w:bCs w:val="0"/>
          <w:color w:val="000000" w:themeColor="text1"/>
        </w:rPr>
        <w:t xml:space="preserve">DO 685643</w:t>
      </w:r>
      <w:r>
        <w:rPr>
          <w:rFonts w:ascii="Times New Roman" w:hAnsi="Times New Roman" w:eastAsia="Times New Roman" w:cs="Times New Roman"/>
          <w:color w:val="000000" w:themeColor="text1"/>
          <w:spacing w:val="3"/>
          <w:sz w:val="23"/>
          <w:highlight w:val="white"/>
        </w:rPr>
        <w:t xml:space="preserve">. Do vậy, theo đề nghị của Ngân hàng/Khách hàng, Tổ thẩm định không xác định giá trị công trình hiện có trên đất, nhưng vẫn coi đó là phần không thể tách rời của tải sản thẩm định. Đề nghị đơn vị sử dụng kết quả lưu ý.</w:t>
      </w:r>
      <w:r>
        <w:rPr>
          <w:color w:val="000000" w:themeColor="text1"/>
        </w:rPr>
      </w:r>
      <w:r>
        <w:rPr>
          <w:color w:val="000000" w:themeColor="text1"/>
        </w:rPr>
      </w:r>
    </w:p>
    <w:p>
      <w:pPr>
        <w:pStyle w:val="1036"/>
        <w:numPr>
          <w:ilvl w:val="0"/>
          <w:numId w:val="3"/>
        </w:numPr>
        <w:pBdr/>
        <w:tabs>
          <w:tab w:val="left" w:leader="none" w:pos="993"/>
        </w:tabs>
        <w:spacing w:after="120" w:before="120" w:line="331"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6"/>
        <w:numPr>
          <w:ilvl w:val="0"/>
          <w:numId w:val="5"/>
        </w:numPr>
        <w:pBdr/>
        <w:tabs>
          <w:tab w:val="left" w:leader="none" w:pos="993"/>
        </w:tabs>
        <w:spacing w:after="120" w:before="120" w:line="331"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6"/>
        <w:numPr>
          <w:ilvl w:val="0"/>
          <w:numId w:val="5"/>
        </w:numPr>
        <w:pBdr/>
        <w:tabs>
          <w:tab w:val="left" w:leader="none" w:pos="993"/>
        </w:tabs>
        <w:spacing w:after="120" w:before="120" w:line="331"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331"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6"/>
        <w:pBdr/>
        <w:tabs>
          <w:tab w:val="left" w:leader="none" w:pos="993"/>
        </w:tabs>
        <w:spacing w:after="120" w:before="120" w:line="331"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6"/>
        <w:pBdr/>
        <w:tabs>
          <w:tab w:val="left" w:leader="none" w:pos="993"/>
        </w:tabs>
        <w:spacing w:after="120" w:before="120" w:line="331"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6"/>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275/2026/1215/VFI-CT.T02</w:t>
      </w:r>
      <w:r>
        <w:rPr>
          <w:color w:val="ff0000"/>
          <w:lang w:val="vi-VN"/>
        </w:rPr>
        <w:t xml:space="preserve"> </w:t>
      </w:r>
      <w:r>
        <w:rPr>
          <w:color w:val="000000" w:themeColor="text1"/>
        </w:rPr>
        <w:t xml:space="preserve">ngày 06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Nga</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275/2026/1215/VFI-BC.T02</w:t>
      </w:r>
      <w:r>
        <w:rPr>
          <w:i/>
        </w:rPr>
        <w:t xml:space="preserve"> ngày</w:t>
      </w:r>
      <w:r>
        <w:rPr>
          <w:i/>
          <w:lang w:val="pt-BR"/>
        </w:rPr>
        <w:t xml:space="preserve"> 0</w:t>
      </w:r>
      <w:r>
        <w:rPr>
          <w:i/>
          <w:lang w:val="pt-BR"/>
        </w:rPr>
        <w:t xml:space="preserve">6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179722" cy="2556064"/>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797194" name=""/>
                              <pic:cNvPicPr>
                                <a:picLocks noChangeAspect="1"/>
                              </pic:cNvPicPr>
                              <pic:nvPr/>
                            </pic:nvPicPr>
                            <pic:blipFill rotWithShape="1">
                              <a:blip r:embed="rId19"/>
                              <a:stretch/>
                            </pic:blipFill>
                            <pic:spPr bwMode="auto">
                              <a:xfrm flipH="0" flipV="0">
                                <a:off x="0" y="0"/>
                                <a:ext cx="1179722" cy="255606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92.89pt;height:201.26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63189" cy="207239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868262" name=""/>
                              <pic:cNvPicPr>
                                <a:picLocks noChangeAspect="1"/>
                              </pic:cNvPicPr>
                              <pic:nvPr/>
                            </pic:nvPicPr>
                            <pic:blipFill rotWithShape="1">
                              <a:blip r:embed="rId20"/>
                              <a:stretch/>
                            </pic:blipFill>
                            <pic:spPr bwMode="auto">
                              <a:xfrm flipH="0" flipV="0">
                                <a:off x="0" y="0"/>
                                <a:ext cx="2763189" cy="20723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7.57pt;height:163.18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22585" cy="2041939"/>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516086" name=""/>
                              <pic:cNvPicPr>
                                <a:picLocks noChangeAspect="1"/>
                              </pic:cNvPicPr>
                              <pic:nvPr/>
                            </pic:nvPicPr>
                            <pic:blipFill rotWithShape="1">
                              <a:blip r:embed="rId21"/>
                              <a:stretch/>
                            </pic:blipFill>
                            <pic:spPr bwMode="auto">
                              <a:xfrm flipH="0" flipV="0">
                                <a:off x="0" y="0"/>
                                <a:ext cx="2722584" cy="204193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4.38pt;height:160.78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625210" cy="2166947"/>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753142" name=""/>
                              <pic:cNvPicPr>
                                <a:picLocks noChangeAspect="1"/>
                              </pic:cNvPicPr>
                              <pic:nvPr/>
                            </pic:nvPicPr>
                            <pic:blipFill rotWithShape="1">
                              <a:blip r:embed="rId22"/>
                              <a:stretch/>
                            </pic:blipFill>
                            <pic:spPr bwMode="auto">
                              <a:xfrm flipH="0" flipV="0">
                                <a:off x="0" y="0"/>
                                <a:ext cx="1625209" cy="216694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27.97pt;height:170.63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28180" cy="197113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918720" name=""/>
                              <pic:cNvPicPr>
                                <a:picLocks noChangeAspect="1"/>
                              </pic:cNvPicPr>
                              <pic:nvPr/>
                            </pic:nvPicPr>
                            <pic:blipFill rotWithShape="1">
                              <a:blip r:embed="rId23"/>
                              <a:stretch/>
                            </pic:blipFill>
                            <pic:spPr bwMode="auto">
                              <a:xfrm flipH="0" flipV="0">
                                <a:off x="0" y="0"/>
                                <a:ext cx="2628179" cy="19711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6.94pt;height:155.21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23295" cy="2117471"/>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989415" name=""/>
                              <pic:cNvPicPr>
                                <a:picLocks noChangeAspect="1"/>
                              </pic:cNvPicPr>
                              <pic:nvPr/>
                            </pic:nvPicPr>
                            <pic:blipFill rotWithShape="1">
                              <a:blip r:embed="rId24"/>
                              <a:stretch/>
                            </pic:blipFill>
                            <pic:spPr bwMode="auto">
                              <a:xfrm flipH="0" flipV="0">
                                <a:off x="0" y="0"/>
                                <a:ext cx="2823294" cy="21174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2.31pt;height:166.73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275/2026/1215/VFI-BC.T02</w:t>
      </w:r>
      <w:r>
        <w:rPr>
          <w:i/>
        </w:rPr>
        <w:t xml:space="preserve"> ngày</w:t>
      </w:r>
      <w:r>
        <w:rPr>
          <w:i/>
          <w:lang w:val="pt-BR"/>
        </w:rPr>
        <w:t xml:space="preserve"> 0</w:t>
      </w:r>
      <w:r>
        <w:rPr>
          <w:i/>
          <w:lang w:val="pt-BR"/>
        </w:rPr>
        <w:t xml:space="preserve">6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https://www.facebook.com/share/p/1H4XzMnUPQ/</w:t>
            </w:r>
            <w:r>
              <w:rPr>
                <w:color w:val="000000" w:themeColor="text1"/>
                <w:sz w:val="22"/>
                <w:szCs w:val="22"/>
              </w:rPr>
              <w:br/>
              <w:t xml:space="preserve">0961.296116</w:t>
            </w:r>
            <w:r>
              <w:rPr>
                <w:sz w:val="22"/>
                <w:szCs w:val="22"/>
              </w:rPr>
              <w:t xml:space="preserve"> </w:t>
            </w:r>
            <w:r>
              <w:rPr>
                <w:sz w:val="22"/>
                <w:szCs w:val="22"/>
              </w:rPr>
              <w:br/>
              <w:t xml:space="preserve">(Minh Đức Germany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10.440.000.000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Ngõ 210 P. Đức Giang, Phường Long Biên, Thành phố Hà Nội </w:t>
            </w:r>
            <w:r>
              <w:rPr>
                <w:color w:val="000000" w:themeColor="text1"/>
                <w:sz w:val="22"/>
                <w:szCs w:val="22"/>
              </w:rPr>
              <w:t xml:space="preserve">c</w:t>
            </w:r>
            <w:r>
              <w:rPr>
                <w:color w:val="000000" w:themeColor="text1"/>
                <w:sz w:val="22"/>
                <w:szCs w:val="22"/>
              </w:rPr>
              <w:t xml:space="preserve">ách đường Nam Đuống 500m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T</w:t>
            </w:r>
            <w:r>
              <w:rPr>
                <w:color w:val="000000"/>
                <w:sz w:val="22"/>
                <w:szCs w:val="22"/>
              </w:rPr>
              <w:t xml:space="preserve">ài</w:t>
            </w:r>
            <w:r>
              <w:rPr>
                <w:color w:val="000000"/>
                <w:sz w:val="22"/>
                <w:szCs w:val="22"/>
              </w:rPr>
              <w:t xml:space="preserve"> </w:t>
            </w:r>
            <w:r>
              <w:rPr>
                <w:color w:val="000000"/>
                <w:sz w:val="22"/>
                <w:szCs w:val="22"/>
              </w:rPr>
              <w:t xml:space="preserve">s</w:t>
            </w:r>
            <w:r>
              <w:rPr>
                <w:color w:val="000000"/>
                <w:sz w:val="22"/>
                <w:szCs w:val="22"/>
              </w:rPr>
              <w:t xml:space="preserve">ản</w:t>
            </w:r>
            <w:r>
              <w:rPr>
                <w:color w:val="000000"/>
                <w:sz w:val="22"/>
                <w:szCs w:val="22"/>
              </w:rPr>
              <w:t xml:space="preserve"> </w:t>
            </w:r>
            <w:r>
              <w:rPr>
                <w:color w:val="000000"/>
                <w:sz w:val="22"/>
                <w:szCs w:val="22"/>
              </w:rPr>
              <w:t xml:space="preserve">g</w:t>
            </w:r>
            <w:r>
              <w:rPr>
                <w:color w:val="000000"/>
                <w:sz w:val="22"/>
                <w:szCs w:val="22"/>
              </w:rPr>
            </w:r>
            <w:r>
              <w:rPr>
                <w:color w:val="000000"/>
                <w:sz w:val="22"/>
                <w:szCs w:val="22"/>
              </w:rPr>
              <w:t xml:space="preserve">ắn</w:t>
            </w:r>
            <w:r>
              <w:rPr>
                <w:color w:val="000000"/>
                <w:sz w:val="22"/>
                <w:szCs w:val="22"/>
              </w:rPr>
              <w:t xml:space="preserve"> </w:t>
            </w:r>
            <w:r>
              <w:rPr>
                <w:color w:val="000000"/>
                <w:sz w:val="22"/>
                <w:szCs w:val="22"/>
              </w:rPr>
              <w:t xml:space="preserve">li</w:t>
            </w:r>
            <w:r>
              <w:rPr>
                <w:color w:val="000000"/>
                <w:sz w:val="22"/>
                <w:szCs w:val="22"/>
              </w:rPr>
              <w:t xml:space="preserve">ền</w:t>
            </w:r>
            <w:r>
              <w:rPr>
                <w:color w:val="000000"/>
                <w:sz w:val="22"/>
                <w:szCs w:val="22"/>
              </w:rPr>
              <w:t xml:space="preserve"> </w:t>
            </w:r>
            <w:r>
              <w:rPr>
                <w:color w:val="000000"/>
                <w:sz w:val="22"/>
                <w:szCs w:val="22"/>
              </w:rPr>
              <w:t xml:space="preserve">v</w:t>
            </w:r>
            <w:r>
              <w:rPr>
                <w:color w:val="000000"/>
                <w:sz w:val="22"/>
                <w:szCs w:val="22"/>
              </w:rPr>
            </w:r>
            <w:r>
              <w:rPr>
                <w:color w:val="000000"/>
                <w:sz w:val="22"/>
                <w:szCs w:val="22"/>
              </w:rPr>
              <w:t xml:space="preserve">ới</w:t>
            </w:r>
            <w:r>
              <w:rPr>
                <w:color w:val="000000"/>
                <w:sz w:val="22"/>
                <w:szCs w:val="22"/>
              </w:rPr>
              <w:t xml:space="preserve"> </w:t>
            </w:r>
            <w:r>
              <w:rPr>
                <w:color w:val="000000"/>
                <w:sz w:val="22"/>
                <w:szCs w:val="22"/>
              </w:rPr>
              <w:t xml:space="preserve">đ</w:t>
            </w:r>
            <w:r>
              <w:rPr>
                <w:color w:val="000000"/>
                <w:sz w:val="22"/>
                <w:szCs w:val="22"/>
              </w:rPr>
            </w:r>
            <w:r>
              <w:rPr>
                <w:color w:val="000000"/>
                <w:sz w:val="22"/>
                <w:szCs w:val="22"/>
              </w:rPr>
              <w:t xml:space="preserve">ất</w:t>
            </w:r>
            <w:r>
              <w:rPr>
                <w:color w:val="000000"/>
                <w:sz w:val="22"/>
                <w:szCs w:val="22"/>
              </w:rPr>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Nh</w:t>
            </w:r>
            <w:r>
              <w:rPr>
                <w:color w:val="000000" w:themeColor="text1"/>
                <w:sz w:val="22"/>
                <w:szCs w:val="22"/>
              </w:rPr>
              <w:t xml:space="preserve">à</w:t>
            </w:r>
            <w:r>
              <w:rPr>
                <w:color w:val="000000" w:themeColor="text1"/>
                <w:sz w:val="22"/>
                <w:szCs w:val="22"/>
              </w:rPr>
              <w:t xml:space="preserve"> </w:t>
            </w:r>
            <w:r>
              <w:rPr>
                <w:color w:val="000000" w:themeColor="text1"/>
                <w:sz w:val="22"/>
                <w:szCs w:val="22"/>
              </w:rPr>
              <w:t xml:space="preserve">6 </w:t>
            </w:r>
            <w:r>
              <w:rPr>
                <w:color w:val="000000" w:themeColor="text1"/>
                <w:sz w:val="22"/>
                <w:szCs w:val="22"/>
              </w:rPr>
              <w:t xml:space="preserve">t</w:t>
            </w:r>
            <w:r>
              <w:rPr>
                <w:color w:val="000000" w:themeColor="text1"/>
                <w:sz w:val="22"/>
                <w:szCs w:val="22"/>
              </w:rPr>
            </w:r>
            <w:r>
              <w:rPr>
                <w:color w:val="000000" w:themeColor="text1"/>
                <w:sz w:val="22"/>
                <w:szCs w:val="22"/>
              </w:rPr>
              <w:t xml:space="preserve">ầng</w:t>
            </w: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thông </w:t>
            </w:r>
            <w:r>
              <w:rPr>
                <w:color w:val="000000"/>
                <w:sz w:val="22"/>
                <w:szCs w:val="22"/>
              </w:rPr>
              <w:t xml:space="preserve">tin </w:t>
            </w:r>
            <w:r>
              <w:rPr>
                <w:color w:val="000000"/>
                <w:sz w:val="22"/>
                <w:szCs w:val="22"/>
              </w:rPr>
              <w:t xml:space="preserve">khá</w:t>
            </w:r>
            <w:r>
              <w:rPr>
                <w:color w:val="000000"/>
                <w:sz w:val="22"/>
                <w:szCs w:val="22"/>
              </w:rPr>
              <w:t xml:space="preserve">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w:t>
            </w:r>
            <w:r>
              <w:rPr>
                <w:color w:val="000000" w:themeColor="text1"/>
                <w:sz w:val="22"/>
                <w:szCs w:val="22"/>
              </w:rPr>
              <w:t xml:space="preserve">có </w:t>
            </w:r>
            <w:r>
              <w:rPr>
                <w:color w:val="000000" w:themeColor="text1"/>
                <w:sz w:val="22"/>
                <w:szCs w:val="22"/>
              </w:rPr>
              <w:t xml:space="preserve">thang </w:t>
            </w:r>
            <w:r>
              <w:rPr>
                <w:color w:val="000000" w:themeColor="text1"/>
                <w:sz w:val="22"/>
                <w:szCs w:val="22"/>
              </w:rPr>
              <w:t xml:space="preserve">máy</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4688228" cy="2373497"/>
                      <wp:effectExtent l="0" t="0" r="0" b="0"/>
                      <wp:docPr id="13" name=""/>
                      <wp:cNvGraphicFramePr/>
                      <a:graphic xmlns:a="http://schemas.openxmlformats.org/drawingml/2006/main">
                        <a:graphicData uri="http://schemas.openxmlformats.org/drawingml/2006/picture">
                          <pic:pic xmlns:pic="http://schemas.openxmlformats.org/drawingml/2006/picture">
                            <pic:nvPicPr>
                              <pic:cNvPr id="1826407144" name="" descr=""/>
                              <pic:cNvPicPr/>
                              <pic:nvPr/>
                            </pic:nvPicPr>
                            <pic:blipFill rotWithShape="1">
                              <a:blip r:embed="rId25"/>
                              <a:stretch/>
                            </pic:blipFill>
                            <pic:spPr bwMode="auto">
                              <a:xfrm flipH="0" flipV="0">
                                <a:off x="0" y="0"/>
                                <a:ext cx="4688227" cy="237349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69.15pt;height:186.89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12.50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12.50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87.50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7.50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t xml:space="preserve">Nguyễn Thị Nga</w:t>
            </w:r>
            <w:r/>
          </w:p>
          <w:p>
            <w:pPr>
              <w:pBdr/>
              <w:spacing/>
              <w:ind/>
              <w:jc w:val="center"/>
              <w:rPr/>
            </w:pPr>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https://guland.vn/post/duc-gianglong-bien-nha-moi-o-ngay-gara-o-to-thang-may-dt40m2-gia-11-ty-1271371#</w:t>
            </w:r>
            <w:r>
              <w:rPr>
                <w:color w:val="000000" w:themeColor="text1"/>
                <w:sz w:val="22"/>
                <w:szCs w:val="22"/>
              </w:rPr>
              <w:br/>
              <w:t xml:space="preserve">0338.659286</w:t>
            </w:r>
            <w:r>
              <w:rPr>
                <w:sz w:val="22"/>
                <w:szCs w:val="22"/>
              </w:rPr>
              <w:t xml:space="preserve"> </w:t>
            </w:r>
            <w:r>
              <w:rPr>
                <w:sz w:val="22"/>
                <w:szCs w:val="22"/>
              </w:rPr>
              <w:br/>
              <w:t xml:space="preserve">(Hn Đức Trọng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9.900.000.000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Ngõ 210 P. Đức Giang, Phường Long Biên, Thành phố Hà Nội Cách đường Nam Đuống 600m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T</w:t>
            </w:r>
            <w:r>
              <w:rPr>
                <w:color w:val="000000"/>
                <w:sz w:val="22"/>
                <w:szCs w:val="22"/>
              </w:rPr>
              <w:t xml:space="preserve">ài</w:t>
            </w:r>
            <w:r>
              <w:rPr>
                <w:color w:val="000000"/>
                <w:sz w:val="22"/>
                <w:szCs w:val="22"/>
              </w:rPr>
              <w:t xml:space="preserve"> </w:t>
            </w:r>
            <w:r>
              <w:rPr>
                <w:color w:val="000000"/>
                <w:sz w:val="22"/>
                <w:szCs w:val="22"/>
              </w:rPr>
              <w:t xml:space="preserve">s</w:t>
            </w:r>
            <w:r>
              <w:rPr>
                <w:color w:val="000000"/>
                <w:sz w:val="22"/>
                <w:szCs w:val="22"/>
              </w:rPr>
              <w:t xml:space="preserve">ản</w:t>
            </w:r>
            <w:r>
              <w:rPr>
                <w:color w:val="000000"/>
                <w:sz w:val="22"/>
                <w:szCs w:val="22"/>
              </w:rPr>
              <w:t xml:space="preserve"> </w:t>
            </w:r>
            <w:r>
              <w:rPr>
                <w:color w:val="000000"/>
                <w:sz w:val="22"/>
                <w:szCs w:val="22"/>
              </w:rPr>
              <w:t xml:space="preserve">g</w:t>
            </w:r>
            <w:r>
              <w:rPr>
                <w:color w:val="000000"/>
                <w:sz w:val="22"/>
                <w:szCs w:val="22"/>
              </w:rPr>
            </w:r>
            <w:r>
              <w:rPr>
                <w:color w:val="000000"/>
                <w:sz w:val="22"/>
                <w:szCs w:val="22"/>
              </w:rPr>
              <w:t xml:space="preserve">ắn</w:t>
            </w:r>
            <w:r>
              <w:rPr>
                <w:color w:val="000000"/>
                <w:sz w:val="22"/>
                <w:szCs w:val="22"/>
              </w:rPr>
              <w:t xml:space="preserve"> </w:t>
            </w:r>
            <w:r>
              <w:rPr>
                <w:color w:val="000000"/>
                <w:sz w:val="22"/>
                <w:szCs w:val="22"/>
              </w:rPr>
              <w:t xml:space="preserve">li</w:t>
            </w:r>
            <w:r>
              <w:rPr>
                <w:color w:val="000000"/>
                <w:sz w:val="22"/>
                <w:szCs w:val="22"/>
              </w:rPr>
              <w:t xml:space="preserve">ền</w:t>
            </w:r>
            <w:r>
              <w:rPr>
                <w:color w:val="000000"/>
                <w:sz w:val="22"/>
                <w:szCs w:val="22"/>
              </w:rPr>
              <w:t xml:space="preserve"> </w:t>
            </w:r>
            <w:r>
              <w:rPr>
                <w:color w:val="000000"/>
                <w:sz w:val="22"/>
                <w:szCs w:val="22"/>
              </w:rPr>
              <w:t xml:space="preserve">v</w:t>
            </w:r>
            <w:r>
              <w:rPr>
                <w:color w:val="000000"/>
                <w:sz w:val="22"/>
                <w:szCs w:val="22"/>
              </w:rPr>
            </w:r>
            <w:r>
              <w:rPr>
                <w:color w:val="000000"/>
                <w:sz w:val="22"/>
                <w:szCs w:val="22"/>
              </w:rPr>
              <w:t xml:space="preserve">ới</w:t>
            </w:r>
            <w:r>
              <w:rPr>
                <w:color w:val="000000"/>
                <w:sz w:val="22"/>
                <w:szCs w:val="22"/>
              </w:rPr>
              <w:t xml:space="preserve"> </w:t>
            </w:r>
            <w:r>
              <w:rPr>
                <w:color w:val="000000"/>
                <w:sz w:val="22"/>
                <w:szCs w:val="22"/>
              </w:rPr>
              <w:t xml:space="preserve">đ</w:t>
            </w:r>
            <w:r>
              <w:rPr>
                <w:color w:val="000000"/>
                <w:sz w:val="22"/>
                <w:szCs w:val="22"/>
              </w:rPr>
            </w:r>
            <w:r>
              <w:rPr>
                <w:color w:val="000000"/>
                <w:sz w:val="22"/>
                <w:szCs w:val="22"/>
              </w:rPr>
              <w:t xml:space="preserve">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Nh</w:t>
            </w:r>
            <w:r>
              <w:rPr>
                <w:color w:val="000000" w:themeColor="text1"/>
                <w:sz w:val="22"/>
                <w:szCs w:val="22"/>
              </w:rPr>
              <w:t xml:space="preserve">à</w:t>
            </w:r>
            <w:r>
              <w:rPr>
                <w:color w:val="000000" w:themeColor="text1"/>
                <w:sz w:val="22"/>
                <w:szCs w:val="22"/>
              </w:rPr>
              <w:t xml:space="preserve"> </w:t>
            </w:r>
            <w:r>
              <w:rPr>
                <w:color w:val="000000" w:themeColor="text1"/>
                <w:sz w:val="22"/>
                <w:szCs w:val="22"/>
              </w:rPr>
              <w:t xml:space="preserve">6 </w:t>
            </w:r>
            <w:r>
              <w:rPr>
                <w:color w:val="000000" w:themeColor="text1"/>
                <w:sz w:val="22"/>
                <w:szCs w:val="22"/>
              </w:rPr>
              <w:t xml:space="preserve">t</w:t>
            </w:r>
            <w:r>
              <w:rPr>
                <w:color w:val="000000" w:themeColor="text1"/>
                <w:sz w:val="22"/>
                <w:szCs w:val="22"/>
              </w:rPr>
            </w:r>
            <w:r>
              <w:rPr>
                <w:color w:val="000000" w:themeColor="text1"/>
                <w:sz w:val="22"/>
                <w:szCs w:val="22"/>
              </w:rPr>
              <w:t xml:space="preserve">ầng</w:t>
            </w: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thông </w:t>
            </w:r>
            <w:r>
              <w:rPr>
                <w:color w:val="000000"/>
                <w:sz w:val="22"/>
                <w:szCs w:val="22"/>
              </w:rPr>
              <w:t xml:space="preserve">tin </w:t>
            </w:r>
            <w:r>
              <w:rPr>
                <w:color w:val="000000"/>
                <w:sz w:val="22"/>
                <w:szCs w:val="22"/>
              </w:rPr>
              <w:t xml:space="preserve">khác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w:t>
            </w:r>
            <w:r>
              <w:rPr>
                <w:color w:val="000000" w:themeColor="text1"/>
                <w:sz w:val="22"/>
                <w:szCs w:val="22"/>
              </w:rPr>
              <w:t xml:space="preserve">có </w:t>
            </w:r>
            <w:r>
              <w:rPr>
                <w:color w:val="000000" w:themeColor="text1"/>
                <w:sz w:val="22"/>
                <w:szCs w:val="22"/>
              </w:rPr>
              <w:t xml:space="preserve">thang </w:t>
            </w:r>
            <w:r>
              <w:rPr>
                <w:color w:val="000000" w:themeColor="text1"/>
                <w:sz w:val="22"/>
                <w:szCs w:val="22"/>
              </w:rPr>
              <w:t xml:space="preserve">máy</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103398"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610339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80.58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029054" cy="2456176"/>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2029053" cy="245617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59.77pt;height:193.4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33667" cy="2456176"/>
                      <wp:effectExtent l="0" t="0" r="0" b="0"/>
                      <wp:docPr id="20" name=""/>
                      <wp:cNvGraphicFramePr/>
                      <a:graphic xmlns:a="http://schemas.openxmlformats.org/drawingml/2006/main">
                        <a:graphicData uri="http://schemas.openxmlformats.org/drawingml/2006/picture">
                          <pic:pic xmlns:pic="http://schemas.openxmlformats.org/drawingml/2006/picture">
                            <pic:nvPicPr>
                              <pic:cNvPr id="1679801171" name="" descr=""/>
                              <pic:cNvPicPr/>
                              <pic:nvPr/>
                            </pic:nvPicPr>
                            <pic:blipFill rotWithShape="1">
                              <a:blip r:embed="rId32"/>
                              <a:stretch/>
                            </pic:blipFill>
                            <pic:spPr bwMode="auto">
                              <a:xfrm rot="0" flipH="0" flipV="0">
                                <a:off x="0" y="0"/>
                                <a:ext cx="2633667" cy="245617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07.38pt;height:193.40pt;mso-wrap-distance-left:0.00pt;mso-wrap-distance-top:0.00pt;mso-wrap-distance-right:0.00pt;mso-wrap-distance-bottom:0.00pt;rotation:0;z-index:1;" stroked="false">
                      <v:imagedata r:id="rId32"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t xml:space="preserve">Nguyễn Thị Nga</w:t>
            </w:r>
            <w:r/>
          </w:p>
        </w:tc>
      </w:tr>
      <w:tr>
        <w:trPr>
          <w:trHeight w:val="298"/>
        </w:trPr>
        <w:tc>
          <w:tcPr>
            <w:tcBorders/>
            <w:tcW w:w="4358" w:type="dxa"/>
            <w:vAlign w:val="bottom"/>
            <w:textDirection w:val="lrTb"/>
            <w:noWrap w:val="false"/>
          </w:tcPr>
          <w:p>
            <w:pPr>
              <w:pBdr/>
              <w:spacing/>
              <w:ind/>
              <w:rPr>
                <w:b/>
                <w:bCs/>
              </w:rPr>
            </w:pPr>
            <w:r>
              <w:rPr>
                <w:b/>
                <w:bCs/>
              </w:rPr>
            </w:r>
            <w:r>
              <w:rPr>
                <w:b/>
                <w:bCs/>
              </w:rPr>
            </w:r>
            <w:r>
              <w:rPr>
                <w:b/>
                <w:bCs/>
              </w:rPr>
            </w:r>
          </w:p>
        </w:tc>
        <w:tc>
          <w:tcPr>
            <w:tcBorders/>
            <w:tcW w:w="4701" w:type="dxa"/>
            <w:vAlign w:val="center"/>
            <w:textDirection w:val="lrTb"/>
            <w:noWrap/>
          </w:tcPr>
          <w:p>
            <w:pPr>
              <w:pBdr/>
              <w:spacing/>
              <w:ind/>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0961.296116</w:t>
            </w:r>
            <w:r>
              <w:rPr>
                <w:sz w:val="22"/>
                <w:szCs w:val="22"/>
              </w:rPr>
              <w:t xml:space="preserve"> </w:t>
            </w:r>
            <w:r>
              <w:rPr>
                <w:sz w:val="22"/>
                <w:szCs w:val="22"/>
              </w:rPr>
              <w:br/>
              <w:t xml:space="preserve">(Minh Đức Germany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(47.9m²)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Ngõ 97 P. Đức Giang, Phường Long Biên, Thành phố Hà Nội, khoảng cách ra đường chính cách đường Lý Sơn 200m, độ rộng đường trước mặt tài sản 20m, mặt tiền 3.6m, 21.064494187470554, 105.88470694471506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47,9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T</w:t>
            </w:r>
            <w:r>
              <w:rPr>
                <w:color w:val="000000"/>
                <w:sz w:val="22"/>
                <w:szCs w:val="22"/>
              </w:rPr>
              <w:t xml:space="preserve">ài</w:t>
            </w:r>
            <w:r>
              <w:rPr>
                <w:color w:val="000000"/>
                <w:sz w:val="22"/>
                <w:szCs w:val="22"/>
              </w:rPr>
              <w:t xml:space="preserve"> s</w:t>
            </w:r>
            <w:r>
              <w:rPr>
                <w:color w:val="000000"/>
                <w:sz w:val="22"/>
                <w:szCs w:val="22"/>
              </w:rPr>
              <w:t xml:space="preserve">ản</w:t>
            </w:r>
            <w:r>
              <w:rPr>
                <w:color w:val="000000"/>
                <w:sz w:val="22"/>
                <w:szCs w:val="22"/>
              </w:rPr>
              <w:t xml:space="preserve"> g</w:t>
            </w:r>
            <w:r>
              <w:rPr>
                <w:color w:val="000000"/>
                <w:sz w:val="22"/>
                <w:szCs w:val="22"/>
              </w:rPr>
            </w:r>
            <w:r>
              <w:rPr>
                <w:color w:val="000000"/>
                <w:sz w:val="22"/>
                <w:szCs w:val="22"/>
              </w:rPr>
              <w:t xml:space="preserve">ắn</w:t>
            </w:r>
            <w:r>
              <w:rPr>
                <w:color w:val="000000"/>
                <w:sz w:val="22"/>
                <w:szCs w:val="22"/>
              </w:rPr>
              <w:t xml:space="preserve"> li</w:t>
            </w:r>
            <w:r>
              <w:rPr>
                <w:color w:val="000000"/>
                <w:sz w:val="22"/>
                <w:szCs w:val="22"/>
              </w:rPr>
            </w:r>
            <w:r>
              <w:rPr>
                <w:color w:val="000000"/>
                <w:sz w:val="22"/>
                <w:szCs w:val="22"/>
              </w:rPr>
              <w:t xml:space="preserve">ền</w:t>
            </w:r>
            <w:r>
              <w:rPr>
                <w:color w:val="000000"/>
                <w:sz w:val="22"/>
                <w:szCs w:val="22"/>
              </w:rPr>
              <w:t xml:space="preserve"> v</w:t>
            </w:r>
            <w:r>
              <w:rPr>
                <w:color w:val="000000"/>
                <w:sz w:val="22"/>
                <w:szCs w:val="22"/>
              </w:rPr>
            </w:r>
            <w:r>
              <w:rPr>
                <w:color w:val="000000"/>
                <w:sz w:val="22"/>
                <w:szCs w:val="22"/>
              </w:rPr>
              <w:t xml:space="preserve">ới</w:t>
            </w:r>
            <w:r>
              <w:rPr>
                <w:color w:val="000000"/>
                <w:sz w:val="22"/>
                <w:szCs w:val="22"/>
              </w:rPr>
              <w:t xml:space="preserve"> </w:t>
            </w:r>
            <w:r>
              <w:rPr>
                <w:color w:val="000000"/>
                <w:sz w:val="22"/>
                <w:szCs w:val="22"/>
              </w:rPr>
              <w:t xml:space="preserve">đ</w:t>
            </w:r>
            <w:r>
              <w:rPr>
                <w:color w:val="000000"/>
                <w:sz w:val="22"/>
                <w:szCs w:val="22"/>
              </w:rPr>
            </w:r>
            <w:r>
              <w:rPr>
                <w:color w:val="000000"/>
                <w:sz w:val="22"/>
                <w:szCs w:val="22"/>
              </w:rPr>
              <w:t xml:space="preserve">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Nh</w:t>
            </w:r>
            <w:r>
              <w:rPr>
                <w:color w:val="000000" w:themeColor="text1"/>
                <w:sz w:val="22"/>
                <w:szCs w:val="22"/>
              </w:rPr>
              <w:t xml:space="preserve">à</w:t>
            </w:r>
            <w:r>
              <w:rPr>
                <w:color w:val="000000" w:themeColor="text1"/>
                <w:sz w:val="22"/>
                <w:szCs w:val="22"/>
              </w:rPr>
              <w:t xml:space="preserve"> 4 t</w:t>
            </w:r>
            <w:r>
              <w:rPr>
                <w:color w:val="000000" w:themeColor="text1"/>
                <w:sz w:val="22"/>
                <w:szCs w:val="22"/>
              </w:rPr>
            </w:r>
            <w:r>
              <w:rPr>
                <w:color w:val="000000" w:themeColor="text1"/>
                <w:sz w:val="22"/>
                <w:szCs w:val="22"/>
              </w:rPr>
              <w:t xml:space="preserve">ầng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thông </w:t>
            </w:r>
            <w:r>
              <w:rPr>
                <w:color w:val="000000"/>
                <w:sz w:val="22"/>
                <w:szCs w:val="22"/>
              </w:rPr>
              <w:t xml:space="preserve">tin </w:t>
            </w:r>
            <w:r>
              <w:rPr>
                <w:color w:val="000000"/>
                <w:sz w:val="22"/>
                <w:szCs w:val="22"/>
              </w:rPr>
              <w:t xml:space="preserve">khác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w:t>
            </w:r>
            <w:r>
              <w:rPr>
                <w:color w:val="000000" w:themeColor="text1"/>
                <w:sz w:val="22"/>
                <w:szCs w:val="22"/>
              </w:rPr>
              <w:t xml:space="preserve">không </w:t>
            </w:r>
            <w:r>
              <w:rPr>
                <w:color w:val="000000" w:themeColor="text1"/>
                <w:sz w:val="22"/>
                <w:szCs w:val="22"/>
              </w:rPr>
              <w:t xml:space="preserve">thang </w:t>
            </w:r>
            <w:r>
              <w:rPr>
                <w:color w:val="000000" w:themeColor="text1"/>
                <w:sz w:val="22"/>
                <w:szCs w:val="22"/>
              </w:rPr>
              <w:t xml:space="preserve">máy</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12.50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8750"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12.50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8750"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12.50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65385" cy="2919402"/>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1465384" cy="291940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15.38pt;height:229.87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114607" cy="2919402"/>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flipH="0" flipV="0">
                                <a:off x="0" y="0"/>
                                <a:ext cx="2114606" cy="291940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66.50pt;height:229.87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757540" cy="2919402"/>
                      <wp:effectExtent l="0" t="0" r="0" b="0"/>
                      <wp:docPr id="26" name=""/>
                      <wp:cNvGraphicFramePr/>
                      <a:graphic xmlns:a="http://schemas.openxmlformats.org/drawingml/2006/main">
                        <a:graphicData uri="http://schemas.openxmlformats.org/drawingml/2006/picture">
                          <pic:pic xmlns:pic="http://schemas.openxmlformats.org/drawingml/2006/picture">
                            <pic:nvPicPr>
                              <pic:cNvPr id="1027554477" name="" descr=""/>
                              <pic:cNvPicPr/>
                              <pic:nvPr/>
                            </pic:nvPicPr>
                            <pic:blipFill rotWithShape="1">
                              <a:blip r:embed="rId38"/>
                              <a:stretch/>
                            </pic:blipFill>
                            <pic:spPr bwMode="auto">
                              <a:xfrm flipH="0" flipV="0">
                                <a:off x="0" y="0"/>
                                <a:ext cx="1757539" cy="291940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38.39pt;height:229.87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Nga</w:t>
            </w: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iCs/>
          <w:highlight w:val="none"/>
          <w:lang w:val="pt-BR"/>
        </w:rPr>
      </w:pPr>
      <w:r>
        <w:rPr>
          <w:b/>
          <w:bCs/>
          <w:iCs/>
          <w:lang w:val="pt-BR"/>
        </w:rPr>
        <w:t xml:space="preserve">HỒ </w:t>
      </w:r>
      <w:r>
        <w:rPr>
          <w:b/>
          <w:bCs/>
          <w:iCs/>
          <w:lang w:val="pt-BR"/>
        </w:rPr>
        <w:t xml:space="preserve">SƠ </w:t>
      </w:r>
      <w:r>
        <w:rPr>
          <w:b/>
          <w:bCs/>
          <w:iCs/>
          <w:lang w:val="pt-BR"/>
        </w:rPr>
        <w:t xml:space="preserve">PHÁP </w:t>
      </w:r>
      <w:r>
        <w:rPr>
          <w:b/>
          <w:bCs/>
          <w:iCs/>
          <w:lang w:val="pt-BR"/>
        </w:rPr>
        <w:t xml:space="preserve">LÝ</w:t>
      </w:r>
      <w:r>
        <w:rPr>
          <w:b/>
          <w:bCs/>
          <w:iCs/>
          <w:highlight w:val="none"/>
          <w:lang w:val="pt-BR"/>
        </w:rPr>
      </w:r>
      <w:r>
        <w:rPr>
          <w:b/>
          <w:bCs/>
          <w:iCs/>
          <w:highlight w:val="none"/>
          <w:lang w:val="pt-BR"/>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209197" name=""/>
                        <pic:cNvPicPr>
                          <a:picLocks noChangeAspect="1"/>
                        </pic:cNvPicPr>
                        <pic:nvPr/>
                      </pic:nvPicPr>
                      <pic:blipFill rotWithShape="1">
                        <a:blip r:embed="rId39"/>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76.25pt;height:635.00pt;mso-wrap-distance-left:0.00pt;mso-wrap-distance-top:0.00pt;mso-wrap-distance-right:0.00pt;mso-wrap-distance-bottom:0.00pt;z-index:1;" stroked="false">
                <v:imagedata r:id="rId39"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881839" name=""/>
                        <pic:cNvPicPr>
                          <a:picLocks noChangeAspect="1"/>
                        </pic:cNvPicPr>
                        <pic:nvPr/>
                      </pic:nvPicPr>
                      <pic:blipFill rotWithShape="1">
                        <a:blip r:embed="rId40"/>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76.25pt;height:635.00pt;mso-wrap-distance-left:0.00pt;mso-wrap-distance-top:0.00pt;mso-wrap-distance-right:0.00pt;mso-wrap-distance-bottom:0.00pt;z-index:1;" stroked="false">
                <v:imagedata r:id="rId40"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lang w:val="pt-BR"/>
        </w:rPr>
      </w:pPr>
      <w:r>
        <w:rPr>
          <w:b/>
          <w:bCs/>
          <w:iCs/>
          <w:highlight w:val="none"/>
          <w:lang w:val="pt-BR"/>
        </w:rPr>
        <w:t xml:space="preserve">BIÊN </w:t>
      </w:r>
      <w:r>
        <w:rPr>
          <w:b/>
          <w:bCs/>
          <w:iCs/>
          <w:highlight w:val="none"/>
          <w:lang w:val="pt-BR"/>
        </w:rPr>
        <w:t xml:space="preserve">BẢN </w:t>
      </w:r>
      <w:r>
        <w:rPr>
          <w:b/>
          <w:bCs/>
          <w:iCs/>
          <w:highlight w:val="none"/>
          <w:lang w:val="pt-BR"/>
        </w:rPr>
        <w:t xml:space="preserve">KHẢO </w:t>
      </w:r>
      <w:r>
        <w:rPr>
          <w:b/>
          <w:bCs/>
          <w:iCs/>
          <w:highlight w:val="none"/>
          <w:lang w:val="pt-BR"/>
        </w:rPr>
        <w:t xml:space="preserve">SÁT</w:t>
      </w:r>
      <w:r>
        <w:rPr>
          <w:b/>
          <w:bCs/>
          <w:highlight w:val="none"/>
          <w:lang w:val="pt-BR"/>
        </w:rPr>
      </w:r>
      <w:r>
        <w:rPr>
          <w:b/>
          <w:bCs/>
          <w:highlight w:val="none"/>
          <w:lang w:val="pt-BR"/>
        </w:rPr>
      </w:r>
    </w:p>
    <w:p>
      <w:pPr>
        <w:pBdr/>
        <w:spacing w:after="200" w:line="276" w:lineRule="auto"/>
        <w:ind/>
        <w:jc w:val="center"/>
        <w:rPr>
          <w:b/>
          <w:bCs/>
          <w:highlight w:val="none"/>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920486" name=""/>
                        <pic:cNvPicPr>
                          <a:picLocks noChangeAspect="1"/>
                        </pic:cNvPicPr>
                        <pic:nvPr/>
                      </pic:nvPicPr>
                      <pic:blipFill rotWithShape="1">
                        <a:blip r:embed="rId41"/>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476.25pt;height:635.00pt;mso-wrap-distance-left:0.00pt;mso-wrap-distance-top:0.00pt;mso-wrap-distance-right:0.00pt;mso-wrap-distance-bottom:0.00pt;z-index:1;" stroked="false">
                <v:imagedata r:id="rId41" o:title=""/>
                <o:lock v:ext="edit" rotation="t"/>
              </v:shape>
            </w:pict>
          </mc:Fallback>
        </mc:AlternateContent>
      </w:r>
      <w:r>
        <w:rPr>
          <w:b/>
          <w:bCs/>
          <w:highlight w:val="none"/>
        </w:rPr>
      </w:r>
      <w:r>
        <w:rPr>
          <w:b/>
          <w:bCs/>
          <w:highlight w:val="none"/>
        </w:rPr>
      </w:r>
    </w:p>
    <w:p>
      <w:pPr>
        <w:pBdr/>
        <w:spacing w:after="200" w:line="276" w:lineRule="auto"/>
        <w:ind/>
        <w:rPr>
          <w:lang w:val="pt-BR"/>
        </w:rPr>
      </w:pPr>
      <w:r>
        <w:rPr>
          <w:iCs/>
          <w:highlight w:val="none"/>
          <w:lang w:val="pt-BR" w:bidi="pt-BR"/>
        </w:rPr>
      </w:r>
      <w:r>
        <w:rPr>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56DB9ED0"/>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7E137CDE"/>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7E137CDE"/>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0">
    <w:nsid w:val="7E137CDE"/>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7E137CDE"/>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num w:numId="4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8">
    <w:name w:val="Table Grid Light"/>
    <w:basedOn w:val="102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1"/>
    <w:basedOn w:val="102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2"/>
    <w:basedOn w:val="102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3"/>
    <w:basedOn w:val="102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4"/>
    <w:basedOn w:val="102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5"/>
    <w:basedOn w:val="102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w:basedOn w:val="102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1"/>
    <w:basedOn w:val="102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2"/>
    <w:basedOn w:val="102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3"/>
    <w:basedOn w:val="102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4"/>
    <w:basedOn w:val="102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5"/>
    <w:basedOn w:val="102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6"/>
    <w:basedOn w:val="102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w:basedOn w:val="102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1"/>
    <w:basedOn w:val="102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2"/>
    <w:basedOn w:val="102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3"/>
    <w:basedOn w:val="102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4"/>
    <w:basedOn w:val="102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5"/>
    <w:basedOn w:val="102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6"/>
    <w:basedOn w:val="102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w:basedOn w:val="102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1"/>
    <w:basedOn w:val="102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2"/>
    <w:basedOn w:val="102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3"/>
    <w:basedOn w:val="102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4"/>
    <w:basedOn w:val="102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5"/>
    <w:basedOn w:val="102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6"/>
    <w:basedOn w:val="102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w:basedOn w:val="102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1"/>
    <w:basedOn w:val="102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2"/>
    <w:basedOn w:val="102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3"/>
    <w:basedOn w:val="102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4"/>
    <w:basedOn w:val="102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5"/>
    <w:basedOn w:val="102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6"/>
    <w:basedOn w:val="102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Accent 1"/>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2"/>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3"/>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Accent 4"/>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5"/>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6"/>
    <w:basedOn w:val="102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6 Colorful"/>
    <w:basedOn w:val="102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0">
    <w:name w:val="Grid Table 6 Colorful - Accent 1"/>
    <w:basedOn w:val="102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1">
    <w:name w:val="Grid Table 6 Colorful - Accent 2"/>
    <w:basedOn w:val="102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2">
    <w:name w:val="Grid Table 6 Colorful - Accent 3"/>
    <w:basedOn w:val="102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3">
    <w:name w:val="Grid Table 6 Colorful - Accent 4"/>
    <w:basedOn w:val="102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4">
    <w:name w:val="Grid Table 6 Colorful - Accent 5"/>
    <w:basedOn w:val="102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6 Colorful - Accent 6"/>
    <w:basedOn w:val="102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6">
    <w:name w:val="Grid Table 7 Colorful"/>
    <w:basedOn w:val="102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1"/>
    <w:basedOn w:val="102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2"/>
    <w:basedOn w:val="102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3"/>
    <w:basedOn w:val="102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4"/>
    <w:basedOn w:val="102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5"/>
    <w:basedOn w:val="102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6"/>
    <w:basedOn w:val="102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1"/>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2"/>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3"/>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4"/>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5"/>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6"/>
    <w:basedOn w:val="102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w:basedOn w:val="102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1"/>
    <w:basedOn w:val="102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2"/>
    <w:basedOn w:val="102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3"/>
    <w:basedOn w:val="102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4"/>
    <w:basedOn w:val="102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5"/>
    <w:basedOn w:val="102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6"/>
    <w:basedOn w:val="102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w:basedOn w:val="102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1"/>
    <w:basedOn w:val="102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2"/>
    <w:basedOn w:val="102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3"/>
    <w:basedOn w:val="102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4"/>
    <w:basedOn w:val="102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5"/>
    <w:basedOn w:val="102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6"/>
    <w:basedOn w:val="102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w:basedOn w:val="102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1"/>
    <w:basedOn w:val="102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2"/>
    <w:basedOn w:val="102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3"/>
    <w:basedOn w:val="102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4"/>
    <w:basedOn w:val="102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5"/>
    <w:basedOn w:val="102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6"/>
    <w:basedOn w:val="102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5 Dark"/>
    <w:basedOn w:val="102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1"/>
    <w:basedOn w:val="102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2"/>
    <w:basedOn w:val="102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3"/>
    <w:basedOn w:val="102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4"/>
    <w:basedOn w:val="102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5"/>
    <w:basedOn w:val="102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6"/>
    <w:basedOn w:val="102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6 Colorful"/>
    <w:basedOn w:val="102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1"/>
    <w:basedOn w:val="102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2"/>
    <w:basedOn w:val="102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3"/>
    <w:basedOn w:val="102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4"/>
    <w:basedOn w:val="102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5"/>
    <w:basedOn w:val="102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6"/>
    <w:basedOn w:val="102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7 Colorful"/>
    <w:basedOn w:val="102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6">
    <w:name w:val="List Table 7 Colorful - Accent 1"/>
    <w:basedOn w:val="102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7">
    <w:name w:val="List Table 7 Colorful - Accent 2"/>
    <w:basedOn w:val="102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8">
    <w:name w:val="List Table 7 Colorful - Accent 3"/>
    <w:basedOn w:val="102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9">
    <w:name w:val="List Table 7 Colorful - Accent 4"/>
    <w:basedOn w:val="102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0">
    <w:name w:val="List Table 7 Colorful - Accent 5"/>
    <w:basedOn w:val="102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1">
    <w:name w:val="List Table 7 Colorful - Accent 6"/>
    <w:basedOn w:val="102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2">
    <w:name w:val="Lined - Accent"/>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1"/>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2"/>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3"/>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4"/>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5"/>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6"/>
    <w:basedOn w:val="102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w:basedOn w:val="102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1"/>
    <w:basedOn w:val="102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2"/>
    <w:basedOn w:val="102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3"/>
    <w:basedOn w:val="102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4"/>
    <w:basedOn w:val="102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5"/>
    <w:basedOn w:val="102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6"/>
    <w:basedOn w:val="102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w:basedOn w:val="102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1"/>
    <w:basedOn w:val="102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2"/>
    <w:basedOn w:val="102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3"/>
    <w:basedOn w:val="102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4"/>
    <w:basedOn w:val="102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5"/>
    <w:basedOn w:val="102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6"/>
    <w:basedOn w:val="102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3">
    <w:name w:val="Heading 5"/>
    <w:basedOn w:val="1014"/>
    <w:next w:val="1014"/>
    <w:link w:val="9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4">
    <w:name w:val="Heading 6"/>
    <w:basedOn w:val="1014"/>
    <w:next w:val="1014"/>
    <w:link w:val="9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5">
    <w:name w:val="Heading 7"/>
    <w:basedOn w:val="1014"/>
    <w:next w:val="1014"/>
    <w:link w:val="9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6">
    <w:name w:val="Heading 8"/>
    <w:basedOn w:val="1014"/>
    <w:next w:val="1014"/>
    <w:link w:val="9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7">
    <w:name w:val="Heading 9"/>
    <w:basedOn w:val="1014"/>
    <w:next w:val="1014"/>
    <w:link w:val="9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8">
    <w:name w:val="Heading 5 Char"/>
    <w:basedOn w:val="1019"/>
    <w:link w:val="973"/>
    <w:uiPriority w:val="9"/>
    <w:pPr>
      <w:pBdr/>
      <w:spacing/>
      <w:ind/>
    </w:pPr>
    <w:rPr>
      <w:rFonts w:ascii="Arial" w:hAnsi="Arial" w:eastAsia="Arial" w:cs="Arial"/>
      <w:color w:val="0f4761" w:themeColor="accent1" w:themeShade="BF"/>
    </w:rPr>
  </w:style>
  <w:style w:type="character" w:styleId="979">
    <w:name w:val="Heading 6 Char"/>
    <w:basedOn w:val="1019"/>
    <w:link w:val="974"/>
    <w:uiPriority w:val="9"/>
    <w:pPr>
      <w:pBdr/>
      <w:spacing/>
      <w:ind/>
    </w:pPr>
    <w:rPr>
      <w:rFonts w:ascii="Arial" w:hAnsi="Arial" w:eastAsia="Arial" w:cs="Arial"/>
      <w:i/>
      <w:iCs/>
      <w:color w:val="595959" w:themeColor="text1" w:themeTint="A6"/>
    </w:rPr>
  </w:style>
  <w:style w:type="character" w:styleId="980">
    <w:name w:val="Heading 7 Char"/>
    <w:basedOn w:val="1019"/>
    <w:link w:val="975"/>
    <w:uiPriority w:val="9"/>
    <w:pPr>
      <w:pBdr/>
      <w:spacing/>
      <w:ind/>
    </w:pPr>
    <w:rPr>
      <w:rFonts w:ascii="Arial" w:hAnsi="Arial" w:eastAsia="Arial" w:cs="Arial"/>
      <w:color w:val="595959" w:themeColor="text1" w:themeTint="A6"/>
    </w:rPr>
  </w:style>
  <w:style w:type="character" w:styleId="981">
    <w:name w:val="Heading 8 Char"/>
    <w:basedOn w:val="1019"/>
    <w:link w:val="976"/>
    <w:uiPriority w:val="9"/>
    <w:pPr>
      <w:pBdr/>
      <w:spacing/>
      <w:ind/>
    </w:pPr>
    <w:rPr>
      <w:rFonts w:ascii="Arial" w:hAnsi="Arial" w:eastAsia="Arial" w:cs="Arial"/>
      <w:i/>
      <w:iCs/>
      <w:color w:val="272727" w:themeColor="text1" w:themeTint="D8"/>
    </w:rPr>
  </w:style>
  <w:style w:type="character" w:styleId="982">
    <w:name w:val="Heading 9 Char"/>
    <w:basedOn w:val="1019"/>
    <w:link w:val="977"/>
    <w:uiPriority w:val="9"/>
    <w:pPr>
      <w:pBdr/>
      <w:spacing/>
      <w:ind/>
    </w:pPr>
    <w:rPr>
      <w:rFonts w:ascii="Arial" w:hAnsi="Arial" w:eastAsia="Arial" w:cs="Arial"/>
      <w:i/>
      <w:iCs/>
      <w:color w:val="272727" w:themeColor="text1" w:themeTint="D8"/>
    </w:rPr>
  </w:style>
  <w:style w:type="paragraph" w:styleId="983">
    <w:name w:val="Subtitle"/>
    <w:basedOn w:val="1014"/>
    <w:next w:val="1014"/>
    <w:link w:val="984"/>
    <w:uiPriority w:val="11"/>
    <w:qFormat/>
    <w:pPr>
      <w:numPr>
        <w:ilvl w:val="1"/>
      </w:numPr>
      <w:pBdr/>
      <w:spacing/>
      <w:ind/>
    </w:pPr>
    <w:rPr>
      <w:color w:val="595959" w:themeColor="text1" w:themeTint="A6"/>
      <w:spacing w:val="15"/>
      <w:sz w:val="28"/>
      <w:szCs w:val="28"/>
    </w:rPr>
  </w:style>
  <w:style w:type="character" w:styleId="984">
    <w:name w:val="Subtitle Char"/>
    <w:basedOn w:val="1019"/>
    <w:link w:val="983"/>
    <w:uiPriority w:val="11"/>
    <w:pPr>
      <w:pBdr/>
      <w:spacing/>
      <w:ind/>
    </w:pPr>
    <w:rPr>
      <w:color w:val="595959" w:themeColor="text1" w:themeTint="A6"/>
      <w:spacing w:val="15"/>
      <w:sz w:val="28"/>
      <w:szCs w:val="28"/>
    </w:rPr>
  </w:style>
  <w:style w:type="paragraph" w:styleId="985">
    <w:name w:val="Quote"/>
    <w:basedOn w:val="1014"/>
    <w:next w:val="1014"/>
    <w:link w:val="986"/>
    <w:uiPriority w:val="29"/>
    <w:qFormat/>
    <w:pPr>
      <w:pBdr/>
      <w:spacing w:before="160"/>
      <w:ind/>
      <w:jc w:val="center"/>
    </w:pPr>
    <w:rPr>
      <w:i/>
      <w:iCs/>
      <w:color w:val="404040" w:themeColor="text1" w:themeTint="BF"/>
    </w:rPr>
  </w:style>
  <w:style w:type="character" w:styleId="986">
    <w:name w:val="Quote Char"/>
    <w:basedOn w:val="1019"/>
    <w:link w:val="985"/>
    <w:uiPriority w:val="29"/>
    <w:pPr>
      <w:pBdr/>
      <w:spacing/>
      <w:ind/>
    </w:pPr>
    <w:rPr>
      <w:i/>
      <w:iCs/>
      <w:color w:val="404040" w:themeColor="text1" w:themeTint="BF"/>
    </w:rPr>
  </w:style>
  <w:style w:type="character" w:styleId="987">
    <w:name w:val="Intense Emphasis"/>
    <w:basedOn w:val="1019"/>
    <w:uiPriority w:val="21"/>
    <w:qFormat/>
    <w:pPr>
      <w:pBdr/>
      <w:spacing/>
      <w:ind/>
    </w:pPr>
    <w:rPr>
      <w:i/>
      <w:iCs/>
      <w:color w:val="0f4761" w:themeColor="accent1" w:themeShade="BF"/>
    </w:rPr>
  </w:style>
  <w:style w:type="paragraph" w:styleId="988">
    <w:name w:val="Intense Quote"/>
    <w:basedOn w:val="1014"/>
    <w:next w:val="1014"/>
    <w:link w:val="989"/>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9">
    <w:name w:val="Intense Quote Char"/>
    <w:basedOn w:val="1019"/>
    <w:link w:val="988"/>
    <w:uiPriority w:val="30"/>
    <w:pPr>
      <w:pBdr/>
      <w:spacing/>
      <w:ind/>
    </w:pPr>
    <w:rPr>
      <w:i/>
      <w:iCs/>
      <w:color w:val="0f4761" w:themeColor="accent1" w:themeShade="BF"/>
    </w:rPr>
  </w:style>
  <w:style w:type="character" w:styleId="990">
    <w:name w:val="Intense Reference"/>
    <w:basedOn w:val="1019"/>
    <w:uiPriority w:val="32"/>
    <w:qFormat/>
    <w:pPr>
      <w:pBdr/>
      <w:spacing/>
      <w:ind/>
    </w:pPr>
    <w:rPr>
      <w:b/>
      <w:bCs/>
      <w:smallCaps/>
      <w:color w:val="0f4761" w:themeColor="accent1" w:themeShade="BF"/>
      <w:spacing w:val="5"/>
    </w:rPr>
  </w:style>
  <w:style w:type="paragraph" w:styleId="991">
    <w:name w:val="No Spacing"/>
    <w:basedOn w:val="1014"/>
    <w:uiPriority w:val="1"/>
    <w:qFormat/>
    <w:pPr>
      <w:pBdr/>
      <w:spacing w:after="0" w:line="240" w:lineRule="auto"/>
      <w:ind/>
    </w:pPr>
  </w:style>
  <w:style w:type="character" w:styleId="992">
    <w:name w:val="Subtle Emphasis"/>
    <w:basedOn w:val="1019"/>
    <w:uiPriority w:val="19"/>
    <w:qFormat/>
    <w:pPr>
      <w:pBdr/>
      <w:spacing/>
      <w:ind/>
    </w:pPr>
    <w:rPr>
      <w:i/>
      <w:iCs/>
      <w:color w:val="404040" w:themeColor="text1" w:themeTint="BF"/>
    </w:rPr>
  </w:style>
  <w:style w:type="character" w:styleId="993">
    <w:name w:val="Subtle Reference"/>
    <w:basedOn w:val="1019"/>
    <w:uiPriority w:val="31"/>
    <w:qFormat/>
    <w:pPr>
      <w:pBdr/>
      <w:spacing/>
      <w:ind/>
    </w:pPr>
    <w:rPr>
      <w:smallCaps/>
      <w:color w:val="5a5a5a" w:themeColor="text1" w:themeTint="A5"/>
    </w:rPr>
  </w:style>
  <w:style w:type="character" w:styleId="994">
    <w:name w:val="Book Title"/>
    <w:basedOn w:val="1019"/>
    <w:uiPriority w:val="33"/>
    <w:qFormat/>
    <w:pPr>
      <w:pBdr/>
      <w:spacing/>
      <w:ind/>
    </w:pPr>
    <w:rPr>
      <w:b/>
      <w:bCs/>
      <w:i/>
      <w:iCs/>
      <w:spacing w:val="5"/>
    </w:rPr>
  </w:style>
  <w:style w:type="paragraph" w:styleId="995">
    <w:name w:val="Caption"/>
    <w:basedOn w:val="1014"/>
    <w:next w:val="1014"/>
    <w:uiPriority w:val="35"/>
    <w:unhideWhenUsed/>
    <w:qFormat/>
    <w:pPr>
      <w:pBdr/>
      <w:spacing w:after="200" w:line="240" w:lineRule="auto"/>
      <w:ind/>
    </w:pPr>
    <w:rPr>
      <w:i/>
      <w:iCs/>
      <w:color w:val="0e2841" w:themeColor="text2"/>
      <w:sz w:val="18"/>
      <w:szCs w:val="18"/>
    </w:rPr>
  </w:style>
  <w:style w:type="paragraph" w:styleId="996">
    <w:name w:val="footnote text"/>
    <w:basedOn w:val="1014"/>
    <w:link w:val="997"/>
    <w:uiPriority w:val="99"/>
    <w:semiHidden/>
    <w:unhideWhenUsed/>
    <w:pPr>
      <w:pBdr/>
      <w:spacing w:after="0" w:line="240" w:lineRule="auto"/>
      <w:ind/>
    </w:pPr>
    <w:rPr>
      <w:sz w:val="20"/>
      <w:szCs w:val="20"/>
    </w:rPr>
  </w:style>
  <w:style w:type="character" w:styleId="997">
    <w:name w:val="Footnote Text Char"/>
    <w:basedOn w:val="1019"/>
    <w:link w:val="996"/>
    <w:uiPriority w:val="99"/>
    <w:semiHidden/>
    <w:pPr>
      <w:pBdr/>
      <w:spacing/>
      <w:ind/>
    </w:pPr>
    <w:rPr>
      <w:sz w:val="20"/>
      <w:szCs w:val="20"/>
    </w:rPr>
  </w:style>
  <w:style w:type="character" w:styleId="998">
    <w:name w:val="footnote reference"/>
    <w:basedOn w:val="1019"/>
    <w:uiPriority w:val="99"/>
    <w:semiHidden/>
    <w:unhideWhenUsed/>
    <w:pPr>
      <w:pBdr/>
      <w:spacing/>
      <w:ind/>
    </w:pPr>
    <w:rPr>
      <w:vertAlign w:val="superscript"/>
    </w:rPr>
  </w:style>
  <w:style w:type="paragraph" w:styleId="999">
    <w:name w:val="endnote text"/>
    <w:basedOn w:val="1014"/>
    <w:link w:val="1000"/>
    <w:uiPriority w:val="99"/>
    <w:semiHidden/>
    <w:unhideWhenUsed/>
    <w:pPr>
      <w:pBdr/>
      <w:spacing w:after="0" w:line="240" w:lineRule="auto"/>
      <w:ind/>
    </w:pPr>
    <w:rPr>
      <w:sz w:val="20"/>
      <w:szCs w:val="20"/>
    </w:rPr>
  </w:style>
  <w:style w:type="character" w:styleId="1000">
    <w:name w:val="Endnote Text Char"/>
    <w:basedOn w:val="1019"/>
    <w:link w:val="999"/>
    <w:uiPriority w:val="99"/>
    <w:semiHidden/>
    <w:pPr>
      <w:pBdr/>
      <w:spacing/>
      <w:ind/>
    </w:pPr>
    <w:rPr>
      <w:sz w:val="20"/>
      <w:szCs w:val="20"/>
    </w:rPr>
  </w:style>
  <w:style w:type="character" w:styleId="1001">
    <w:name w:val="endnote reference"/>
    <w:basedOn w:val="1019"/>
    <w:uiPriority w:val="99"/>
    <w:semiHidden/>
    <w:unhideWhenUsed/>
    <w:pPr>
      <w:pBdr/>
      <w:spacing/>
      <w:ind/>
    </w:pPr>
    <w:rPr>
      <w:vertAlign w:val="superscript"/>
    </w:rPr>
  </w:style>
  <w:style w:type="paragraph" w:styleId="1002">
    <w:name w:val="toc 1"/>
    <w:basedOn w:val="1014"/>
    <w:next w:val="1014"/>
    <w:uiPriority w:val="39"/>
    <w:unhideWhenUsed/>
    <w:pPr>
      <w:pBdr/>
      <w:spacing w:after="100"/>
      <w:ind/>
    </w:pPr>
  </w:style>
  <w:style w:type="paragraph" w:styleId="1003">
    <w:name w:val="toc 2"/>
    <w:basedOn w:val="1014"/>
    <w:next w:val="1014"/>
    <w:uiPriority w:val="39"/>
    <w:unhideWhenUsed/>
    <w:pPr>
      <w:pBdr/>
      <w:spacing w:after="100"/>
      <w:ind w:left="220"/>
    </w:pPr>
  </w:style>
  <w:style w:type="paragraph" w:styleId="1004">
    <w:name w:val="toc 3"/>
    <w:basedOn w:val="1014"/>
    <w:next w:val="1014"/>
    <w:uiPriority w:val="39"/>
    <w:unhideWhenUsed/>
    <w:pPr>
      <w:pBdr/>
      <w:spacing w:after="100"/>
      <w:ind w:left="440"/>
    </w:pPr>
  </w:style>
  <w:style w:type="paragraph" w:styleId="1005">
    <w:name w:val="toc 4"/>
    <w:basedOn w:val="1014"/>
    <w:next w:val="1014"/>
    <w:uiPriority w:val="39"/>
    <w:unhideWhenUsed/>
    <w:pPr>
      <w:pBdr/>
      <w:spacing w:after="100"/>
      <w:ind w:left="660"/>
    </w:pPr>
  </w:style>
  <w:style w:type="paragraph" w:styleId="1006">
    <w:name w:val="toc 5"/>
    <w:basedOn w:val="1014"/>
    <w:next w:val="1014"/>
    <w:uiPriority w:val="39"/>
    <w:unhideWhenUsed/>
    <w:pPr>
      <w:pBdr/>
      <w:spacing w:after="100"/>
      <w:ind w:left="880"/>
    </w:pPr>
  </w:style>
  <w:style w:type="paragraph" w:styleId="1007">
    <w:name w:val="toc 6"/>
    <w:basedOn w:val="1014"/>
    <w:next w:val="1014"/>
    <w:uiPriority w:val="39"/>
    <w:unhideWhenUsed/>
    <w:pPr>
      <w:pBdr/>
      <w:spacing w:after="100"/>
      <w:ind w:left="1100"/>
    </w:pPr>
  </w:style>
  <w:style w:type="paragraph" w:styleId="1008">
    <w:name w:val="toc 7"/>
    <w:basedOn w:val="1014"/>
    <w:next w:val="1014"/>
    <w:uiPriority w:val="39"/>
    <w:unhideWhenUsed/>
    <w:pPr>
      <w:pBdr/>
      <w:spacing w:after="100"/>
      <w:ind w:left="1320"/>
    </w:pPr>
  </w:style>
  <w:style w:type="paragraph" w:styleId="1009">
    <w:name w:val="toc 8"/>
    <w:basedOn w:val="1014"/>
    <w:next w:val="1014"/>
    <w:uiPriority w:val="39"/>
    <w:unhideWhenUsed/>
    <w:pPr>
      <w:pBdr/>
      <w:spacing w:after="100"/>
      <w:ind w:left="1540"/>
    </w:pPr>
  </w:style>
  <w:style w:type="paragraph" w:styleId="1010">
    <w:name w:val="toc 9"/>
    <w:basedOn w:val="1014"/>
    <w:next w:val="1014"/>
    <w:uiPriority w:val="39"/>
    <w:unhideWhenUsed/>
    <w:pPr>
      <w:pBdr/>
      <w:spacing w:after="100"/>
      <w:ind w:left="1760"/>
    </w:pPr>
  </w:style>
  <w:style w:type="character" w:styleId="1011">
    <w:name w:val="Placeholder Text"/>
    <w:basedOn w:val="1019"/>
    <w:uiPriority w:val="99"/>
    <w:semiHidden/>
    <w:pPr>
      <w:pBdr/>
      <w:spacing/>
      <w:ind/>
    </w:pPr>
    <w:rPr>
      <w:color w:val="666666"/>
    </w:rPr>
  </w:style>
  <w:style w:type="paragraph" w:styleId="1012">
    <w:name w:val="TOC Heading"/>
    <w:uiPriority w:val="39"/>
    <w:unhideWhenUsed/>
    <w:pPr>
      <w:pBdr/>
      <w:spacing/>
      <w:ind/>
    </w:pPr>
  </w:style>
  <w:style w:type="paragraph" w:styleId="1013">
    <w:name w:val="table of figures"/>
    <w:basedOn w:val="1014"/>
    <w:next w:val="1014"/>
    <w:uiPriority w:val="99"/>
    <w:unhideWhenUsed/>
    <w:pPr>
      <w:pBdr/>
      <w:spacing w:after="0" w:afterAutospacing="0"/>
      <w:ind/>
    </w:pPr>
  </w:style>
  <w:style w:type="paragraph" w:styleId="1014" w:default="1">
    <w:name w:val="Normal"/>
    <w:qFormat/>
    <w:pPr>
      <w:pBdr/>
      <w:spacing w:after="0" w:line="240" w:lineRule="auto"/>
      <w:ind/>
    </w:pPr>
    <w:rPr>
      <w:rFonts w:ascii="Times New Roman" w:hAnsi="Times New Roman" w:eastAsia="Times New Roman" w:cs="Times New Roman"/>
      <w:sz w:val="24"/>
      <w:szCs w:val="24"/>
    </w:rPr>
  </w:style>
  <w:style w:type="paragraph" w:styleId="1015">
    <w:name w:val="Heading 1"/>
    <w:basedOn w:val="1014"/>
    <w:next w:val="1014"/>
    <w:link w:val="1022"/>
    <w:qFormat/>
    <w:pPr>
      <w:keepNext w:val="true"/>
      <w:pBdr/>
      <w:spacing w:after="120" w:before="120"/>
      <w:ind/>
      <w:jc w:val="center"/>
      <w:outlineLvl w:val="0"/>
    </w:pPr>
    <w:rPr>
      <w:b/>
      <w:bCs/>
      <w:sz w:val="27"/>
      <w:szCs w:val="27"/>
    </w:rPr>
  </w:style>
  <w:style w:type="paragraph" w:styleId="1016">
    <w:name w:val="Heading 2"/>
    <w:basedOn w:val="1014"/>
    <w:next w:val="1014"/>
    <w:link w:val="102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7">
    <w:name w:val="Heading 3"/>
    <w:basedOn w:val="1014"/>
    <w:next w:val="1014"/>
    <w:link w:val="1024"/>
    <w:qFormat/>
    <w:pPr>
      <w:keepNext w:val="true"/>
      <w:pBdr/>
      <w:spacing w:before="60"/>
      <w:ind/>
      <w:outlineLvl w:val="2"/>
    </w:pPr>
    <w:rPr>
      <w:sz w:val="28"/>
      <w:szCs w:val="28"/>
    </w:rPr>
  </w:style>
  <w:style w:type="paragraph" w:styleId="1018">
    <w:name w:val="Heading 4"/>
    <w:basedOn w:val="1014"/>
    <w:next w:val="1014"/>
    <w:link w:val="1025"/>
    <w:qFormat/>
    <w:pPr>
      <w:keepNext w:val="true"/>
      <w:pBdr/>
      <w:spacing/>
      <w:ind/>
      <w:jc w:val="center"/>
      <w:outlineLvl w:val="3"/>
    </w:pPr>
    <w:rPr>
      <w:b/>
      <w:bCs/>
    </w:rPr>
  </w:style>
  <w:style w:type="character" w:styleId="1019" w:default="1">
    <w:name w:val="Default Paragraph Font"/>
    <w:uiPriority w:val="1"/>
    <w:semiHidden/>
    <w:unhideWhenUsed/>
    <w:pPr>
      <w:pBdr/>
      <w:spacing/>
      <w:ind/>
    </w:pPr>
  </w:style>
  <w:style w:type="table" w:styleId="102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1" w:default="1">
    <w:name w:val="No List"/>
    <w:uiPriority w:val="99"/>
    <w:semiHidden/>
    <w:unhideWhenUsed/>
    <w:pPr>
      <w:pBdr/>
      <w:spacing/>
      <w:ind/>
    </w:pPr>
  </w:style>
  <w:style w:type="character" w:styleId="1022" w:customStyle="1">
    <w:name w:val="Heading 1 Char"/>
    <w:basedOn w:val="1019"/>
    <w:link w:val="1015"/>
    <w:pPr>
      <w:pBdr/>
      <w:spacing/>
      <w:ind/>
    </w:pPr>
    <w:rPr>
      <w:rFonts w:ascii="Times New Roman" w:hAnsi="Times New Roman" w:eastAsia="Times New Roman" w:cs="Times New Roman"/>
      <w:b/>
      <w:bCs/>
      <w:sz w:val="27"/>
      <w:szCs w:val="27"/>
    </w:rPr>
  </w:style>
  <w:style w:type="character" w:styleId="1023" w:customStyle="1">
    <w:name w:val="Heading 2 Char"/>
    <w:basedOn w:val="1019"/>
    <w:link w:val="1016"/>
    <w:uiPriority w:val="9"/>
    <w:pPr>
      <w:pBdr/>
      <w:spacing/>
      <w:ind/>
    </w:pPr>
    <w:rPr>
      <w:rFonts w:asciiTheme="majorHAnsi" w:hAnsiTheme="majorHAnsi" w:eastAsiaTheme="majorEastAsia" w:cstheme="majorBidi"/>
      <w:color w:val="365f91" w:themeColor="accent1" w:themeShade="BF"/>
      <w:sz w:val="26"/>
      <w:szCs w:val="26"/>
    </w:rPr>
  </w:style>
  <w:style w:type="character" w:styleId="1024" w:customStyle="1">
    <w:name w:val="Heading 3 Char"/>
    <w:basedOn w:val="1019"/>
    <w:link w:val="1017"/>
    <w:pPr>
      <w:pBdr/>
      <w:spacing/>
      <w:ind/>
    </w:pPr>
    <w:rPr>
      <w:rFonts w:ascii="Times New Roman" w:hAnsi="Times New Roman" w:eastAsia="Times New Roman" w:cs="Times New Roman"/>
      <w:sz w:val="28"/>
      <w:szCs w:val="28"/>
    </w:rPr>
  </w:style>
  <w:style w:type="character" w:styleId="1025" w:customStyle="1">
    <w:name w:val="Heading 4 Char"/>
    <w:basedOn w:val="1019"/>
    <w:link w:val="1018"/>
    <w:pPr>
      <w:pBdr/>
      <w:spacing/>
      <w:ind/>
    </w:pPr>
    <w:rPr>
      <w:rFonts w:ascii="Times New Roman" w:hAnsi="Times New Roman" w:eastAsia="Times New Roman" w:cs="Times New Roman"/>
      <w:b/>
      <w:bCs/>
      <w:sz w:val="24"/>
      <w:szCs w:val="24"/>
    </w:rPr>
  </w:style>
  <w:style w:type="character" w:styleId="1026">
    <w:name w:val="Hyperlink"/>
    <w:uiPriority w:val="99"/>
    <w:pPr>
      <w:pBdr/>
      <w:spacing/>
      <w:ind/>
    </w:pPr>
    <w:rPr>
      <w:color w:val="000000"/>
      <w:u w:val="single"/>
    </w:rPr>
  </w:style>
  <w:style w:type="character" w:styleId="1027">
    <w:name w:val="Strong"/>
    <w:uiPriority w:val="22"/>
    <w:qFormat/>
    <w:pPr>
      <w:pBdr/>
      <w:spacing/>
      <w:ind/>
    </w:pPr>
    <w:rPr>
      <w:b/>
      <w:bCs/>
    </w:rPr>
  </w:style>
  <w:style w:type="paragraph" w:styleId="1028">
    <w:name w:val="Balloon Text"/>
    <w:basedOn w:val="1014"/>
    <w:link w:val="1029"/>
    <w:uiPriority w:val="99"/>
    <w:semiHidden/>
    <w:unhideWhenUsed/>
    <w:pPr>
      <w:pBdr/>
      <w:spacing/>
      <w:ind/>
    </w:pPr>
    <w:rPr>
      <w:rFonts w:ascii="Tahoma" w:hAnsi="Tahoma" w:cs="Tahoma"/>
      <w:sz w:val="16"/>
      <w:szCs w:val="16"/>
    </w:rPr>
  </w:style>
  <w:style w:type="character" w:styleId="1029" w:customStyle="1">
    <w:name w:val="Balloon Text Char"/>
    <w:basedOn w:val="1019"/>
    <w:link w:val="1028"/>
    <w:uiPriority w:val="99"/>
    <w:semiHidden/>
    <w:pPr>
      <w:pBdr/>
      <w:spacing/>
      <w:ind/>
    </w:pPr>
    <w:rPr>
      <w:rFonts w:ascii="Tahoma" w:hAnsi="Tahoma" w:eastAsia="Times New Roman" w:cs="Tahoma"/>
      <w:sz w:val="16"/>
      <w:szCs w:val="16"/>
    </w:rPr>
  </w:style>
  <w:style w:type="paragraph" w:styleId="1030">
    <w:name w:val="Header"/>
    <w:basedOn w:val="1014"/>
    <w:link w:val="1031"/>
    <w:unhideWhenUsed/>
    <w:pPr>
      <w:pBdr/>
      <w:tabs>
        <w:tab w:val="center" w:leader="none" w:pos="4680"/>
        <w:tab w:val="right" w:leader="none" w:pos="9360"/>
      </w:tabs>
      <w:spacing/>
      <w:ind/>
    </w:pPr>
  </w:style>
  <w:style w:type="character" w:styleId="1031" w:customStyle="1">
    <w:name w:val="Header Char"/>
    <w:basedOn w:val="1019"/>
    <w:link w:val="1030"/>
    <w:pPr>
      <w:pBdr/>
      <w:spacing/>
      <w:ind/>
    </w:pPr>
    <w:rPr>
      <w:rFonts w:ascii="Times New Roman" w:hAnsi="Times New Roman" w:eastAsia="Times New Roman" w:cs="Times New Roman"/>
      <w:sz w:val="24"/>
      <w:szCs w:val="24"/>
    </w:rPr>
  </w:style>
  <w:style w:type="paragraph" w:styleId="1032">
    <w:name w:val="Footer"/>
    <w:basedOn w:val="1014"/>
    <w:link w:val="1033"/>
    <w:uiPriority w:val="99"/>
    <w:unhideWhenUsed/>
    <w:pPr>
      <w:pBdr/>
      <w:tabs>
        <w:tab w:val="center" w:leader="none" w:pos="4680"/>
        <w:tab w:val="right" w:leader="none" w:pos="9360"/>
      </w:tabs>
      <w:spacing/>
      <w:ind/>
    </w:pPr>
  </w:style>
  <w:style w:type="character" w:styleId="1033" w:customStyle="1">
    <w:name w:val="Footer Char"/>
    <w:basedOn w:val="1019"/>
    <w:link w:val="1032"/>
    <w:uiPriority w:val="99"/>
    <w:pPr>
      <w:pBdr/>
      <w:spacing/>
      <w:ind/>
    </w:pPr>
    <w:rPr>
      <w:rFonts w:ascii="Times New Roman" w:hAnsi="Times New Roman" w:eastAsia="Times New Roman" w:cs="Times New Roman"/>
      <w:sz w:val="24"/>
      <w:szCs w:val="24"/>
    </w:rPr>
  </w:style>
  <w:style w:type="character" w:styleId="1034" w:customStyle="1">
    <w:name w:val="normal-h1"/>
    <w:pPr>
      <w:pBdr/>
      <w:spacing/>
      <w:ind/>
    </w:pPr>
    <w:rPr>
      <w:rFonts w:hint="default" w:ascii=".VnTime" w:hAnsi=".VnTime"/>
      <w:color w:val="0000ff"/>
      <w:sz w:val="24"/>
      <w:szCs w:val="24"/>
    </w:rPr>
  </w:style>
  <w:style w:type="paragraph" w:styleId="1035" w:customStyle="1">
    <w:name w:val="normal-p"/>
    <w:basedOn w:val="1014"/>
    <w:pPr>
      <w:pBdr/>
      <w:spacing/>
      <w:ind/>
      <w:jc w:val="both"/>
    </w:pPr>
    <w:rPr>
      <w:sz w:val="20"/>
      <w:szCs w:val="20"/>
    </w:rPr>
  </w:style>
  <w:style w:type="paragraph" w:styleId="1036">
    <w:name w:val="List Paragraph"/>
    <w:basedOn w:val="1014"/>
    <w:link w:val="1123"/>
    <w:uiPriority w:val="34"/>
    <w:qFormat/>
    <w:pPr>
      <w:pBdr/>
      <w:spacing/>
      <w:ind w:left="720"/>
    </w:pPr>
  </w:style>
  <w:style w:type="paragraph" w:styleId="1037">
    <w:name w:val="Normal (Web)"/>
    <w:basedOn w:val="1014"/>
    <w:uiPriority w:val="99"/>
    <w:pPr>
      <w:pBdr/>
      <w:spacing w:after="100" w:afterAutospacing="1" w:before="100" w:beforeAutospacing="1"/>
      <w:ind/>
    </w:pPr>
  </w:style>
  <w:style w:type="paragraph" w:styleId="1038">
    <w:name w:val="Body Text"/>
    <w:basedOn w:val="1014"/>
    <w:link w:val="1039"/>
    <w:pPr>
      <w:pBdr/>
      <w:spacing w:after="120"/>
      <w:ind/>
      <w:jc w:val="both"/>
    </w:pPr>
  </w:style>
  <w:style w:type="character" w:styleId="1039" w:customStyle="1">
    <w:name w:val="Body Text Char"/>
    <w:basedOn w:val="1019"/>
    <w:link w:val="1038"/>
    <w:pPr>
      <w:pBdr/>
      <w:spacing/>
      <w:ind/>
    </w:pPr>
    <w:rPr>
      <w:rFonts w:ascii="Times New Roman" w:hAnsi="Times New Roman" w:eastAsia="Times New Roman" w:cs="Times New Roman"/>
      <w:sz w:val="24"/>
      <w:szCs w:val="24"/>
    </w:rPr>
  </w:style>
  <w:style w:type="table" w:styleId="1040">
    <w:name w:val="Table Grid"/>
    <w:basedOn w:val="102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2">
    <w:name w:val="annotation reference"/>
    <w:basedOn w:val="1019"/>
    <w:uiPriority w:val="99"/>
    <w:semiHidden/>
    <w:unhideWhenUsed/>
    <w:pPr>
      <w:pBdr/>
      <w:spacing/>
      <w:ind/>
    </w:pPr>
    <w:rPr>
      <w:sz w:val="16"/>
      <w:szCs w:val="16"/>
    </w:rPr>
  </w:style>
  <w:style w:type="paragraph" w:styleId="1043">
    <w:name w:val="annotation text"/>
    <w:basedOn w:val="1014"/>
    <w:link w:val="1044"/>
    <w:uiPriority w:val="99"/>
    <w:unhideWhenUsed/>
    <w:pPr>
      <w:pBdr/>
      <w:spacing/>
      <w:ind/>
    </w:pPr>
    <w:rPr>
      <w:sz w:val="20"/>
      <w:szCs w:val="20"/>
    </w:rPr>
  </w:style>
  <w:style w:type="character" w:styleId="1044" w:customStyle="1">
    <w:name w:val="Comment Text Char"/>
    <w:basedOn w:val="1019"/>
    <w:link w:val="1043"/>
    <w:uiPriority w:val="99"/>
    <w:pPr>
      <w:pBdr/>
      <w:spacing/>
      <w:ind/>
    </w:pPr>
    <w:rPr>
      <w:rFonts w:ascii="Times New Roman" w:hAnsi="Times New Roman" w:eastAsia="Times New Roman" w:cs="Times New Roman"/>
      <w:sz w:val="20"/>
      <w:szCs w:val="20"/>
    </w:rPr>
  </w:style>
  <w:style w:type="paragraph" w:styleId="1045">
    <w:name w:val="annotation subject"/>
    <w:basedOn w:val="1043"/>
    <w:next w:val="1043"/>
    <w:link w:val="1046"/>
    <w:uiPriority w:val="99"/>
    <w:semiHidden/>
    <w:unhideWhenUsed/>
    <w:pPr>
      <w:pBdr/>
      <w:spacing/>
      <w:ind/>
    </w:pPr>
    <w:rPr>
      <w:b/>
      <w:bCs/>
    </w:rPr>
  </w:style>
  <w:style w:type="character" w:styleId="1046" w:customStyle="1">
    <w:name w:val="Comment Subject Char"/>
    <w:basedOn w:val="1044"/>
    <w:link w:val="1045"/>
    <w:uiPriority w:val="99"/>
    <w:semiHidden/>
    <w:pPr>
      <w:pBdr/>
      <w:spacing/>
      <w:ind/>
    </w:pPr>
    <w:rPr>
      <w:rFonts w:ascii="Times New Roman" w:hAnsi="Times New Roman" w:eastAsia="Times New Roman" w:cs="Times New Roman"/>
      <w:b/>
      <w:bCs/>
      <w:sz w:val="20"/>
      <w:szCs w:val="20"/>
    </w:rPr>
  </w:style>
  <w:style w:type="paragraph" w:styleId="1047" w:customStyle="1">
    <w:name w:val="font5"/>
    <w:basedOn w:val="1014"/>
    <w:pPr>
      <w:pBdr/>
      <w:spacing w:after="100" w:afterAutospacing="1" w:before="100" w:beforeAutospacing="1"/>
      <w:ind/>
    </w:pPr>
    <w:rPr>
      <w:rFonts w:ascii="Tahoma" w:hAnsi="Tahoma" w:cs="Tahoma"/>
      <w:color w:val="000000"/>
      <w:sz w:val="18"/>
      <w:szCs w:val="18"/>
    </w:rPr>
  </w:style>
  <w:style w:type="paragraph" w:styleId="1048" w:customStyle="1">
    <w:name w:val="font6"/>
    <w:basedOn w:val="1014"/>
    <w:pPr>
      <w:pBdr/>
      <w:spacing w:after="100" w:afterAutospacing="1" w:before="100" w:beforeAutospacing="1"/>
      <w:ind/>
    </w:pPr>
    <w:rPr>
      <w:rFonts w:ascii="Tahoma" w:hAnsi="Tahoma" w:cs="Tahoma"/>
      <w:b/>
      <w:bCs/>
      <w:color w:val="000000"/>
      <w:sz w:val="18"/>
      <w:szCs w:val="18"/>
    </w:rPr>
  </w:style>
  <w:style w:type="paragraph" w:styleId="1049" w:customStyle="1">
    <w:name w:val="xl233"/>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0" w:customStyle="1">
    <w:name w:val="xl234"/>
    <w:basedOn w:val="1014"/>
    <w:pPr>
      <w:pBdr/>
      <w:spacing w:after="100" w:afterAutospacing="1" w:before="100" w:beforeAutospacing="1"/>
      <w:ind/>
      <w:jc w:val="center"/>
    </w:pPr>
  </w:style>
  <w:style w:type="paragraph" w:styleId="1051" w:customStyle="1">
    <w:name w:val="xl235"/>
    <w:basedOn w:val="1014"/>
    <w:pPr>
      <w:pBdr/>
      <w:spacing w:after="100" w:afterAutospacing="1" w:before="100" w:beforeAutospacing="1"/>
      <w:ind/>
      <w:jc w:val="center"/>
    </w:pPr>
    <w:rPr>
      <w:b/>
      <w:bCs/>
    </w:rPr>
  </w:style>
  <w:style w:type="paragraph" w:styleId="1052" w:customStyle="1">
    <w:name w:val="xl236"/>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3" w:customStyle="1">
    <w:name w:val="xl237"/>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4" w:customStyle="1">
    <w:name w:val="xl238"/>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39"/>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6" w:customStyle="1">
    <w:name w:val="xl240"/>
    <w:basedOn w:val="1014"/>
    <w:pPr>
      <w:pBdr/>
      <w:spacing w:after="100" w:afterAutospacing="1" w:before="100" w:beforeAutospacing="1"/>
      <w:ind/>
    </w:pPr>
  </w:style>
  <w:style w:type="paragraph" w:styleId="1057" w:customStyle="1">
    <w:name w:val="xl241"/>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8" w:customStyle="1">
    <w:name w:val="xl242"/>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43"/>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44"/>
    <w:basedOn w:val="1014"/>
    <w:pPr>
      <w:pBdr/>
      <w:spacing w:after="100" w:afterAutospacing="1" w:before="100" w:beforeAutospacing="1"/>
      <w:ind/>
    </w:pPr>
    <w:rPr>
      <w:b/>
      <w:bCs/>
    </w:rPr>
  </w:style>
  <w:style w:type="paragraph" w:styleId="1061" w:customStyle="1">
    <w:name w:val="xl245"/>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46"/>
    <w:basedOn w:val="101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47"/>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4" w:customStyle="1">
    <w:name w:val="xl248"/>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5" w:customStyle="1">
    <w:name w:val="xl249"/>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6" w:customStyle="1">
    <w:name w:val="xl250"/>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51"/>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8" w:customStyle="1">
    <w:name w:val="xl252"/>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3"/>
    <w:basedOn w:val="101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4"/>
    <w:basedOn w:val="101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1" w:customStyle="1">
    <w:name w:val="xl255"/>
    <w:basedOn w:val="101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6"/>
    <w:basedOn w:val="101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3" w:customStyle="1">
    <w:name w:val="xl257"/>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8"/>
    <w:basedOn w:val="101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59"/>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0"/>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7" w:customStyle="1">
    <w:name w:val="xl261"/>
    <w:basedOn w:val="101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62"/>
    <w:basedOn w:val="101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63"/>
    <w:basedOn w:val="1014"/>
    <w:pPr>
      <w:pBdr/>
      <w:shd w:val="clear" w:color="000000" w:fill="ffffff"/>
      <w:spacing w:after="100" w:afterAutospacing="1" w:before="100" w:beforeAutospacing="1"/>
      <w:ind/>
    </w:pPr>
  </w:style>
  <w:style w:type="paragraph" w:styleId="1080" w:customStyle="1">
    <w:name w:val="xl264"/>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1" w:customStyle="1">
    <w:name w:val="xl265"/>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2" w:customStyle="1">
    <w:name w:val="xl266"/>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3" w:customStyle="1">
    <w:name w:val="xl267"/>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4" w:customStyle="1">
    <w:name w:val="xl268"/>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69"/>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6" w:customStyle="1">
    <w:name w:val="xl270"/>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7" w:customStyle="1">
    <w:name w:val="xl271"/>
    <w:basedOn w:val="101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8" w:customStyle="1">
    <w:name w:val="xl272"/>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9" w:customStyle="1">
    <w:name w:val="xl273"/>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0" w:customStyle="1">
    <w:name w:val="xl274"/>
    <w:basedOn w:val="101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75"/>
    <w:basedOn w:val="1014"/>
    <w:pPr>
      <w:pBdr/>
      <w:spacing w:after="100" w:afterAutospacing="1" w:before="100" w:beforeAutospacing="1"/>
      <w:ind/>
    </w:pPr>
  </w:style>
  <w:style w:type="paragraph" w:styleId="1092" w:customStyle="1">
    <w:name w:val="xl276"/>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3" w:customStyle="1">
    <w:name w:val="xl277"/>
    <w:basedOn w:val="101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4" w:customStyle="1">
    <w:name w:val="xl278"/>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79"/>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0"/>
    <w:basedOn w:val="10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7" w:customStyle="1">
    <w:name w:val="xl281"/>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8" w:customStyle="1">
    <w:name w:val="xl282"/>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9" w:customStyle="1">
    <w:name w:val="xl283"/>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4"/>
    <w:basedOn w:val="1014"/>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5"/>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2" w:customStyle="1">
    <w:name w:val="xl286"/>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3" w:customStyle="1">
    <w:name w:val="xl287"/>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4" w:customStyle="1">
    <w:name w:val="xl288"/>
    <w:basedOn w:val="1014"/>
    <w:pPr>
      <w:pBdr>
        <w:top w:val="single" w:color="000000" w:sz="4" w:space="0"/>
        <w:left w:val="single" w:color="000000" w:sz="4" w:space="0"/>
        <w:right w:val="single" w:color="000000" w:sz="4" w:space="0"/>
      </w:pBdr>
      <w:spacing w:after="100" w:afterAutospacing="1" w:before="100" w:beforeAutospacing="1"/>
      <w:ind/>
    </w:pPr>
  </w:style>
  <w:style w:type="paragraph" w:styleId="1105" w:customStyle="1">
    <w:name w:val="xl289"/>
    <w:basedOn w:val="1014"/>
    <w:pPr>
      <w:pBdr>
        <w:left w:val="single" w:color="000000" w:sz="4" w:space="0"/>
        <w:right w:val="single" w:color="000000" w:sz="4" w:space="0"/>
      </w:pBdr>
      <w:spacing w:after="100" w:afterAutospacing="1" w:before="100" w:beforeAutospacing="1"/>
      <w:ind/>
    </w:pPr>
    <w:rPr>
      <w:b/>
      <w:bCs/>
    </w:rPr>
  </w:style>
  <w:style w:type="paragraph" w:styleId="1106" w:customStyle="1">
    <w:name w:val="xl290"/>
    <w:basedOn w:val="101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7" w:customStyle="1">
    <w:name w:val="xl291"/>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8" w:customStyle="1">
    <w:name w:val="xl292"/>
    <w:basedOn w:val="1014"/>
    <w:pPr>
      <w:pBdr>
        <w:top w:val="single" w:color="000000" w:sz="4" w:space="0"/>
        <w:left w:val="single" w:color="000000" w:sz="4" w:space="0"/>
        <w:right w:val="single" w:color="000000" w:sz="4" w:space="0"/>
      </w:pBdr>
      <w:spacing w:after="100" w:afterAutospacing="1" w:before="100" w:beforeAutospacing="1"/>
      <w:ind/>
    </w:pPr>
  </w:style>
  <w:style w:type="paragraph" w:styleId="1109" w:customStyle="1">
    <w:name w:val="xl293"/>
    <w:basedOn w:val="1014"/>
    <w:pPr>
      <w:pBdr>
        <w:left w:val="single" w:color="000000" w:sz="4" w:space="0"/>
        <w:bottom w:val="single" w:color="000000" w:sz="4" w:space="0"/>
        <w:right w:val="single" w:color="000000" w:sz="4" w:space="0"/>
      </w:pBdr>
      <w:spacing w:after="100" w:afterAutospacing="1" w:before="100" w:beforeAutospacing="1"/>
      <w:ind/>
    </w:pPr>
  </w:style>
  <w:style w:type="paragraph" w:styleId="1110" w:customStyle="1">
    <w:name w:val="xl294"/>
    <w:basedOn w:val="10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1">
    <w:name w:val="Title"/>
    <w:basedOn w:val="1014"/>
    <w:link w:val="1112"/>
    <w:qFormat/>
    <w:pPr>
      <w:pBdr/>
      <w:spacing/>
      <w:ind/>
      <w:jc w:val="center"/>
    </w:pPr>
    <w:rPr>
      <w:b/>
      <w:bCs/>
      <w:sz w:val="32"/>
      <w:szCs w:val="26"/>
    </w:rPr>
  </w:style>
  <w:style w:type="character" w:styleId="1112" w:customStyle="1">
    <w:name w:val="Title Char"/>
    <w:basedOn w:val="1019"/>
    <w:link w:val="1111"/>
    <w:pPr>
      <w:pBdr/>
      <w:spacing/>
      <w:ind/>
    </w:pPr>
    <w:rPr>
      <w:rFonts w:ascii="Times New Roman" w:hAnsi="Times New Roman" w:eastAsia="Times New Roman" w:cs="Times New Roman"/>
      <w:b/>
      <w:bCs/>
      <w:sz w:val="32"/>
      <w:szCs w:val="26"/>
    </w:rPr>
  </w:style>
  <w:style w:type="character" w:styleId="1113" w:customStyle="1">
    <w:name w:val="Unresolved Mention1"/>
    <w:basedOn w:val="1019"/>
    <w:uiPriority w:val="99"/>
    <w:semiHidden/>
    <w:unhideWhenUsed/>
    <w:pPr>
      <w:pBdr/>
      <w:spacing/>
      <w:ind/>
    </w:pPr>
    <w:rPr>
      <w:color w:val="605e5c"/>
      <w:shd w:val="clear" w:color="auto" w:fill="e1dfdd"/>
    </w:rPr>
  </w:style>
  <w:style w:type="character" w:styleId="1114" w:customStyle="1">
    <w:name w:val="Body text (3)_"/>
    <w:link w:val="1115"/>
    <w:pPr>
      <w:pBdr/>
      <w:spacing/>
      <w:ind/>
    </w:pPr>
    <w:rPr>
      <w:rFonts w:ascii="Times New Roman" w:hAnsi="Times New Roman" w:cs="Times New Roman"/>
      <w:i/>
      <w:iCs/>
      <w:spacing w:val="4"/>
      <w:shd w:val="clear" w:color="auto" w:fill="ffffff"/>
    </w:rPr>
  </w:style>
  <w:style w:type="paragraph" w:styleId="1115" w:customStyle="1">
    <w:name w:val="Body text (3)1"/>
    <w:basedOn w:val="1014"/>
    <w:link w:val="111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6" w:customStyle="1">
    <w:name w:val="t-j"/>
    <w:basedOn w:val="1014"/>
    <w:pPr>
      <w:pBdr/>
      <w:spacing w:after="100" w:afterAutospacing="1" w:before="100" w:beforeAutospacing="1"/>
      <w:ind/>
    </w:pPr>
  </w:style>
  <w:style w:type="character" w:styleId="1117" w:customStyle="1">
    <w:name w:val="Unresolved Mention2"/>
    <w:basedOn w:val="1019"/>
    <w:uiPriority w:val="99"/>
    <w:semiHidden/>
    <w:unhideWhenUsed/>
    <w:pPr>
      <w:pBdr/>
      <w:spacing/>
      <w:ind/>
    </w:pPr>
    <w:rPr>
      <w:color w:val="605e5c"/>
      <w:shd w:val="clear" w:color="auto" w:fill="e1dfdd"/>
    </w:rPr>
  </w:style>
  <w:style w:type="character" w:styleId="1118">
    <w:name w:val="FollowedHyperlink"/>
    <w:basedOn w:val="1019"/>
    <w:uiPriority w:val="99"/>
    <w:semiHidden/>
    <w:unhideWhenUsed/>
    <w:pPr>
      <w:pBdr/>
      <w:spacing/>
      <w:ind/>
    </w:pPr>
    <w:rPr>
      <w:color w:val="800080" w:themeColor="followedHyperlink"/>
      <w:u w:val="single"/>
    </w:rPr>
  </w:style>
  <w:style w:type="character" w:styleId="1119" w:customStyle="1">
    <w:name w:val="text"/>
    <w:basedOn w:val="1019"/>
    <w:pPr>
      <w:pBdr/>
      <w:spacing/>
      <w:ind/>
    </w:pPr>
  </w:style>
  <w:style w:type="character" w:styleId="1120" w:customStyle="1">
    <w:name w:val="card-send-time__sendtime"/>
    <w:basedOn w:val="1019"/>
    <w:pPr>
      <w:pBdr/>
      <w:spacing/>
      <w:ind/>
    </w:pPr>
  </w:style>
  <w:style w:type="character" w:styleId="1121" w:customStyle="1">
    <w:name w:val="Đề cập Chưa giải quyết1"/>
    <w:basedOn w:val="1019"/>
    <w:uiPriority w:val="99"/>
    <w:semiHidden/>
    <w:unhideWhenUsed/>
    <w:pPr>
      <w:pBdr/>
      <w:spacing/>
      <w:ind/>
    </w:pPr>
    <w:rPr>
      <w:color w:val="605e5c"/>
      <w:shd w:val="clear" w:color="auto" w:fill="e1dfdd"/>
    </w:rPr>
  </w:style>
  <w:style w:type="paragraph" w:styleId="1122" w:customStyle="1">
    <w:name w:val="nqtitle"/>
    <w:basedOn w:val="1014"/>
    <w:pPr>
      <w:pBdr/>
      <w:spacing w:after="100" w:afterAutospacing="1" w:before="100" w:beforeAutospacing="1"/>
      <w:ind/>
    </w:pPr>
    <w:rPr>
      <w:lang w:val="vi-VN" w:eastAsia="vi-VN"/>
    </w:rPr>
  </w:style>
  <w:style w:type="character" w:styleId="1123" w:customStyle="1">
    <w:name w:val="List Paragraph Char"/>
    <w:link w:val="1036"/>
    <w:uiPriority w:val="34"/>
    <w:qFormat/>
    <w:pPr>
      <w:pBdr/>
      <w:spacing/>
      <w:ind/>
    </w:pPr>
    <w:rPr>
      <w:rFonts w:ascii="Times New Roman" w:hAnsi="Times New Roman" w:eastAsia="Times New Roman" w:cs="Times New Roman"/>
      <w:sz w:val="24"/>
      <w:szCs w:val="24"/>
    </w:rPr>
  </w:style>
  <w:style w:type="character" w:styleId="1124" w:customStyle="1">
    <w:name w:val="Đề cập Chưa giải quyết2"/>
    <w:basedOn w:val="1019"/>
    <w:uiPriority w:val="99"/>
    <w:semiHidden/>
    <w:unhideWhenUsed/>
    <w:pPr>
      <w:pBdr/>
      <w:spacing/>
      <w:ind/>
    </w:pPr>
    <w:rPr>
      <w:color w:val="605e5c"/>
      <w:shd w:val="clear" w:color="auto" w:fill="e1dfdd"/>
    </w:rPr>
  </w:style>
  <w:style w:type="character" w:styleId="1125" w:customStyle="1">
    <w:name w:val="Unresolved Mention3"/>
    <w:basedOn w:val="1019"/>
    <w:uiPriority w:val="99"/>
    <w:semiHidden/>
    <w:unhideWhenUsed/>
    <w:pPr>
      <w:pBdr/>
      <w:spacing/>
      <w:ind/>
    </w:pPr>
    <w:rPr>
      <w:color w:val="605e5c"/>
      <w:shd w:val="clear" w:color="auto" w:fill="e1dfdd"/>
    </w:rPr>
  </w:style>
  <w:style w:type="character" w:styleId="1126" w:customStyle="1">
    <w:name w:val="copy"/>
    <w:basedOn w:val="1019"/>
    <w:pPr>
      <w:pBdr/>
      <w:spacing/>
      <w:ind/>
    </w:pPr>
  </w:style>
  <w:style w:type="paragraph" w:styleId="1127" w:customStyle="1">
    <w:name w:val="align-justify"/>
    <w:basedOn w:val="1014"/>
    <w:pPr>
      <w:pBdr/>
      <w:spacing w:after="100" w:afterAutospacing="1" w:before="100" w:beforeAutospacing="1"/>
      <w:ind/>
    </w:pPr>
  </w:style>
  <w:style w:type="character" w:styleId="1128" w:customStyle="1">
    <w:name w:val="btn"/>
    <w:basedOn w:val="1019"/>
    <w:pPr>
      <w:pBdr/>
      <w:spacing/>
      <w:ind/>
    </w:pPr>
  </w:style>
  <w:style w:type="character" w:styleId="1129" w:customStyle="1">
    <w:name w:val="hide_mobile"/>
    <w:basedOn w:val="1019"/>
    <w:pPr>
      <w:pBdr/>
      <w:spacing/>
      <w:ind/>
    </w:pPr>
  </w:style>
  <w:style w:type="character" w:styleId="1130">
    <w:name w:val="Emphasis"/>
    <w:basedOn w:val="1019"/>
    <w:uiPriority w:val="20"/>
    <w:qFormat/>
    <w:pPr>
      <w:pBdr/>
      <w:spacing/>
      <w:ind/>
    </w:pPr>
    <w:rPr>
      <w:i/>
      <w:iCs/>
    </w:rPr>
  </w:style>
  <w:style w:type="character" w:styleId="1131" w:customStyle="1">
    <w:name w:val="t1"/>
    <w:basedOn w:val="1019"/>
    <w:pPr>
      <w:pBdr/>
      <w:spacing/>
      <w:ind/>
    </w:pPr>
  </w:style>
  <w:style w:type="character" w:styleId="1132" w:customStyle="1">
    <w:name w:val="Unresolved Mention4"/>
    <w:basedOn w:val="1019"/>
    <w:uiPriority w:val="99"/>
    <w:semiHidden/>
    <w:unhideWhenUsed/>
    <w:pPr>
      <w:pBdr/>
      <w:spacing/>
      <w:ind/>
    </w:pPr>
    <w:rPr>
      <w:color w:val="605e5c"/>
      <w:shd w:val="clear" w:color="auto" w:fill="e1dfdd"/>
    </w:rPr>
  </w:style>
  <w:style w:type="character" w:styleId="1133">
    <w:name w:val="Unresolved Mention"/>
    <w:basedOn w:val="101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jpg"/><Relationship Id="rId40" Type="http://schemas.openxmlformats.org/officeDocument/2006/relationships/image" Target="media/image26.jpg"/><Relationship Id="rId41" Type="http://schemas.openxmlformats.org/officeDocument/2006/relationships/image" Target="media/image27.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Nga</cp:lastModifiedBy>
  <cp:revision>516</cp:revision>
  <dcterms:created xsi:type="dcterms:W3CDTF">2025-09-15T02:01:00Z</dcterms:created>
  <dcterms:modified xsi:type="dcterms:W3CDTF">2026-08-12T05:55:39Z</dcterms:modified>
</cp:coreProperties>
</file>