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1539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1539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w:t>
                            </w:r>
                            <w:r>
                              <w:rPr>
                                <w:b/>
                                <w:color w:val="000000" w:themeColor="text1"/>
                              </w:rPr>
                              <w:t xml:space="preserve"> 275/2026/1372/VFI-CT.36.A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CỔ</w:t>
                            </w:r>
                            <w:r>
                              <w:rPr>
                                <w:rFonts w:ascii="Times New Roman Bold" w:hAnsi="Times New Roman Bold"/>
                                <w:b/>
                                <w:color w:val="000000" w:themeColor="text1"/>
                                <w:lang w:val="pt-BR"/>
                              </w:rPr>
                              <w:t xml:space="preserve"> PHẦN ĐẦU TƯ XÂY DỰNG VÀ PHÁT TRIỂN TÚ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7, tờ bản đồ số: 16, có địa chỉ: Xã Hát </w:t>
                            </w:r>
                            <w:r>
                              <w:rPr>
                                <w:color w:val="000000"/>
                              </w:rPr>
                              <w:t xml:space="preserve">Môn, thành phố Hà Nội theo Giấy chứng nhận Quyền sử dụng đất quyền sở hữu tài sản gắn liền với đất số: AA 04028860, số vào sổ cấp GCN: CN 3498 do Chi nhánh văn phòng đăng ký đất đai huyện Phúc Thọ cấp ngày 03/09/2025; Chủ sử dụng đất là Ông Nguyễn Duy Hải.</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48.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w:t>
                      </w:r>
                      <w:r>
                        <w:rPr>
                          <w:b/>
                          <w:color w:val="000000" w:themeColor="text1"/>
                        </w:rPr>
                        <w:t xml:space="preserve"> 275/2026/1372/VFI-CT.36.A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CỔ</w:t>
                      </w:r>
                      <w:r>
                        <w:rPr>
                          <w:rFonts w:ascii="Times New Roman Bold" w:hAnsi="Times New Roman Bold"/>
                          <w:b/>
                          <w:color w:val="000000" w:themeColor="text1"/>
                          <w:lang w:val="pt-BR"/>
                        </w:rPr>
                        <w:t xml:space="preserve"> PHẦN ĐẦU TƯ XÂY DỰNG VÀ PHÁT TRIỂN TÚ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7, tờ bản đồ số: 16, có địa chỉ: Xã Hát </w:t>
                      </w:r>
                      <w:r>
                        <w:rPr>
                          <w:color w:val="000000"/>
                        </w:rPr>
                        <w:t xml:space="preserve">Môn, thành phố Hà Nội theo Giấy chứng nhận Quyền sử dụng đất quyền sở hữu tài sản gắn liền với đất số: AA 04028860, số vào sổ cấp GCN: CN 3498 do Chi nhánh văn phòng đăng ký đất đai huyện Phúc Thọ cấp ngày 03/09/2025; Chủ sử dụng đất là Ông Nguyễn Duy Hải.</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4-17</w:t>
            </w:r>
            <w:r>
              <w:rPr>
                <w:b/>
                <w:highlight w:val="white"/>
                <w:lang w:val="vi-VN"/>
              </w:rPr>
            </w:r>
            <w:r>
              <w:rPr>
                <w:b/>
                <w:highlight w:val="white"/>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18</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19-22</w:t>
            </w:r>
            <w:r>
              <w:rPr>
                <w:b/>
                <w:bCs/>
                <w:highlight w:val="white"/>
              </w:rPr>
            </w:r>
            <w:r>
              <w:rPr>
                <w:b/>
                <w:bCs/>
                <w:highlight w:val="white"/>
              </w:rPr>
            </w:r>
          </w:p>
        </w:tc>
      </w:tr>
    </w:tbl>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w:t>
            </w:r>
            <w:r>
              <w:rPr>
                <w:rStyle w:val="1029"/>
                <w:rFonts w:ascii="Times New Roman" w:hAnsi="Times New Roman"/>
                <w:color w:val="000000" w:themeColor="text1"/>
                <w:lang w:val="pt-BR"/>
              </w:rPr>
              <w:t xml:space="preserve"> 275/2026/1372/VFI-CT.36.A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3 tháng 9 năm 2026</w:t>
            </w:r>
            <w:r>
              <w:rPr>
                <w:color w:val="000000" w:themeColor="text1"/>
                <w:sz w:val="24"/>
                <w:szCs w:val="24"/>
                <w:lang w:val="vi-VN"/>
              </w:rPr>
            </w:r>
            <w:r>
              <w:rPr>
                <w:color w:val="000000" w:themeColor="text1"/>
                <w:sz w:val="24"/>
                <w:szCs w:val="24"/>
                <w:lang w:val="vi-VN"/>
              </w:rPr>
            </w:r>
          </w:p>
        </w:tc>
      </w:tr>
    </w:tbl>
    <w:p>
      <w:pPr>
        <w:pStyle w:val="1030"/>
        <w:pBdr/>
        <w:spacing w:after="120" w:before="200" w:line="288" w:lineRule="auto"/>
        <w:ind/>
        <w:jc w:val="center"/>
        <w:rPr>
          <w:rStyle w:val="1029"/>
          <w:rFonts w:ascii="Times New Roman" w:hAnsi="Times New Roman"/>
          <w:b/>
          <w:bCs/>
          <w:color w:val="auto"/>
          <w:sz w:val="30"/>
          <w:szCs w:val="30"/>
          <w:lang w:val="vi-VN"/>
        </w:rPr>
      </w:pPr>
      <w:r>
        <w:rPr>
          <w:rStyle w:val="1029"/>
          <w:rFonts w:ascii="Times New Roman" w:hAnsi="Times New Roman"/>
          <w:b/>
          <w:bCs/>
          <w:color w:val="auto"/>
          <w:sz w:val="30"/>
          <w:szCs w:val="30"/>
          <w:lang w:val="vi-VN"/>
        </w:rPr>
        <w:t xml:space="preserve">CHỨNG THƯ THẨM ĐỊNH GIÁ</w:t>
      </w:r>
      <w:r>
        <w:rPr>
          <w:rStyle w:val="1029"/>
          <w:rFonts w:ascii="Times New Roman" w:hAnsi="Times New Roman"/>
          <w:b/>
          <w:bCs/>
          <w:color w:val="auto"/>
          <w:sz w:val="30"/>
          <w:szCs w:val="30"/>
          <w:lang w:val="vi-VN"/>
        </w:rPr>
      </w:r>
      <w:r>
        <w:rPr>
          <w:rStyle w:val="1029"/>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ĐẦU TƯ XÂY DỰNG VÀ PHÁT TRIỂN TÚ ANH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color w:val="000000" w:themeColor="text1"/>
          <w:spacing w:val="-4"/>
          <w:lang w:val="vi-VN"/>
        </w:rPr>
        <w:t xml:space="preserve"> 275/2026/1370/VFI-HĐTĐ.36.A</w:t>
      </w:r>
      <w:r>
        <w:rPr>
          <w:spacing w:val="-4"/>
          <w:lang w:val="vi-VN"/>
        </w:rPr>
        <w:t xml:space="preserve"> ký ngày </w:t>
      </w:r>
      <w:r>
        <w:rPr>
          <w:color w:val="000000" w:themeColor="text1"/>
          <w:spacing w:val="-4"/>
        </w:rPr>
        <w:t xml:space="preserve">03 tháng 8 năm 2026</w:t>
      </w:r>
      <w:r>
        <w:rPr>
          <w:spacing w:val="-4"/>
          <w:lang w:val="vi-VN"/>
        </w:rPr>
        <w:t xml:space="preserve"> </w:t>
      </w:r>
      <w:r>
        <w:rPr>
          <w:spacing w:val="-4"/>
          <w:lang w:val="vi-VN"/>
        </w:rPr>
        <w:t xml:space="preserve">giữa </w:t>
      </w:r>
      <w:r>
        <w:rPr>
          <w:color w:val="000000" w:themeColor="text1"/>
          <w:spacing w:val="-4"/>
        </w:rPr>
        <w:t xml:space="preserve">Công ty Cổ phần đầu tư xây dựng và phát triển Tú Anh </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color w:val="000000" w:themeColor="text1"/>
          <w:spacing w:val="-2"/>
          <w:lang w:val="pt-BR"/>
        </w:rPr>
        <w:t xml:space="preserve">: 275/2026/1372/VFI-BC.36.A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03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CÔNG TY CỔ PHẦN ĐẦU TƯ XÂY DỰNG VÀ PHÁT TRIỂN TÚ ANH</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0108385651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b/>
                <w:bCs/>
                <w:color w:val="ff0000"/>
              </w:rPr>
            </w:pPr>
            <w:r>
              <w:rPr>
                <w:b/>
                <w:bCs/>
                <w:color w:val="000000" w:themeColor="text1"/>
                <w:lang w:val="vi-VN"/>
              </w:rPr>
              <w:t xml:space="preserve">Ông Nguyễn Duy Hải</w:t>
            </w:r>
            <w:r>
              <w:rPr>
                <w:color w:val="000000" w:themeColor="text1"/>
                <w:lang w:val="vi-VN"/>
              </w:rPr>
              <w:t xml:space="preserve">         </w:t>
            </w:r>
            <w:r>
              <w:rPr>
                <w:b/>
                <w:bCs/>
                <w:color w:val="000000" w:themeColor="text1"/>
                <w:lang w:val="vi-VN"/>
              </w:rPr>
              <w:t xml:space="preserve"> Chức vụ: Giám đốc</w:t>
            </w:r>
            <w:r>
              <w:rPr>
                <w:b/>
                <w:bCs/>
                <w:color w:val="ff0000"/>
              </w:rPr>
            </w:r>
            <w:r>
              <w:rPr>
                <w:b/>
                <w:bCs/>
                <w:color w:val="ff0000"/>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Thôn Ngọc Tảo 9, Xã Hát Môn, TP Hà Nội, Việt Nam</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7, tờ bản đồ số: 16, có địa chỉ: Xã Hát </w:t>
      </w:r>
      <w:r>
        <w:rPr>
          <w:color w:val="000000" w:themeColor="text1"/>
        </w:rPr>
        <w:t xml:space="preserve">Môn, thành phố Hà Nội theo Giấy chứng nhận Quyền sử dụng đất quyền sở hữu tài sản gắn liền với đất số: AA 04028860, số vào sổ cấp GCN: CN 3498 do Chi nhánh văn phòng đăng ký đất đai huyện Phúc Thọ cấp ngày 03/09/2025; Chủ sử dụng đất là Ông Nguyễn Duy Hải.</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7, tờ bản đồ số: 16, có địa chỉ: Xã Hát </w:t>
            </w:r>
            <w:r>
              <w:rPr>
                <w:b/>
                <w:bCs/>
                <w:color w:val="000000"/>
              </w:rPr>
              <w:t xml:space="preserve">Môn, thành phố Hà Nội theo Giấy chứng nhận Quyền sử dụng đất quyền sở hữu tài sản gắn liền với đất số: AA 04028860, số vào sổ cấp GCN: CN 3498 do Chi nhánh văn phòng đăng ký đất đai huyện Phúc Thọ cấp ngày 03/09/2025; Chủ sử dụng đất là Ông Nguyễn Duy Hải.</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261,0</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50.000.000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13.050.000.000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13.050.000.000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ba tỷ năm mươi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w:t>
            </w:r>
            <w:r>
              <w:rPr>
                <w:rStyle w:val="1029"/>
                <w:rFonts w:ascii="Times New Roman" w:hAnsi="Times New Roman"/>
                <w:color w:val="000000" w:themeColor="text1"/>
                <w:lang w:val="pt-BR"/>
              </w:rPr>
              <w:t xml:space="preserve"> 275/2026/1372/VFI-BC.36.A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3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0"/>
              <w:pBdr/>
              <w:spacing w:after="60"/>
              <w:ind/>
              <w:rPr>
                <w:rStyle w:val="1029"/>
                <w:rFonts w:ascii="Times New Roman" w:hAnsi="Times New Roman"/>
                <w:color w:val="000000" w:themeColor="text1"/>
                <w:lang w:val="pt-BR"/>
              </w:rPr>
            </w:pPr>
            <w:r>
              <w:rPr>
                <w:rStyle w:val="1029"/>
                <w:rFonts w:ascii="Times New Roman" w:hAnsi="Times New Roman"/>
                <w:color w:val="000000" w:themeColor="text1"/>
                <w:lang w:val="pt-BR"/>
              </w:rPr>
            </w:r>
            <w:r>
              <w:rPr>
                <w:rStyle w:val="1029"/>
                <w:rFonts w:ascii="Times New Roman" w:hAnsi="Times New Roman"/>
                <w:color w:val="000000" w:themeColor="text1"/>
                <w:lang w:val="pt-BR"/>
              </w:rPr>
            </w:r>
            <w:r>
              <w:rPr>
                <w:rStyle w:val="1029"/>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30"/>
              <w:pBdr/>
              <w:spacing w:after="60"/>
              <w:ind w:right="-56"/>
              <w:rPr>
                <w:rStyle w:val="1029"/>
                <w:rFonts w:ascii="Times New Roman" w:hAnsi="Times New Roman"/>
                <w:i/>
                <w:color w:val="auto"/>
              </w:rPr>
            </w:pPr>
            <w:r>
              <w:rPr>
                <w:rFonts w:ascii="Times New Roman" w:hAnsi="Times New Roman"/>
                <w:i/>
                <w:color w:val="auto"/>
              </w:rPr>
            </w:r>
            <w:r>
              <w:rPr>
                <w:rStyle w:val="1029"/>
                <w:rFonts w:ascii="Times New Roman" w:hAnsi="Times New Roman"/>
                <w:i/>
                <w:color w:val="auto"/>
              </w:rPr>
            </w:r>
            <w:r>
              <w:rPr>
                <w:rStyle w:val="1029"/>
                <w:rFonts w:ascii="Times New Roman" w:hAnsi="Times New Roman"/>
                <w:i/>
                <w:color w:val="auto"/>
              </w:rPr>
            </w:r>
          </w:p>
        </w:tc>
      </w:tr>
    </w:tbl>
    <w:p>
      <w:pPr>
        <w:pStyle w:val="103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color w:val="000000" w:themeColor="text1"/>
          <w:spacing w:val="-6"/>
          <w:sz w:val="24"/>
          <w:szCs w:val="24"/>
          <w:lang w:val="pt-BR"/>
        </w:rPr>
        <w:t xml:space="preserve"> 275/2026/1372/VFI-CT.36.A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03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CÔNG TY CỔ PHẦN ĐẦU TƯ XÂY DỰNG VÀ PHÁT TRIỂN TÚ ANH</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0108385651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b/>
                <w:bCs/>
                <w:color w:val="ff0000"/>
              </w:rPr>
            </w:pPr>
            <w:r>
              <w:rPr>
                <w:b/>
                <w:bCs/>
                <w:color w:val="000000" w:themeColor="text1"/>
                <w:lang w:val="vi-VN"/>
              </w:rPr>
              <w:t xml:space="preserve">Ông Nguyễn Duy Hải</w:t>
            </w:r>
            <w:r>
              <w:rPr>
                <w:color w:val="000000" w:themeColor="text1"/>
                <w:lang w:val="vi-VN"/>
              </w:rPr>
              <w:t xml:space="preserve">         </w:t>
            </w:r>
            <w:r>
              <w:rPr>
                <w:b/>
                <w:bCs/>
                <w:color w:val="000000" w:themeColor="text1"/>
                <w:lang w:val="vi-VN"/>
              </w:rPr>
              <w:t xml:space="preserve"> Chức vụ: Giám đốc</w:t>
            </w:r>
            <w:r>
              <w:rPr>
                <w:b/>
                <w:bCs/>
                <w:color w:val="ff0000"/>
              </w:rPr>
            </w:r>
            <w:r>
              <w:rPr>
                <w:b/>
                <w:bCs/>
                <w:color w:val="ff0000"/>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Thôn Ngọc Tảo 9, Xã Hát Môn, TP Hà Nội, Việt Nam</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7, tờ bản đồ số: 16, có địa chỉ: Xã Hát </w:t>
            </w:r>
            <w:r>
              <w:rPr>
                <w:bCs/>
                <w:color w:val="000000" w:themeColor="text1"/>
                <w:lang w:val="pt-BR"/>
              </w:rPr>
              <w:t xml:space="preserve">Môn, thành phố Hà Nội theo Giấy chứng nhận Quyền sử dụng đất quyền sở hữu tài sản gắn liền với đất số: AA 04028860, số vào sổ cấp GCN: CN 3498 do Chi nhánh văn phòng đăng ký đất đai huyện Phúc Thọ cấp ngày 03/09/2025; Chủ sử dụng đất là Ông Nguyễn Duy Hải.</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Hát Môn,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21.084722222222, 105.61816666667</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03/8/2026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1"/>
        <w:numPr>
          <w:ilvl w:val="0"/>
          <w:numId w:val="1"/>
        </w:numPr>
        <w:pBdr/>
        <w:spacing w:after="120" w:before="120" w:line="276" w:lineRule="auto"/>
        <w:ind/>
        <w:jc w:val="both"/>
        <w:rPr>
          <w:bCs/>
          <w:spacing w:val="-4"/>
          <w:lang w:val="pt-BR"/>
        </w:rPr>
      </w:pPr>
      <w:r>
        <w:rPr>
          <w:bCs/>
          <w:spacing w:val="-4"/>
          <w:lang w:val="pt-BR"/>
        </w:rPr>
        <w:t xml:space="preserve">Quyết định số 425/QĐ-BXD ngày 30/3/2026 của Bộ Xây dựng về việc Công bố suất vốn đầu tư xây dựng công trình và giá xây dựng tổng hợp bộ phận kết cấu công trình năm 2025;</w:t>
      </w:r>
      <w:r>
        <w:rPr>
          <w:bCs/>
          <w:spacing w:val="-4"/>
          <w:lang w:val="pt-BR"/>
        </w:rPr>
      </w:r>
      <w:r>
        <w:rPr>
          <w:bCs/>
          <w:spacing w:val="-4"/>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1"/>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04028860, số vào sổ cấp GCN: CN 3498 do Chi nhánh văn phòng đăng ký đất đai huyện Phúc Thọ cấp ngày 03/09/2025; Chủ sử dụng đất là Ông Nguyễn Duy Hải.</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275/2026/1370/VFI-HĐTĐ.36.A ngày 03/08/2026 giữa Công ty Cổ phần đầu tư xây dựng và phát triển Tú Anh với Công ty Cổ phần Thẩm định và Đầu tư Tài chính Hoa Sen.</w:t>
      </w:r>
      <w:r>
        <w:rPr>
          <w:b/>
          <w:lang w:val="pt-BR"/>
        </w:rPr>
      </w:r>
      <w:r>
        <w:rPr>
          <w:b/>
          <w:lang w:val="pt-BR"/>
        </w:rPr>
      </w:r>
    </w:p>
    <w:p>
      <w:pPr>
        <w:pStyle w:val="103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b/>
          <w:bCs/>
          <w:iCs/>
        </w:rPr>
      </w:pPr>
      <w:r>
        <w:rPr>
          <w:lang w:val="pt-BR"/>
        </w:rPr>
        <w:tab/>
      </w:r>
      <w:r>
        <w:rPr>
          <w:b/>
          <w:bCs/>
          <w:shd w:val="clear" w:color="auto" w:fill="ffffff"/>
        </w:rPr>
        <w:t xml:space="preserve">Bức tranh thị</w:t>
      </w:r>
      <w:r>
        <w:rPr>
          <w:b/>
          <w:bCs/>
          <w:shd w:val="clear" w:color="auto" w:fill="ffffff"/>
        </w:rPr>
        <w:t xml:space="preserve"> trường bất động sản Hà Nội năm 2026: Hạ tầng dẫn dắt, thị trường bước vào chu kỳ tăng trưởng mới</w:t>
      </w:r>
      <w:r>
        <w:rPr>
          <w:b/>
          <w:bCs/>
          <w:iCs/>
        </w:rPr>
      </w:r>
      <w:r>
        <w:rPr>
          <w:b/>
          <w:bCs/>
          <w:i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Bước sang năm 2026, thị trường bất động sản Hà Nội được kỳ vọng bước vào chu kỳ tăng trưởng mới với nền tảng hạ tầng, pháp lý và chính sách ngày càng rõ nét. </w:t>
      </w:r>
      <w:r>
        <w:rPr>
          <w:shd w:val="clear" w:color="auto" w:fill="ffffff"/>
        </w:rPr>
        <w:t xml:space="preserve">Thay vì những cơn “sốt nóng”, thị trường vận động theo hướng chọn lọc, phân hóa mạnh, lấy nhu cầu ở thực, chất lượng dự án và năng lực doanh nghiệp làm trụ cột phát triển bền vững.</w:t>
      </w:r>
      <w:r/>
    </w:p>
    <w:p>
      <w:pPr>
        <w:pBdr/>
        <w:tabs>
          <w:tab w:val="left" w:leader="none" w:pos="426"/>
        </w:tabs>
        <w:spacing w:after="120" w:before="120" w:line="276" w:lineRule="auto"/>
        <w:ind/>
        <w:jc w:val="both"/>
        <w:rPr>
          <w:b/>
          <w:bCs/>
        </w:rPr>
      </w:pPr>
      <w:r>
        <w:rPr>
          <w:shd w:val="clear" w:color="auto" w:fill="ffffff"/>
        </w:rPr>
      </w:r>
      <w:r>
        <w:rPr>
          <w:b/>
          <w:bCs/>
          <w:shd w:val="clear" w:color="auto" w:fill="ffffff"/>
        </w:rPr>
        <w:t xml:space="preserve">Hạ tầng - "xương sống" mở không gian phát triển mới</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Trong nhiều năm qua, hạ</w:t>
      </w:r>
      <w:r>
        <w:rPr>
          <w:shd w:val="clear" w:color="auto" w:fill="ffffff"/>
        </w:rPr>
        <w:t xml:space="preserve">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động sản.</w:t>
      </w:r>
      <w:r/>
    </w:p>
    <w:p>
      <w:pPr>
        <w:pBdr/>
        <w:tabs>
          <w:tab w:val="left" w:leader="none" w:pos="426"/>
        </w:tabs>
        <w:spacing w:after="120" w:before="120" w:line="276" w:lineRule="auto"/>
        <w:ind/>
        <w:jc w:val="both"/>
        <w:rPr/>
      </w:pPr>
      <w:r>
        <w:rPr>
          <w:shd w:val="clear" w:color="auto" w:fill="ffffff"/>
        </w:rPr>
        <w:t xml:space="preserve">Dự án đường Vành</w:t>
      </w:r>
      <w:r>
        <w:rPr>
          <w:shd w:val="clear" w:color="auto" w:fill="ffffff"/>
        </w:rPr>
        <w:t xml:space="preserve">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 có điều kiện kết</w:t>
      </w:r>
      <w:r>
        <w:rPr>
          <w:shd w:val="clear" w:color="auto" w:fill="ffffff"/>
        </w:rPr>
        <w:t xml:space="preserve"> nối thuận lợi hơn, qua đó gia tăng sức hấp dẫn với các dự án đô thị, khu nhà ở và dịch vụ.</w:t>
      </w:r>
      <w:r/>
    </w:p>
    <w:p>
      <w:pPr>
        <w:pBdr/>
        <w:tabs>
          <w:tab w:val="left" w:leader="none" w:pos="426"/>
        </w:tabs>
        <w:spacing w:after="120" w:before="120" w:line="276" w:lineRule="auto"/>
        <w:ind/>
        <w:jc w:val="both"/>
        <w:rPr/>
      </w:pPr>
      <w:r>
        <w:rPr>
          <w:shd w:val="clear" w:color="auto" w:fill="ffffff"/>
        </w:rPr>
      </w:r>
      <w:r>
        <w:rPr>
          <w:shd w:val="clear" w:color="auto" w:fill="ffffff"/>
        </w:rPr>
        <w:t xml:space="preserve">Thực tế thị trường cho thấy, các khu vực hưởng lợi trực tiếp từ hạ tầng đều ghi nhận sự cải thiện rõ rệt về giá trị và thanh khoản. Tâ</w:t>
      </w:r>
      <w:r>
        <w:rPr>
          <w:shd w:val="clear" w:color="auto" w:fill="ffffff"/>
        </w:rPr>
        <w:t xml:space="preserve">y Hà Nội, với trục Đại lộ Thăng Long, các tuyến Vành đai 3, 3,5 và định hướng tuyến metro số 5 (Văn Cao – Hòa Lạc), đang nổi lên như một cực phát triển mới. Ở phía Đông, hệ thống cầu vượt sông Hồng, cùng quy hoạch chỉnh trang đô thị ven sông, tiếp tục mở r</w:t>
      </w:r>
      <w:r>
        <w:rPr>
          <w:shd w:val="clear" w:color="auto" w:fill="ffffff"/>
        </w:rPr>
        <w:t xml:space="preserve">a dư địa cho các dự án nhà ở và đô thị sinh thái.</w:t>
      </w:r>
      <w:r/>
    </w:p>
    <w:p>
      <w:pPr>
        <w:pBdr/>
        <w:tabs>
          <w:tab w:val="left" w:leader="none" w:pos="426"/>
        </w:tabs>
        <w:spacing w:after="120" w:before="120" w:line="276" w:lineRule="auto"/>
        <w:ind/>
        <w:rPr>
          <w:b/>
          <w:bCs/>
        </w:rPr>
      </w:pPr>
      <w:r>
        <w:rPr>
          <w:shd w:val="clear" w:color="auto" w:fill="ffffff"/>
        </w:rPr>
      </w:r>
      <w:r>
        <w:rPr>
          <w:b/>
          <w:bCs/>
          <w:shd w:val="clear" w:color="auto" w:fill="ffffff"/>
        </w:rPr>
        <w:t xml:space="preserve">Thị trường chuyển từ "tăng nóng" sang tăng trưởng chọn lọc</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Nếu như giai đoạn trước, thị trường bất động sản Hà Nội từng chứng kiến những đợt tăng giá nhanh ở một số phân khúc, thì bước sang năm 2026, xu hướ</w:t>
      </w:r>
      <w:r>
        <w:rPr>
          <w:shd w:val="clear" w:color="auto" w:fill="ffffff"/>
        </w:rPr>
        <w:t xml:space="preserve">ng chủ đạo là tăng trưởng có chọn lọc. Dòng tiền không còn chạy theo "sóng ngắn" mà ưu tiên những khu vực có quy hoạch rõ ràng, hạ tầng đồng bộ và nhu cầu ở thực ổn định.</w:t>
      </w:r>
      <w:r/>
    </w:p>
    <w:p>
      <w:pPr>
        <w:pBdr/>
        <w:tabs>
          <w:tab w:val="left" w:leader="none" w:pos="426"/>
        </w:tabs>
        <w:spacing w:after="120" w:before="120" w:line="276" w:lineRule="auto"/>
        <w:ind/>
        <w:rPr>
          <w:b/>
          <w:bCs/>
        </w:rPr>
      </w:pPr>
      <w:r>
        <w:rPr>
          <w:shd w:val="clear" w:color="auto" w:fill="ffffff"/>
        </w:rPr>
      </w:r>
      <w:r>
        <w:rPr>
          <w:b/>
          <w:bCs/>
          <w:shd w:val="clear" w:color="auto" w:fill="ffffff"/>
        </w:rPr>
        <w:t xml:space="preserve">Nguồn cung lớn, thị trường phân hóa rõ nét</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w:t>
      </w:r>
      <w:r>
        <w:rPr>
          <w:shd w:val="clear" w:color="auto" w:fill="ffffff"/>
        </w:rPr>
        <w:t xml:space="preserve"> pháp lý và tái khởi động. Điều này vừa tạo cơ hội cho người mua, vừa đặt ra thách thức cho doanh nghiệp phát triển dự án.</w:t>
      </w:r>
      <w:r/>
    </w:p>
    <w:p>
      <w:pPr>
        <w:pBdr/>
        <w:tabs>
          <w:tab w:val="left" w:leader="none" w:pos="426"/>
        </w:tabs>
        <w:spacing w:after="120" w:before="120" w:line="276" w:lineRule="auto"/>
        <w:ind/>
        <w:rPr>
          <w:b/>
          <w:bCs/>
        </w:rPr>
      </w:pPr>
      <w:r>
        <w:rPr>
          <w:shd w:val="clear" w:color="auto" w:fill="ffffff"/>
        </w:rPr>
      </w:r>
      <w:r>
        <w:rPr>
          <w:b/>
          <w:bCs/>
          <w:shd w:val="clear" w:color="auto" w:fill="ffffff"/>
        </w:rPr>
        <w:t xml:space="preserve">Chính sách và pháp lý - điểm tựa cho chu kỳ mới</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Năm 2026 được xem là thời điểm các chính sách pháp luật về đất đai, nhà ở và kinh doa</w:t>
      </w:r>
      <w:r>
        <w:rPr>
          <w:shd w:val="clear" w:color="auto" w:fill="ffffff"/>
        </w:rPr>
        <w:t xml:space="preserve">nh bất động sản phát huy hiệu quả rõ nét hơn. Việc tháo gỡ vướng mắc cho hàng nghìn dự án tồn đọng không chỉ giúp giải phóng nguồn lực lớn cho nền kinh tế mà còn bổ sung nguồn cung đáng kể cho thị trường.</w:t>
      </w:r>
      <w:r/>
    </w:p>
    <w:p>
      <w:pPr>
        <w:pBdr/>
        <w:tabs>
          <w:tab w:val="left" w:leader="none" w:pos="426"/>
        </w:tabs>
        <w:spacing w:after="120" w:before="120" w:line="276" w:lineRule="auto"/>
        <w:ind/>
        <w:jc w:val="both"/>
        <w:rPr/>
      </w:pPr>
      <w:r>
        <w:rPr>
          <w:shd w:val="clear" w:color="auto" w:fill="ffffff"/>
        </w:rPr>
        <w:t xml:space="preserve">Các cơ chế mới liên quan đến định giá đất, thu hồi </w:t>
      </w:r>
      <w:r>
        <w:rPr>
          <w:shd w:val="clear" w:color="auto" w:fill="ffffff"/>
        </w:rPr>
        <w:t xml:space="preserve">đất và mở rộng khả năng tiếp cận quỹ đất được kỳ vọng sẽ rút ngắn thời gian chuẩn bị dự án, giảm chi phí và tăng tính minh bạch. Điều này giúp thị trường vận hành lành mạnh hơn, hạn chế tình trạng "treo" dự án kéo dài, đồng thời tạo niềm tin cho nhà đầu tư</w:t>
      </w:r>
      <w:r>
        <w:rPr>
          <w:shd w:val="clear" w:color="auto" w:fill="ffffff"/>
        </w:rPr>
        <w:t xml:space="preserve"> và người mua nhà.</w:t>
      </w:r>
      <w:r/>
    </w:p>
    <w:p>
      <w:pPr>
        <w:pBdr/>
        <w:tabs>
          <w:tab w:val="left" w:leader="none" w:pos="426"/>
        </w:tabs>
        <w:spacing w:after="120" w:before="120" w:line="276" w:lineRule="auto"/>
        <w:ind/>
        <w:jc w:val="both"/>
        <w:rPr>
          <w:b/>
          <w:bCs/>
        </w:rPr>
      </w:pPr>
      <w:r>
        <w:rPr>
          <w:shd w:val="clear" w:color="auto" w:fill="ffffff"/>
        </w:rPr>
      </w:r>
      <w:r>
        <w:rPr>
          <w:b/>
          <w:bCs/>
          <w:shd w:val="clear" w:color="auto" w:fill="ffffff"/>
        </w:rPr>
        <w:t xml:space="preserve">Triển vọng 2026: tăng trưởng bền vững trên nền tảng mới</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Với nguồn cung tăng mạnh và người mua ngày càng kỹ tính, năm 2026 được xem là giai đoạn sàng lọc rõ nét đối với các doanh nghiệp bất động sản. Những chủ đầu tư có quỹ đất sạch, năng</w:t>
      </w:r>
      <w:r>
        <w:rPr>
          <w:shd w:val="clear" w:color="auto" w:fill="ffffff"/>
        </w:rPr>
        <w:t xml:space="preserve"> lực tài chính lành mạnh và chiến lược phát triển sản phẩm phù hợp sẽ có cơ hội bứt phá. Ngược lại, các doanh nghiệp yếu về pháp lý, phụ thuộc nhiều vào đòn bẩy tài chính hoặc chạy theo đầu cơ ngắn hạn có thể tiếp tục bị đào thải.</w:t>
      </w:r>
      <w:r/>
    </w:p>
    <w:p>
      <w:pPr>
        <w:pBdr/>
        <w:tabs>
          <w:tab w:val="left" w:leader="none" w:pos="426"/>
        </w:tabs>
        <w:spacing w:after="120" w:before="120" w:line="276" w:lineRule="auto"/>
        <w:ind/>
        <w:jc w:val="both"/>
        <w:rPr/>
      </w:pPr>
      <w:r>
        <w:rPr>
          <w:shd w:val="clear" w:color="auto" w:fill="ffffff"/>
        </w:rPr>
        <w:t xml:space="preserve">Cuộc cạnh tranh không chỉ</w:t>
      </w:r>
      <w:r>
        <w:rPr>
          <w:shd w:val="clear" w:color="auto" w:fill="ffffff"/>
        </w:rPr>
        <w:t xml:space="preserve">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p>
    <w:p>
      <w:pPr>
        <w:pBdr/>
        <w:tabs>
          <w:tab w:val="left" w:leader="none" w:pos="426"/>
        </w:tabs>
        <w:spacing w:after="120" w:before="120" w:line="276" w:lineRule="auto"/>
        <w:ind/>
        <w:jc w:val="both"/>
        <w:rPr/>
      </w:pPr>
      <w:r>
        <w:rPr>
          <w:shd w:val="clear" w:color="auto" w:fill="ffffff"/>
        </w:rPr>
        <w:t xml:space="preserve">Nhìn tổng thể, bức tranh thị trường bấ</w:t>
      </w:r>
      <w:r>
        <w:rPr>
          <w:shd w:val="clear" w:color="auto" w:fill="ffffff"/>
        </w:rPr>
        <w:t xml:space="preserve">t động sản Hà Nội năm 2026 mang gam màu tích cực nhưng không kém phần thận trọng. Hạ tầng tiếp tục đóng vai trò "dẫn lối", chính sách và pháp lý tạo điểm tựa, trong khi nhu cầu ở thực giữ vai trò chủ đạo. Thị trường không còn chỗ cho những cơn sốt ảo, mà h</w:t>
      </w:r>
      <w:r>
        <w:rPr>
          <w:shd w:val="clear" w:color="auto" w:fill="ffffff"/>
        </w:rPr>
        <w:t xml:space="preserve">ướng tới tăng trưởng ổn định, gắn với chất lượng đô thị và chất lượng sống.</w:t>
      </w:r>
      <w:r/>
    </w:p>
    <w:p>
      <w:pPr>
        <w:pBdr/>
        <w:tabs>
          <w:tab w:val="left" w:leader="none" w:pos="426"/>
        </w:tabs>
        <w:spacing w:after="120" w:before="120" w:line="276" w:lineRule="auto"/>
        <w:ind/>
        <w:jc w:val="both"/>
        <w:rPr>
          <w:bCs/>
          <w:i/>
          <w:lang w:val="pt-BR"/>
        </w:rPr>
      </w:pPr>
      <w:r>
        <w:rPr>
          <w:shd w:val="clear" w:color="auto" w:fill="ffffff"/>
        </w:rPr>
      </w:r>
      <w:r>
        <w:rPr>
          <w:i/>
          <w:iCs/>
          <w:shd w:val="clear" w:color="auto" w:fill="ffffff"/>
        </w:rPr>
        <w:t xml:space="preserve">(Nguồn tham khảo: https://thanglong.chinhphu.vn/buc-tranh-thi-truong-bat-dong-san-ha-noi-nam-2026-ha-tang-dan-dat-thi-truong-buoc-vao-chu-ky-tang-truong-moi-103260101181315972.htm)</w:t>
      </w:r>
      <w:r>
        <w:rPr>
          <w:bCs/>
          <w:i/>
          <w:lang w:val="pt-BR"/>
        </w:rPr>
      </w:r>
      <w:r>
        <w:rPr>
          <w:bCs/>
          <w:i/>
          <w:lang w:val="pt-BR"/>
        </w:rPr>
      </w:r>
    </w:p>
    <w:p>
      <w:pPr>
        <w:pStyle w:val="103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5"/>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2268"/>
        <w:gridCol w:w="1810"/>
        <w:gridCol w:w="2340"/>
        <w:gridCol w:w="2512"/>
      </w:tblGrid>
      <w:tr>
        <w:trPr>
          <w:trHeight w:val="124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30"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7, tờ bản đồ số: 16, có địa chỉ: Xã Hát Môn, thành phố Hà Nội theo Giấy chứng nhận Quyền sử dụng đất quyền sở hữu tài sản gắn liền với đất số: AA 04028860, số vào sổ cấp GCN: CN 3498 do Chi nhánh văn phòng đăng ký đất đai</w:t>
            </w:r>
            <w:r>
              <w:rPr>
                <w:rFonts w:ascii="Times New Roman" w:hAnsi="Times New Roman" w:eastAsia="Times New Roman" w:cs="Times New Roman"/>
                <w:b/>
                <w:color w:val="000000"/>
                <w:sz w:val="24"/>
              </w:rPr>
              <w:t xml:space="preserve"> huyện Phúc Thọ cấp ngày 03/09/2025; Chủ sử dụng đất là Ông Nguyễn Duy Hải.</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3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tcBorders>
              <w:bottom w:val="single" w:color="000000" w:sz="6" w:space="0"/>
              <w:right w:val="single" w:color="000000" w:sz="6" w:space="0"/>
            </w:tcBorders>
            <w:tcMar>
              <w:left w:w="0" w:type="dxa"/>
              <w:top w:w="0" w:type="dxa"/>
              <w:right w:w="0" w:type="dxa"/>
              <w:bottom w:w="0" w:type="dxa"/>
            </w:tcMar>
            <w:tcW w:w="181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w:t>
            </w:r>
            <w:r/>
          </w:p>
        </w:tc>
        <w:tc>
          <w:tcPr>
            <w:tcBorders>
              <w:bottom w:val="single" w:color="000000" w:sz="6" w:space="0"/>
              <w:right w:val="single" w:color="000000" w:sz="6"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6" w:space="0"/>
              <w:right w:val="single" w:color="000000" w:sz="6" w:space="0"/>
            </w:tcBorders>
            <w:tcMar>
              <w:left w:w="0" w:type="dxa"/>
              <w:top w:w="0" w:type="dxa"/>
              <w:right w:w="0" w:type="dxa"/>
              <w:bottom w:w="0" w:type="dxa"/>
            </w:tcMar>
            <w:tcW w:w="251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16</w:t>
            </w:r>
            <w:r/>
          </w:p>
        </w:tc>
      </w:tr>
      <w:tr>
        <w:trPr>
          <w:trHeight w:val="64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662"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Xã Hát Môn, thành phố Hà Nội</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6" w:space="0"/>
              <w:right w:val="single" w:color="000000" w:sz="6" w:space="0"/>
            </w:tcBorders>
            <w:tcMar>
              <w:left w:w="0" w:type="dxa"/>
              <w:top w:w="0" w:type="dxa"/>
              <w:right w:w="0" w:type="dxa"/>
              <w:bottom w:w="0" w:type="dxa"/>
            </w:tcMar>
            <w:tcW w:w="181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261,0</w:t>
            </w:r>
            <w:r/>
          </w:p>
        </w:tc>
        <w:tc>
          <w:tcPr>
            <w:tcBorders>
              <w:bottom w:val="single" w:color="000000" w:sz="6" w:space="0"/>
              <w:right w:val="single" w:color="000000" w:sz="6"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51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181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51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212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Ghi chú:</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662"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Giấy chứng nhận này được cấp đổi từ Giấy chứng nhận số DC 601584 đã được Sở Tài nguyên và Môi trường thành phố Hà Nội  cấp ngày 29/10/2021;</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Tài sản riêng của ông Nguyễn Duy Hải theo Văn bản thoả thuận tài sản riêng của vợ chồng số 7168 do công chứng vi</w:t>
            </w:r>
            <w:r>
              <w:rPr>
                <w:rFonts w:ascii="Times New Roman" w:hAnsi="Times New Roman" w:eastAsia="Times New Roman" w:cs="Times New Roman"/>
                <w:color w:val="000000"/>
                <w:sz w:val="24"/>
              </w:rPr>
              <w:t xml:space="preserve">ên Văn phòng công chứng Đỗ Quốc Dũng chứng nhận ngày 23/08/2025;</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 Số tờ bản đồ, số thửa được xác định theo bản đồ dự án tổng thể cũ thuộc xã Tam Hiệp, huyện Phúc Thọ.</w:t>
            </w:r>
            <w:r/>
          </w:p>
        </w:tc>
      </w:tr>
      <w:tr>
        <w:trPr>
          <w:trHeight w:val="625"/>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Thông tin quy hoạch: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662" w:type="dxa"/>
            <w:vAlign w:val="center"/>
            <w:textDirection w:val="lrTb"/>
            <w:noWrap w:val="false"/>
          </w:tcPr>
          <w:p>
            <w:pPr>
              <w:pBdr/>
              <w:spacing w:after="0" w:before="0" w:line="240" w:lineRule="auto"/>
              <w:ind/>
              <w:jc w:val="both"/>
              <w:rPr>
                <w:rFonts w:ascii="Times New Roman" w:hAnsi="Times New Roman" w:eastAsia="Times New Roman" w:cs="Times New Roman"/>
                <w:color w:val="000000" w:themeColor="text1"/>
                <w:sz w:val="24"/>
                <w:szCs w:val="24"/>
                <w:highlight w:val="none"/>
              </w:rPr>
            </w:pPr>
            <w:r>
              <w:rPr>
                <w:rFonts w:ascii="Times New Roman" w:hAnsi="Times New Roman" w:eastAsia="Times New Roman" w:cs="Times New Roman"/>
                <w:color w:val="000000"/>
                <w:sz w:val="24"/>
              </w:rPr>
              <w:t xml:space="preserve">Tại thời điểm thẩm định giá, Tổ thẩm định </w:t>
            </w:r>
            <w:r>
              <w:rPr>
                <w:rFonts w:ascii="Times New Roman" w:hAnsi="Times New Roman" w:eastAsia="Times New Roman" w:cs="Times New Roman"/>
                <w:color w:val="000000" w:themeColor="text1"/>
                <w:sz w:val="24"/>
              </w:rPr>
              <w:t xml:space="preserve">dựa trên định vị của tài sản sau khi khảo sát, tổ thẩm định tra cứu quy hoạch online thông qua trang mạng Meeymap nhận thấy thửa đất có 211,44m2 đất ở nằm trong quy hoạch đất giao thông.</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pBdr/>
              <w:spacing w:after="0" w:before="0" w:line="240" w:lineRule="auto"/>
              <w:ind/>
              <w:jc w:val="left"/>
              <w:rPr>
                <w:highlight w:val="none"/>
              </w:rPr>
            </w:pPr>
            <w:r>
              <w:rPr>
                <w:highlight w:val="none"/>
              </w:rPr>
            </w:r>
            <w:r>
              <mc:AlternateContent>
                <mc:Choice Requires="wpg">
                  <w:drawing>
                    <wp:inline xmlns:wp="http://schemas.openxmlformats.org/drawingml/2006/wordprocessingDrawing" distT="0" distB="0" distL="0" distR="0">
                      <wp:extent cx="4050428" cy="220388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310080" name=""/>
                              <pic:cNvPicPr>
                                <a:picLocks noChangeAspect="1"/>
                              </pic:cNvPicPr>
                              <pic:nvPr/>
                            </pic:nvPicPr>
                            <pic:blipFill rotWithShape="1">
                              <a:blip r:embed="rId17"/>
                              <a:stretch/>
                            </pic:blipFill>
                            <pic:spPr bwMode="auto">
                              <a:xfrm flipH="0" flipV="0">
                                <a:off x="0" y="0"/>
                                <a:ext cx="4050428" cy="22038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18.93pt;height:173.53pt;mso-wrap-distance-left:0.00pt;mso-wrap-distance-top:0.00pt;mso-wrap-distance-right:0.00pt;mso-wrap-distance-bottom:0.00pt;z-index:1;" stroked="false">
                      <v:imagedata r:id="rId17" o:title=""/>
                      <o:lock v:ext="edit" rotation="t"/>
                    </v:shape>
                  </w:pict>
                </mc:Fallback>
              </mc:AlternateContent>
            </w:r>
            <w:r>
              <w:rPr>
                <w:highlight w:val="none"/>
              </w:rPr>
            </w:r>
            <w:r>
              <w:rPr>
                <w:highlight w:val="none"/>
              </w:rPr>
            </w:r>
          </w:p>
          <w:p>
            <w:pPr>
              <w:pBdr/>
              <w:spacing w:after="0" w:before="0" w:line="240" w:lineRule="auto"/>
              <w:ind w:firstLine="0" w:left="0"/>
              <w:jc w:val="left"/>
              <w:rPr>
                <w:highlight w:val="none"/>
              </w:rPr>
            </w:pPr>
            <w:r>
              <w:rPr>
                <w:highlight w:val="none"/>
              </w:rPr>
            </w:r>
            <w:r>
              <w:rPr>
                <w:highlight w:val="none"/>
              </w:rPr>
            </w:r>
            <w:r>
              <w:rPr>
                <w:highlight w:val="none"/>
              </w:rPr>
            </w:r>
          </w:p>
          <w:p>
            <w:pPr>
              <w:pBdr/>
              <w:spacing w:after="0" w:before="0" w:line="240" w:lineRule="auto"/>
              <w:ind w:firstLine="0" w:left="0"/>
              <w:jc w:val="both"/>
              <w:rPr>
                <w:highlight w:val="none"/>
              </w:rPr>
            </w:pPr>
            <w:r>
              <w:rPr>
                <w:highlight w:val="none"/>
              </w:rPr>
              <w:t xml:space="preserve">- Theo Văn bản số: 1442/ KT của </w:t>
            </w:r>
            <w:r>
              <w:rPr>
                <w:highlight w:val="none"/>
              </w:rPr>
              <w:t xml:space="preserve">Phòng Kinh tế UBND xã Hát Môn</w:t>
            </w:r>
            <w:r>
              <w:rPr>
                <w:highlight w:val="none"/>
              </w:rPr>
              <w:t xml:space="preserve"> về việc cung cấp thông tin về quy </w:t>
            </w:r>
            <w:r>
              <w:rPr>
                <w:highlight w:val="none"/>
              </w:rPr>
              <w:t xml:space="preserve">hoạch đô thị và nông thôn của thông tin hồ sơ cắm mốc ngày 06/8/2026 cấp cho ông Nguyễn Duy Hải. Theo Giấy chứng nhận quyền sử dụng đất, quyền sở hữu tài sản gắn liền với đất số: AA 04028860, Thửa đất số 7, tờ bản đồ số 16, tại Xã Hát Môn, Thành phố Hà Nội</w:t>
            </w:r>
            <w:r>
              <w:rPr>
                <w:highlight w:val="none"/>
              </w:rPr>
            </w:r>
            <w:r>
              <w:rPr>
                <w:highlight w:val="none"/>
              </w:rPr>
            </w:r>
          </w:p>
          <w:p>
            <w:pPr>
              <w:pBdr/>
              <w:spacing w:after="0" w:before="0" w:line="240" w:lineRule="auto"/>
              <w:ind w:firstLine="0" w:left="0"/>
              <w:jc w:val="both"/>
              <w:rPr>
                <w:highlight w:val="none"/>
              </w:rPr>
            </w:pPr>
            <w:r>
              <w:rPr>
                <w:highlight w:val="none"/>
              </w:rPr>
              <w:t xml:space="preserve">+ Theo quy hoạch chung xây dựng xã Tam Hiệp, huyện Phúc Thọ (Nay là xã Hát Môn, thành phố Hà Nội) đến năm 2020, định hướng đến năm 2030 đã được phê duyệt (</w:t>
            </w:r>
            <w:r>
              <w:rPr>
                <w:i/>
                <w:iCs/>
                <w:highlight w:val="none"/>
              </w:rPr>
              <w:t xml:space="preserve">còn hiện lực theo Khoản 1 Điều 59 Luật Quy hoạch đô thị và nông thôn năm 2024</w:t>
            </w:r>
            <w:r>
              <w:rPr>
                <w:highlight w:val="none"/>
              </w:rPr>
              <w:t xml:space="preserve">), khu vực của thửa đất được định hướng là khu vực đất ở.</w:t>
            </w:r>
            <w:r>
              <w:rPr>
                <w:highlight w:val="none"/>
              </w:rPr>
            </w:r>
            <w:r>
              <w:rPr>
                <w:highlight w:val="none"/>
              </w:rPr>
            </w:r>
          </w:p>
          <w:p>
            <w:pPr>
              <w:pBdr/>
              <w:spacing w:after="0" w:before="0" w:line="240" w:lineRule="auto"/>
              <w:ind w:firstLine="0" w:left="0"/>
              <w:jc w:val="both"/>
              <w:rPr>
                <w:highlight w:val="none"/>
              </w:rPr>
            </w:pPr>
            <w:r>
              <w:rPr>
                <w:highlight w:val="none"/>
              </w:rPr>
              <w:t xml:space="preserve">+ Khu vực thửa đất chưa có quy hoạch chi tiết 1/500 và nằm ngoài phạm vi chỉ giới đường đỏ được cấp có thẩm quyền  phê duyệt.</w:t>
            </w:r>
            <w:r>
              <w:rPr>
                <w:highlight w:val="none"/>
              </w:rPr>
            </w:r>
            <w:r>
              <w:rPr>
                <w:highlight w:val="none"/>
              </w:rP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3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3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181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bê tông</w:t>
            </w:r>
            <w:r/>
          </w:p>
        </w:tc>
        <w:tc>
          <w:tcPr>
            <w:tcBorders>
              <w:right w:val="single" w:color="000000" w:sz="6"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51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02 mặt tiền</w:t>
            </w:r>
            <w:r/>
          </w:p>
        </w:tc>
      </w:tr>
      <w:tr>
        <w:trPr>
          <w:trHeight w:val="1240"/>
        </w:trPr>
        <w:tc>
          <w:tcPr>
            <w:tcBorders>
              <w:left w:val="single" w:color="000000" w:sz="6" w:space="0"/>
              <w:bottom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181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5m</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40"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51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5m</w:t>
            </w:r>
            <w:r/>
          </w:p>
        </w:tc>
      </w:tr>
      <w:tr>
        <w:trPr>
          <w:trHeight w:val="72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662"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có mặt tiền hướng Đông Bắc tiếp giáp đường ven QL32, cách QL 32 khoảng 200m</w:t>
            </w:r>
            <w:r/>
          </w:p>
        </w:tc>
      </w:tr>
      <w:tr>
        <w:trPr>
          <w:trHeight w:val="95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662"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Hướng Đông Bắc: Tiếp giáp với đường bê tông rộng khoảng 5m</w:t>
              <w:br/>
              <w:t xml:space="preserve">Hướng Tây Nam: Tiếp giáp với đường bê tông rộng khoảng 2,8m</w:t>
              <w:br/>
              <w:t xml:space="preserve">Các hướng khác: Tiếp giáp các thửa đất khác.</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893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trên bản đồ vệ tinh: </w:t>
            </w:r>
            <w:r/>
          </w:p>
        </w:tc>
      </w:tr>
      <w:tr>
        <w:trPr>
          <w:trHeight w:val="3118"/>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893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634755" cy="277123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657686" name=""/>
                              <pic:cNvPicPr>
                                <a:picLocks noChangeAspect="1"/>
                              </pic:cNvPicPr>
                              <pic:nvPr/>
                            </pic:nvPicPr>
                            <pic:blipFill rotWithShape="1">
                              <a:blip r:embed="rId18"/>
                              <a:stretch/>
                            </pic:blipFill>
                            <pic:spPr bwMode="auto">
                              <a:xfrm flipH="0" flipV="0">
                                <a:off x="0" y="0"/>
                                <a:ext cx="5634755" cy="27712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43.68pt;height:218.21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rPr>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3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6" w:space="0"/>
              <w:right w:val="single" w:color="000000" w:sz="6" w:space="0"/>
            </w:tcBorders>
            <w:tcMar>
              <w:left w:w="0" w:type="dxa"/>
              <w:top w:w="0" w:type="dxa"/>
              <w:right w:w="0" w:type="dxa"/>
              <w:bottom w:w="0" w:type="dxa"/>
            </w:tcMar>
            <w:tcW w:w="181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261,0</w:t>
            </w:r>
            <w:r/>
          </w:p>
        </w:tc>
        <w:tc>
          <w:tcPr>
            <w:tcBorders>
              <w:bottom w:val="single" w:color="000000" w:sz="6" w:space="0"/>
              <w:right w:val="single" w:color="000000" w:sz="6"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6" w:space="0"/>
              <w:right w:val="single" w:color="000000" w:sz="6" w:space="0"/>
            </w:tcBorders>
            <w:tcMar>
              <w:left w:w="0" w:type="dxa"/>
              <w:top w:w="0" w:type="dxa"/>
              <w:right w:w="0" w:type="dxa"/>
              <w:bottom w:w="0" w:type="dxa"/>
            </w:tcMar>
            <w:tcW w:w="251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Mặt tiền (m):</w:t>
            </w:r>
            <w:r/>
          </w:p>
        </w:tc>
        <w:tc>
          <w:tcPr>
            <w:tcBorders>
              <w:bottom w:val="single" w:color="000000" w:sz="6" w:space="0"/>
              <w:right w:val="single" w:color="000000" w:sz="6" w:space="0"/>
            </w:tcBorders>
            <w:tcMar>
              <w:left w:w="0" w:type="dxa"/>
              <w:top w:w="0" w:type="dxa"/>
              <w:right w:w="0" w:type="dxa"/>
              <w:bottom w:w="0" w:type="dxa"/>
            </w:tcMar>
            <w:tcW w:w="181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2,46</w:t>
            </w:r>
            <w:r/>
          </w:p>
        </w:tc>
        <w:tc>
          <w:tcPr>
            <w:tcBorders>
              <w:bottom w:val="single" w:color="000000" w:sz="6" w:space="0"/>
              <w:right w:val="single" w:color="000000" w:sz="6"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tcBorders>
              <w:bottom w:val="single" w:color="000000" w:sz="6" w:space="0"/>
              <w:right w:val="single" w:color="000000" w:sz="6" w:space="0"/>
            </w:tcBorders>
            <w:tcMar>
              <w:left w:w="0" w:type="dxa"/>
              <w:top w:w="0" w:type="dxa"/>
              <w:right w:w="0" w:type="dxa"/>
              <w:bottom w:w="0" w:type="dxa"/>
            </w:tcMar>
            <w:tcW w:w="251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26,67</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tcBorders>
              <w:bottom w:val="single" w:color="000000" w:sz="6" w:space="0"/>
              <w:right w:val="single" w:color="000000" w:sz="6" w:space="0"/>
            </w:tcBorders>
            <w:tcMar>
              <w:left w:w="0" w:type="dxa"/>
              <w:top w:w="0" w:type="dxa"/>
              <w:right w:w="0" w:type="dxa"/>
              <w:bottom w:w="0" w:type="dxa"/>
            </w:tcMar>
            <w:tcW w:w="181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Đa giác</w:t>
            </w:r>
            <w:r/>
          </w:p>
        </w:tc>
        <w:tc>
          <w:tcPr>
            <w:tcBorders>
              <w:bottom w:val="single" w:color="000000" w:sz="6" w:space="0"/>
              <w:right w:val="single" w:color="000000" w:sz="6"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w:t>
            </w:r>
            <w:r/>
          </w:p>
        </w:tc>
        <w:tc>
          <w:tcPr>
            <w:tcBorders>
              <w:bottom w:val="single" w:color="000000" w:sz="6" w:space="0"/>
              <w:right w:val="single" w:color="000000" w:sz="6" w:space="0"/>
            </w:tcBorders>
            <w:tcMar>
              <w:left w:w="0" w:type="dxa"/>
              <w:top w:w="0" w:type="dxa"/>
              <w:right w:w="0" w:type="dxa"/>
              <w:bottom w:w="0" w:type="dxa"/>
            </w:tcMar>
            <w:tcW w:w="251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Bắc</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3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6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internet,…hoàn thiện</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6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6" w:space="0"/>
              <w:right w:val="single" w:color="000000" w:sz="6" w:space="0"/>
            </w:tcBorders>
            <w:tcMar>
              <w:left w:w="0" w:type="dxa"/>
              <w:top w:w="0" w:type="dxa"/>
              <w:right w:w="0" w:type="dxa"/>
              <w:bottom w:w="0" w:type="dxa"/>
            </w:tcMar>
            <w:tcW w:w="181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bottom w:val="single" w:color="000000" w:sz="6" w:space="0"/>
              <w:right w:val="single" w:color="000000" w:sz="6"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6" w:space="0"/>
              <w:right w:val="single" w:color="000000" w:sz="6" w:space="0"/>
            </w:tcBorders>
            <w:tcMar>
              <w:left w:w="0" w:type="dxa"/>
              <w:top w:w="0" w:type="dxa"/>
              <w:right w:w="0" w:type="dxa"/>
              <w:bottom w:w="0" w:type="dxa"/>
            </w:tcMar>
            <w:tcW w:w="251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613"/>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181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ở/kinh doanh</w:t>
            </w:r>
            <w:r/>
          </w:p>
        </w:tc>
        <w:tc>
          <w:tcPr>
            <w:tcBorders>
              <w:bottom w:val="single" w:color="000000" w:sz="6" w:space="0"/>
              <w:right w:val="single" w:color="000000" w:sz="6"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51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3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Tài sản gắn liền với đất</w:t>
            </w:r>
            <w:r/>
          </w:p>
        </w:tc>
      </w:tr>
      <w:tr>
        <w:trPr>
          <w:trHeight w:val="834"/>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30" w:type="dxa"/>
            <w:vAlign w:val="top"/>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Trên đất có 01 CTXD là nhà 2 tầng, diện tích xây dựng khoảng 80m2/sàn, hiện CTXD đang được sử dụng để ở.</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 Công trình chưa được chứng nhận trên GCN.</w:t>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t xml:space="preserve">Tại thời điểm thẩm định giá, qua khảo sát thực tế tổ thẩm định nhận thấy trên đất có 01 CTXD là nhà 2 tầng, diện tích xây dựng khoảng 80m2/sàn, hiện CTXD đang được sử dụng để ở. Công trình chưa được chứng nhận trên GCN.</w:t>
      </w:r>
      <w:r>
        <w:rPr>
          <w:spacing w:val="-2"/>
          <w:highlight w:val="none"/>
          <w:lang w:val="pt-BR" w:bidi="pt-BR"/>
        </w:rPr>
        <w:t xml:space="preserve">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spacing w:val="-2"/>
          <w:highlight w:val="none"/>
          <w:lang w:val="pt-BR" w:bidi="pt-BR"/>
        </w:rPr>
        <w:t xml:space="preserve">Tại thời điểm thẩm định giá, Tổ thẩm định dựa trên định vị của tài sản sau khi khảo sát, tổ thẩm định tra cứu quy hoạch online thông qua trang mạng Meeymap nhận thấy thửa đất có 211,44m2 đất ở nằm trong quy hoạch đất giao thông. </w:t>
      </w:r>
      <w:r>
        <w:rPr>
          <w:highlight w:val="none"/>
        </w:rPr>
        <w:t xml:space="preserve">Theo Văn bản số: 1442/ KT của </w:t>
      </w:r>
      <w:r>
        <w:rPr>
          <w:highlight w:val="none"/>
        </w:rPr>
        <w:t xml:space="preserve">Phòng Kinh tế UBND xã Hát Môn</w:t>
      </w:r>
      <w:r>
        <w:rPr>
          <w:highlight w:val="none"/>
        </w:rPr>
        <w:t xml:space="preserve"> về việc cung cấp thông tin về quy </w:t>
      </w:r>
      <w:r>
        <w:rPr>
          <w:highlight w:val="none"/>
        </w:rPr>
        <w:t xml:space="preserve">hoạch đô thị và nông thôn của thông tin hồ sơ cắm mốc ngày 06/8/2026 cấp cho ông Nguyễn Duy Hải. Theo Giấy chứng nhận quyền sử dụng đất, quyền sở hữu tài sản gắn liền với đất số: AA 04028860, Thửa đất số 7, tờ bản đồ số 16, tại Xã Hát Môn, Thành phố Hà Nội</w:t>
      </w:r>
      <w:r>
        <w:rPr>
          <w:spacing w:val="-2"/>
          <w:highlight w:val="none"/>
          <w:lang w:val="pt-BR" w:bidi="pt-BR"/>
        </w:rPr>
        <w:t xml:space="preserve">.</w:t>
      </w:r>
      <w:r>
        <w:rPr>
          <w:spacing w:val="-2"/>
          <w:lang w:val="pt-BR"/>
        </w:rPr>
      </w:r>
      <w:r>
        <w:rPr>
          <w:spacing w:val="-2"/>
          <w:lang w:val="pt-BR"/>
        </w:rPr>
      </w:r>
    </w:p>
    <w:p>
      <w:pPr>
        <w:pBdr/>
        <w:tabs>
          <w:tab w:val="left" w:leader="none" w:pos="993"/>
        </w:tabs>
        <w:spacing w:after="120" w:before="120" w:line="264" w:lineRule="auto"/>
        <w:ind w:firstLine="0" w:left="360"/>
        <w:jc w:val="both"/>
        <w:rPr>
          <w:spacing w:val="-2"/>
          <w:highlight w:val="none"/>
          <w:lang w:val="pt-BR" w:bidi="pt-BR"/>
        </w:rPr>
      </w:pPr>
      <w:r>
        <w:rPr>
          <w:spacing w:val="-2"/>
          <w:highlight w:val="none"/>
          <w:lang w:val="pt-BR" w:bidi="pt-BR"/>
        </w:rPr>
      </w:r>
      <w:r>
        <w:rPr>
          <w:spacing w:val="-2"/>
          <w:highlight w:val="none"/>
          <w:lang w:val="pt-BR" w:bidi="pt-BR"/>
        </w:rPr>
        <w:t xml:space="preserve">+</w:t>
      </w:r>
      <w:r>
        <w:rPr>
          <w:spacing w:val="-2"/>
          <w:highlight w:val="none"/>
          <w:lang w:val="pt-BR" w:bidi="pt-BR"/>
        </w:rPr>
        <w:t xml:space="preserve"> Theo quy hoạch chung xây dựng xã Tam Hiệp, huyện Phúc Thọ (Nay là xã Hát Môn, thành phố Hà Nội) đến năm 2020, định hướng đến năm 2030 đã được phê duyệt (còn hiện lực theo Khoản 1 Điều 59 Luật Quy hoạch đô thị và nông thôn năm 2024), khu vực của thửa đất đ</w:t>
      </w:r>
      <w:r>
        <w:rPr>
          <w:spacing w:val="-2"/>
          <w:highlight w:val="none"/>
          <w:lang w:val="pt-BR" w:bidi="pt-BR"/>
        </w:rPr>
        <w:t xml:space="preserve">ược định hướng là khu vực đất ở. </w:t>
      </w:r>
      <w:r>
        <w:rPr>
          <w:spacing w:val="-2"/>
          <w:highlight w:val="none"/>
          <w:lang w:val="pt-BR" w:bidi="pt-BR"/>
        </w:rPr>
      </w:r>
      <w:r>
        <w:rPr>
          <w:spacing w:val="-2"/>
          <w:highlight w:val="none"/>
          <w:lang w:val="pt-BR" w:bidi="pt-BR"/>
        </w:rPr>
      </w:r>
    </w:p>
    <w:p>
      <w:pPr>
        <w:pBdr/>
        <w:tabs>
          <w:tab w:val="left" w:leader="none" w:pos="993"/>
        </w:tabs>
        <w:spacing w:after="120" w:before="120" w:line="264" w:lineRule="auto"/>
        <w:ind w:firstLine="0" w:left="360"/>
        <w:jc w:val="both"/>
        <w:rPr>
          <w:spacing w:val="-2"/>
          <w:highlight w:val="none"/>
          <w:lang w:val="pt-BR" w:bidi="pt-BR"/>
        </w:rPr>
      </w:pPr>
      <w:r>
        <w:rPr>
          <w:spacing w:val="-2"/>
          <w:highlight w:val="none"/>
          <w:lang w:val="pt-BR" w:bidi="pt-BR"/>
        </w:rPr>
        <w:t xml:space="preserve">+ Khu vực thửa đất chưa có quy hoạch chi tiết 1/500 và nằm ngoài phạm vi chỉ giới đường đỏ được cấp có thẩm quyền  phê duyệt.</w:t>
      </w:r>
      <w:r>
        <w:rPr>
          <w:spacing w:val="-2"/>
          <w:highlight w:val="none"/>
          <w:lang w:val="pt-BR" w:bidi="pt-BR"/>
        </w:rPr>
      </w:r>
      <w:r>
        <w:rPr>
          <w:spacing w:val="-2"/>
          <w:highlight w:val="none"/>
          <w:lang w:val="pt-BR" w:bidi="pt-BR"/>
        </w:rPr>
      </w:r>
    </w:p>
    <w:p>
      <w:pPr>
        <w:pBdr/>
        <w:tabs>
          <w:tab w:val="left" w:leader="none" w:pos="993"/>
        </w:tabs>
        <w:spacing w:after="120" w:before="120" w:line="264" w:lineRule="auto"/>
        <w:ind w:right="0" w:firstLine="490" w:left="360"/>
        <w:jc w:val="both"/>
        <w:rPr>
          <w:spacing w:val="-2"/>
          <w:lang w:val="pt-BR"/>
        </w:rPr>
      </w:pPr>
      <w:r>
        <w:rPr>
          <w:spacing w:val="-2"/>
          <w:highlight w:val="none"/>
          <w:lang w:val="pt-BR" w:bidi="pt-BR"/>
        </w:rPr>
      </w:r>
      <w:r>
        <w:rPr>
          <w:spacing w:val="-2"/>
          <w:highlight w:val="none"/>
          <w:lang w:val="pt-BR" w:bidi="pt-BR"/>
        </w:rPr>
        <w:t xml:space="preserve">Vì vậy, theo thông tin Khách hàng cung cấp, </w:t>
      </w:r>
      <w:r>
        <w:rPr>
          <w:spacing w:val="-2"/>
          <w:highlight w:val="none"/>
          <w:lang w:val="pt-BR" w:bidi="pt-BR"/>
        </w:rPr>
        <w:t xml:space="preserve">tổ thẩm định giả định thửa đất phù hợp quy hoạch</w:t>
      </w:r>
      <w:r>
        <w:rPr>
          <w:spacing w:val="-2"/>
          <w:highlight w:val="none"/>
          <w:lang w:val="pt-BR" w:bidi="pt-BR"/>
        </w:rPr>
        <w:t xml:space="preserve"> theo hồ sơ khách hàng cung cấp, trong trường hợp có quy hoạch khác </w:t>
      </w:r>
      <w:r>
        <w:rPr>
          <w:spacing w:val="-2"/>
          <w:highlight w:val="none"/>
          <w:lang w:val="pt-BR" w:bidi="pt-BR"/>
        </w:rPr>
        <w:t xml:space="preserve">thì kết quả thẩm định giá cần được xem xét, điều chỉnh phù hợp, đồng thời chúng tôi bảo lưu quyền xem xét lại kết quả thẩm định giá</w:t>
      </w:r>
      <w:r>
        <w:rPr>
          <w:spacing w:val="-2"/>
          <w:highlight w:val="none"/>
          <w:lang w:val="pt-BR" w:bidi="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1"/>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3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692"/>
        <w:gridCol w:w="179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69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78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Hát Môn,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Xã Hát Môn,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Xã Hát Môn,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Hát Môn, Thành phố Hà Nội</w:t>
            </w:r>
            <w:r>
              <w:rPr>
                <w:sz w:val="22"/>
                <w:szCs w:val="22"/>
              </w:rPr>
            </w:r>
            <w:r/>
          </w:p>
        </w:tc>
      </w:tr>
      <w:tr>
        <w:trPr>
          <w:trHeight w:val="98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sz w:val="22"/>
                <w:szCs w:val="22"/>
              </w:rPr>
            </w:pPr>
            <w:r>
              <w:rPr>
                <w:color w:val="000000" w:themeColor="text1"/>
                <w:sz w:val="22"/>
                <w:szCs w:val="22"/>
              </w:rPr>
              <w:t xml:space="preserve">https://www.facebook.com/share/p/1ApuTEu3Gh/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sz w:val="22"/>
                <w:szCs w:val="22"/>
              </w:rPr>
            </w:pPr>
            <w:r>
              <w:rPr>
                <w:color w:val="000000" w:themeColor="text1"/>
                <w:sz w:val="22"/>
                <w:szCs w:val="22"/>
              </w:rPr>
              <w:t xml:space="preserve">https://www.facebook.com/share/p/1Fycvk2ncP/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https://www.facebook.com/share/p/1P7D2qeAYB/</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sz w:val="22"/>
                <w:szCs w:val="22"/>
              </w:rPr>
            </w:pPr>
            <w:r>
              <w:rPr>
                <w:color w:val="000000" w:themeColor="text1"/>
                <w:sz w:val="22"/>
                <w:szCs w:val="22"/>
              </w:rPr>
              <w:t xml:space="preserve">SĐT: 0382207056</w:t>
            </w: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sz w:val="22"/>
                <w:szCs w:val="22"/>
              </w:rPr>
            </w:pPr>
            <w:r>
              <w:rPr>
                <w:color w:val="000000" w:themeColor="text1"/>
                <w:sz w:val="22"/>
                <w:szCs w:val="22"/>
              </w:rPr>
              <w:t xml:space="preserve">SĐT: 0389058995</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SĐT: 0975349092</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rPr/>
            </w:pPr>
            <w:r>
              <w:rPr>
                <w:color w:val="000000"/>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Tháng 9/2026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Tháng 9/2026</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w:t>
            </w:r>
            <w:r>
              <w:rPr>
                <w:color w:val="000000" w:themeColor="text1"/>
                <w:sz w:val="22"/>
                <w:szCs w:val="22"/>
              </w:rPr>
              <w:t xml:space="preserve">trí</w:t>
            </w:r>
            <w:r>
              <w:rPr>
                <w:color w:val="000000"/>
                <w:sz w:val="22"/>
                <w:szCs w:val="22"/>
              </w:rPr>
            </w: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Xã Hát Môn, Thành phố Hà Nội, khoảng cách ra đường QL32 khoảng 200m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Xã Hát Môn, Thành phố Hà Nội, khoảng cách ra QL32 khoảng 465m</w:t>
            </w:r>
            <w:r>
              <w:rPr>
                <w:color w:val="000000"/>
                <w:sz w:val="22"/>
                <w:szCs w:val="22"/>
                <w:highlight w:val="white"/>
              </w:rPr>
            </w:r>
            <w:r>
              <w:rPr>
                <w:color w:val="000000"/>
                <w:sz w:val="22"/>
                <w:szCs w:val="22"/>
                <w:highlight w:val="white"/>
              </w:rPr>
            </w:r>
          </w:p>
          <w:p>
            <w:pPr>
              <w:pBdr/>
              <w:spacing/>
              <w:ind/>
              <w:jc w:val="left"/>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Tài sản tại: Xã Hát Môn, Thành phố Hà Nội</w:t>
            </w:r>
            <w:r>
              <w:rPr>
                <w:color w:val="000000" w:themeColor="text1"/>
                <w:sz w:val="22"/>
                <w:szCs w:val="22"/>
                <w:highlight w:val="white"/>
              </w:rPr>
              <w:t xml:space="preserve">, </w:t>
            </w:r>
            <w:r>
              <w:rPr>
                <w:color w:val="000000" w:themeColor="text1"/>
                <w:sz w:val="22"/>
                <w:szCs w:val="22"/>
                <w:highlight w:val="white"/>
              </w:rPr>
              <w:t xml:space="preserve">khoảng cách ra đường QL32 khoảng 450m</w:t>
            </w: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Tài sản tại: Xã Hát Môn, Thành phố Hà Nội, </w:t>
            </w:r>
            <w:r>
              <w:rPr>
                <w:color w:val="000000" w:themeColor="text1"/>
                <w:sz w:val="22"/>
                <w:szCs w:val="22"/>
                <w:highlight w:val="white"/>
              </w:rPr>
              <w:t xml:space="preserve">khoảng cách ra đường QL32 khoảng 300m </w:t>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Hạ tầng khu dân cư thông thường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Hạ tầng khu dân cư thông thường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Hạ tầng khu dân cư thông thường</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123,0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68,0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8,28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Thích hợp để ở/Kinh doanh</w:t>
            </w:r>
            <w:r/>
            <w:r/>
            <w:r>
              <w:rPr>
                <w:color w:val="000000" w:themeColor="text1"/>
                <w:sz w:val="22"/>
                <w:szCs w:val="22"/>
                <w:highlight w:val="yellow"/>
              </w:rPr>
            </w:r>
            <w:r>
              <w:rPr>
                <w:color w:val="000000"/>
                <w:sz w:val="22"/>
                <w:szCs w:val="22"/>
                <w:highlight w:val="yellow"/>
              </w:rPr>
            </w: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Thích hợp để ở/Kinh doanh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
              <w:rPr>
                <w:color w:val="000000" w:themeColor="text1"/>
                <w:sz w:val="22"/>
                <w:szCs w:val="22"/>
              </w:rPr>
              <w:t xml:space="preserve">Thích hợp để ở/Kinh doanh</w:t>
            </w:r>
            <w:r/>
            <w: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Thích hợp để ở/Kinh doanh</w:t>
            </w:r>
            <w:r/>
            <w:r/>
            <w: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Nhà cấp 4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9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Đất trống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Đất trống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9.225.000.000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4.012.000.000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8.302.500.000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3.610.800.000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3.150.000.000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214.097.184</w:t>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val="0"/>
                <w:bCs w:val="0"/>
                <w:color w:val="000000"/>
                <w:sz w:val="22"/>
                <w:szCs w:val="22"/>
              </w:rPr>
            </w:pPr>
            <w:r>
              <w:rPr>
                <w:b/>
                <w:bCs/>
                <w:color w:val="000000"/>
                <w:sz w:val="22"/>
                <w:szCs w:val="22"/>
              </w:rPr>
            </w:r>
            <w:r>
              <w:rPr>
                <w:b w:val="0"/>
                <w:bCs w:val="0"/>
                <w:color w:val="000000"/>
                <w:sz w:val="22"/>
                <w:szCs w:val="22"/>
              </w:rPr>
              <w:t xml:space="preserve">Đơn giá xây dựng theo Quyết định số 425/QĐ-BXD ngày 30/3/2026 của Bộ Xây Dựng (đồng/m²)</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5.947.144</w:t>
            </w:r>
            <w:r/>
          </w:p>
        </w:tc>
        <w:tc>
          <w:tcPr>
            <w:tcBorders>
              <w:top w:val="none" w:color="000000" w:sz="4" w:space="0"/>
              <w:left w:val="none" w:color="000000" w:sz="4" w:space="0"/>
              <w:bottom w:val="single" w:color="000000" w:sz="4" w:space="0"/>
              <w:right w:val="single" w:color="000000" w:sz="4" w:space="0"/>
            </w:tcBorders>
            <w:tcW w:w="179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val="0"/>
                <w:bCs w:val="0"/>
                <w:color w:val="000000"/>
                <w:sz w:val="22"/>
                <w:szCs w:val="22"/>
              </w:rPr>
            </w:pPr>
            <w:r>
              <w:rPr>
                <w:b w:val="0"/>
                <w:bCs w:val="0"/>
                <w:color w:val="000000"/>
                <w:sz w:val="22"/>
                <w:szCs w:val="22"/>
              </w:rPr>
            </w:r>
            <w:r>
              <w:rPr>
                <w:b w:val="0"/>
                <w:bCs w:val="0"/>
                <w:color w:val="000000"/>
                <w:sz w:val="22"/>
                <w:szCs w:val="22"/>
              </w:rPr>
              <w:t xml:space="preserve">Tỷ lệ % CLCL</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80%</w:t>
            </w:r>
            <w:r/>
          </w:p>
        </w:tc>
        <w:tc>
          <w:tcPr>
            <w:tcBorders>
              <w:top w:val="none" w:color="000000" w:sz="4" w:space="0"/>
              <w:left w:val="none" w:color="000000" w:sz="4" w:space="0"/>
              <w:bottom w:val="single" w:color="000000" w:sz="4" w:space="0"/>
              <w:right w:val="single" w:color="000000" w:sz="4" w:space="0"/>
            </w:tcBorders>
            <w:tcW w:w="179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8.088.402.816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3.610.800.000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tcPr>
          <w:p>
            <w:pPr>
              <w:pBdr/>
              <w:spacing/>
              <w:ind/>
              <w:jc w:val="center"/>
              <w:rPr>
                <w:color w:val="000000"/>
                <w:sz w:val="22"/>
                <w:szCs w:val="22"/>
              </w:rPr>
            </w:pPr>
            <w:r>
              <w:rPr>
                <w:color w:val="000000" w:themeColor="text1"/>
                <w:sz w:val="22"/>
                <w:szCs w:val="22"/>
              </w:rPr>
              <w:t xml:space="preserve">53.100.000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8.088.402.816</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3.610.800.000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3.150.000.000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53.100.000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r>
      <w:tr>
        <w:trPr>
          <w:trHeight w:val="1949"/>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Xã Hát Môn, Thành phố Hà Nội, khoảng cách ra đường QL32 khoảng 200m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Xã Hát Môn, Thành phố Hà Nội, khoảng cách ra QL32 khoảng 465m</w:t>
            </w:r>
            <w:r>
              <w:rPr>
                <w:color w:val="000000"/>
                <w:sz w:val="22"/>
                <w:szCs w:val="22"/>
                <w:highlight w:val="white"/>
              </w:rPr>
            </w:r>
            <w:r>
              <w:rPr>
                <w:color w:val="000000"/>
                <w:sz w:val="22"/>
                <w:szCs w:val="22"/>
                <w:highlight w:val="white"/>
              </w:rPr>
            </w:r>
          </w:p>
          <w:p>
            <w:pPr>
              <w:pBdr/>
              <w:spacing/>
              <w:ind/>
              <w:jc w:val="left"/>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Tài sản tại: Xã Hát Môn, Thành phố Hà Nội</w:t>
            </w:r>
            <w:r>
              <w:rPr>
                <w:color w:val="000000" w:themeColor="text1"/>
                <w:sz w:val="22"/>
                <w:szCs w:val="22"/>
                <w:highlight w:val="white"/>
              </w:rPr>
              <w:t xml:space="preserve">, </w:t>
            </w:r>
            <w:r>
              <w:rPr>
                <w:color w:val="000000" w:themeColor="text1"/>
                <w:sz w:val="22"/>
                <w:szCs w:val="22"/>
                <w:highlight w:val="white"/>
              </w:rPr>
              <w:t xml:space="preserve">khoảng cách ra đường QL32 khoảng 450m</w:t>
            </w:r>
            <w:r>
              <w:rPr>
                <w:color w:val="000000" w:themeColor="text1"/>
                <w:sz w:val="22"/>
                <w:szCs w:val="22"/>
                <w:highlight w:val="white"/>
              </w:rPr>
              <w:t xml:space="preserve"> </w:t>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Tài sản tại: Xã Hát Môn, Thành phố Hà Nội, </w:t>
            </w:r>
            <w:r>
              <w:rPr>
                <w:color w:val="000000" w:themeColor="text1"/>
                <w:sz w:val="22"/>
                <w:szCs w:val="22"/>
                <w:highlight w:val="white"/>
              </w:rPr>
              <w:t xml:space="preserve">khoảng cách ra đường QL32 khoảng 300m</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-5.260.750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4.248.000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60.498.622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57.348.000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Hạ tầng khu dân cư thông thường</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Hạ tầng khu dân cư thông thường</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Hạ tầng khu dân cư thông thường</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60.498.622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57.348.000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Tốt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Tốt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Tốt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60.498.622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57.348.000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261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-6.575.937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-15.000.000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53.922.685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49.383.000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2,46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8,28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-5.260.750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-1.062.000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-2.250.000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48.661.935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48.321.000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50.250.000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3.287.969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2.655.000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3.750.000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51.949.904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50.976.000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Thóp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-2.655.000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-3.750.000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51.949.904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48.321.000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50.250.000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Thích hợp để ở/Kinh doanh</w:t>
            </w: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Thích hợp để ở/Kinh doanh</w:t>
            </w:r>
            <w:r/>
            <w:r/>
          </w:p>
        </w:tc>
        <w:tc>
          <w:tcPr>
            <w:shd w:val="clear" w:color="000000" w:fill="ffffff"/>
            <w:tcBorders/>
            <w:tcW w:w="1522" w:type="dxa"/>
            <w:vAlign w:val="center"/>
            <w:textDirection w:val="lrTb"/>
            <w:noWrap w:val="false"/>
          </w:tcPr>
          <w:p>
            <w:pPr>
              <w:pBdr/>
              <w:spacing/>
              <w:ind/>
              <w:jc w:val="center"/>
              <w:rPr/>
            </w:pPr>
            <w:r/>
            <w:r>
              <w:rPr>
                <w:color w:val="000000" w:themeColor="text1"/>
                <w:sz w:val="22"/>
                <w:szCs w:val="22"/>
              </w:rPr>
              <w:t xml:space="preserve">Thích hợp để ở/Kinh doanh</w:t>
            </w:r>
            <w:r/>
            <w:r/>
          </w:p>
        </w:tc>
        <w:tc>
          <w:tcPr>
            <w:shd w:val="clear" w:color="000000" w:fill="ffffff"/>
            <w:tcBorders/>
            <w:tcW w:w="1522" w:type="dxa"/>
            <w:vAlign w:val="center"/>
            <w:textDirection w:val="lrTb"/>
            <w:noWrap w:val="false"/>
          </w:tcPr>
          <w:p>
            <w:pPr>
              <w:pBdr/>
              <w:spacing/>
              <w:ind/>
              <w:jc w:val="center"/>
              <w:rPr/>
            </w:pPr>
            <w:r/>
            <w:r>
              <w:rPr>
                <w:color w:val="000000" w:themeColor="text1"/>
                <w:sz w:val="22"/>
                <w:szCs w:val="22"/>
              </w:rPr>
              <w:t xml:space="preserve">Thích hợp để ở/Kinh doanh</w:t>
            </w: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51.949.904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48.321.000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50.250.000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51.949.904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48.321.000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50.250.000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50.173.635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3,54%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-3,69%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0,15%</w:t>
            </w:r>
            <w:r>
              <w:rPr>
                <w:color w:val="000000"/>
                <w:sz w:val="22"/>
                <w:szCs w:val="22"/>
              </w:rPr>
            </w:r>
            <w:r>
              <w:rPr>
                <w:color w:val="000000"/>
                <w:sz w:val="22"/>
                <w:szCs w:val="22"/>
              </w:rPr>
            </w:r>
          </w:p>
        </w:tc>
      </w:tr>
      <w:tr>
        <w:trPr>
          <w:trHeight w:val="385"/>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20.385.406</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18.585.000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32.250.000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13.809.468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4.779.000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24.750.000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-3,69</w:t>
      </w:r>
      <w:r>
        <w:t xml:space="preserve">% đến</w:t>
      </w:r>
      <w:r>
        <w:t xml:space="preserve"> </w:t>
      </w:r>
      <w:r>
        <w:t xml:space="preserve"> </w:t>
      </w:r>
      <w:r>
        <w:t xml:space="preserve">3,54</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51.949.904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17.320.098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48.321.000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16.105.389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50.250.000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16.748.325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50.173.812</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50.000.000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50.000.000</w:t>
      </w:r>
      <w:r>
        <w:rPr>
          <w:b/>
          <w:bCs/>
          <w:color w:val="000000" w:themeColor="text1"/>
        </w:rPr>
        <w:t xml:space="preserve"> </w:t>
      </w:r>
      <w:r>
        <w:rPr>
          <w:b/>
          <w:bCs/>
        </w:rPr>
        <w:t xml:space="preserve">đồng/m².</w:t>
      </w:r>
      <w:r>
        <w:rPr>
          <w:b/>
          <w:bCs/>
        </w:rPr>
      </w:r>
      <w:r>
        <w:rPr>
          <w:b/>
          <w:bCs/>
        </w:rPr>
      </w:r>
    </w:p>
    <w:p>
      <w:pPr>
        <w:pStyle w:val="1031"/>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1"/>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7, tờ bản đồ số: 16, có địa chỉ: Xã Hát </w:t>
            </w:r>
            <w:r>
              <w:rPr>
                <w:b/>
                <w:bCs/>
                <w:color w:val="000000"/>
              </w:rPr>
              <w:t xml:space="preserve">Môn, thành phố Hà Nội theo Giấy chứng nhận Quyền sử dụng đất quyền sở hữu tài sản gắn liền với đất số: AA 04028860, số vào sổ cấp GCN: CN 3498 do Chi nhánh văn phòng đăng ký đất đai huyện Phúc Thọ cấp ngày 03/09/2025; Chủ sử dụng đất là Ông Nguyễn Duy Hải.</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261</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50.000.000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13.050.000.000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13.050.000.000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ba tỷ năm mươi triệu đồng</w:t>
            </w:r>
            <w:r>
              <w:rPr>
                <w:b/>
                <w:bCs/>
                <w:i/>
                <w:iCs/>
                <w:color w:val="000000"/>
              </w:rPr>
              <w:t xml:space="preserve">./.)</w:t>
            </w:r>
            <w:r>
              <w:rPr>
                <w:b/>
                <w:bCs/>
                <w:i/>
                <w:iCs/>
                <w:color w:val="000000"/>
              </w:rPr>
            </w:r>
            <w:r>
              <w:rPr>
                <w:b/>
                <w:bCs/>
                <w:i/>
                <w:iCs/>
                <w:color w:val="000000"/>
              </w:rPr>
            </w:r>
          </w:p>
        </w:tc>
      </w:tr>
    </w:tbl>
    <w:p>
      <w:pPr>
        <w:pStyle w:val="103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1"/>
        <w:numPr>
          <w:ilvl w:val="0"/>
          <w:numId w:val="41"/>
        </w:numPr>
        <w:pBdr/>
        <w:tabs>
          <w:tab w:val="left" w:leader="none" w:pos="993"/>
        </w:tabs>
        <w:spacing w:after="120" w:before="120" w:line="264" w:lineRule="auto"/>
        <w:ind/>
        <w:jc w:val="both"/>
        <w:rPr>
          <w:spacing w:val="-2"/>
          <w:lang w:val="pt-BR"/>
        </w:rPr>
      </w:pPr>
      <w:r>
        <w:rPr>
          <w:spacing w:val="-2"/>
          <w:highlight w:val="none"/>
          <w:lang w:val="pt-BR" w:bidi="pt-BR"/>
        </w:rPr>
        <w:t xml:space="preserve">Tại thời điểm thẩm định giá, qua khảo sát thực tế tổ thẩm định nhận thấy trên đất có 01 CTXD là nhà 2 tầng, diện tích xây dựng khoảng 80m2/sàn, hiện CTXD đang được sử dụng để ở. Công trình chưa được chứng nhận trên GCN.</w:t>
      </w:r>
      <w:r>
        <w:rPr>
          <w:spacing w:val="-2"/>
          <w:highlight w:val="none"/>
          <w:lang w:val="pt-BR" w:bidi="pt-BR"/>
        </w:rPr>
        <w:t xml:space="preserve">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spacing w:val="-2"/>
          <w:lang w:val="pt-BR"/>
        </w:rPr>
      </w:r>
      <w:r>
        <w:rPr>
          <w:spacing w:val="-2"/>
          <w:lang w:val="pt-BR"/>
        </w:rPr>
      </w:r>
    </w:p>
    <w:p>
      <w:pPr>
        <w:pStyle w:val="1031"/>
        <w:numPr>
          <w:ilvl w:val="0"/>
          <w:numId w:val="41"/>
        </w:numPr>
        <w:pBdr/>
        <w:tabs>
          <w:tab w:val="left" w:leader="none" w:pos="993"/>
        </w:tabs>
        <w:spacing w:after="120" w:before="120" w:line="264" w:lineRule="auto"/>
        <w:ind/>
        <w:jc w:val="both"/>
        <w:rPr>
          <w:spacing w:val="-2"/>
          <w:lang w:val="pt-BR"/>
        </w:rPr>
      </w:pPr>
      <w:r>
        <w:rPr>
          <w:spacing w:val="-2"/>
          <w:highlight w:val="none"/>
          <w:lang w:val="pt-BR" w:bidi="pt-BR"/>
        </w:rPr>
      </w:r>
      <w:r>
        <w:rPr>
          <w:spacing w:val="-2"/>
          <w:highlight w:val="none"/>
          <w:lang w:val="pt-BR" w:bidi="pt-BR"/>
        </w:rPr>
        <w:t xml:space="preserve">Tại thời điểm thẩm định giá, Tổ thẩm định dựa trên định vị của tài sản sau khi khảo sát, tổ thẩm định tra cứu quy hoạch online thông qua trang mạng Meeymap nhận thấy thửa đất có 211,44m2 đất ở nằm trong quy hoạch đất giao thông. </w:t>
      </w:r>
      <w:r>
        <w:rPr>
          <w:highlight w:val="none"/>
        </w:rPr>
        <w:t xml:space="preserve">Theo Văn bản số: 1442/ KT của </w:t>
      </w:r>
      <w:r>
        <w:rPr>
          <w:highlight w:val="none"/>
        </w:rPr>
        <w:t xml:space="preserve">Phòng Kinh tế UBND xã Hát Môn</w:t>
      </w:r>
      <w:r>
        <w:rPr>
          <w:highlight w:val="none"/>
        </w:rPr>
        <w:t xml:space="preserve"> về việc cung cấp thông tin về quy </w:t>
      </w:r>
      <w:r>
        <w:rPr>
          <w:highlight w:val="none"/>
        </w:rPr>
        <w:t xml:space="preserve">hoạch đô thị và nông thôn của thông tin hồ sơ cắm mốc ngày 06/8/2026 cấp cho ông Nguyễn Duy Hải. Theo Giấy chứng nhận quyền sử dụng đất, quyền sở hữu tài sản gắn liền với đất số: AA 04028860, Thửa đất số 7, tờ bản đồ số 16, tại Xã Hát Môn, Thành phố Hà Nội</w:t>
      </w:r>
      <w:r>
        <w:rPr>
          <w:spacing w:val="-2"/>
          <w:highlight w:val="none"/>
          <w:lang w:val="pt-BR" w:bidi="pt-BR"/>
        </w:rPr>
        <w:t xml:space="preserve">.</w:t>
      </w:r>
      <w:r>
        <w:rPr>
          <w:spacing w:val="-2"/>
          <w:lang w:val="pt-BR"/>
        </w:rPr>
      </w:r>
      <w:r>
        <w:rPr>
          <w:spacing w:val="-2"/>
          <w:lang w:val="pt-BR"/>
        </w:rPr>
      </w:r>
    </w:p>
    <w:p>
      <w:pPr>
        <w:pBdr/>
        <w:tabs>
          <w:tab w:val="left" w:leader="none" w:pos="993"/>
        </w:tabs>
        <w:spacing w:after="120" w:before="120" w:line="264" w:lineRule="auto"/>
        <w:ind w:firstLine="0" w:left="360"/>
        <w:jc w:val="both"/>
        <w:rPr>
          <w:spacing w:val="-2"/>
          <w:highlight w:val="none"/>
          <w:lang w:val="pt-BR" w:bidi="pt-BR"/>
        </w:rPr>
      </w:pPr>
      <w:r>
        <w:rPr>
          <w:spacing w:val="-2"/>
          <w:highlight w:val="none"/>
          <w:lang w:val="pt-BR" w:bidi="pt-BR"/>
        </w:rPr>
      </w:r>
      <w:r>
        <w:rPr>
          <w:spacing w:val="-2"/>
          <w:highlight w:val="none"/>
          <w:lang w:val="pt-BR" w:bidi="pt-BR"/>
        </w:rPr>
        <w:t xml:space="preserve">+</w:t>
      </w:r>
      <w:r>
        <w:rPr>
          <w:spacing w:val="-2"/>
          <w:highlight w:val="none"/>
          <w:lang w:val="pt-BR" w:bidi="pt-BR"/>
        </w:rPr>
        <w:t xml:space="preserve"> Theo quy hoạch chung xây dựng xã Tam Hiệp, huyện Phúc Thọ (Nay là xã Hát Môn, thành phố Hà Nội) đến năm 2020, định hướng đến năm 2030 đã được phê duyệt (còn hiện lực theo Khoản 1 Điều 59 Luật Quy hoạch đô thị và nông thôn năm 2024), khu vực của thửa đất đ</w:t>
      </w:r>
      <w:r>
        <w:rPr>
          <w:spacing w:val="-2"/>
          <w:highlight w:val="none"/>
          <w:lang w:val="pt-BR" w:bidi="pt-BR"/>
        </w:rPr>
        <w:t xml:space="preserve">ược định hướng là khu vực đất ở. </w:t>
      </w:r>
      <w:r>
        <w:rPr>
          <w:spacing w:val="-2"/>
          <w:highlight w:val="none"/>
          <w:lang w:val="pt-BR" w:bidi="pt-BR"/>
        </w:rPr>
      </w:r>
      <w:r>
        <w:rPr>
          <w:spacing w:val="-2"/>
          <w:highlight w:val="none"/>
          <w:lang w:val="pt-BR" w:bidi="pt-BR"/>
        </w:rPr>
      </w:r>
    </w:p>
    <w:p>
      <w:pPr>
        <w:pBdr/>
        <w:tabs>
          <w:tab w:val="left" w:leader="none" w:pos="993"/>
        </w:tabs>
        <w:spacing w:after="120" w:before="120" w:line="264" w:lineRule="auto"/>
        <w:ind w:firstLine="0" w:left="360"/>
        <w:jc w:val="both"/>
        <w:rPr>
          <w:spacing w:val="-2"/>
          <w:highlight w:val="none"/>
          <w:lang w:val="pt-BR" w:bidi="pt-BR"/>
        </w:rPr>
      </w:pPr>
      <w:r>
        <w:rPr>
          <w:spacing w:val="-2"/>
          <w:highlight w:val="none"/>
          <w:lang w:val="pt-BR" w:bidi="pt-BR"/>
        </w:rPr>
        <w:t xml:space="preserve">+ Khu vực thửa đất chưa có quy hoạch chi tiết 1/500 và nằm ngoài phạm vi chỉ giới đường đỏ được cấp có thẩm quyền  phê duyệt.</w:t>
      </w:r>
      <w:r>
        <w:rPr>
          <w:spacing w:val="-2"/>
          <w:highlight w:val="none"/>
          <w:lang w:val="pt-BR" w:bidi="pt-BR"/>
        </w:rPr>
      </w:r>
      <w:r>
        <w:rPr>
          <w:spacing w:val="-2"/>
          <w:highlight w:val="none"/>
          <w:lang w:val="pt-BR" w:bidi="pt-BR"/>
        </w:rPr>
      </w:r>
    </w:p>
    <w:p>
      <w:pPr>
        <w:pBdr/>
        <w:tabs>
          <w:tab w:val="left" w:leader="none" w:pos="993"/>
        </w:tabs>
        <w:spacing w:after="120" w:before="120" w:line="264" w:lineRule="auto"/>
        <w:ind w:right="0" w:firstLine="490" w:left="360"/>
        <w:jc w:val="both"/>
        <w:rPr>
          <w:spacing w:val="-2"/>
          <w:lang w:val="pt-BR"/>
        </w:rPr>
      </w:pPr>
      <w:r>
        <w:rPr>
          <w:spacing w:val="-2"/>
          <w:highlight w:val="none"/>
          <w:lang w:val="pt-BR" w:bidi="pt-BR"/>
        </w:rPr>
      </w:r>
      <w:r>
        <w:rPr>
          <w:spacing w:val="-2"/>
          <w:highlight w:val="none"/>
          <w:lang w:val="pt-BR" w:bidi="pt-BR"/>
        </w:rPr>
        <w:t xml:space="preserve">Vì vậy, theo thông tin Khách hàng cung cấp, </w:t>
      </w:r>
      <w:r>
        <w:rPr>
          <w:spacing w:val="-2"/>
          <w:highlight w:val="none"/>
          <w:lang w:val="pt-BR" w:bidi="pt-BR"/>
        </w:rPr>
        <w:t xml:space="preserve">tổ thẩm định giả định thửa đất phù hợp quy hoạch</w:t>
      </w:r>
      <w:r>
        <w:rPr>
          <w:spacing w:val="-2"/>
          <w:highlight w:val="none"/>
          <w:lang w:val="pt-BR" w:bidi="pt-BR"/>
        </w:rPr>
        <w:t xml:space="preserve"> theo hồ sơ khách hàng cung cấp, trong trường hợp có quy hoạch khác </w:t>
      </w:r>
      <w:r>
        <w:rPr>
          <w:spacing w:val="-2"/>
          <w:highlight w:val="none"/>
          <w:lang w:val="pt-BR" w:bidi="pt-BR"/>
        </w:rPr>
        <w:t xml:space="preserve">thì kết quả thẩm định giá cần được xem xét, điều chỉnh phù hợp, đồng thời chúng tôi bảo lưu quyền xem xét lại kết quả thẩm định giá</w:t>
      </w:r>
      <w:r>
        <w:rPr>
          <w:spacing w:val="-2"/>
          <w:highlight w:val="none"/>
          <w:lang w:val="pt-BR" w:bidi="pt-BR"/>
        </w:rPr>
        <w:t xml:space="preserve">.</w:t>
      </w:r>
      <w:r>
        <w:rPr>
          <w:spacing w:val="-2"/>
          <w:lang w:val="pt-BR"/>
        </w:rPr>
      </w:r>
      <w:r>
        <w:rPr>
          <w:spacing w:val="-2"/>
          <w:lang w:val="pt-BR"/>
        </w:rPr>
      </w:r>
    </w:p>
    <w:p>
      <w:pPr>
        <w:pStyle w:val="103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1"/>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1"/>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color w:val="000000" w:themeColor="text1"/>
          <w:lang w:val="vi-VN"/>
        </w:rPr>
        <w:t xml:space="preserve"> 275/2026/1372/VFI-CT.36.A</w:t>
      </w:r>
      <w:r>
        <w:rPr>
          <w:color w:val="ff0000"/>
          <w:lang w:val="vi-VN"/>
        </w:rPr>
        <w:t xml:space="preserve"> </w:t>
      </w:r>
      <w:r>
        <w:rPr>
          <w:color w:val="000000" w:themeColor="text1"/>
        </w:rPr>
        <w:t xml:space="preserve">ngày 03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Tấn Sang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rPr>
        <w:t xml:space="preserve"> 275/2026/1372/VFI-BC.36.A ngày 0</w:t>
      </w:r>
      <w:r>
        <w:rPr>
          <w:i/>
          <w:lang w:val="pt-BR"/>
        </w:rPr>
        <w:t xml:space="preserve">3 tháng 9 năm 2026</w:t>
      </w:r>
      <w:r>
        <w:rPr>
          <w:i/>
          <w:lang w:val="pt-BR"/>
        </w:rPr>
        <w:t xml:space="preserve"> của </w:t>
      </w:r>
      <w:r>
        <w:rPr>
          <w:i/>
          <w:lang w:val="pt-BR"/>
        </w:rPr>
        <w:t xml:space="preserve">Công ty Cổ phần Thẩm định và Đầu tư Tài chính Hoa Sen)</w:t>
      </w:r>
      <w:r>
        <w:rPr>
          <w:i/>
          <w:lang w:val="pt-BR"/>
        </w:rPr>
      </w:r>
      <w:r>
        <w:rPr>
          <w:i/>
          <w:lang w:val="pt-BR"/>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775133" cy="270177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786753" name=""/>
                              <pic:cNvPicPr>
                                <a:picLocks noChangeAspect="1"/>
                              </pic:cNvPicPr>
                              <pic:nvPr/>
                            </pic:nvPicPr>
                            <pic:blipFill rotWithShape="1">
                              <a:blip r:embed="rId19"/>
                              <a:stretch/>
                            </pic:blipFill>
                            <pic:spPr bwMode="auto">
                              <a:xfrm flipH="0" flipV="0">
                                <a:off x="0" y="0"/>
                                <a:ext cx="2775133" cy="27017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8.51pt;height:212.74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710879" cy="274940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844003" name=""/>
                              <pic:cNvPicPr>
                                <a:picLocks noChangeAspect="1"/>
                              </pic:cNvPicPr>
                              <pic:nvPr/>
                            </pic:nvPicPr>
                            <pic:blipFill rotWithShape="1">
                              <a:blip r:embed="rId20"/>
                              <a:stretch/>
                            </pic:blipFill>
                            <pic:spPr bwMode="auto">
                              <a:xfrm flipH="0" flipV="0">
                                <a:off x="0" y="0"/>
                                <a:ext cx="2710879" cy="27494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3.46pt;height:216.49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960710" cy="230125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513944" name=""/>
                              <pic:cNvPicPr>
                                <a:picLocks noChangeAspect="1"/>
                              </pic:cNvPicPr>
                              <pic:nvPr/>
                            </pic:nvPicPr>
                            <pic:blipFill rotWithShape="1">
                              <a:blip r:embed="rId21"/>
                              <a:stretch/>
                            </pic:blipFill>
                            <pic:spPr bwMode="auto">
                              <a:xfrm flipH="0" flipV="0">
                                <a:off x="0" y="0"/>
                                <a:ext cx="2960709" cy="23012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3.13pt;height:181.20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647797" cy="229173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193496" name=""/>
                              <pic:cNvPicPr>
                                <a:picLocks noChangeAspect="1"/>
                              </pic:cNvPicPr>
                              <pic:nvPr/>
                            </pic:nvPicPr>
                            <pic:blipFill rotWithShape="1">
                              <a:blip r:embed="rId22"/>
                              <a:stretch/>
                            </pic:blipFill>
                            <pic:spPr bwMode="auto">
                              <a:xfrm flipH="0" flipV="0">
                                <a:off x="0" y="0"/>
                                <a:ext cx="2647797" cy="22917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8.49pt;height:180.45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779735" cy="2349693"/>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245269" name=""/>
                              <pic:cNvPicPr>
                                <a:picLocks noChangeAspect="1"/>
                              </pic:cNvPicPr>
                              <pic:nvPr/>
                            </pic:nvPicPr>
                            <pic:blipFill rotWithShape="1">
                              <a:blip r:embed="rId23"/>
                              <a:stretch/>
                            </pic:blipFill>
                            <pic:spPr bwMode="auto">
                              <a:xfrm flipH="0" flipV="0">
                                <a:off x="0" y="0"/>
                                <a:ext cx="2779734" cy="23496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8.88pt;height:185.02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64970" cy="240603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991153" name=""/>
                              <pic:cNvPicPr>
                                <a:picLocks noChangeAspect="1"/>
                              </pic:cNvPicPr>
                              <pic:nvPr/>
                            </pic:nvPicPr>
                            <pic:blipFill rotWithShape="1">
                              <a:blip r:embed="rId24"/>
                              <a:stretch/>
                            </pic:blipFill>
                            <pic:spPr bwMode="auto">
                              <a:xfrm flipH="0" flipV="0">
                                <a:off x="0" y="0"/>
                                <a:ext cx="2864970" cy="24060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5.59pt;height:189.45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hd w:val="nil" w:color="auto"/>
        <w:spacing/>
        <w:ind/>
        <w:jc w:val="center"/>
        <w:rPr>
          <w:b/>
          <w:bCs/>
          <w:highlight w:val="none"/>
        </w:rPr>
      </w:pPr>
      <w:r>
        <w:rPr>
          <w:b/>
          <w:highlight w:val="none"/>
        </w:rPr>
        <w:t xml:space="preserve">GIẤY CHỨNG NHẬN QUYỀN SỬ DỤNG ĐẤT</w:t>
      </w:r>
      <w:r>
        <w:rPr>
          <w:b/>
          <w:bCs/>
          <w:highlight w:val="none"/>
        </w:rPr>
      </w:r>
      <w:r>
        <w:rPr>
          <w:b/>
          <w:bCs/>
          <w:highlight w:val="none"/>
        </w:rPr>
      </w:r>
    </w:p>
    <w:p>
      <w:pPr>
        <w:pBdr/>
        <w:shd w:val="nil" w:color="000000"/>
        <w:spacing/>
        <w:ind/>
        <w:jc w:val="center"/>
        <w:rPr>
          <w:bCs/>
          <w:i/>
          <w:lang w:val="pt-BR"/>
        </w:rPr>
      </w:pPr>
      <w:r>
        <w:rPr>
          <w:b/>
          <w:highlight w:val="none"/>
        </w:rPr>
      </w:r>
      <w:r>
        <w:rPr>
          <w:bCs/>
          <w:i/>
          <w:lang w:val="pt-BR"/>
        </w:rPr>
      </w:r>
      <w:r>
        <w:rPr>
          <w:bCs/>
          <w:i/>
          <w:lang w:val="pt-BR"/>
        </w:rPr>
      </w:r>
    </w:p>
    <w:p>
      <w:pPr>
        <w:pBdr/>
        <w:shd w:val="nil" w:color="000000"/>
        <w:spacing/>
        <w:ind/>
        <w:jc w:val="center"/>
        <w:rPr/>
      </w:pPr>
      <w:r>
        <w:rPr>
          <w:b/>
          <w:highlight w:val="none"/>
        </w:rPr>
      </w:r>
      <w:r>
        <mc:AlternateContent>
          <mc:Choice Requires="wpg">
            <w:drawing>
              <wp:inline xmlns:wp="http://schemas.openxmlformats.org/drawingml/2006/wordprocessingDrawing" distT="0" distB="0" distL="0" distR="0">
                <wp:extent cx="5210175" cy="748665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15924" name=""/>
                        <pic:cNvPicPr>
                          <a:picLocks noChangeAspect="1"/>
                        </pic:cNvPicPr>
                        <pic:nvPr/>
                      </pic:nvPicPr>
                      <pic:blipFill rotWithShape="1">
                        <a:blip r:embed="rId25"/>
                        <a:stretch/>
                      </pic:blipFill>
                      <pic:spPr bwMode="auto">
                        <a:xfrm>
                          <a:off x="0" y="0"/>
                          <a:ext cx="5210174" cy="74866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10.25pt;height:589.50pt;mso-wrap-distance-left:0.00pt;mso-wrap-distance-top:0.00pt;mso-wrap-distance-right:0.00pt;mso-wrap-distance-bottom:0.00pt;z-index:1;" stroked="false">
                <v:imagedata r:id="rId25" o:title=""/>
                <o:lock v:ext="edit" rotation="t"/>
              </v:shape>
            </w:pict>
          </mc:Fallback>
        </mc:AlternateContent>
      </w:r>
      <w:r>
        <w:rPr>
          <w:b/>
          <w:bCs/>
          <w:highlight w:val="none"/>
        </w:rPr>
      </w:r>
      <w:r/>
    </w:p>
    <w:p>
      <w:pPr>
        <w:pBdr/>
        <w:shd w:val="nil" w:color="auto"/>
        <w:spacing/>
        <w:ind/>
        <w:rPr>
          <w:b/>
          <w:bCs/>
          <w:highlight w:val="none"/>
        </w:rPr>
      </w:pPr>
      <w:r>
        <w:rPr>
          <w:b/>
          <w:highlight w:val="none"/>
        </w:rPr>
        <w:br w:type="page" w:clear="all"/>
      </w:r>
      <w:r>
        <w:rPr>
          <w:b/>
          <w:bCs/>
          <w:highlight w:val="none"/>
        </w:rPr>
      </w:r>
      <w:r>
        <w:rPr>
          <w:b/>
          <w:bCs/>
          <w:highlight w:val="none"/>
        </w:rPr>
      </w:r>
    </w:p>
    <w:p>
      <w:pPr>
        <w:pBdr/>
        <w:shd w:val="nil" w:color="000000"/>
        <w:spacing/>
        <w:ind/>
        <w:jc w:val="center"/>
        <w:rPr>
          <w:b/>
          <w:bCs/>
          <w:highlight w:val="none"/>
        </w:rPr>
      </w:pPr>
      <w:r>
        <w:rPr>
          <w:b/>
          <w:highlight w:val="none"/>
        </w:rPr>
      </w:r>
      <w:r>
        <w:rPr>
          <w:b/>
          <w:bCs/>
          <w:highlight w:val="none"/>
        </w:rPr>
      </w:r>
      <w:r>
        <w:rPr>
          <w:b/>
          <w:bCs/>
          <w:highlight w:val="none"/>
        </w:rPr>
      </w:r>
    </w:p>
    <w:p>
      <w:pPr>
        <w:pBdr/>
        <w:shd w:val="nil" w:color="000000"/>
        <w:spacing/>
        <w:ind/>
        <w:jc w:val="center"/>
        <w:rPr>
          <w:b/>
          <w:bCs/>
          <w:highlight w:val="none"/>
        </w:rPr>
      </w:pPr>
      <w:r>
        <w:rPr>
          <w:b/>
          <w:highlight w:val="none"/>
        </w:rPr>
      </w:r>
      <w:r>
        <w:rPr>
          <w:b/>
          <w:bCs/>
          <w:highlight w:val="none"/>
        </w:rPr>
      </w:r>
      <w:r>
        <w:rPr>
          <w:b/>
          <w:bCs/>
          <w:highlight w:val="none"/>
        </w:rPr>
      </w:r>
    </w:p>
    <w:p>
      <w:pPr>
        <w:pBdr/>
        <w:shd w:val="nil" w:color="000000"/>
        <w:spacing/>
        <w:ind/>
        <w:jc w:val="center"/>
        <w:rPr>
          <w:b/>
          <w:bCs/>
          <w:highlight w:val="none"/>
        </w:rPr>
      </w:pPr>
      <w:r>
        <w:rPr>
          <w:b/>
          <w:highlight w:val="none"/>
        </w:rPr>
      </w:r>
      <w:r>
        <w:rPr>
          <w:b/>
          <w:bCs/>
          <w:highlight w:val="none"/>
        </w:rPr>
      </w:r>
      <w:r>
        <w:rPr>
          <w:b/>
          <w:bCs/>
          <w:highlight w:val="none"/>
        </w:rPr>
      </w:r>
    </w:p>
    <w:p>
      <w:pPr>
        <w:pBdr/>
        <w:shd w:val="nil" w:color="000000"/>
        <w:spacing/>
        <w:ind/>
        <w:jc w:val="center"/>
        <w:rPr/>
      </w:pPr>
      <w:r>
        <mc:AlternateContent>
          <mc:Choice Requires="wpg">
            <w:drawing>
              <wp:inline xmlns:wp="http://schemas.openxmlformats.org/drawingml/2006/wordprocessingDrawing" distT="0" distB="0" distL="0" distR="0">
                <wp:extent cx="5305425" cy="749617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773431" name=""/>
                        <pic:cNvPicPr>
                          <a:picLocks noChangeAspect="1"/>
                        </pic:cNvPicPr>
                        <pic:nvPr/>
                      </pic:nvPicPr>
                      <pic:blipFill rotWithShape="1">
                        <a:blip r:embed="rId26"/>
                        <a:stretch/>
                      </pic:blipFill>
                      <pic:spPr bwMode="auto">
                        <a:xfrm>
                          <a:off x="0" y="0"/>
                          <a:ext cx="5305424" cy="7496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17.75pt;height:590.25pt;mso-wrap-distance-left:0.00pt;mso-wrap-distance-top:0.00pt;mso-wrap-distance-right:0.00pt;mso-wrap-distance-bottom:0.00pt;z-index:1;" stroked="false">
                <v:imagedata r:id="rId26" o:title=""/>
                <o:lock v:ext="edit" rotation="t"/>
              </v:shape>
            </w:pict>
          </mc:Fallback>
        </mc:AlternateContent>
      </w:r>
      <w:r>
        <w:rPr>
          <w:b/>
          <w:bCs/>
          <w:highlight w:val="none"/>
        </w:rPr>
      </w:r>
      <w:r/>
    </w:p>
    <w:p>
      <w:pPr>
        <w:pBdr/>
        <w:shd w:val="nil" w:color="auto"/>
        <w:spacing/>
        <w:ind/>
        <w:rPr>
          <w:b/>
          <w:bCs/>
          <w:highlight w:val="none"/>
        </w:rPr>
      </w:pPr>
      <w:r>
        <w:rPr>
          <w:b/>
          <w:highlight w:val="none"/>
        </w:rPr>
        <w:br w:type="page" w:clear="all"/>
      </w:r>
      <w:r>
        <w:rPr>
          <w:b/>
          <w:bCs/>
          <w:highlight w:val="none"/>
        </w:rPr>
      </w:r>
      <w:r>
        <w:rPr>
          <w:b/>
          <w:bCs/>
          <w:highlight w:val="none"/>
        </w:rPr>
      </w:r>
    </w:p>
    <w:p>
      <w:pPr>
        <w:pBdr/>
        <w:shd w:val="nil" w:color="000000"/>
        <w:spacing/>
        <w:ind/>
        <w:jc w:val="center"/>
        <w:rPr>
          <w:b/>
          <w:bCs/>
          <w:highlight w:val="none"/>
        </w:rPr>
      </w:pPr>
      <w:r>
        <w:rPr>
          <w:b/>
          <w:bCs/>
        </w:rPr>
        <w:t xml:space="preserve">BIÊN BẢN KHẢO SÁT TÀI SẢN</w:t>
      </w:r>
      <w:r>
        <w:rPr>
          <w:b/>
          <w:bCs/>
          <w:highlight w:val="none"/>
        </w:rPr>
      </w:r>
      <w:r>
        <w:rPr>
          <w:b/>
          <w:bCs/>
          <w:highlight w:val="none"/>
        </w:rPr>
      </w:r>
    </w:p>
    <w:p>
      <w:pPr>
        <w:pBdr/>
        <w:shd w:val="nil" w:color="000000"/>
        <w:spacing/>
        <w:ind/>
        <w:jc w:val="center"/>
        <w:rPr>
          <w:b/>
          <w:bCs/>
          <w:highlight w:val="none"/>
        </w:rPr>
      </w:pPr>
      <w:r>
        <w:rPr>
          <w:b/>
          <w:bCs/>
          <w:highlight w:val="none"/>
        </w:rPr>
      </w:r>
      <w:r>
        <w:rPr>
          <w:b/>
          <w:bCs/>
          <w:highlight w:val="none"/>
        </w:rPr>
      </w:r>
      <w:r>
        <w:rPr>
          <w:b/>
          <w:bCs/>
          <w:highlight w:val="none"/>
        </w:rPr>
      </w:r>
    </w:p>
    <w:p>
      <w:pPr>
        <w:pBdr/>
        <w:shd w:val="nil" w:color="000000"/>
        <w:spacing/>
        <w:ind/>
        <w:jc w:val="center"/>
        <w:rPr>
          <w:b/>
          <w:bCs/>
          <w:highlight w:val="none"/>
        </w:rPr>
      </w:pPr>
      <w:r>
        <w:rPr>
          <w:b/>
          <w:bCs/>
          <w:highlight w:val="none"/>
        </w:rPr>
      </w:r>
      <w: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75770" name=""/>
                        <pic:cNvPicPr>
                          <a:picLocks noChangeAspect="1"/>
                        </pic:cNvPicPr>
                        <pic:nvPr/>
                      </pic:nvPicPr>
                      <pic:blipFill rotWithShape="1">
                        <a:blip r:embed="rId2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27" o:title=""/>
                <o:lock v:ext="edit" rotation="t"/>
              </v:shape>
            </w:pict>
          </mc:Fallback>
        </mc:AlternateContent>
      </w:r>
      <w:r>
        <w:rPr>
          <w:b/>
          <w:bCs/>
          <w:highlight w:val="none"/>
        </w:rPr>
        <w:br w:type="page" w:clear="all"/>
      </w:r>
      <w:r>
        <w:rPr>
          <w:b/>
          <w:bCs/>
          <w:highlight w:val="none"/>
        </w:rPr>
      </w:r>
      <w:r>
        <w:rPr>
          <w:b/>
          <w:bCs/>
          <w:highlight w:val="none"/>
        </w:rPr>
      </w:r>
    </w:p>
    <w:p>
      <w:pPr>
        <w:pBdr/>
        <w:shd w:val="nil" w:color="auto"/>
        <w:spacing/>
        <w:ind/>
        <w:jc w:val="center"/>
        <w:rPr>
          <w:b/>
          <w:bCs/>
          <w:highlight w:val="none"/>
        </w:rPr>
      </w:pPr>
      <w:r>
        <w:rPr>
          <w:b/>
          <w:highlight w:val="none"/>
        </w:rPr>
        <w:t xml:space="preserve">THÔNG TIN QUY HOẠCH</w:t>
      </w:r>
      <w:r>
        <w:rPr>
          <w:b/>
          <w:bCs/>
          <w:highlight w:val="none"/>
        </w:rPr>
      </w:r>
      <w:r>
        <w:rPr>
          <w:b/>
          <w:bCs/>
          <w:highlight w:val="none"/>
        </w:rPr>
      </w:r>
    </w:p>
    <w:p>
      <w:pPr>
        <w:pBdr/>
        <w:shd w:val="nil" w:color="000000"/>
        <w:spacing/>
        <w:ind/>
        <w:jc w:val="center"/>
        <w:rPr>
          <w:b/>
          <w:bCs/>
          <w:highlight w:val="none"/>
        </w:rPr>
      </w:pPr>
      <w:r>
        <w:rPr>
          <w:b/>
          <w:highlight w:val="none"/>
        </w:rPr>
        <w:t xml:space="preserve"> </w:t>
      </w:r>
      <w:r>
        <w:rPr>
          <w:b/>
          <w:bCs/>
          <w:highlight w:val="none"/>
        </w:rPr>
      </w:r>
      <w:r>
        <w:rPr>
          <w:b/>
          <w:bCs/>
          <w:highlight w:val="none"/>
        </w:rPr>
      </w:r>
    </w:p>
    <w:p>
      <w:pPr>
        <w:pBdr/>
        <w:shd w:val="nil" w:color="000000"/>
        <w:spacing/>
        <w:ind/>
        <w:jc w:val="center"/>
        <w:rPr/>
      </w:pPr>
      <w:r>
        <w:rPr>
          <w:b/>
          <w:highlight w:val="none"/>
        </w:rPr>
      </w:r>
      <w:r>
        <mc:AlternateContent>
          <mc:Choice Requires="wpg">
            <w:drawing>
              <wp:inline xmlns:wp="http://schemas.openxmlformats.org/drawingml/2006/wordprocessingDrawing" distT="0" distB="0" distL="0" distR="0">
                <wp:extent cx="5334000" cy="749617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778016" name=""/>
                        <pic:cNvPicPr>
                          <a:picLocks noChangeAspect="1"/>
                        </pic:cNvPicPr>
                        <pic:nvPr/>
                      </pic:nvPicPr>
                      <pic:blipFill rotWithShape="1">
                        <a:blip r:embed="rId28"/>
                        <a:stretch/>
                      </pic:blipFill>
                      <pic:spPr bwMode="auto">
                        <a:xfrm>
                          <a:off x="0" y="0"/>
                          <a:ext cx="5333999" cy="7496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20.00pt;height:590.25pt;mso-wrap-distance-left:0.00pt;mso-wrap-distance-top:0.00pt;mso-wrap-distance-right:0.00pt;mso-wrap-distance-bottom:0.00pt;z-index:1;" stroked="false">
                <v:imagedata r:id="rId28" o:title=""/>
                <o:lock v:ext="edit" rotation="t"/>
              </v:shape>
            </w:pict>
          </mc:Fallback>
        </mc:AlternateContent>
      </w:r>
      <w:r>
        <w:rPr>
          <w:b/>
          <w:bCs/>
          <w:highlight w:val="none"/>
        </w:rPr>
      </w:r>
      <w:r/>
    </w:p>
    <w:p>
      <w:pPr>
        <w:pBdr/>
        <w:shd w:val="nil" w:color="auto"/>
        <w:spacing/>
        <w:ind/>
        <w:rPr>
          <w:b/>
          <w:bCs/>
          <w:highlight w:val="none"/>
        </w:rPr>
      </w:pPr>
      <w:r>
        <w:rPr>
          <w:b/>
          <w:highlight w:val="none"/>
        </w:rPr>
        <w:br w:type="page" w:clear="all"/>
      </w:r>
      <w:r>
        <w:rPr>
          <w:b/>
          <w:bCs/>
          <w:highlight w:val="none"/>
        </w:rPr>
      </w:r>
      <w:r>
        <w:rPr>
          <w:b/>
          <w:bCs/>
          <w:highlight w:val="none"/>
        </w:rPr>
      </w:r>
    </w:p>
    <w:p>
      <w:pPr>
        <w:pBdr/>
        <w:shd w:val="nil" w:color="000000"/>
        <w:spacing/>
        <w:ind/>
        <w:jc w:val="center"/>
        <w:rPr/>
      </w:pPr>
      <w:r>
        <w:rPr>
          <w:highlight w:val="none"/>
        </w:rPr>
      </w:r>
      <w:r>
        <w:rPr>
          <w:highlight w:val="none"/>
        </w:rPr>
      </w:r>
      <w:r/>
    </w:p>
    <w:p>
      <w:pPr>
        <w:pBdr/>
        <w:shd w:val="nil" w:color="000000"/>
        <w:spacing/>
        <w:ind/>
        <w:jc w:val="center"/>
        <w:rPr>
          <w:highlight w:val="none"/>
        </w:rPr>
      </w:pPr>
      <w:r>
        <mc:AlternateContent>
          <mc:Choice Requires="wpg">
            <w:drawing>
              <wp:inline xmlns:wp="http://schemas.openxmlformats.org/drawingml/2006/wordprocessingDrawing" distT="0" distB="0" distL="0" distR="0">
                <wp:extent cx="5353050" cy="751522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70479" name=""/>
                        <pic:cNvPicPr>
                          <a:picLocks noChangeAspect="1"/>
                        </pic:cNvPicPr>
                        <pic:nvPr/>
                      </pic:nvPicPr>
                      <pic:blipFill rotWithShape="1">
                        <a:blip r:embed="rId29"/>
                        <a:stretch/>
                      </pic:blipFill>
                      <pic:spPr bwMode="auto">
                        <a:xfrm>
                          <a:off x="0" y="0"/>
                          <a:ext cx="5353049" cy="75152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21.50pt;height:591.75pt;mso-wrap-distance-left:0.00pt;mso-wrap-distance-top:0.00pt;mso-wrap-distance-right:0.00pt;mso-wrap-distance-bottom:0.00pt;z-index:1;" stroked="false">
                <v:imagedata r:id="rId29" o:title=""/>
                <o:lock v:ext="edit" rotation="t"/>
              </v:shape>
            </w:pict>
          </mc:Fallback>
        </mc:AlternateContent>
      </w:r>
      <w:r>
        <w:rPr>
          <w:highlight w:val="none"/>
        </w:rPr>
      </w:r>
      <w:r>
        <w:rPr>
          <w:highlight w:val="none"/>
        </w:rPr>
      </w:r>
    </w:p>
    <w:p>
      <w:pPr>
        <w:pBdr/>
        <w:shd w:val="nil" w:color="000000"/>
        <w:spacing/>
        <w:ind/>
        <w:jc w:val="center"/>
        <w:rPr>
          <w:b/>
          <w:bCs/>
          <w:highlight w:val="none"/>
        </w:rPr>
      </w:pPr>
      <w:r>
        <w:rPr>
          <w:b/>
          <w:highlight w:val="none"/>
        </w:rPr>
        <w:br w:type="page" w:clear="all"/>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w:t>
      </w:r>
      <w:r>
        <w:rPr>
          <w:i/>
        </w:rPr>
        <w:t xml:space="preserve"> 275/2026/1372/VFI-BC.36.A ngày</w:t>
      </w:r>
      <w:r>
        <w:rPr>
          <w:i/>
          <w:lang w:val="pt-BR"/>
        </w:rPr>
        <w:t xml:space="preserve"> 0</w:t>
      </w:r>
      <w:r>
        <w:rPr>
          <w:i/>
          <w:lang w:val="pt-BR"/>
        </w:rPr>
        <w:t xml:space="preserve">3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215"/>
        <w:gridCol w:w="4772"/>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https://www.facebook.com/share/p/1ApuTEu3Gh/</w:t>
            </w:r>
            <w:r>
              <w:rPr>
                <w:color w:val="000000" w:themeColor="text1"/>
                <w:sz w:val="22"/>
                <w:szCs w:val="22"/>
              </w:rPr>
              <w:br/>
              <w:t xml:space="preserve">SĐT: 0382207056</w:t>
            </w:r>
            <w:r>
              <w:rPr>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9.225.000.000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8.302.500.000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(123m²)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Hát Môn, Thành phố Hà Nội, khoảng cách ra đường QL32 khoảng 465m.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123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8,28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Thóp hậu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Thích hợp để ở</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left"/>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26065" cy="2434080"/>
                      <wp:effectExtent l="0" t="0" r="0" b="0"/>
                      <wp:docPr id="18" name=""/>
                      <wp:cNvGraphicFramePr/>
                      <a:graphic xmlns:a="http://schemas.openxmlformats.org/drawingml/2006/main">
                        <a:graphicData uri="http://schemas.openxmlformats.org/drawingml/2006/picture">
                          <pic:pic xmlns:pic="http://schemas.openxmlformats.org/drawingml/2006/picture">
                            <pic:nvPicPr>
                              <pic:cNvPr id="403768485" name="" descr=""/>
                              <pic:cNvPicPr/>
                              <pic:nvPr/>
                            </pic:nvPicPr>
                            <pic:blipFill rotWithShape="1">
                              <a:blip r:embed="rId30"/>
                              <a:stretch/>
                            </pic:blipFill>
                            <pic:spPr bwMode="auto">
                              <a:xfrm flipH="0" flipV="0">
                                <a:off x="0" y="0"/>
                                <a:ext cx="2626064" cy="243407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06.78pt;height:191.66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2644788" cy="2478263"/>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12981" name=""/>
                              <pic:cNvPicPr>
                                <a:picLocks noChangeAspect="1"/>
                              </pic:cNvPicPr>
                              <pic:nvPr/>
                            </pic:nvPicPr>
                            <pic:blipFill rotWithShape="1">
                              <a:blip r:embed="rId31"/>
                              <a:stretch/>
                            </pic:blipFill>
                            <pic:spPr bwMode="auto">
                              <a:xfrm flipH="0" flipV="0">
                                <a:off x="0" y="0"/>
                                <a:ext cx="2644788" cy="24782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08.25pt;height:195.14pt;mso-wrap-distance-left:0.00pt;mso-wrap-distance-top:0.00pt;mso-wrap-distance-right:0.00pt;mso-wrap-distance-bottom:0.00pt;z-index:1;" stroked="false">
                      <v:imagedata r:id="rId31" o:title=""/>
                      <o:lock v:ext="edit" rotation="t"/>
                    </v:shape>
                  </w:pict>
                </mc:Fallback>
              </mc:AlternateContent>
            </w:r>
            <w:r>
              <w:rPr>
                <w:color w:val="000000"/>
                <w:sz w:val="22"/>
                <w:szCs w:val="22"/>
              </w:rPr>
            </w:r>
            <w:r>
              <w:rPr>
                <w:color w:val="000000"/>
                <w:sz w:val="22"/>
                <w:szCs w:val="22"/>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Tấn Sang</w:t>
            </w:r>
            <w:r/>
          </w:p>
        </w:tc>
      </w:tr>
    </w:tbl>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357"/>
        <w:gridCol w:w="4630"/>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https://www.facebook.com/share/p/1Fycvk2ncP/</w:t>
            </w:r>
            <w:r>
              <w:rPr>
                <w:color w:val="000000" w:themeColor="text1"/>
                <w:sz w:val="22"/>
                <w:szCs w:val="22"/>
              </w:rPr>
              <w:br/>
              <w:t xml:space="preserve">SĐT: 0389058995</w:t>
            </w:r>
            <w:r>
              <w:rPr>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4.012.000.000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3.610.800.000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(68m²)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Hát Môn, Thành phố Hà Nội, khoảng cách ra đường QL32 khoảng 450m, 21.083769748417755, 105.62075967286694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68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Thích hợp để ở</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none"/>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702265" cy="2810741"/>
                      <wp:effectExtent l="0" t="0" r="0" b="0"/>
                      <wp:docPr id="20" name=""/>
                      <wp:cNvGraphicFramePr/>
                      <a:graphic xmlns:a="http://schemas.openxmlformats.org/drawingml/2006/main">
                        <a:graphicData uri="http://schemas.openxmlformats.org/drawingml/2006/picture">
                          <pic:pic xmlns:pic="http://schemas.openxmlformats.org/drawingml/2006/picture">
                            <pic:nvPicPr>
                              <pic:cNvPr id="1724438306" name="" descr=""/>
                              <pic:cNvPicPr/>
                              <pic:nvPr/>
                            </pic:nvPicPr>
                            <pic:blipFill rotWithShape="1">
                              <a:blip r:embed="rId32"/>
                              <a:stretch/>
                            </pic:blipFill>
                            <pic:spPr bwMode="auto">
                              <a:xfrm flipH="0" flipV="0">
                                <a:off x="0" y="0"/>
                                <a:ext cx="2702264" cy="28107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12.78pt;height:221.32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05065" cy="2795453"/>
                      <wp:effectExtent l="0" t="0" r="0" b="0"/>
                      <wp:docPr id="21" name=""/>
                      <wp:cNvGraphicFramePr/>
                      <a:graphic xmlns:a="http://schemas.openxmlformats.org/drawingml/2006/main">
                        <a:graphicData uri="http://schemas.openxmlformats.org/drawingml/2006/picture">
                          <pic:pic xmlns:pic="http://schemas.openxmlformats.org/drawingml/2006/picture">
                            <pic:nvPicPr>
                              <pic:cNvPr id="252839434" name="" descr=""/>
                              <pic:cNvPicPr/>
                              <pic:nvPr/>
                            </pic:nvPicPr>
                            <pic:blipFill rotWithShape="1">
                              <a:blip r:embed="rId33"/>
                              <a:stretch/>
                            </pic:blipFill>
                            <pic:spPr bwMode="auto">
                              <a:xfrm flipH="0" flipV="0">
                                <a:off x="0" y="0"/>
                                <a:ext cx="2505064" cy="279545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97.25pt;height:220.11pt;mso-wrap-distance-left:0.00pt;mso-wrap-distance-top:0.00pt;mso-wrap-distance-right:0.00pt;mso-wrap-distance-bottom:0.00pt;z-index:1;" stroked="false">
                      <v:imagedata r:id="rId33" o:title=""/>
                      <o:lock v:ext="edit" rotation="t"/>
                    </v:shape>
                  </w:pict>
                </mc:Fallback>
              </mc:AlternateContent>
            </w:r>
            <w:r>
              <w:rPr>
                <w:color w:val="000000"/>
                <w:sz w:val="22"/>
                <w:szCs w:val="22"/>
                <w:highlight w:val="none"/>
              </w:rPr>
            </w:r>
            <w:r>
              <w:rPr>
                <w:color w:val="000000"/>
                <w:sz w:val="22"/>
                <w:szCs w:val="22"/>
                <w:highlight w:val="none"/>
              </w:rPr>
            </w:r>
          </w:p>
          <w:p>
            <w:pPr>
              <w:pBdr/>
              <w:spacing w:line="276" w:lineRule="auto"/>
              <w:ind/>
              <w:jc w:val="center"/>
              <w:rPr>
                <w:color w:val="000000"/>
                <w:sz w:val="22"/>
                <w:szCs w:val="22"/>
              </w:rPr>
            </w:pPr>
            <w:r>
              <w:rPr>
                <w:color w:val="000000"/>
                <w:sz w:val="22"/>
                <w:szCs w:val="22"/>
                <w:highlight w:val="none"/>
              </w:rPr>
            </w:r>
            <w:r>
              <mc:AlternateContent>
                <mc:Choice Requires="wpg">
                  <w:drawing>
                    <wp:inline xmlns:wp="http://schemas.openxmlformats.org/drawingml/2006/wordprocessingDrawing" distT="0" distB="0" distL="0" distR="0">
                      <wp:extent cx="1943100" cy="33337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676389" name=""/>
                              <pic:cNvPicPr>
                                <a:picLocks noChangeAspect="1"/>
                              </pic:cNvPicPr>
                              <pic:nvPr/>
                            </pic:nvPicPr>
                            <pic:blipFill rotWithShape="1">
                              <a:blip r:embed="rId34"/>
                              <a:stretch/>
                            </pic:blipFill>
                            <pic:spPr bwMode="auto">
                              <a:xfrm>
                                <a:off x="0" y="0"/>
                                <a:ext cx="1943100" cy="3333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53.00pt;height:26.25pt;mso-wrap-distance-left:0.00pt;mso-wrap-distance-top:0.00pt;mso-wrap-distance-right:0.00pt;mso-wrap-distance-bottom:0.00pt;z-index:1;" stroked="false">
                      <v:imagedata r:id="rId34" o:title=""/>
                      <o:lock v:ext="edit" rotation="t"/>
                    </v:shape>
                  </w:pict>
                </mc:Fallback>
              </mc:AlternateContent>
            </w:r>
            <w:r>
              <w:rPr>
                <w:color w:val="000000"/>
                <w:sz w:val="22"/>
                <w:szCs w:val="22"/>
              </w:rPr>
            </w:r>
            <w:r>
              <w:rPr>
                <w:color w:val="000000"/>
                <w:sz w:val="22"/>
                <w:szCs w:val="22"/>
              </w:rPr>
            </w:r>
          </w:p>
        </w:tc>
      </w:tr>
    </w:tbl>
    <w:p>
      <w:pPr>
        <w:pBdr/>
        <w:spacing/>
        <w:ind/>
        <w:rPr/>
      </w:pPr>
      <w: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Tấn Sang</w:t>
            </w:r>
            <w:r/>
          </w:p>
          <w:p>
            <w:pPr>
              <w:pBdr/>
              <w:spacing/>
              <w:ind/>
              <w:jc w:val="center"/>
              <w:rPr/>
            </w:pPr>
            <w:r/>
            <w:r/>
          </w:p>
        </w:tc>
      </w:tr>
    </w:tbl>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215"/>
        <w:gridCol w:w="4772"/>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https://www.facebook.com/share/p/1P7D2qeAYB/</w:t>
            </w:r>
            <w:r>
              <w:rPr>
                <w:color w:val="000000" w:themeColor="text1"/>
                <w:sz w:val="22"/>
                <w:szCs w:val="22"/>
              </w:rPr>
              <w:br/>
            </w:r>
            <w:r>
              <w:rPr>
                <w:sz w:val="22"/>
                <w:szCs w:val="22"/>
              </w:rPr>
              <w:t xml:space="preserve">SĐT: </w:t>
            </w:r>
            <w:r>
              <w:rPr>
                <w:color w:val="000000" w:themeColor="text1"/>
                <w:sz w:val="22"/>
                <w:szCs w:val="22"/>
              </w:rPr>
              <w:t xml:space="preserve">0975349092</w:t>
            </w:r>
            <w:r>
              <w:rPr>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3.500.000.000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3.150.000.000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(42m²)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Hát Môn, Thành phố Hà Nội, khoảng cách ra đường QL32 khoảng 300m, 21.083795203422657, 105.62158963376511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42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Thích hợp để ở</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416801"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541680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26.52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486074"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1648151912" name="" descr=""/>
                              <pic:cNvPicPr/>
                              <pic:nvPr/>
                            </pic:nvPicPr>
                            <pic:blipFill rotWithShape="1">
                              <a:blip r:embed="rId36"/>
                              <a:stretch/>
                            </pic:blipFill>
                            <pic:spPr bwMode="auto">
                              <a:xfrm flipH="0" flipV="0">
                                <a:off x="0" y="0"/>
                                <a:ext cx="5486073"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31.97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highlight w:val="none"/>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408142"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387041999" name="" descr=""/>
                              <pic:cNvPicPr/>
                              <pic:nvPr/>
                            </pic:nvPicPr>
                            <pic:blipFill rotWithShape="1">
                              <a:blip r:embed="rId37"/>
                              <a:stretch/>
                            </pic:blipFill>
                            <pic:spPr bwMode="auto">
                              <a:xfrm flipH="0" flipV="0">
                                <a:off x="0" y="0"/>
                                <a:ext cx="5408142"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25.84pt;height:250.00pt;mso-wrap-distance-left:0.00pt;mso-wrap-distance-top:0.00pt;mso-wrap-distance-right:0.00pt;mso-wrap-distance-bottom:0.00pt;z-index:1;" stroked="false">
                      <v:imagedata r:id="rId37" o:title=""/>
                      <o:lock v:ext="edit" rotation="t"/>
                    </v:shape>
                  </w:pict>
                </mc:Fallback>
              </mc:AlternateConten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val="0"/>
                <w:bCs w:val="0"/>
              </w:rPr>
            </w:pPr>
            <w:r>
              <w:rPr>
                <w:b w:val="0"/>
                <w:bCs w:val="0"/>
              </w:rPr>
              <w:t xml:space="preserve">Nguyễn Tấn Sang</w:t>
            </w:r>
            <w:r>
              <w:rPr>
                <w:b w:val="0"/>
                <w:bCs w:val="0"/>
              </w:rPr>
            </w:r>
            <w:r>
              <w:rPr>
                <w:b w:val="0"/>
                <w:bCs w:val="0"/>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6D30B91"/>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221CAB2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Tấn Sang</cp:lastModifiedBy>
  <cp:revision>282</cp:revision>
  <dcterms:created xsi:type="dcterms:W3CDTF">2025-09-15T09:58:00Z</dcterms:created>
  <dcterms:modified xsi:type="dcterms:W3CDTF">2026-09-07T09:06:07Z</dcterms:modified>
</cp:coreProperties>
</file>