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4778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4778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275/2026/1371/VFI-CT.36.A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CỔ PHẦN ĐẦU TƯ XÂY DỰNG VÀ PHÁT TRIỂN TÚ ANH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228, tờ bản đồ số: 20, có địa chỉ: Xã Tam Hiệp, huyện Phúc Thọ, thành phố Hà Nội (Nay là: xã Hát Môn, thành phố Hà Nội) theo Giấ</w:t>
                            </w:r>
                            <w:r>
                              <w:rPr>
                                <w:color w:val="000000"/>
                              </w:rPr>
                              <w:t xml:space="preserve">y chứng nhận Quyền sử dụng đất quyền sở hữu nhà ở và tài sản khác gắn liền với đất số: DG 827475, số vào sổ cấp GCN: CS-PT 21750 do Sở Tài nguyên và Môi trường Thành phố Hà Nội cấp ngày 05/11/2022; Chủ sử dụng đất là Ông Nguyễn Duy Hải và bà Dương Thị Thắm</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3.8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275/2026/1371/VFI-CT.36.A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CỔ PHẦN ĐẦU TƯ XÂY DỰNG VÀ PHÁT TRIỂN TÚ ANH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228, tờ bản đồ số: 20, có địa chỉ: Xã Tam Hiệp, huyện Phúc Thọ, thành phố Hà Nội (Nay là: xã Hát Môn, thành phố Hà Nội) theo Giấ</w:t>
                      </w:r>
                      <w:r>
                        <w:rPr>
                          <w:color w:val="000000"/>
                        </w:rPr>
                        <w:t xml:space="preserve">y chứng nhận Quyền sử dụng đất quyền sở hữu nhà ở và tài sản khác gắn liền với đất số: DG 827475, số vào sổ cấp GCN: CS-PT 21750 do Sở Tài nguyên và Môi trường Thành phố Hà Nội cấp ngày 05/11/2022; Chủ sử dụng đất là Ông Nguyễn Duy Hải và bà Dương Thị Thắm</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1 - 3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4 - 21</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1"/>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22 -26 </w:t>
            </w:r>
            <w:r>
              <w:rPr>
                <w:b/>
                <w:bCs/>
              </w:rPr>
            </w:r>
            <w:r>
              <w:rPr>
                <w:b/>
                <w:bCs/>
              </w:rPr>
            </w:r>
          </w:p>
        </w:tc>
      </w:tr>
      <w:tr>
        <w:trPr/>
        <w:tc>
          <w:tcPr>
            <w:tcBorders/>
            <w:tcMar>
              <w:left w:w="108" w:type="dxa"/>
              <w:right w:w="108" w:type="dxa"/>
            </w:tcMar>
            <w:tcW w:w="7280" w:type="dxa"/>
            <w:vAlign w:val="center"/>
            <w:textDirection w:val="lrTb"/>
            <w:noWrap w:val="false"/>
          </w:tcPr>
          <w:p>
            <w:pPr>
              <w:pStyle w:val="1031"/>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27 - 32</w:t>
            </w:r>
            <w:r>
              <w:rPr>
                <w:b/>
                <w:bCs/>
              </w:rPr>
            </w:r>
            <w:r>
              <w:rPr>
                <w:b/>
                <w:bCs/>
              </w:rPr>
            </w:r>
          </w:p>
        </w:tc>
      </w:tr>
    </w:tbl>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1"/>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30"/>
              <w:pBdr/>
              <w:spacing w:after="60"/>
              <w:ind/>
              <w:rPr>
                <w:color w:val="000000" w:themeColor="text1"/>
                <w:sz w:val="24"/>
                <w:szCs w:val="24"/>
              </w:rPr>
            </w:pPr>
            <w:r>
              <w:rPr>
                <w:rStyle w:val="1029"/>
                <w:rFonts w:ascii="Times New Roman" w:hAnsi="Times New Roman"/>
                <w:color w:val="000000" w:themeColor="text1"/>
                <w:lang w:val="pt-BR"/>
              </w:rPr>
              <w:t xml:space="preserve">Số: </w:t>
            </w:r>
            <w:r>
              <w:rPr>
                <w:rStyle w:val="1029"/>
                <w:rFonts w:ascii="Times New Roman" w:hAnsi="Times New Roman"/>
                <w:color w:val="000000" w:themeColor="text1"/>
                <w:lang w:val="pt-BR"/>
              </w:rPr>
              <w:t xml:space="preserve">275/2026/1371/VFI-CT.36.A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1030"/>
              <w:pBdr/>
              <w:spacing w:after="60"/>
              <w:ind w:right="-56"/>
              <w:jc w:val="right"/>
              <w:rPr>
                <w:color w:val="000000" w:themeColor="text1"/>
                <w:sz w:val="24"/>
                <w:szCs w:val="24"/>
                <w:lang w:val="vi-VN"/>
              </w:rPr>
            </w:pPr>
            <w:r>
              <w:rPr>
                <w:rStyle w:val="1029"/>
                <w:rFonts w:ascii="Times New Roman" w:hAnsi="Times New Roman"/>
                <w:i/>
                <w:color w:val="auto"/>
              </w:rPr>
              <w:t xml:space="preserve">TP. Hà Nội</w:t>
            </w:r>
            <w:r>
              <w:rPr>
                <w:rStyle w:val="1029"/>
                <w:rFonts w:ascii="Times New Roman" w:hAnsi="Times New Roman"/>
                <w:i/>
                <w:color w:val="auto"/>
                <w:lang w:val="vi-VN"/>
              </w:rPr>
              <w:t xml:space="preserve">, </w:t>
            </w:r>
            <w:r>
              <w:rPr>
                <w:rStyle w:val="1029"/>
                <w:rFonts w:ascii="Times New Roman" w:hAnsi="Times New Roman"/>
                <w:i/>
                <w:color w:val="000000" w:themeColor="text1"/>
                <w:lang w:val="vi-VN"/>
              </w:rPr>
              <w:t xml:space="preserve">ngày 03 tháng 9 năm 2026</w:t>
            </w:r>
            <w:r>
              <w:rPr>
                <w:color w:val="000000" w:themeColor="text1"/>
                <w:sz w:val="24"/>
                <w:szCs w:val="24"/>
                <w:lang w:val="vi-VN"/>
              </w:rPr>
            </w:r>
            <w:r>
              <w:rPr>
                <w:color w:val="000000" w:themeColor="text1"/>
                <w:sz w:val="24"/>
                <w:szCs w:val="24"/>
                <w:lang w:val="vi-VN"/>
              </w:rPr>
            </w:r>
          </w:p>
        </w:tc>
      </w:tr>
    </w:tbl>
    <w:p>
      <w:pPr>
        <w:pStyle w:val="1030"/>
        <w:pBdr/>
        <w:spacing w:after="120" w:before="200" w:line="288" w:lineRule="auto"/>
        <w:ind/>
        <w:jc w:val="center"/>
        <w:rPr>
          <w:rStyle w:val="1029"/>
          <w:rFonts w:ascii="Times New Roman" w:hAnsi="Times New Roman"/>
          <w:b/>
          <w:bCs/>
          <w:color w:val="auto"/>
          <w:sz w:val="30"/>
          <w:szCs w:val="30"/>
          <w:lang w:val="vi-VN"/>
        </w:rPr>
      </w:pPr>
      <w:r>
        <w:rPr>
          <w:rStyle w:val="1029"/>
          <w:rFonts w:ascii="Times New Roman" w:hAnsi="Times New Roman"/>
          <w:b/>
          <w:bCs/>
          <w:color w:val="auto"/>
          <w:sz w:val="30"/>
          <w:szCs w:val="30"/>
          <w:lang w:val="vi-VN"/>
        </w:rPr>
        <w:t xml:space="preserve">CHỨNG THƯ THẨM ĐỊNH GIÁ</w:t>
      </w:r>
      <w:r>
        <w:rPr>
          <w:rStyle w:val="1029"/>
          <w:rFonts w:ascii="Times New Roman" w:hAnsi="Times New Roman"/>
          <w:b/>
          <w:bCs/>
          <w:color w:val="auto"/>
          <w:sz w:val="30"/>
          <w:szCs w:val="30"/>
          <w:lang w:val="vi-VN"/>
        </w:rPr>
      </w:r>
      <w:r>
        <w:rPr>
          <w:rStyle w:val="1029"/>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CỔ PHẦN ĐẦU TƯ XÂY DỰNG VÀ PHÁT TRIỂN TÚ ANH</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275/2026/1370/VFI-HĐTĐ.36.A</w:t>
      </w:r>
      <w:r>
        <w:rPr>
          <w:spacing w:val="-4"/>
          <w:lang w:val="vi-VN"/>
        </w:rPr>
        <w:t xml:space="preserve"> ký ngày </w:t>
      </w:r>
      <w:r>
        <w:rPr>
          <w:color w:val="000000" w:themeColor="text1"/>
          <w:spacing w:val="-4"/>
        </w:rPr>
        <w:t xml:space="preserve">3 tháng 8 năm 2026</w:t>
      </w:r>
      <w:r>
        <w:rPr>
          <w:spacing w:val="-4"/>
          <w:lang w:val="vi-VN"/>
        </w:rPr>
        <w:t xml:space="preserve"> </w:t>
      </w:r>
      <w:r>
        <w:rPr>
          <w:spacing w:val="-4"/>
          <w:lang w:val="vi-VN"/>
        </w:rPr>
        <w:t xml:space="preserve">giữa </w:t>
      </w:r>
      <w:r>
        <w:rPr>
          <w:color w:val="000000" w:themeColor="text1"/>
          <w:spacing w:val="-4"/>
        </w:rPr>
        <w:t xml:space="preserve">Công ty Cổ phần đầu tư xây dựng và phát triển Tú Anh</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275/2026/1371/VFI-BC.36.A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03 tháng 9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r>
            <w:r>
              <w:rPr>
                <w:rFonts w:ascii="Times New Roman Bold" w:hAnsi="Times New Roman Bold"/>
                <w:b/>
                <w:color w:val="000000" w:themeColor="text1"/>
                <w:lang w:val="pt-BR"/>
              </w:rPr>
              <w:t xml:space="preserve">CÔNG TY CỔ PHẦN ĐẦU TƯ XÂY DỰNG VÀ PHÁT TRIỂN TÚ ANH</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Mã số thuế</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000000" w:themeColor="text1"/>
                <w:lang w:val="vi-VN"/>
              </w:rPr>
              <w:t xml:space="preserve">0108385651</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Đại diện</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b/>
                <w:bCs/>
                <w:color w:val="ff0000"/>
              </w:rPr>
            </w:pPr>
            <w:r>
              <w:rPr>
                <w:b/>
                <w:bCs/>
                <w:color w:val="000000" w:themeColor="text1"/>
                <w:lang w:val="vi-VN"/>
              </w:rPr>
              <w:t xml:space="preserve">Ông Nguyễn Duy Hải</w:t>
            </w:r>
            <w:r>
              <w:rPr>
                <w:color w:val="000000" w:themeColor="text1"/>
                <w:lang w:val="vi-VN"/>
              </w:rPr>
              <w:t xml:space="preserve">         </w:t>
            </w:r>
            <w:r>
              <w:rPr>
                <w:b/>
                <w:bCs/>
                <w:color w:val="000000" w:themeColor="text1"/>
                <w:lang w:val="vi-VN"/>
              </w:rPr>
              <w:t xml:space="preserve"> Chức vụ: Giám đốc</w:t>
            </w:r>
            <w:r>
              <w:rPr>
                <w:b/>
                <w:bCs/>
                <w:color w:val="ff0000"/>
              </w:rPr>
            </w:r>
            <w:r>
              <w:rPr>
                <w:b/>
                <w:bCs/>
                <w:color w:val="ff0000"/>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000000" w:themeColor="text1"/>
                <w:lang w:val="vi-VN"/>
              </w:rPr>
              <w:t xml:space="preserve">Thôn Ngọc Tảo 9, Xã Hát Môn, TP Hà Nội, Việt Nam</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228, tờ bản đồ số: 20, có địa chỉ: Xã Tam Hiệp, huyện Phúc Thọ, thành phố Hà Nội (Nay là: xã Hát Môn, thành phố Hà Nội) theo Giấ</w:t>
      </w:r>
      <w:r>
        <w:rPr>
          <w:color w:val="000000" w:themeColor="text1"/>
        </w:rPr>
        <w:t xml:space="preserve">y chứng nhận Quyền sử dụng đất quyền sở hữu nhà ở và tài sản khác gắn liền với đất số: DG 827475, số vào sổ cấp GCN: CS-PT 21750 do Sở Tài nguyên và Môi trường Thành phố Hà Nội cấp ngày 05/11/2022; Chủ sử dụng đất là Ông Nguyễn Duy Hải và bà Dương Thị Thắm</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09/2026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228, tờ bản đồ số: 20, có địa chỉ: Xã Tam Hiệp, huyện Phúc Thọ, thành phố Hà Nội (Nay là: xã Hát Môn, thành phố Hà Nội) theo Giấ</w:t>
            </w:r>
            <w:r>
              <w:rPr>
                <w:b/>
                <w:bCs/>
                <w:color w:val="000000"/>
              </w:rPr>
              <w:t xml:space="preserve">y chứng nhận Quyền sử dụng đất quyền sở hữu nhà ở và tài sản khác gắn liền với đất số: DG 827475, số vào sổ cấp GCN: CS-PT 21750 do Sở Tài nguyên và Môi trường Thành phố Hà Nội cấp ngày 05/11/2022; Chủ sử dụng đất là Ông Nguyễn Duy Hải và bà Dương Thị Thắm</w:t>
            </w:r>
            <w:r>
              <w:rPr>
                <w:b/>
                <w:bCs/>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w:t>
            </w: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Đất ở nông thôn</w:t>
            </w:r>
            <w:r>
              <w:rPr>
                <w:b w:val="0"/>
                <w:bCs w:val="0"/>
              </w:rPr>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62,5</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80.000.000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5.000.000.000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rPr>
              <w:t xml:space="preserve">5.000.000.000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Năm tỷ đồng chẵn</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1"/>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0"/>
              <w:pBdr/>
              <w:spacing w:after="60"/>
              <w:ind/>
              <w:rPr>
                <w:color w:val="000000" w:themeColor="text1"/>
                <w:sz w:val="24"/>
                <w:szCs w:val="24"/>
              </w:rPr>
            </w:pPr>
            <w:r>
              <w:rPr>
                <w:rStyle w:val="1029"/>
                <w:rFonts w:ascii="Times New Roman" w:hAnsi="Times New Roman"/>
                <w:color w:val="000000" w:themeColor="text1"/>
                <w:lang w:val="pt-BR"/>
              </w:rPr>
              <w:t xml:space="preserve">Số: </w:t>
            </w:r>
            <w:r>
              <w:rPr>
                <w:rStyle w:val="1029"/>
                <w:rFonts w:ascii="Times New Roman" w:hAnsi="Times New Roman"/>
                <w:color w:val="000000" w:themeColor="text1"/>
                <w:lang w:val="pt-BR"/>
              </w:rPr>
              <w:t xml:space="preserve">275/2026/1371/VFI-BC.36.A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1030"/>
              <w:pBdr/>
              <w:spacing w:after="60"/>
              <w:ind w:right="-56"/>
              <w:jc w:val="right"/>
              <w:rPr>
                <w:color w:val="000000" w:themeColor="text1"/>
                <w:sz w:val="24"/>
                <w:szCs w:val="24"/>
                <w:lang w:val="vi-VN"/>
              </w:rPr>
            </w:pPr>
            <w:r>
              <w:rPr>
                <w:rStyle w:val="1029"/>
                <w:rFonts w:ascii="Times New Roman" w:hAnsi="Times New Roman"/>
                <w:i/>
                <w:color w:val="auto"/>
              </w:rPr>
              <w:t xml:space="preserve">TP. Hà Nội</w:t>
            </w:r>
            <w:r>
              <w:rPr>
                <w:rStyle w:val="1029"/>
                <w:rFonts w:ascii="Times New Roman" w:hAnsi="Times New Roman"/>
                <w:i/>
                <w:color w:val="auto"/>
                <w:lang w:val="vi-VN"/>
              </w:rPr>
              <w:t xml:space="preserve">, </w:t>
            </w:r>
            <w:r>
              <w:rPr>
                <w:rStyle w:val="1029"/>
                <w:rFonts w:ascii="Times New Roman" w:hAnsi="Times New Roman"/>
                <w:i/>
                <w:color w:val="000000" w:themeColor="text1"/>
                <w:lang w:val="vi-VN"/>
              </w:rPr>
              <w:t xml:space="preserve">ngày 03 tháng 9 năm 2026</w:t>
            </w:r>
            <w:r>
              <w:rPr>
                <w:color w:val="000000" w:themeColor="text1"/>
                <w:sz w:val="24"/>
                <w:szCs w:val="24"/>
                <w:lang w:val="vi-VN"/>
              </w:rPr>
            </w:r>
            <w:r>
              <w:rPr>
                <w:color w:val="000000" w:themeColor="text1"/>
                <w:sz w:val="24"/>
                <w:szCs w:val="24"/>
                <w:lang w:val="vi-VN"/>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0"/>
              <w:pBdr/>
              <w:spacing w:after="60"/>
              <w:ind/>
              <w:rPr>
                <w:rStyle w:val="1029"/>
                <w:rFonts w:ascii="Times New Roman" w:hAnsi="Times New Roman"/>
                <w:color w:val="000000" w:themeColor="text1"/>
                <w:lang w:val="pt-BR"/>
              </w:rPr>
            </w:pPr>
            <w:r>
              <w:rPr>
                <w:rStyle w:val="1029"/>
                <w:rFonts w:ascii="Times New Roman" w:hAnsi="Times New Roman"/>
                <w:color w:val="000000" w:themeColor="text1"/>
                <w:lang w:val="pt-BR"/>
              </w:rPr>
            </w:r>
            <w:r>
              <w:rPr>
                <w:rStyle w:val="1029"/>
                <w:rFonts w:ascii="Times New Roman" w:hAnsi="Times New Roman"/>
                <w:color w:val="000000" w:themeColor="text1"/>
                <w:lang w:val="pt-BR"/>
              </w:rPr>
            </w:r>
            <w:r>
              <w:rPr>
                <w:rStyle w:val="1029"/>
                <w:rFonts w:ascii="Times New Roman" w:hAnsi="Times New Roman"/>
                <w:color w:val="000000" w:themeColor="text1"/>
                <w:lang w:val="pt-BR"/>
              </w:rPr>
            </w:r>
          </w:p>
        </w:tc>
        <w:tc>
          <w:tcPr>
            <w:shd w:val="clear" w:color="auto" w:fill="auto"/>
            <w:tcBorders/>
            <w:tcMar>
              <w:left w:w="108" w:type="dxa"/>
              <w:top w:w="0" w:type="dxa"/>
              <w:right w:w="108" w:type="dxa"/>
              <w:bottom w:w="0" w:type="dxa"/>
            </w:tcMar>
            <w:tcW w:w="5412" w:type="dxa"/>
            <w:textDirection w:val="lrTb"/>
            <w:noWrap w:val="false"/>
          </w:tcPr>
          <w:p>
            <w:pPr>
              <w:pStyle w:val="1030"/>
              <w:pBdr/>
              <w:spacing w:after="60"/>
              <w:ind w:right="-56"/>
              <w:rPr>
                <w:rStyle w:val="1029"/>
                <w:rFonts w:ascii="Times New Roman" w:hAnsi="Times New Roman"/>
                <w:i/>
                <w:color w:val="auto"/>
              </w:rPr>
            </w:pPr>
            <w:r>
              <w:rPr>
                <w:rFonts w:ascii="Times New Roman" w:hAnsi="Times New Roman"/>
                <w:i/>
                <w:color w:val="auto"/>
              </w:rPr>
            </w:r>
            <w:r>
              <w:rPr>
                <w:rStyle w:val="1029"/>
                <w:rFonts w:ascii="Times New Roman" w:hAnsi="Times New Roman"/>
                <w:i/>
                <w:color w:val="auto"/>
              </w:rPr>
            </w:r>
            <w:r>
              <w:rPr>
                <w:rStyle w:val="1029"/>
                <w:rFonts w:ascii="Times New Roman" w:hAnsi="Times New Roman"/>
                <w:i/>
                <w:color w:val="auto"/>
              </w:rPr>
            </w:r>
          </w:p>
        </w:tc>
      </w:tr>
    </w:tbl>
    <w:p>
      <w:pPr>
        <w:pStyle w:val="1030"/>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0"/>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275/2026/1371/VFI-CT.36.A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03 tháng 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0"/>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1"/>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r>
            <w:r>
              <w:rPr>
                <w:rFonts w:ascii="Times New Roman Bold" w:hAnsi="Times New Roman Bold"/>
                <w:b/>
                <w:color w:val="000000" w:themeColor="text1"/>
                <w:lang w:val="pt-BR"/>
              </w:rPr>
              <w:t xml:space="preserve">CÔNG TY CỔ PHẦN ĐẦU TƯ XÂY DỰNG VÀ PHÁT TRIỂN TÚ ANH</w:t>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Mã số thuế</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000000" w:themeColor="text1"/>
                <w:lang w:val="vi-VN"/>
              </w:rPr>
              <w:t xml:space="preserve">0108385651</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Đại diện</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b/>
                <w:bCs/>
                <w:color w:val="ff0000"/>
              </w:rPr>
            </w:pPr>
            <w:r>
              <w:rPr>
                <w:b/>
                <w:bCs/>
                <w:color w:val="000000" w:themeColor="text1"/>
                <w:lang w:val="vi-VN"/>
              </w:rPr>
              <w:t xml:space="preserve">Ông Nguyễn Duy Hải</w:t>
            </w:r>
            <w:r>
              <w:rPr>
                <w:color w:val="000000" w:themeColor="text1"/>
                <w:lang w:val="vi-VN"/>
              </w:rPr>
              <w:t xml:space="preserve">         </w:t>
            </w:r>
            <w:r>
              <w:rPr>
                <w:b/>
                <w:bCs/>
                <w:color w:val="000000" w:themeColor="text1"/>
                <w:lang w:val="vi-VN"/>
              </w:rPr>
              <w:t xml:space="preserve"> Chức vụ: Giám đốc</w:t>
            </w:r>
            <w:r>
              <w:rPr>
                <w:b/>
                <w:bCs/>
                <w:color w:val="ff0000"/>
              </w:rPr>
            </w:r>
            <w:r>
              <w:rPr>
                <w:b/>
                <w:bCs/>
                <w:color w:val="ff0000"/>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000000" w:themeColor="text1"/>
                <w:lang w:val="vi-VN"/>
              </w:rPr>
              <w:t xml:space="preserve">Thôn Ngọc Tảo 9, Xã Hát Môn, TP Hà Nội, Việt Nam</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228, tờ bản đồ số: 20, có địa chỉ: Xã Tam Hiệp, huyện Phúc Thọ, thành phố Hà Nội (Nay là: xã Hát Môn, thành phố Hà Nội) theo Giấ</w:t>
            </w:r>
            <w:r>
              <w:rPr>
                <w:bCs/>
                <w:color w:val="000000" w:themeColor="text1"/>
                <w:lang w:val="pt-BR"/>
              </w:rPr>
              <w:t xml:space="preserve">y chứng nhận Quyền sử dụng đất quyền sở hữu nhà ở và tài sản khác gắn liền với đất số: DG 827475, số vào sổ cấp GCN: CS-PT 21750 do Sở Tài nguyên và Môi trường Thành phố Hà Nội cấp ngày 05/11/2022; Chủ sử dụng đất là Ông Nguyễn Duy Hải và bà Dương Thị Thắm</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Hát Môn,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1"/>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21.081638888889, 105.61811111111</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03/08/2026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1"/>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1"/>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1"/>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1"/>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1"/>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1"/>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1"/>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31"/>
        <w:numPr>
          <w:ilvl w:val="0"/>
          <w:numId w:val="1"/>
        </w:numPr>
        <w:pBdr/>
        <w:spacing w:after="120" w:before="120" w:line="276" w:lineRule="auto"/>
        <w:ind/>
        <w:jc w:val="both"/>
        <w:rPr>
          <w:bCs/>
          <w:spacing w:val="-4"/>
          <w:lang w:val="pt-BR"/>
        </w:rPr>
      </w:pPr>
      <w:r>
        <w:rPr>
          <w:bCs/>
          <w:spacing w:val="-4"/>
          <w:lang w:val="pt-BR"/>
        </w:rPr>
        <w:t xml:space="preserve">Quyết định số 425/QĐ-BXD ngày 30/3/2026 của Bộ Xây dựng về việc Công bố suất vốn đầu tư xây dựng công trình và giá xây dựng tổng hợp bộ phận kết cấu công trình năm 2025;</w:t>
      </w:r>
      <w:r>
        <w:rPr>
          <w:bCs/>
          <w:spacing w:val="-4"/>
          <w:lang w:val="pt-BR"/>
        </w:rPr>
      </w:r>
      <w:r>
        <w:rPr>
          <w:bCs/>
          <w:spacing w:val="-4"/>
          <w:lang w:val="pt-BR"/>
        </w:rPr>
      </w:r>
    </w:p>
    <w:p>
      <w:pPr>
        <w:pStyle w:val="1031"/>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31"/>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1"/>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1"/>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1"/>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w:t>
      </w:r>
      <w:r>
        <w:rPr>
          <w:bCs/>
          <w:color w:val="000000" w:themeColor="text1"/>
          <w:lang w:val="pt-BR"/>
        </w:rPr>
        <w:t xml:space="preserve"> chứng nhận Quyền sử dụng đất quyền sở hữu nhà ở và tài sản khác gắn liền với đất số: DG 827475, số vào sổ cấp GCN: CS-PT 21750 do Sở Tài nguyên và Môi trường Thành phố Hà Nội cấp ngày 05/11/2022; Chủ sử dụng đất là Ông Nguyễn Duy Hải và bà Dương Thị Thắm.</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1"/>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275/2026/1370/VFI-HĐTĐ.36.A ngày 03/08/2026 giữa Công ty Cổ phần đầu tư xây dựng và phát triển Tú Anh với Công ty Cổ phần Thẩm định và Đầu tư Tài chính Hoa Sen</w:t>
      </w:r>
      <w:r>
        <w:rPr>
          <w:b/>
          <w:lang w:val="pt-BR"/>
        </w:rPr>
      </w:r>
      <w:r>
        <w:rPr>
          <w:b/>
          <w:lang w:val="pt-BR"/>
        </w:rPr>
      </w:r>
    </w:p>
    <w:p>
      <w:pPr>
        <w:pStyle w:val="1031"/>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5"/>
        </w:tabs>
        <w:spacing w:after="120" w:before="120" w:line="276" w:lineRule="auto"/>
        <w:ind w:right="0" w:hanging="142" w:left="0"/>
        <w:jc w:val="both"/>
        <w:rPr>
          <w:b/>
          <w:bCs/>
          <w:iCs/>
        </w:rPr>
      </w:pPr>
      <w:r>
        <w:rPr>
          <w:lang w:val="pt-BR"/>
        </w:rPr>
        <w:tab/>
      </w:r>
      <w:r>
        <w:rPr>
          <w:b/>
          <w:bCs/>
          <w:shd w:val="clear" w:color="auto" w:fill="ffffff"/>
        </w:rPr>
        <w:t xml:space="preserve">Bức tranh thị</w:t>
      </w:r>
      <w:r>
        <w:rPr>
          <w:b/>
          <w:bCs/>
          <w:shd w:val="clear" w:color="auto" w:fill="ffffff"/>
        </w:rPr>
        <w:t xml:space="preserve"> trường bất động sản Hà Nội năm 2026: Hạ tầng dẫn dắt, thị trường bước vào chu kỳ tăng trưởng mới</w:t>
      </w:r>
      <w:r>
        <w:rPr>
          <w:b/>
          <w:bCs/>
          <w:iCs/>
        </w:rPr>
      </w:r>
      <w:r>
        <w:rPr>
          <w:b/>
          <w:bCs/>
          <w:iCs/>
        </w:rPr>
      </w:r>
    </w:p>
    <w:p>
      <w:pPr>
        <w:pBdr/>
        <w:tabs>
          <w:tab w:val="left" w:leader="none" w:pos="426"/>
        </w:tabs>
        <w:spacing w:after="120" w:before="120" w:line="276" w:lineRule="auto"/>
        <w:ind/>
        <w:jc w:val="both"/>
        <w:rPr/>
      </w:pPr>
      <w:r>
        <w:rPr>
          <w:b/>
          <w:bCs/>
          <w:shd w:val="clear" w:color="auto" w:fill="ffffff"/>
        </w:rPr>
      </w:r>
      <w:r>
        <w:rPr>
          <w:shd w:val="clear" w:color="auto" w:fill="ffffff"/>
        </w:rPr>
        <w:t xml:space="preserve">Bước sang năm 2026, thị trường bất động sản Hà Nội được kỳ vọng bước vào chu kỳ tăng trưởng mới với nền tảng hạ tầng, pháp lý và chính sách ngày càng rõ nét. </w:t>
      </w:r>
      <w:r>
        <w:rPr>
          <w:shd w:val="clear" w:color="auto" w:fill="ffffff"/>
        </w:rPr>
        <w:t xml:space="preserve">Thay vì những cơn “sốt nóng”, thị trường vận động theo hướng chọn lọc, phân hóa mạnh, lấy nhu cầu ở thực, chất lượng dự án và năng lực doanh nghiệp làm trụ cột phát triển bền vững.</w:t>
      </w:r>
      <w:r/>
    </w:p>
    <w:p>
      <w:pPr>
        <w:pBdr/>
        <w:tabs>
          <w:tab w:val="left" w:leader="none" w:pos="426"/>
        </w:tabs>
        <w:spacing w:after="120" w:before="120" w:line="276" w:lineRule="auto"/>
        <w:ind/>
        <w:jc w:val="both"/>
        <w:rPr>
          <w:b/>
          <w:bCs/>
        </w:rPr>
      </w:pPr>
      <w:r>
        <w:rPr>
          <w:shd w:val="clear" w:color="auto" w:fill="ffffff"/>
        </w:rPr>
      </w:r>
      <w:r>
        <w:rPr>
          <w:b/>
          <w:bCs/>
          <w:shd w:val="clear" w:color="auto" w:fill="ffffff"/>
        </w:rPr>
        <w:t xml:space="preserve">Hạ tầng - "xương sống" mở không gian phát triển mới</w:t>
      </w:r>
      <w:r>
        <w:rPr>
          <w:b/>
          <w:bCs/>
        </w:rPr>
      </w:r>
      <w:r>
        <w:rPr>
          <w:b/>
          <w:bCs/>
        </w:rPr>
      </w:r>
    </w:p>
    <w:p>
      <w:pPr>
        <w:pBdr/>
        <w:tabs>
          <w:tab w:val="left" w:leader="none" w:pos="426"/>
        </w:tabs>
        <w:spacing w:after="120" w:before="120" w:line="276" w:lineRule="auto"/>
        <w:ind/>
        <w:jc w:val="both"/>
        <w:rPr/>
      </w:pPr>
      <w:r>
        <w:rPr>
          <w:b/>
          <w:bCs/>
          <w:shd w:val="clear" w:color="auto" w:fill="ffffff"/>
        </w:rPr>
      </w:r>
      <w:r>
        <w:rPr>
          <w:shd w:val="clear" w:color="auto" w:fill="ffffff"/>
        </w:rPr>
        <w:t xml:space="preserve">Trong nhiều năm qua, hạ</w:t>
      </w:r>
      <w:r>
        <w:rPr>
          <w:shd w:val="clear" w:color="auto" w:fill="ffffff"/>
        </w:rPr>
        <w:t xml:space="preserve"> tầng giao thông luôn là yếu tố then chốt định hình không gian phát triển đô thị Hà Nội. Đến năm 2026, vai trò này càng trở nên rõ rệt khi hàng loạt dự án trọng điểm được triển khai đồng bộ, tạo lực đẩy dài hạn cho thị trường bất động sản.</w:t>
      </w:r>
      <w:r/>
    </w:p>
    <w:p>
      <w:pPr>
        <w:pBdr/>
        <w:tabs>
          <w:tab w:val="left" w:leader="none" w:pos="426"/>
        </w:tabs>
        <w:spacing w:after="120" w:before="120" w:line="276" w:lineRule="auto"/>
        <w:ind/>
        <w:jc w:val="both"/>
        <w:rPr/>
      </w:pPr>
      <w:r>
        <w:rPr>
          <w:shd w:val="clear" w:color="auto" w:fill="ffffff"/>
        </w:rPr>
        <w:t xml:space="preserve">Dự án đường Vành</w:t>
      </w:r>
      <w:r>
        <w:rPr>
          <w:shd w:val="clear" w:color="auto" w:fill="ffffff"/>
        </w:rPr>
        <w:t xml:space="preserve"> đai 4 – Vùng Thủ đô, với quy mô hơn 85.000 tỷ đồng, được coi là "đòn bẩy chiến lược" mở rộng không gian phát triển về các hướng Bắc, Tây và Nam. Khi tuyến đường này từng bước thành hình, các khu vực vốn nằm ngoài trung tâm truyền thống sẽ có điều kiện kết</w:t>
      </w:r>
      <w:r>
        <w:rPr>
          <w:shd w:val="clear" w:color="auto" w:fill="ffffff"/>
        </w:rPr>
        <w:t xml:space="preserve"> nối thuận lợi hơn, qua đó gia tăng sức hấp dẫn với các dự án đô thị, khu nhà ở và dịch vụ.</w:t>
      </w:r>
      <w:r/>
    </w:p>
    <w:p>
      <w:pPr>
        <w:pBdr/>
        <w:tabs>
          <w:tab w:val="left" w:leader="none" w:pos="426"/>
        </w:tabs>
        <w:spacing w:after="120" w:before="120" w:line="276" w:lineRule="auto"/>
        <w:ind/>
        <w:jc w:val="both"/>
        <w:rPr/>
      </w:pPr>
      <w:r>
        <w:rPr>
          <w:shd w:val="clear" w:color="auto" w:fill="ffffff"/>
        </w:rPr>
      </w:r>
      <w:r>
        <w:rPr>
          <w:shd w:val="clear" w:color="auto" w:fill="ffffff"/>
        </w:rPr>
        <w:t xml:space="preserve">Thực tế thị trường cho thấy, các khu vực hưởng lợi trực tiếp từ hạ tầng đều ghi nhận sự cải thiện rõ rệt về giá trị và thanh khoản. Tâ</w:t>
      </w:r>
      <w:r>
        <w:rPr>
          <w:shd w:val="clear" w:color="auto" w:fill="ffffff"/>
        </w:rPr>
        <w:t xml:space="preserve">y Hà Nội, với trục Đại lộ Thăng Long, các tuyến Vành đai 3, 3,5 và định hướng tuyến metro số 5 (Văn Cao – Hòa Lạc), đang nổi lên như một cực phát triển mới. Ở phía Đông, hệ thống cầu vượt sông Hồng, cùng quy hoạch chỉnh trang đô thị ven sông, tiếp tục mở r</w:t>
      </w:r>
      <w:r>
        <w:rPr>
          <w:shd w:val="clear" w:color="auto" w:fill="ffffff"/>
        </w:rPr>
        <w:t xml:space="preserve">a dư địa cho các dự án nhà ở và đô thị sinh thái.</w:t>
      </w:r>
      <w:r/>
    </w:p>
    <w:p>
      <w:pPr>
        <w:pBdr/>
        <w:tabs>
          <w:tab w:val="left" w:leader="none" w:pos="426"/>
        </w:tabs>
        <w:spacing w:after="120" w:before="120" w:line="276" w:lineRule="auto"/>
        <w:ind/>
        <w:rPr>
          <w:b/>
          <w:bCs/>
        </w:rPr>
      </w:pPr>
      <w:r>
        <w:rPr>
          <w:shd w:val="clear" w:color="auto" w:fill="ffffff"/>
        </w:rPr>
      </w:r>
      <w:r>
        <w:rPr>
          <w:b/>
          <w:bCs/>
          <w:shd w:val="clear" w:color="auto" w:fill="ffffff"/>
        </w:rPr>
        <w:t xml:space="preserve">Thị trường chuyển từ "tăng nóng" sang tăng trưởng chọn lọc</w:t>
      </w:r>
      <w:r>
        <w:rPr>
          <w:b/>
          <w:bCs/>
        </w:rPr>
      </w:r>
      <w:r>
        <w:rPr>
          <w:b/>
          <w:bCs/>
        </w:rPr>
      </w:r>
    </w:p>
    <w:p>
      <w:pPr>
        <w:pBdr/>
        <w:tabs>
          <w:tab w:val="left" w:leader="none" w:pos="426"/>
        </w:tabs>
        <w:spacing w:after="120" w:before="120" w:line="276" w:lineRule="auto"/>
        <w:ind/>
        <w:jc w:val="both"/>
        <w:rPr/>
      </w:pPr>
      <w:r>
        <w:rPr>
          <w:b/>
          <w:bCs/>
          <w:shd w:val="clear" w:color="auto" w:fill="ffffff"/>
        </w:rPr>
      </w:r>
      <w:r>
        <w:rPr>
          <w:shd w:val="clear" w:color="auto" w:fill="ffffff"/>
        </w:rPr>
        <w:t xml:space="preserve">Nếu như giai đoạn trước, thị trường bất động sản Hà Nội từng chứng kiến những đợt tăng giá nhanh ở một số phân khúc, thì bước sang năm 2026, xu hướ</w:t>
      </w:r>
      <w:r>
        <w:rPr>
          <w:shd w:val="clear" w:color="auto" w:fill="ffffff"/>
        </w:rPr>
        <w:t xml:space="preserve">ng chủ đạo là tăng trưởng có chọn lọc. Dòng tiền không còn chạy theo "sóng ngắn" mà ưu tiên những khu vực có quy hoạch rõ ràng, hạ tầng đồng bộ và nhu cầu ở thực ổn định.</w:t>
      </w:r>
      <w:r/>
    </w:p>
    <w:p>
      <w:pPr>
        <w:pBdr/>
        <w:tabs>
          <w:tab w:val="left" w:leader="none" w:pos="426"/>
        </w:tabs>
        <w:spacing w:after="120" w:before="120" w:line="276" w:lineRule="auto"/>
        <w:ind/>
        <w:rPr>
          <w:b/>
          <w:bCs/>
        </w:rPr>
      </w:pPr>
      <w:r>
        <w:rPr>
          <w:shd w:val="clear" w:color="auto" w:fill="ffffff"/>
        </w:rPr>
      </w:r>
      <w:r>
        <w:rPr>
          <w:b/>
          <w:bCs/>
          <w:shd w:val="clear" w:color="auto" w:fill="ffffff"/>
        </w:rPr>
        <w:t xml:space="preserve">Nguồn cung lớn, thị trường phân hóa rõ nét</w:t>
      </w:r>
      <w:r>
        <w:rPr>
          <w:b/>
          <w:bCs/>
        </w:rPr>
      </w:r>
      <w:r>
        <w:rPr>
          <w:b/>
          <w:bCs/>
        </w:rPr>
      </w:r>
    </w:p>
    <w:p>
      <w:pPr>
        <w:pBdr/>
        <w:tabs>
          <w:tab w:val="left" w:leader="none" w:pos="426"/>
        </w:tabs>
        <w:spacing w:after="120" w:before="120" w:line="276" w:lineRule="auto"/>
        <w:ind/>
        <w:jc w:val="both"/>
        <w:rPr/>
      </w:pPr>
      <w:r>
        <w:rPr>
          <w:b/>
          <w:bCs/>
          <w:shd w:val="clear" w:color="auto" w:fill="ffffff"/>
        </w:rPr>
      </w:r>
      <w:r>
        <w:rPr>
          <w:shd w:val="clear" w:color="auto" w:fill="ffffff"/>
        </w:rPr>
        <w:t xml:space="preserve">Một đặc điểm nổi bật của thị trường năm 2026 là sự gia tăng mạnh mẽ của nguồn cung, đặc biệt ở phân khúc căn hộ. Dự báo cho thấy, Hà Nội sẽ đón nhận lượng lớn sản phẩm mới từ hàng chục dự án được tháo gỡ vướng mắc</w:t>
      </w:r>
      <w:r>
        <w:rPr>
          <w:shd w:val="clear" w:color="auto" w:fill="ffffff"/>
        </w:rPr>
        <w:t xml:space="preserve"> pháp lý và tái khởi động. Điều này vừa tạo cơ hội cho người mua, vừa đặt ra thách thức cho doanh nghiệp phát triển dự án.</w:t>
      </w:r>
      <w:r/>
    </w:p>
    <w:p>
      <w:pPr>
        <w:pBdr/>
        <w:tabs>
          <w:tab w:val="left" w:leader="none" w:pos="426"/>
        </w:tabs>
        <w:spacing w:after="120" w:before="120" w:line="276" w:lineRule="auto"/>
        <w:ind/>
        <w:rPr>
          <w:b/>
          <w:bCs/>
        </w:rPr>
      </w:pPr>
      <w:r>
        <w:rPr>
          <w:shd w:val="clear" w:color="auto" w:fill="ffffff"/>
        </w:rPr>
      </w:r>
      <w:r>
        <w:rPr>
          <w:b/>
          <w:bCs/>
          <w:shd w:val="clear" w:color="auto" w:fill="ffffff"/>
        </w:rPr>
        <w:t xml:space="preserve">Chính sách và pháp lý - điểm tựa cho chu kỳ mới</w:t>
      </w:r>
      <w:r>
        <w:rPr>
          <w:b/>
          <w:bCs/>
        </w:rPr>
      </w:r>
      <w:r>
        <w:rPr>
          <w:b/>
          <w:bCs/>
        </w:rPr>
      </w:r>
    </w:p>
    <w:p>
      <w:pPr>
        <w:pBdr/>
        <w:tabs>
          <w:tab w:val="left" w:leader="none" w:pos="426"/>
        </w:tabs>
        <w:spacing w:after="120" w:before="120" w:line="276" w:lineRule="auto"/>
        <w:ind/>
        <w:jc w:val="both"/>
        <w:rPr/>
      </w:pPr>
      <w:r>
        <w:rPr>
          <w:b/>
          <w:bCs/>
          <w:shd w:val="clear" w:color="auto" w:fill="ffffff"/>
        </w:rPr>
      </w:r>
      <w:r>
        <w:rPr>
          <w:shd w:val="clear" w:color="auto" w:fill="ffffff"/>
        </w:rPr>
        <w:t xml:space="preserve">Năm 2026 được xem là thời điểm các chính sách pháp luật về đất đai, nhà ở và kinh doa</w:t>
      </w:r>
      <w:r>
        <w:rPr>
          <w:shd w:val="clear" w:color="auto" w:fill="ffffff"/>
        </w:rPr>
        <w:t xml:space="preserve">nh bất động sản phát huy hiệu quả rõ nét hơn. Việc tháo gỡ vướng mắc cho hàng nghìn dự án tồn đọng không chỉ giúp giải phóng nguồn lực lớn cho nền kinh tế mà còn bổ sung nguồn cung đáng kể cho thị trường.</w:t>
      </w:r>
      <w:r/>
    </w:p>
    <w:p>
      <w:pPr>
        <w:pBdr/>
        <w:tabs>
          <w:tab w:val="left" w:leader="none" w:pos="426"/>
        </w:tabs>
        <w:spacing w:after="120" w:before="120" w:line="276" w:lineRule="auto"/>
        <w:ind/>
        <w:jc w:val="both"/>
        <w:rPr/>
      </w:pPr>
      <w:r>
        <w:rPr>
          <w:shd w:val="clear" w:color="auto" w:fill="ffffff"/>
        </w:rPr>
        <w:t xml:space="preserve">Các cơ chế mới liên quan đến định giá đất, thu hồi </w:t>
      </w:r>
      <w:r>
        <w:rPr>
          <w:shd w:val="clear" w:color="auto" w:fill="ffffff"/>
        </w:rPr>
        <w:t xml:space="preserve">đất và mở rộng khả năng tiếp cận quỹ đất được kỳ vọng sẽ rút ngắn thời gian chuẩn bị dự án, giảm chi phí và tăng tính minh bạch. Điều này giúp thị trường vận hành lành mạnh hơn, hạn chế tình trạng "treo" dự án kéo dài, đồng thời tạo niềm tin cho nhà đầu tư</w:t>
      </w:r>
      <w:r>
        <w:rPr>
          <w:shd w:val="clear" w:color="auto" w:fill="ffffff"/>
        </w:rPr>
        <w:t xml:space="preserve"> và người mua nhà.</w:t>
      </w:r>
      <w:r/>
    </w:p>
    <w:p>
      <w:pPr>
        <w:pBdr/>
        <w:tabs>
          <w:tab w:val="left" w:leader="none" w:pos="426"/>
        </w:tabs>
        <w:spacing w:after="120" w:before="120" w:line="276" w:lineRule="auto"/>
        <w:ind/>
        <w:jc w:val="both"/>
        <w:rPr>
          <w:b/>
          <w:bCs/>
        </w:rPr>
      </w:pPr>
      <w:r>
        <w:rPr>
          <w:shd w:val="clear" w:color="auto" w:fill="ffffff"/>
        </w:rPr>
      </w:r>
      <w:r>
        <w:rPr>
          <w:b/>
          <w:bCs/>
          <w:shd w:val="clear" w:color="auto" w:fill="ffffff"/>
        </w:rPr>
        <w:t xml:space="preserve">Triển vọng 2026: tăng trưởng bền vững trên nền tảng mới</w:t>
      </w:r>
      <w:r>
        <w:rPr>
          <w:b/>
          <w:bCs/>
        </w:rPr>
      </w:r>
      <w:r>
        <w:rPr>
          <w:b/>
          <w:bCs/>
        </w:rPr>
      </w:r>
    </w:p>
    <w:p>
      <w:pPr>
        <w:pBdr/>
        <w:tabs>
          <w:tab w:val="left" w:leader="none" w:pos="426"/>
        </w:tabs>
        <w:spacing w:after="120" w:before="120" w:line="276" w:lineRule="auto"/>
        <w:ind/>
        <w:jc w:val="both"/>
        <w:rPr/>
      </w:pPr>
      <w:r>
        <w:rPr>
          <w:b/>
          <w:bCs/>
          <w:shd w:val="clear" w:color="auto" w:fill="ffffff"/>
        </w:rPr>
      </w:r>
      <w:r>
        <w:rPr>
          <w:shd w:val="clear" w:color="auto" w:fill="ffffff"/>
        </w:rPr>
        <w:t xml:space="preserve">Với nguồn cung tăng mạnh và người mua ngày càng kỹ tính, năm 2026 được xem là giai đoạn sàng lọc rõ nét đối với các doanh nghiệp bất động sản. Những chủ đầu tư có quỹ đất sạch, năng</w:t>
      </w:r>
      <w:r>
        <w:rPr>
          <w:shd w:val="clear" w:color="auto" w:fill="ffffff"/>
        </w:rPr>
        <w:t xml:space="preserve"> lực tài chính lành mạnh và chiến lược phát triển sản phẩm phù hợp sẽ có cơ hội bứt phá. Ngược lại, các doanh nghiệp yếu về pháp lý, phụ thuộc nhiều vào đòn bẩy tài chính hoặc chạy theo đầu cơ ngắn hạn có thể tiếp tục bị đào thải.</w:t>
      </w:r>
      <w:r/>
    </w:p>
    <w:p>
      <w:pPr>
        <w:pBdr/>
        <w:tabs>
          <w:tab w:val="left" w:leader="none" w:pos="426"/>
        </w:tabs>
        <w:spacing w:after="120" w:before="120" w:line="276" w:lineRule="auto"/>
        <w:ind/>
        <w:jc w:val="both"/>
        <w:rPr/>
      </w:pPr>
      <w:r>
        <w:rPr>
          <w:shd w:val="clear" w:color="auto" w:fill="ffffff"/>
        </w:rPr>
        <w:t xml:space="preserve">Cuộc cạnh tranh không chỉ</w:t>
      </w:r>
      <w:r>
        <w:rPr>
          <w:shd w:val="clear" w:color="auto" w:fill="ffffff"/>
        </w:rPr>
        <w:t xml:space="preserve"> dừng ở giá bán mà còn mở rộng sang tiến độ thi công, chất lượng xây dựng, dịch vụ hậu mãi và cam kết vận hành. Trong bối cảnh đó, niềm tin của người mua trở thành tài sản quan trọng nhất mà doanh nghiệp phải gìn giữ.</w:t>
      </w:r>
      <w:r/>
    </w:p>
    <w:p>
      <w:pPr>
        <w:pBdr/>
        <w:tabs>
          <w:tab w:val="left" w:leader="none" w:pos="426"/>
        </w:tabs>
        <w:spacing w:after="120" w:before="120" w:line="276" w:lineRule="auto"/>
        <w:ind/>
        <w:jc w:val="both"/>
        <w:rPr/>
      </w:pPr>
      <w:r>
        <w:rPr>
          <w:shd w:val="clear" w:color="auto" w:fill="ffffff"/>
        </w:rPr>
        <w:t xml:space="preserve">Nhìn tổng thể, bức tranh thị trường bấ</w:t>
      </w:r>
      <w:r>
        <w:rPr>
          <w:shd w:val="clear" w:color="auto" w:fill="ffffff"/>
        </w:rPr>
        <w:t xml:space="preserve">t động sản Hà Nội năm 2026 mang gam màu tích cực nhưng không kém phần thận trọng. Hạ tầng tiếp tục đóng vai trò "dẫn lối", chính sách và pháp lý tạo điểm tựa, trong khi nhu cầu ở thực giữ vai trò chủ đạo. Thị trường không còn chỗ cho những cơn sốt ảo, mà h</w:t>
      </w:r>
      <w:r>
        <w:rPr>
          <w:shd w:val="clear" w:color="auto" w:fill="ffffff"/>
        </w:rPr>
        <w:t xml:space="preserve">ướng tới tăng trưởng ổn định, gắn với chất lượng đô thị và chất lượng sống.</w:t>
      </w:r>
      <w:r/>
    </w:p>
    <w:p>
      <w:pPr>
        <w:pBdr/>
        <w:tabs>
          <w:tab w:val="left" w:leader="none" w:pos="426"/>
        </w:tabs>
        <w:spacing w:after="120" w:before="120" w:line="276" w:lineRule="auto"/>
        <w:ind/>
        <w:jc w:val="both"/>
        <w:rPr>
          <w:bCs/>
          <w:i/>
          <w:lang w:val="pt-BR"/>
        </w:rPr>
      </w:pPr>
      <w:r>
        <w:rPr>
          <w:shd w:val="clear" w:color="auto" w:fill="ffffff"/>
        </w:rPr>
      </w:r>
      <w:r>
        <w:rPr>
          <w:i/>
          <w:iCs/>
          <w:shd w:val="clear" w:color="auto" w:fill="ffffff"/>
        </w:rPr>
        <w:t xml:space="preserve">(Nguồn tham khảo: https://thanglong.chinhphu.vn/buc-tranh-thi-truong-bat-dong-san-ha-noi-nam-2026-ha-tang-dan-dat-thi-truong-buoc-vao-chu-ky-tang-truong-moi-103260101181315972.htm)</w:t>
      </w:r>
      <w:r>
        <w:rPr>
          <w:bCs/>
          <w:i/>
          <w:lang w:val="pt-BR"/>
        </w:rPr>
      </w:r>
      <w:r>
        <w:rPr>
          <w:bCs/>
          <w:i/>
          <w:lang w:val="pt-BR"/>
        </w:rPr>
      </w:r>
    </w:p>
    <w:p>
      <w:pPr>
        <w:pStyle w:val="1031"/>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Style w:val="1035"/>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56"/>
        <w:gridCol w:w="2320"/>
        <w:gridCol w:w="2039"/>
        <w:gridCol w:w="2438"/>
        <w:gridCol w:w="2622"/>
      </w:tblGrid>
      <w:tr>
        <w:trPr>
          <w:trHeight w:val="190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419" w:type="dxa"/>
            <w:vAlign w:val="center"/>
            <w:textDirection w:val="lrTb"/>
            <w:noWrap w:val="false"/>
          </w:tcPr>
          <w:p>
            <w:pPr>
              <w:pBdr/>
              <w:spacing w:after="0" w:before="0" w:line="240" w:lineRule="auto"/>
              <w:ind/>
              <w:jc w:val="both"/>
              <w:rPr/>
            </w:pPr>
            <w:r>
              <w:rPr>
                <w:rFonts w:ascii="Times New Roman" w:hAnsi="Times New Roman" w:eastAsia="Times New Roman" w:cs="Times New Roman"/>
                <w:b/>
                <w:color w:val="000000"/>
                <w:sz w:val="24"/>
              </w:rPr>
              <w:t xml:space="preserve">Quyền sử dụng đất tại thửa đất số: 228, tờ bản đồ số: 20, có địa chỉ: Xã Tam Hiệp, huyện Phúc Thọ, thành phố Hà Nội (Nay là: xã Hát Môn, thành phố Hà Nội) theo Giấy chứng nhận Quyền sử dụng đất quyền sở hữu nhà ở và tài sản khác gắn liền với đất số: DG 827</w:t>
            </w:r>
            <w:r>
              <w:rPr>
                <w:rFonts w:ascii="Times New Roman" w:hAnsi="Times New Roman" w:eastAsia="Times New Roman" w:cs="Times New Roman"/>
                <w:b/>
                <w:color w:val="000000"/>
                <w:sz w:val="24"/>
              </w:rPr>
              <w:t xml:space="preserve">475, số vào sổ cấp GCN: CS-PT 21750 do Sở Tài nguyên và Môi trường Thành phố Hà Nội cấp ngày 05/11/2022; Chủ sử dụng đất là Ông Nguyễn Duy Hải và bà Dương Thị Thắm.</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41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Nội dung Thửa đất theo Hồ sơ pháp lý</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Thửa đất số:</w:t>
            </w:r>
            <w:r/>
          </w:p>
        </w:tc>
        <w:tc>
          <w:tcPr>
            <w:tcBorders>
              <w:bottom w:val="single" w:color="000000" w:sz="6" w:space="0"/>
              <w:right w:val="single" w:color="000000" w:sz="6" w:space="0"/>
            </w:tcBorders>
            <w:tcMar>
              <w:left w:w="0" w:type="dxa"/>
              <w:top w:w="0" w:type="dxa"/>
              <w:right w:w="0" w:type="dxa"/>
              <w:bottom w:w="0" w:type="dxa"/>
            </w:tcMar>
            <w:tcW w:w="2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228</w:t>
            </w:r>
            <w:r/>
          </w:p>
        </w:tc>
        <w:tc>
          <w:tcPr>
            <w:tcBorders>
              <w:bottom w:val="single" w:color="000000" w:sz="6" w:space="0"/>
              <w:right w:val="single" w:color="000000" w:sz="6" w:space="0"/>
            </w:tcBorders>
            <w:tcMar>
              <w:left w:w="0" w:type="dxa"/>
              <w:top w:w="0" w:type="dxa"/>
              <w:right w:w="0" w:type="dxa"/>
              <w:bottom w:w="0" w:type="dxa"/>
            </w:tcMar>
            <w:tcW w:w="243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Tờ bản đồ số:</w:t>
            </w:r>
            <w:r/>
          </w:p>
        </w:tc>
        <w:tc>
          <w:tcPr>
            <w:tcBorders>
              <w:bottom w:val="single" w:color="000000" w:sz="6" w:space="0"/>
              <w:right w:val="single" w:color="000000" w:sz="6" w:space="0"/>
            </w:tcBorders>
            <w:tcMar>
              <w:left w:w="0" w:type="dxa"/>
              <w:top w:w="0" w:type="dxa"/>
              <w:right w:w="0" w:type="dxa"/>
              <w:bottom w:w="0" w:type="dxa"/>
            </w:tcMar>
            <w:tcW w:w="26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20</w:t>
            </w:r>
            <w:r/>
          </w:p>
        </w:tc>
      </w:tr>
      <w:tr>
        <w:trPr>
          <w:trHeight w:val="64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Địa chỉ:</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709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Xã Tam Hiệp, huyện Phúc Thọ, thành phố Hà Nội (Nay là: xã Hát Môn, thành phố Hà Nội)</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(m²):</w:t>
            </w:r>
            <w:r/>
          </w:p>
        </w:tc>
        <w:tc>
          <w:tcPr>
            <w:tcBorders>
              <w:bottom w:val="single" w:color="000000" w:sz="6" w:space="0"/>
              <w:right w:val="single" w:color="000000" w:sz="6" w:space="0"/>
            </w:tcBorders>
            <w:tcMar>
              <w:left w:w="0" w:type="dxa"/>
              <w:top w:w="0" w:type="dxa"/>
              <w:right w:w="0" w:type="dxa"/>
              <w:bottom w:w="0" w:type="dxa"/>
            </w:tcMar>
            <w:tcW w:w="2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62,5</w:t>
            </w:r>
            <w:r/>
          </w:p>
        </w:tc>
        <w:tc>
          <w:tcPr>
            <w:tcBorders>
              <w:bottom w:val="single" w:color="000000" w:sz="6" w:space="0"/>
              <w:right w:val="single" w:color="000000" w:sz="6" w:space="0"/>
            </w:tcBorders>
            <w:tcMar>
              <w:left w:w="0" w:type="dxa"/>
              <w:top w:w="0" w:type="dxa"/>
              <w:right w:w="0" w:type="dxa"/>
              <w:bottom w:w="0" w:type="dxa"/>
            </w:tcMar>
            <w:tcW w:w="243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thức sử dụng:</w:t>
            </w:r>
            <w:r/>
          </w:p>
        </w:tc>
        <w:tc>
          <w:tcPr>
            <w:tcBorders>
              <w:bottom w:val="single" w:color="000000" w:sz="6" w:space="0"/>
              <w:right w:val="single" w:color="000000" w:sz="6" w:space="0"/>
            </w:tcBorders>
            <w:tcMar>
              <w:left w:w="0" w:type="dxa"/>
              <w:top w:w="0" w:type="dxa"/>
              <w:right w:w="0" w:type="dxa"/>
              <w:bottom w:w="0" w:type="dxa"/>
            </w:tcMar>
            <w:tcW w:w="26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Sử dụng riêng</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Mục đích sử dụng:</w:t>
            </w:r>
            <w:r/>
          </w:p>
        </w:tc>
        <w:tc>
          <w:tcPr>
            <w:tcBorders>
              <w:bottom w:val="single" w:color="000000" w:sz="6" w:space="0"/>
              <w:right w:val="single" w:color="000000" w:sz="6" w:space="0"/>
            </w:tcBorders>
            <w:tcMar>
              <w:left w:w="0" w:type="dxa"/>
              <w:top w:w="0" w:type="dxa"/>
              <w:right w:w="0" w:type="dxa"/>
              <w:bottom w:w="0" w:type="dxa"/>
            </w:tcMar>
            <w:tcW w:w="2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Đất ở tại nông thôn</w:t>
            </w:r>
            <w:r/>
          </w:p>
        </w:tc>
        <w:tc>
          <w:tcPr>
            <w:tcBorders>
              <w:bottom w:val="single" w:color="000000" w:sz="6" w:space="0"/>
              <w:right w:val="single" w:color="000000" w:sz="6" w:space="0"/>
            </w:tcBorders>
            <w:tcMar>
              <w:left w:w="0" w:type="dxa"/>
              <w:top w:w="0" w:type="dxa"/>
              <w:right w:w="0" w:type="dxa"/>
              <w:bottom w:w="0" w:type="dxa"/>
            </w:tcMar>
            <w:tcW w:w="243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Thời hạn sử dụng:</w:t>
            </w:r>
            <w:r/>
          </w:p>
        </w:tc>
        <w:tc>
          <w:tcPr>
            <w:tcBorders>
              <w:bottom w:val="single" w:color="000000" w:sz="6" w:space="0"/>
              <w:right w:val="single" w:color="000000" w:sz="6" w:space="0"/>
            </w:tcBorders>
            <w:tcMar>
              <w:left w:w="0" w:type="dxa"/>
              <w:top w:w="0" w:type="dxa"/>
              <w:right w:w="0" w:type="dxa"/>
              <w:bottom w:w="0" w:type="dxa"/>
            </w:tcMar>
            <w:tcW w:w="26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Lâu dài</w:t>
            </w:r>
            <w:r/>
          </w:p>
        </w:tc>
      </w:tr>
      <w:tr>
        <w:trPr>
          <w:trHeight w:val="613"/>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Nguồn gốc sử dụng đất:</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709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Nhận chuyển nhượng đất được Nhà nước giao đất có thu tiền sử dụng đất.</w:t>
            </w:r>
            <w:r/>
          </w:p>
        </w:tc>
      </w:tr>
      <w:tr>
        <w:trPr>
          <w:trHeight w:val="1487"/>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Ghi chú:</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7099" w:type="dxa"/>
            <w:vAlign w:val="center"/>
            <w:textDirection w:val="lrTb"/>
            <w:noWrap w:val="false"/>
          </w:tcPr>
          <w:p>
            <w:pPr>
              <w:pBdr/>
              <w:spacing w:after="0" w:before="0" w:line="240" w:lineRule="auto"/>
              <w:ind/>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 Số tờ bản đồ, số thửa được xác định theo bản đồ tổng thể;</w:t>
              <w:br/>
              <w:t xml:space="preserve">- Thửa đất được tách ra từ thửa đất số 205, tờ bản đồ số 20 tại Giấy chứng nhận số CV 379319 do Sở Tài nguyên và Môi trường thành phố Hà Nội cấp ngày 11/8/2020;</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Bdr/>
              <w:spacing w:after="0" w:before="0" w:line="240" w:lineRule="auto"/>
              <w:ind/>
              <w:jc w:val="both"/>
              <w:rPr/>
            </w:pPr>
            <w:r>
              <w:rPr>
                <w:rFonts w:ascii="Times New Roman" w:hAnsi="Times New Roman" w:eastAsia="Times New Roman" w:cs="Times New Roman"/>
                <w:color w:val="000000"/>
                <w:sz w:val="24"/>
              </w:rPr>
              <w:t xml:space="preserve">- Bản đồ 1996: Một phần thửa đất số</w:t>
            </w:r>
            <w:r>
              <w:rPr>
                <w:rFonts w:ascii="Times New Roman" w:hAnsi="Times New Roman" w:eastAsia="Times New Roman" w:cs="Times New Roman"/>
                <w:color w:val="000000"/>
                <w:sz w:val="24"/>
              </w:rPr>
              <w:t xml:space="preserve"> 803-2, tờ số 01</w:t>
            </w:r>
            <w:r/>
          </w:p>
        </w:tc>
      </w:tr>
      <w:tr>
        <w:trPr>
          <w:trHeight w:val="62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Thông tin quy hoạch:</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7099" w:type="dxa"/>
            <w:vAlign w:val="center"/>
            <w:textDirection w:val="lrTb"/>
            <w:noWrap w:val="false"/>
          </w:tcPr>
          <w:p>
            <w:pPr>
              <w:pBdr/>
              <w:spacing w:after="0" w:before="0" w:line="276" w:lineRule="auto"/>
              <w:ind/>
              <w:jc w:val="both"/>
              <w:rPr>
                <w:rFonts w:ascii="Times New Roman" w:hAnsi="Times New Roman" w:cs="Times New Roman"/>
                <w:color w:val="000000" w:themeColor="text1"/>
                <w:sz w:val="24"/>
                <w:szCs w:val="24"/>
                <w:highlight w:val="none"/>
              </w:rPr>
            </w:pP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trang mạng Meeymap, xác </w:t>
            </w:r>
            <w:r>
              <w:rPr>
                <w:rFonts w:ascii="Times New Roman" w:hAnsi="Times New Roman" w:eastAsia="Times New Roman" w:cs="Times New Roman"/>
                <w:color w:val="000000" w:themeColor="text1"/>
                <w:sz w:val="24"/>
              </w:rPr>
              <w:t xml:space="preserve">định vị trí tài sản thuộc quy hoạch đất ở.</w:t>
            </w:r>
            <w:r>
              <w:rPr>
                <w:rFonts w:ascii="Times New Roman" w:hAnsi="Times New Roman" w:cs="Times New Roman"/>
                <w:color w:val="000000" w:themeColor="text1"/>
                <w:sz w:val="24"/>
                <w:szCs w:val="24"/>
                <w:highlight w:val="none"/>
              </w:rPr>
            </w:r>
            <w:r>
              <w:rPr>
                <w:rFonts w:ascii="Times New Roman" w:hAnsi="Times New Roman" w:cs="Times New Roman"/>
                <w:color w:val="000000" w:themeColor="text1"/>
                <w:sz w:val="24"/>
                <w:szCs w:val="24"/>
                <w:highlight w:val="none"/>
              </w:rPr>
            </w:r>
          </w:p>
          <w:p>
            <w:pPr>
              <w:pBdr/>
              <w:spacing w:after="0" w:before="0" w:line="240" w:lineRule="auto"/>
              <w:ind/>
              <w:jc w:val="center"/>
              <w:rPr/>
            </w:pPr>
            <w:r>
              <w:rPr>
                <w:rFonts w:ascii="Times New Roman" w:hAnsi="Times New Roman" w:eastAsia="Times New Roman" w:cs="Times New Roman"/>
                <w:color w:val="000000"/>
                <w:sz w:val="24"/>
              </w:rPr>
            </w:r>
            <w:r>
              <mc:AlternateContent>
                <mc:Choice Requires="wpg">
                  <w:drawing>
                    <wp:inline xmlns:wp="http://schemas.openxmlformats.org/drawingml/2006/wordprocessingDrawing" distT="0" distB="0" distL="0" distR="0">
                      <wp:extent cx="4177586" cy="223783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307641" name=""/>
                              <pic:cNvPicPr>
                                <a:picLocks noChangeAspect="1"/>
                              </pic:cNvPicPr>
                              <pic:nvPr/>
                            </pic:nvPicPr>
                            <pic:blipFill rotWithShape="1">
                              <a:blip r:embed="rId17"/>
                              <a:stretch/>
                            </pic:blipFill>
                            <pic:spPr bwMode="auto">
                              <a:xfrm rot="0" flipH="0" flipV="0">
                                <a:off x="0" y="0"/>
                                <a:ext cx="4177586" cy="22378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28.94pt;height:176.21pt;mso-wrap-distance-left:0.00pt;mso-wrap-distance-top:0.00pt;mso-wrap-distance-right:0.00pt;mso-wrap-distance-bottom:0.00pt;rotation:0;z-index:1;" stroked="false">
                      <v:imagedata r:id="rId17" o:title=""/>
                      <o:lock v:ext="edit" rotation="t"/>
                    </v:shape>
                  </w:pict>
                </mc:Fallback>
              </mc:AlternateContent>
            </w:r>
            <w:r>
              <w:rPr>
                <w:rFonts w:ascii="Times New Roman" w:hAnsi="Times New Roman" w:eastAsia="Times New Roman" w:cs="Times New Roman"/>
                <w:color w:val="000000"/>
                <w:sz w:val="24"/>
              </w:rPr>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41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Về đất:</w:t>
            </w:r>
            <w:r/>
          </w:p>
        </w:tc>
      </w:tr>
      <w:tr>
        <w:trPr>
          <w:trHeight w:val="300"/>
        </w:trPr>
        <w:tc>
          <w:tcPr>
            <w:tcBorders>
              <w:left w:val="single" w:color="000000" w:sz="6" w:space="0"/>
              <w:bottom w:val="single" w:color="000000" w:sz="4"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2.1</w:t>
            </w:r>
            <w:r/>
          </w:p>
        </w:tc>
        <w:tc>
          <w:tcPr>
            <w:gridSpan w:val="4"/>
            <w:tcBorders>
              <w:top w:val="single" w:color="000000" w:sz="6" w:space="0"/>
              <w:bottom w:val="single" w:color="000000" w:sz="4" w:space="0"/>
              <w:right w:val="single" w:color="000000" w:sz="6" w:space="0"/>
            </w:tcBorders>
            <w:tcMar>
              <w:left w:w="0" w:type="dxa"/>
              <w:top w:w="0" w:type="dxa"/>
              <w:right w:w="0" w:type="dxa"/>
              <w:bottom w:w="0" w:type="dxa"/>
            </w:tcMar>
            <w:tcW w:w="941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Vị trí; Giao thông;</w:t>
            </w:r>
            <w:r/>
          </w:p>
        </w:tc>
      </w:tr>
      <w:tr>
        <w:trPr>
          <w:trHeight w:val="31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2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Đường tiếp giáp chính:</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Đường nhựa</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43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Số mặt tiền: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6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01 mặt tiền</w:t>
            </w:r>
            <w:r/>
          </w:p>
        </w:tc>
      </w:tr>
      <w:tr>
        <w:trPr>
          <w:trHeight w:val="1240"/>
        </w:trPr>
        <w:tc>
          <w:tcPr>
            <w:tcBorders>
              <w:top w:val="single" w:color="000000" w:sz="4" w:space="0"/>
              <w:left w:val="single" w:color="000000" w:sz="6" w:space="0"/>
              <w:bottom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6" w:space="0"/>
              <w:bottom w:val="single" w:color="000000" w:sz="6" w:space="0"/>
              <w:right w:val="single" w:color="000000" w:sz="6" w:space="0"/>
            </w:tcBorders>
            <w:tcMar>
              <w:left w:w="0" w:type="dxa"/>
              <w:top w:w="0" w:type="dxa"/>
              <w:right w:w="0" w:type="dxa"/>
              <w:bottom w:w="0" w:type="dxa"/>
            </w:tcMar>
            <w:tcW w:w="2320"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top w:val="single" w:color="000000" w:sz="4" w:space="0"/>
              <w:bottom w:val="single" w:color="000000" w:sz="6" w:space="0"/>
              <w:right w:val="single" w:color="000000" w:sz="6" w:space="0"/>
            </w:tcBorders>
            <w:tcMar>
              <w:left w:w="0" w:type="dxa"/>
              <w:top w:w="0" w:type="dxa"/>
              <w:right w:w="0" w:type="dxa"/>
              <w:bottom w:w="0" w:type="dxa"/>
            </w:tcMar>
            <w:tcW w:w="2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Khoảng 7,3m</w:t>
            </w:r>
            <w:r/>
          </w:p>
        </w:tc>
        <w:tc>
          <w:tcPr>
            <w:tcBorders>
              <w:top w:val="single" w:color="000000" w:sz="4" w:space="0"/>
              <w:bottom w:val="single" w:color="000000" w:sz="6" w:space="0"/>
              <w:right w:val="single" w:color="000000" w:sz="6" w:space="0"/>
            </w:tcBorders>
            <w:tcMar>
              <w:left w:w="0" w:type="dxa"/>
              <w:top w:w="0" w:type="dxa"/>
              <w:right w:w="0" w:type="dxa"/>
              <w:bottom w:w="0" w:type="dxa"/>
            </w:tcMar>
            <w:tcW w:w="2438"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top w:val="single" w:color="000000" w:sz="4" w:space="0"/>
              <w:bottom w:val="single" w:color="000000" w:sz="6" w:space="0"/>
              <w:right w:val="single" w:color="000000" w:sz="6" w:space="0"/>
            </w:tcBorders>
            <w:tcMar>
              <w:left w:w="0" w:type="dxa"/>
              <w:top w:w="0" w:type="dxa"/>
              <w:right w:w="0" w:type="dxa"/>
              <w:bottom w:w="0" w:type="dxa"/>
            </w:tcMar>
            <w:tcW w:w="26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Khoảng 7,3m</w:t>
            </w:r>
            <w:r/>
          </w:p>
        </w:tc>
      </w:tr>
      <w:tr>
        <w:trPr>
          <w:trHeight w:val="72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6" w:space="0"/>
            </w:tcBorders>
            <w:tcMar>
              <w:left w:w="0" w:type="dxa"/>
              <w:top w:w="0" w:type="dxa"/>
              <w:right w:w="0" w:type="dxa"/>
              <w:bottom w:w="0" w:type="dxa"/>
            </w:tcMar>
            <w:tcW w:w="232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Khoảng cách đến trục đường chính:</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709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nằm tiếp giáp đường liên xã cách QL 32 khoảng 400m</w:t>
            </w:r>
            <w:r/>
          </w:p>
        </w:tc>
      </w:tr>
      <w:tr>
        <w:trPr>
          <w:trHeight w:val="67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6" w:space="0"/>
              <w:bottom w:val="single" w:color="000000" w:sz="6" w:space="0"/>
              <w:right w:val="single" w:color="000000" w:sz="6" w:space="0"/>
            </w:tcBorders>
            <w:tcMar>
              <w:left w:w="0" w:type="dxa"/>
              <w:top w:w="0" w:type="dxa"/>
              <w:right w:w="0" w:type="dxa"/>
              <w:bottom w:w="0" w:type="dxa"/>
            </w:tcMar>
            <w:tcW w:w="232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Các hướng tiếp giáp:</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7099" w:type="dxa"/>
            <w:vAlign w:val="center"/>
            <w:textDirection w:val="lrTb"/>
            <w:noWrap w:val="false"/>
          </w:tcPr>
          <w:p>
            <w:pPr>
              <w:pBdr/>
              <w:spacing w:after="0" w:before="0" w:line="240" w:lineRule="auto"/>
              <w:ind/>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Hướng Bắc: Tiếp giáp với đường nhựa</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Bdr/>
              <w:spacing w:after="0" w:before="0" w:line="240" w:lineRule="auto"/>
              <w:ind/>
              <w:jc w:val="both"/>
              <w:rPr/>
            </w:pPr>
            <w:r>
              <w:rPr>
                <w:rFonts w:ascii="Times New Roman" w:hAnsi="Times New Roman" w:eastAsia="Times New Roman" w:cs="Times New Roman"/>
                <w:color w:val="000000"/>
                <w:sz w:val="24"/>
              </w:rPr>
              <w:t xml:space="preserve">Các hướng khác: Tiếp giáp các thửa đất khác.</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41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Vị trí trên bản đồ vệ tinh: </w:t>
            </w:r>
            <w:r>
              <w:rPr>
                <w:rFonts w:ascii="Times New Roman" w:hAnsi="Times New Roman" w:eastAsia="Times New Roman" w:cs="Times New Roman"/>
                <w:color w:val="000000"/>
                <w:sz w:val="24"/>
              </w:rPr>
              <w:t xml:space="preserve">(</w:t>
            </w:r>
            <w:r>
              <w:rPr>
                <w:rFonts w:ascii="Times New Roman" w:hAnsi="Times New Roman" w:eastAsia="Times New Roman" w:cs="Times New Roman"/>
                <w:color w:val="000000"/>
                <w:sz w:val="24"/>
              </w:rPr>
              <w:t xml:space="preserve">21.081639, 105.618111</w:t>
            </w:r>
            <w:r>
              <w:rPr>
                <w:rFonts w:ascii="Times New Roman" w:hAnsi="Times New Roman" w:eastAsia="Times New Roman" w:cs="Times New Roman"/>
                <w:color w:val="000000"/>
                <w:sz w:val="24"/>
              </w:rPr>
              <w:t xml:space="preserve">)</w:t>
            </w:r>
            <w:r>
              <w:rPr>
                <w:rFonts w:ascii="Times New Roman" w:hAnsi="Times New Roman" w:eastAsia="Times New Roman" w:cs="Times New Roman"/>
                <w:color w:val="000000"/>
                <w:sz w:val="24"/>
              </w:rPr>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419" w:type="dxa"/>
            <w:vAlign w:val="center"/>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5678229" cy="2770695"/>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383837" name=""/>
                              <pic:cNvPicPr>
                                <a:picLocks noChangeAspect="1"/>
                              </pic:cNvPicPr>
                              <pic:nvPr/>
                            </pic:nvPicPr>
                            <pic:blipFill rotWithShape="1">
                              <a:blip r:embed="rId18"/>
                              <a:stretch/>
                            </pic:blipFill>
                            <pic:spPr bwMode="auto">
                              <a:xfrm rot="0" flipH="0" flipV="0">
                                <a:off x="0" y="0"/>
                                <a:ext cx="5678228" cy="277069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47.10pt;height:218.16pt;mso-wrap-distance-left:0.00pt;mso-wrap-distance-top:0.00pt;mso-wrap-distance-right:0.00pt;mso-wrap-distance-bottom:0.00pt;rotation:0;z-index:1;" stroked="false">
                      <v:imagedata r:id="rId18" o:title=""/>
                      <o:lock v:ext="edit" rotation="t"/>
                    </v:shape>
                  </w:pict>
                </mc:Fallback>
              </mc:AlternateContent>
            </w:r>
            <w:r>
              <w:rPr>
                <w:rFonts w:ascii="Times New Roman" w:hAnsi="Times New Roman" w:eastAsia="Times New Roman" w:cs="Times New Roman"/>
                <w:color w:val="000000"/>
                <w:sz w:val="24"/>
                <w:highlight w:val="none"/>
              </w:rPr>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41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Diện tích; Kích thước; Hình dáng</w:t>
            </w:r>
            <w:r/>
          </w:p>
        </w:tc>
      </w:tr>
      <w:tr>
        <w:trPr>
          <w:trHeight w:val="62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sử dụng riêng thực tế (m²):</w:t>
            </w:r>
            <w:r/>
          </w:p>
        </w:tc>
        <w:tc>
          <w:tcPr>
            <w:tcBorders>
              <w:bottom w:val="single" w:color="000000" w:sz="6" w:space="0"/>
              <w:right w:val="single" w:color="000000" w:sz="6" w:space="0"/>
            </w:tcBorders>
            <w:tcMar>
              <w:left w:w="0" w:type="dxa"/>
              <w:top w:w="0" w:type="dxa"/>
              <w:right w:w="0" w:type="dxa"/>
              <w:bottom w:w="0" w:type="dxa"/>
            </w:tcMar>
            <w:tcW w:w="2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62,5</w:t>
            </w:r>
            <w:r/>
          </w:p>
        </w:tc>
        <w:tc>
          <w:tcPr>
            <w:tcBorders>
              <w:bottom w:val="single" w:color="000000" w:sz="6" w:space="0"/>
              <w:right w:val="single" w:color="000000" w:sz="6" w:space="0"/>
            </w:tcBorders>
            <w:tcMar>
              <w:left w:w="0" w:type="dxa"/>
              <w:top w:w="0" w:type="dxa"/>
              <w:right w:w="0" w:type="dxa"/>
              <w:bottom w:w="0" w:type="dxa"/>
            </w:tcMar>
            <w:tcW w:w="243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sử dụng chung thực tế (m²):</w:t>
            </w:r>
            <w:r/>
          </w:p>
        </w:tc>
        <w:tc>
          <w:tcPr>
            <w:tcBorders>
              <w:bottom w:val="single" w:color="000000" w:sz="6" w:space="0"/>
              <w:right w:val="single" w:color="000000" w:sz="6" w:space="0"/>
            </w:tcBorders>
            <w:tcMar>
              <w:left w:w="0" w:type="dxa"/>
              <w:top w:w="0" w:type="dxa"/>
              <w:right w:w="0" w:type="dxa"/>
              <w:bottom w:w="0" w:type="dxa"/>
            </w:tcMar>
            <w:tcW w:w="26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Mặt tiền (m):</w:t>
            </w:r>
            <w:r/>
          </w:p>
        </w:tc>
        <w:tc>
          <w:tcPr>
            <w:tcBorders>
              <w:bottom w:val="single" w:color="000000" w:sz="6" w:space="0"/>
              <w:right w:val="single" w:color="000000" w:sz="6" w:space="0"/>
            </w:tcBorders>
            <w:tcMar>
              <w:left w:w="0" w:type="dxa"/>
              <w:top w:w="0" w:type="dxa"/>
              <w:right w:w="0" w:type="dxa"/>
              <w:bottom w:w="0" w:type="dxa"/>
            </w:tcMar>
            <w:tcW w:w="2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5,00</w:t>
            </w:r>
            <w:r/>
          </w:p>
        </w:tc>
        <w:tc>
          <w:tcPr>
            <w:tcBorders>
              <w:bottom w:val="single" w:color="000000" w:sz="6" w:space="0"/>
              <w:right w:val="single" w:color="000000" w:sz="6" w:space="0"/>
            </w:tcBorders>
            <w:tcMar>
              <w:left w:w="0" w:type="dxa"/>
              <w:top w:w="0" w:type="dxa"/>
              <w:right w:w="0" w:type="dxa"/>
              <w:bottom w:w="0" w:type="dxa"/>
            </w:tcMar>
            <w:tcW w:w="243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Chiều sâu (m): </w:t>
            </w:r>
            <w:r/>
          </w:p>
        </w:tc>
        <w:tc>
          <w:tcPr>
            <w:tcBorders>
              <w:bottom w:val="single" w:color="000000" w:sz="6" w:space="0"/>
              <w:right w:val="single" w:color="000000" w:sz="6" w:space="0"/>
            </w:tcBorders>
            <w:tcMar>
              <w:left w:w="0" w:type="dxa"/>
              <w:top w:w="0" w:type="dxa"/>
              <w:right w:w="0" w:type="dxa"/>
              <w:bottom w:w="0" w:type="dxa"/>
            </w:tcMar>
            <w:tcW w:w="26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12,61/12,42</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dáng:</w:t>
            </w:r>
            <w:r/>
          </w:p>
        </w:tc>
        <w:tc>
          <w:tcPr>
            <w:tcBorders>
              <w:bottom w:val="single" w:color="000000" w:sz="6" w:space="0"/>
              <w:right w:val="single" w:color="000000" w:sz="6" w:space="0"/>
            </w:tcBorders>
            <w:tcMar>
              <w:left w:w="0" w:type="dxa"/>
              <w:top w:w="0" w:type="dxa"/>
              <w:right w:w="0" w:type="dxa"/>
              <w:bottom w:w="0" w:type="dxa"/>
            </w:tcMar>
            <w:tcW w:w="2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Vuông vức</w:t>
            </w:r>
            <w:r/>
          </w:p>
        </w:tc>
        <w:tc>
          <w:tcPr>
            <w:tcBorders>
              <w:bottom w:val="single" w:color="000000" w:sz="6" w:space="0"/>
              <w:right w:val="single" w:color="000000" w:sz="6" w:space="0"/>
            </w:tcBorders>
            <w:tcMar>
              <w:left w:w="0" w:type="dxa"/>
              <w:top w:w="0" w:type="dxa"/>
              <w:right w:w="0" w:type="dxa"/>
              <w:bottom w:w="0" w:type="dxa"/>
            </w:tcMar>
            <w:tcW w:w="243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Hướng:</w:t>
            </w:r>
            <w:r/>
          </w:p>
        </w:tc>
        <w:tc>
          <w:tcPr>
            <w:tcBorders>
              <w:bottom w:val="single" w:color="000000" w:sz="6" w:space="0"/>
              <w:right w:val="single" w:color="000000" w:sz="6" w:space="0"/>
            </w:tcBorders>
            <w:tcMar>
              <w:left w:w="0" w:type="dxa"/>
              <w:top w:w="0" w:type="dxa"/>
              <w:right w:w="0" w:type="dxa"/>
              <w:bottom w:w="0" w:type="dxa"/>
            </w:tcMar>
            <w:tcW w:w="26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Bắc</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41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Hạ tầng nội bộ:</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709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Cấp điện, cấp nước sạch, mạng internet,…hoàn thiện</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Hạ tầng xung quanh:</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709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Môi trường trong lành, an ninh đảm bảo, dân trí tốt</w:t>
            </w:r>
            <w:r/>
          </w:p>
        </w:tc>
      </w:tr>
      <w:tr>
        <w:trPr>
          <w:trHeight w:val="6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Mật độ dân cư:</w:t>
            </w:r>
            <w:r/>
          </w:p>
        </w:tc>
        <w:tc>
          <w:tcPr>
            <w:tcBorders>
              <w:bottom w:val="single" w:color="000000" w:sz="6" w:space="0"/>
              <w:right w:val="single" w:color="000000" w:sz="6" w:space="0"/>
            </w:tcBorders>
            <w:tcMar>
              <w:left w:w="0" w:type="dxa"/>
              <w:top w:w="0" w:type="dxa"/>
              <w:right w:w="0" w:type="dxa"/>
              <w:bottom w:w="0" w:type="dxa"/>
            </w:tcMar>
            <w:tcW w:w="2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Đông đúc</w:t>
            </w:r>
            <w:r/>
          </w:p>
        </w:tc>
        <w:tc>
          <w:tcPr>
            <w:tcBorders>
              <w:bottom w:val="single" w:color="000000" w:sz="6" w:space="0"/>
              <w:right w:val="single" w:color="000000" w:sz="6" w:space="0"/>
            </w:tcBorders>
            <w:tcMar>
              <w:left w:w="0" w:type="dxa"/>
              <w:top w:w="0" w:type="dxa"/>
              <w:right w:w="0" w:type="dxa"/>
              <w:bottom w:w="0" w:type="dxa"/>
            </w:tcMar>
            <w:tcW w:w="243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Đời sống dân cư:</w:t>
            </w:r>
            <w:r/>
          </w:p>
        </w:tc>
        <w:tc>
          <w:tcPr>
            <w:tcBorders>
              <w:bottom w:val="single" w:color="000000" w:sz="6" w:space="0"/>
              <w:right w:val="single" w:color="000000" w:sz="6" w:space="0"/>
            </w:tcBorders>
            <w:tcMar>
              <w:left w:w="0" w:type="dxa"/>
              <w:top w:w="0" w:type="dxa"/>
              <w:right w:w="0" w:type="dxa"/>
              <w:bottom w:w="0" w:type="dxa"/>
            </w:tcMar>
            <w:tcW w:w="26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Ổn định</w:t>
            </w:r>
            <w:r/>
          </w:p>
        </w:tc>
      </w:tr>
      <w:tr>
        <w:trPr>
          <w:trHeight w:val="613"/>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Lợi thế kinh doanh:</w:t>
            </w:r>
            <w:r/>
          </w:p>
        </w:tc>
        <w:tc>
          <w:tcPr>
            <w:tcBorders>
              <w:bottom w:val="single" w:color="000000" w:sz="6" w:space="0"/>
              <w:right w:val="single" w:color="000000" w:sz="6" w:space="0"/>
            </w:tcBorders>
            <w:tcMar>
              <w:left w:w="0" w:type="dxa"/>
              <w:top w:w="0" w:type="dxa"/>
              <w:right w:w="0" w:type="dxa"/>
              <w:bottom w:w="0" w:type="dxa"/>
            </w:tcMar>
            <w:tcW w:w="2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Phù hợp để ở/kinh doanh</w:t>
            </w:r>
            <w:r/>
          </w:p>
        </w:tc>
        <w:tc>
          <w:tcPr>
            <w:tcBorders>
              <w:bottom w:val="single" w:color="000000" w:sz="6" w:space="0"/>
              <w:right w:val="single" w:color="000000" w:sz="6" w:space="0"/>
            </w:tcBorders>
            <w:tcMar>
              <w:left w:w="0" w:type="dxa"/>
              <w:top w:w="0" w:type="dxa"/>
              <w:right w:w="0" w:type="dxa"/>
              <w:bottom w:w="0" w:type="dxa"/>
            </w:tcMar>
            <w:tcW w:w="243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Khả năng chuyển nhượng:</w:t>
            </w:r>
            <w:r/>
          </w:p>
        </w:tc>
        <w:tc>
          <w:tcPr>
            <w:tcBorders>
              <w:bottom w:val="single" w:color="000000" w:sz="6" w:space="0"/>
              <w:right w:val="single" w:color="000000" w:sz="6" w:space="0"/>
            </w:tcBorders>
            <w:tcMar>
              <w:left w:w="0" w:type="dxa"/>
              <w:top w:w="0" w:type="dxa"/>
              <w:right w:w="0" w:type="dxa"/>
              <w:bottom w:w="0" w:type="dxa"/>
            </w:tcMar>
            <w:tcW w:w="26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Tốt </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41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Tài sản gắn liền với đất</w:t>
            </w:r>
            <w:r/>
          </w:p>
        </w:tc>
      </w:tr>
      <w:tr>
        <w:trPr>
          <w:trHeight w:val="64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419" w:type="dxa"/>
            <w:vAlign w:val="top"/>
            <w:textDirection w:val="lrTb"/>
            <w:noWrap w:val="false"/>
          </w:tcPr>
          <w:p>
            <w:pPr>
              <w:pBdr/>
              <w:spacing w:after="0" w:before="0" w:line="240" w:lineRule="auto"/>
              <w:ind/>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 Thửa đất hiện đang làm sân nhà lát gạch của CTXD có cùng chủ sở hữu.</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Bdr/>
              <w:spacing w:after="0" w:before="0" w:line="240" w:lineRule="auto"/>
              <w:ind/>
              <w:jc w:val="both"/>
              <w:rPr/>
            </w:pPr>
            <w:r>
              <w:rPr>
                <w:rFonts w:ascii="Times New Roman" w:hAnsi="Times New Roman" w:eastAsia="Times New Roman" w:cs="Times New Roman"/>
                <w:color w:val="000000"/>
                <w:sz w:val="24"/>
              </w:rPr>
              <w:t xml:space="preserve">+ Công trình chưa được chứng nhận trên GCN.</w:t>
            </w:r>
            <w:r/>
          </w:p>
        </w:tc>
      </w:tr>
    </w:tbl>
    <w:p>
      <w:pPr>
        <w:pBdr/>
        <w:spacing w:line="235" w:lineRule="auto"/>
        <w:ind w:left="284"/>
        <w:jc w:val="both"/>
        <w:rPr>
          <w:b/>
          <w:bCs/>
          <w:u w:val="single"/>
        </w:rPr>
      </w:pPr>
      <w:r>
        <w:rPr>
          <w:b/>
          <w:bCs/>
          <w:highlight w:val="none"/>
          <w:u w:val="single"/>
        </w:rPr>
      </w:r>
      <w:r>
        <w:rPr>
          <w:b/>
          <w:bCs/>
          <w:u w:val="single"/>
        </w:rPr>
      </w:r>
      <w:r>
        <w:rPr>
          <w:b/>
          <w:bCs/>
          <w:u w:val="single"/>
        </w:rPr>
      </w:r>
    </w:p>
    <w:p>
      <w:pPr>
        <w:pBdr/>
        <w:spacing w:line="235" w:lineRule="auto"/>
        <w:ind w:right="0" w:hanging="1" w:left="0"/>
        <w:jc w:val="both"/>
        <w:rPr>
          <w:b/>
          <w:bCs/>
          <w:highlight w:val="none"/>
          <w:u w:val="single"/>
        </w:rPr>
      </w:pPr>
      <w:r>
        <w:rPr>
          <w:b/>
          <w:bCs/>
          <w:u w:val="single"/>
        </w:rPr>
        <w:t xml:space="preserve">Các</w:t>
      </w:r>
      <w:r>
        <w:rPr>
          <w:b/>
          <w:bCs/>
          <w:u w:val="single"/>
        </w:rPr>
        <w:t xml:space="preserve"> lợi thế thương mại </w:t>
      </w:r>
      <w:r>
        <w:rPr>
          <w:b/>
          <w:bCs/>
          <w:u w:val="single"/>
        </w:rPr>
        <w:t xml:space="preserve">của thửa đất:</w:t>
      </w:r>
      <w:r>
        <w:rPr>
          <w:b/>
          <w:bCs/>
          <w:highlight w:val="none"/>
          <w:u w:val="single"/>
        </w:rPr>
      </w:r>
      <w:r>
        <w:rPr>
          <w:b/>
          <w:bCs/>
          <w:highlight w:val="none"/>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1"/>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1"/>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1"/>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Style w:val="1031"/>
        <w:numPr>
          <w:ilvl w:val="0"/>
          <w:numId w:val="3"/>
        </w:numPr>
        <w:pBdr/>
        <w:tabs>
          <w:tab w:val="left" w:leader="none" w:pos="993"/>
        </w:tabs>
        <w:spacing w:after="120" w:before="120" w:line="264" w:lineRule="auto"/>
        <w:ind/>
        <w:jc w:val="both"/>
        <w:rPr>
          <w:spacing w:val="-2"/>
          <w:lang w:val="pt-BR"/>
        </w:rPr>
      </w:pPr>
      <w:r>
        <w:rPr>
          <w:highlight w:val="none"/>
          <w:lang w:val="pt-BR" w:bidi="pt-BR"/>
        </w:rPr>
      </w:r>
      <w:r>
        <w:rPr>
          <w:rFonts w:ascii="Times New Roman" w:hAnsi="Times New Roman" w:eastAsia="Times New Roman" w:cs="Times New Roman"/>
          <w:color w:val="000000" w:themeColor="text1"/>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trang mạng Meeymap, xác định</w:t>
      </w:r>
      <w:r>
        <w:rPr>
          <w:rFonts w:ascii="Times New Roman" w:hAnsi="Times New Roman" w:eastAsia="Times New Roman" w:cs="Times New Roman"/>
          <w:color w:val="000000" w:themeColor="text1"/>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themeColor="text1"/>
          <w:sz w:val="24"/>
        </w:rPr>
        <w:t xml:space="preserve"> nhận rõ tình trạng quy hoạch thì kết quả thẩm định giá cần được xem xét, điều chỉnh phù hợp, đồng thời chúng tôi bảo lưu quyền xem xét lại kết quả thẩm định giá</w:t>
      </w:r>
      <w:r>
        <w:rPr>
          <w:highlight w:val="none"/>
          <w:lang w:val="pt-BR" w:bidi="pt-BR"/>
        </w:rPr>
        <w:t xml:space="preserve">.</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1"/>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1"/>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1"/>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1"/>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1"/>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1"/>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1"/>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1"/>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1"/>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31"/>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000000" w:sz="4" w:space="0"/>
              <w:left w:val="single" w:color="000000" w:sz="4" w:space="0"/>
              <w:bottom w:val="single" w:color="000000" w:sz="4" w:space="0"/>
              <w:right w:val="single" w:color="000000"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54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Hát Môn, </w:t>
            </w:r>
            <w:r>
              <w:rPr>
                <w:color w:val="000000" w:themeColor="text1"/>
                <w:sz w:val="22"/>
                <w:szCs w:val="22"/>
              </w:rPr>
              <w:t xml:space="preserve">Thành phố Hà Nội</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pPr>
            <w:r>
              <w:rPr>
                <w:color w:val="000000" w:themeColor="text1"/>
                <w:sz w:val="22"/>
                <w:szCs w:val="22"/>
              </w:rPr>
              <w:t xml:space="preserve">Xã Hát Môn, </w:t>
            </w:r>
            <w:r>
              <w:rPr>
                <w:color w:val="000000" w:themeColor="text1"/>
                <w:sz w:val="22"/>
                <w:szCs w:val="22"/>
              </w:rPr>
              <w:t xml:space="preserve">Thành phố Hà Nội</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pPr>
            <w:r>
              <w:rPr>
                <w:color w:val="000000" w:themeColor="text1"/>
                <w:sz w:val="22"/>
                <w:szCs w:val="22"/>
              </w:rPr>
              <w:t xml:space="preserve">Xã Hát Môn, </w:t>
            </w:r>
            <w:r>
              <w:rPr>
                <w:color w:val="000000" w:themeColor="text1"/>
                <w:sz w:val="22"/>
                <w:szCs w:val="22"/>
              </w:rPr>
              <w:t xml:space="preserve">Thành phố Hà Nội</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pPr>
            <w:r>
              <w:rPr>
                <w:color w:val="000000" w:themeColor="text1"/>
                <w:sz w:val="22"/>
                <w:szCs w:val="22"/>
              </w:rPr>
              <w:t xml:space="preserve">Xã Hát Môn, </w:t>
            </w:r>
            <w:r>
              <w:rPr>
                <w:color w:val="000000" w:themeColor="text1"/>
                <w:sz w:val="22"/>
                <w:szCs w:val="22"/>
              </w:rPr>
              <w:t xml:space="preserve">Thành phố Hà Nội</w:t>
            </w:r>
            <w:r/>
          </w:p>
        </w:tc>
      </w:tr>
      <w:tr>
        <w:trPr>
          <w:trHeight w:val="1188"/>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https://www.facebook.com/share/p/1ApuTEu3Gh/</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https://www.facebook.com/share/p/1P7D2qeAYB/</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https://www.facebook.com/groups/2447985032103770/posts/4701181483450769/</w:t>
            </w:r>
            <w:r>
              <w:rPr>
                <w:sz w:val="22"/>
                <w:szCs w:val="22"/>
              </w:rPr>
            </w:r>
            <w:r>
              <w:rPr>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0382207056</w:t>
            </w:r>
            <w:r>
              <w:rPr>
                <w:sz w:val="22"/>
                <w:szCs w:val="22"/>
              </w:rPr>
              <w:t xml:space="preserve"> </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0975349092</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092.3316888</w:t>
            </w:r>
            <w:r>
              <w:rPr>
                <w:sz w:val="22"/>
                <w:szCs w:val="22"/>
              </w:rPr>
            </w:r>
            <w:r>
              <w:rPr>
                <w:sz w:val="22"/>
                <w:szCs w:val="22"/>
              </w:rPr>
            </w:r>
          </w:p>
        </w:tc>
      </w:tr>
      <w:tr>
        <w:trPr>
          <w:trHeight w:val="485"/>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pPr>
            <w:r>
              <w:rPr>
                <w:color w:val="000000"/>
                <w:sz w:val="22"/>
                <w:szCs w:val="22"/>
              </w:rPr>
            </w:r>
            <w:r>
              <w:rPr>
                <w:color w:val="000000" w:themeColor="text1"/>
                <w:sz w:val="22"/>
                <w:szCs w:val="22"/>
              </w:rPr>
              <w:t xml:space="preserve">Đang giao dịch</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pPr>
            <w:r>
              <w:rPr>
                <w:color w:val="000000"/>
                <w:sz w:val="22"/>
                <w:szCs w:val="22"/>
              </w:rPr>
            </w:r>
            <w:r>
              <w:rPr>
                <w:color w:val="000000" w:themeColor="text1"/>
                <w:sz w:val="22"/>
                <w:szCs w:val="22"/>
              </w:rPr>
              <w:t xml:space="preserve">Đang giao dịch</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Hát Môn, Thành phố Hà Nội, Tài sản cách QL32 khoảng 400m, 21.08163888888889, 105.6181111111111</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Hát Môn, Thành phố Hà Nội, khoảng cách ra QL32 khoảng 465m</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Hát Môn, Thành phố Hà Nội, khoảng cách ra đường QL32 khoảng 300m, 21.083795203422657, 105.62158963376511</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Hát Môn, Thành phố Hà Nội, khoảng cách ra đường chính Tài sản cách mặt đường Quốc lộ 32 khoảng 830m, 21.079252750521245, 105.6154030707677</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7,3</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7,5</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pPr>
            <w:r>
              <w:rPr>
                <w:color w:val="000000" w:themeColor="text1"/>
                <w:sz w:val="22"/>
                <w:szCs w:val="22"/>
              </w:rPr>
              <w:t xml:space="preserve">Hạ tầng khu dân cư thông thường</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pPr>
            <w:r>
              <w:rPr>
                <w:color w:val="000000" w:themeColor="text1"/>
                <w:sz w:val="22"/>
                <w:szCs w:val="22"/>
              </w:rPr>
              <w:t xml:space="preserve">Hạ tầng khu dân cư thông thường</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pPr>
            <w:r>
              <w:rPr>
                <w:color w:val="000000" w:themeColor="text1"/>
                <w:sz w:val="22"/>
                <w:szCs w:val="22"/>
              </w:rPr>
              <w:t xml:space="preserve">Hạ tầng khu dân cư thông thường</w:t>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pPr>
            <w:r>
              <w:rPr>
                <w:color w:val="000000" w:themeColor="text1"/>
                <w:sz w:val="22"/>
                <w:szCs w:val="22"/>
              </w:rPr>
              <w:t xml:space="preserve">Tốt</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pPr>
            <w:r>
              <w:rPr>
                <w:color w:val="000000" w:themeColor="text1"/>
                <w:sz w:val="22"/>
                <w:szCs w:val="22"/>
              </w:rPr>
              <w:t xml:space="preserve">Tốt</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pPr>
            <w:r>
              <w:rPr>
                <w:color w:val="000000" w:themeColor="text1"/>
                <w:sz w:val="22"/>
                <w:szCs w:val="22"/>
              </w:rPr>
              <w:t xml:space="preserve">Tốt</w:t>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62,5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123</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42</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114</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8,28</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3,3</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6,55</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góc 1 mặt đường, phố + 1 mặt ngõ</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Thóp hậu</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Thích hợp để ở/Kinh doanh</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pPr>
            <w:r>
              <w:rPr>
                <w:color w:val="000000" w:themeColor="text1"/>
                <w:sz w:val="22"/>
                <w:szCs w:val="22"/>
              </w:rPr>
              <w:t xml:space="preserve">Thích hợp để ở/Kinh doanh</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pPr>
            <w:r>
              <w:rPr>
                <w:color w:val="000000" w:themeColor="text1"/>
                <w:sz w:val="22"/>
                <w:szCs w:val="22"/>
              </w:rPr>
              <w:t xml:space="preserve">Thích hợp để ở/Kinh doanh</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pPr>
            <w:r>
              <w:rPr>
                <w:color w:val="000000" w:themeColor="text1"/>
                <w:sz w:val="22"/>
                <w:szCs w:val="22"/>
              </w:rPr>
              <w:t xml:space="preserve">Thích hợp để ở/Kinh doanh</w:t>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Tài sản trên đất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Nhà cấp 4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trống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Nhà 2 tầng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sz w:val="22"/>
                <w:szCs w:val="22"/>
              </w:rPr>
            </w:pPr>
            <w:r>
              <w:rPr>
                <w:color w:val="000000"/>
                <w:sz w:val="22"/>
                <w:szCs w:val="22"/>
              </w:rPr>
              <w:t xml:space="preserve">Số tầng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sz w:val="22"/>
                <w:szCs w:val="22"/>
              </w:rPr>
            </w:pPr>
            <w:r>
              <w:rPr>
                <w:color w:val="000000"/>
                <w:sz w:val="22"/>
                <w:szCs w:val="22"/>
              </w:rPr>
              <w:t xml:space="preserve">Diện tích sàn sử dụng</w:t>
            </w:r>
            <w:r>
              <w:rPr>
                <w:color w:val="000000"/>
                <w:sz w:val="22"/>
                <w:szCs w:val="22"/>
              </w:rPr>
              <w:t xml:space="preserve">(m²)</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45</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200</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9.225.000.000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12.540.000.000</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8.302.500.000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3.150.000.000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11.286.000.000</w:t>
            </w:r>
            <w:r>
              <w:rPr>
                <w:color w:val="000000"/>
                <w:sz w:val="22"/>
                <w:szCs w:val="22"/>
              </w:rPr>
            </w:r>
            <w:r>
              <w:rPr>
                <w:color w:val="000000"/>
                <w:sz w:val="22"/>
                <w:szCs w:val="22"/>
              </w:rPr>
            </w:r>
          </w:p>
        </w:tc>
      </w:tr>
      <w:tr>
        <w:trPr>
          <w:trHeight w:val="315"/>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214.097.184</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1.434.283.200</w:t>
            </w: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b w:val="0"/>
                <w:bCs w:val="0"/>
                <w:color w:val="000000"/>
                <w:sz w:val="22"/>
                <w:szCs w:val="22"/>
              </w:rPr>
            </w:pPr>
            <w:r>
              <w:rPr>
                <w:b/>
                <w:bCs/>
                <w:color w:val="000000"/>
                <w:sz w:val="22"/>
                <w:szCs w:val="22"/>
              </w:rPr>
            </w:r>
            <w:r>
              <w:rPr>
                <w:b w:val="0"/>
                <w:bCs w:val="0"/>
                <w:color w:val="000000"/>
                <w:sz w:val="22"/>
                <w:szCs w:val="22"/>
              </w:rPr>
              <w:t xml:space="preserve">Đơn giá xây dựng theo Quyết định số 425/QĐ-BXD ngày 30/3/2026 của Bộ Xây Dựng (đồng/m²)</w:t>
            </w:r>
            <w:r>
              <w:rPr>
                <w:b w:val="0"/>
                <w:bCs w:val="0"/>
                <w:color w:val="000000"/>
                <w:sz w:val="22"/>
                <w:szCs w:val="22"/>
              </w:rPr>
            </w:r>
            <w:r>
              <w:rPr>
                <w:b w:val="0"/>
                <w:bCs w:val="0"/>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5.947.144</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7.968.240</w:t>
            </w:r>
            <w:r/>
          </w:p>
        </w:tc>
      </w:tr>
      <w:tr>
        <w:trPr>
          <w:trHeight w:val="26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b w:val="0"/>
                <w:bCs w:val="0"/>
                <w:color w:val="000000"/>
                <w:sz w:val="22"/>
                <w:szCs w:val="22"/>
              </w:rPr>
            </w:pPr>
            <w:r>
              <w:rPr>
                <w:b w:val="0"/>
                <w:bCs w:val="0"/>
                <w:color w:val="000000"/>
                <w:sz w:val="22"/>
                <w:szCs w:val="22"/>
              </w:rPr>
            </w:r>
            <w:r>
              <w:rPr>
                <w:b w:val="0"/>
                <w:bCs w:val="0"/>
                <w:color w:val="000000"/>
                <w:sz w:val="22"/>
                <w:szCs w:val="22"/>
              </w:rPr>
              <w:t xml:space="preserve">Tỷ lệ % CLCL</w:t>
            </w:r>
            <w:r>
              <w:rPr>
                <w:b w:val="0"/>
                <w:bCs w:val="0"/>
                <w:color w:val="000000"/>
                <w:sz w:val="22"/>
                <w:szCs w:val="22"/>
              </w:rPr>
            </w:r>
            <w:r>
              <w:rPr>
                <w:b w:val="0"/>
                <w:bCs w:val="0"/>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80%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90%</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8.088.402.816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3.150.000.000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9.851.716.800</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65.759.372</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75.000.000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86.418.568</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highlight w:val="none"/>
          <w:lang w:val="it-IT"/>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highlight w:val="none"/>
          <w:lang w:val="it-IT"/>
        </w:rPr>
      </w:r>
      <w:r>
        <w:rPr>
          <w:highlight w:val="none"/>
          <w:lang w:val="it-IT"/>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1"/>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8.088.402.816</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3.150.000.000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9.851.716.800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65.759.372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75.000.000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86.418.568</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65.759.372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75.000.000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86.418.568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65.759.372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75.000.000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86.418.568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65.759.372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75.000.000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86.418.568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Hát Môn, Thành phố Hà Nội, Tài sản cách QL32 khoảng 400m, 21.08163888888889, 105.6181111111111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Hát Môn, Thành phố Hà Nội, khoảng cách ra QL32 khoảng 465m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Hát Môn, Thành phố Hà Nội, khoảng cách ra đường QL32 khoảng 300m, 21.083795203422657, 105.62158963376511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Hát Môn, Thành phố Hà Nội, khoảng cách ra đường chính Tài sản cách mặt đường Quốc lộ 32 khoảng 830m, 21.079252750521245, 105.6154030707677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65.759.372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75.000.000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86.418.568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3.287.969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69.047.341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78.750.000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86.418.568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3.287.969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72.335.310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86.418.568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60,5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123,0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42,0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114,0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5.918.343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5.185.114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78.253.653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77.250.000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91.603.682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8,28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6,55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-3.945.562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-3.456.743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74.308.091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88.146.939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góc 1 mặt đường, phố + 1 mặt ngõ</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-6.913.485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74.308.091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81.233.454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Thóp hậu</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3.945.562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78.253.653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81.233.454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Lợi thế kinh doanh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Thích hợp để ở/Kinh doanh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rPr/>
            </w:pPr>
            <w:r>
              <w:rPr>
                <w:color w:val="000000" w:themeColor="text1"/>
                <w:sz w:val="22"/>
                <w:szCs w:val="22"/>
              </w:rPr>
              <w:t xml:space="preserve">Thích hợp để ở/Kinh doanh</w:t>
            </w:r>
            <w:r/>
          </w:p>
        </w:tc>
        <w:tc>
          <w:tcPr>
            <w:shd w:val="clear" w:color="000000" w:fill="ffffff"/>
            <w:tcBorders/>
            <w:tcW w:w="1522" w:type="dxa"/>
            <w:vAlign w:val="center"/>
            <w:textDirection w:val="lrTb"/>
            <w:noWrap w:val="false"/>
          </w:tcPr>
          <w:p>
            <w:pPr>
              <w:pBdr/>
              <w:spacing/>
              <w:ind/>
              <w:rPr/>
            </w:pPr>
            <w:r>
              <w:rPr>
                <w:color w:val="000000" w:themeColor="text1"/>
                <w:sz w:val="22"/>
                <w:szCs w:val="22"/>
              </w:rPr>
              <w:t xml:space="preserve">Thích hợp để ở/Kinh doanh</w:t>
            </w:r>
            <w:r/>
          </w:p>
        </w:tc>
        <w:tc>
          <w:tcPr>
            <w:shd w:val="clear" w:color="000000" w:fill="ffffff"/>
            <w:tcBorders/>
            <w:tcW w:w="1522" w:type="dxa"/>
            <w:vAlign w:val="center"/>
            <w:textDirection w:val="lrTb"/>
            <w:noWrap w:val="false"/>
          </w:tcPr>
          <w:p>
            <w:pPr>
              <w:pBdr/>
              <w:spacing/>
              <w:ind/>
              <w:rPr/>
            </w:pPr>
            <w:r>
              <w:rPr>
                <w:color w:val="000000" w:themeColor="text1"/>
                <w:sz w:val="22"/>
                <w:szCs w:val="22"/>
              </w:rPr>
              <w:t xml:space="preserve">Thích hợp để ở/Kinh doanh</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78.253.653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81.233.454</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78.253.653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81.000.000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81.233.454</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80.162.369</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-2,38%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1,34%</w:t>
            </w:r>
            <w:r>
              <w:rPr>
                <w:color w:val="000000"/>
                <w:sz w:val="22"/>
                <w:szCs w:val="22"/>
              </w:rPr>
            </w:r>
            <w:r>
              <w:rPr>
                <w:color w:val="000000"/>
                <w:sz w:val="22"/>
                <w:szCs w:val="22"/>
              </w:rPr>
            </w:r>
          </w:p>
        </w:tc>
      </w:tr>
      <w:tr>
        <w:trPr>
          <w:trHeight w:val="429"/>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gridSpan w:val="6"/>
            <w:shd w:val="clear" w:color="000000" w:fill="ffffff"/>
            <w:tcBorders/>
            <w:tcW w:w="8883"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20.385.405</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13.500.000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15.555.342</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- 9%</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- 8%</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12.494.281</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6.000.000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5.185.114</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-2,38</w:t>
      </w:r>
      <w:r>
        <w:t xml:space="preserve">% đến</w:t>
      </w:r>
      <w:r>
        <w:t xml:space="preserve"> </w:t>
      </w:r>
      <w:r>
        <w:t xml:space="preserve"> </w:t>
      </w:r>
      <w:r>
        <w:t xml:space="preserve">1,34</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297"/>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78.253.653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26.089.768</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81.000.000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26.997.300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81.233.454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27.075.110</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80.162.178</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80.000.000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80.000.000</w:t>
      </w:r>
      <w:r>
        <w:rPr>
          <w:b/>
          <w:bCs/>
          <w:color w:val="000000" w:themeColor="text1"/>
        </w:rPr>
        <w:t xml:space="preserve"> </w:t>
      </w:r>
      <w:r>
        <w:rPr>
          <w:b/>
          <w:bCs/>
        </w:rPr>
        <w:t xml:space="preserve">đồng/m².</w:t>
      </w:r>
      <w:r>
        <w:rPr>
          <w:b/>
          <w:bCs/>
        </w:rPr>
      </w:r>
      <w:r>
        <w:rPr>
          <w:b/>
          <w:bCs/>
        </w:rPr>
      </w:r>
    </w:p>
    <w:p>
      <w:pPr>
        <w:pStyle w:val="1031"/>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1"/>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09/2026</w:t>
      </w:r>
      <w:r>
        <w:t xml:space="preserve"> </w:t>
      </w:r>
      <w:r>
        <w:t xml:space="preserve">ước tính </w:t>
      </w:r>
      <w:r>
        <w:t xml:space="preserve">như sau</w:t>
      </w:r>
      <w:r>
        <w:t xml:space="preserve">:</w:t>
      </w:r>
      <w:r/>
    </w:p>
    <w:p>
      <w:pPr>
        <w:pStyle w:val="1031"/>
        <w:pBdr/>
        <w:tabs>
          <w:tab w:val="left" w:leader="none" w:pos="993"/>
        </w:tabs>
        <w:spacing w:after="120" w:before="120" w:line="276" w:lineRule="auto"/>
        <w:ind w:left="0"/>
        <w:jc w:val="both"/>
        <w:rPr/>
      </w:pPr>
      <w:r/>
      <w:r/>
    </w:p>
    <w:p>
      <w:pPr>
        <w:pStyle w:val="1031"/>
        <w:pBdr/>
        <w:tabs>
          <w:tab w:val="left" w:leader="none" w:pos="993"/>
        </w:tabs>
        <w:spacing w:after="120" w:before="120" w:line="276" w:lineRule="auto"/>
        <w:ind w:left="0"/>
        <w:jc w:val="both"/>
        <w:rPr/>
      </w:pPr>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228, tờ bản đồ số: 20, có địa chỉ: Xã Tam Hiệp, huyện Phúc Thọ, thành phố Hà Nội (Nay là: xã Hát Môn, thành phố Hà Nội) theo Giấ</w:t>
            </w:r>
            <w:r>
              <w:rPr>
                <w:b/>
                <w:bCs/>
                <w:color w:val="000000"/>
              </w:rPr>
              <w:t xml:space="preserve">y chứng nhận Quyền sử dụng đất quyền sở hữu nhà ở và tài sản khác gắn liền với đất số: DG 827475, số vào sổ cấp GCN: CS-PT 21750 do Sở Tài nguyên và Môi trường Thành phố Hà Nội cấp ngày 05/11/2022; Chủ sử dụng đất là Ông Nguyễn Duy Hải và bà Dương Thị Thắm</w:t>
            </w:r>
            <w:r>
              <w:rPr>
                <w:b/>
                <w:bCs/>
              </w:rPr>
              <w:t xml:space="preserve">.</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pPr>
            <w:r>
              <w:rPr>
                <w:b/>
                <w:bCs/>
              </w:rPr>
              <w:t xml:space="preserve">-</w:t>
            </w:r>
            <w:r/>
          </w:p>
        </w:tc>
        <w:tc>
          <w:tcPr>
            <w:shd w:val="clear" w:color="000000" w:fill="ffffff"/>
            <w:tcBorders/>
            <w:tcW w:w="1097" w:type="pct"/>
            <w:vAlign w:val="center"/>
            <w:textDirection w:val="lrTb"/>
            <w:noWrap w:val="false"/>
          </w:tcPr>
          <w:p>
            <w:pPr>
              <w:pBdr/>
              <w:spacing w:after="40" w:before="40" w:line="288" w:lineRule="auto"/>
              <w:ind/>
              <w:rPr/>
            </w:pPr>
            <w:r>
              <w:rPr>
                <w:b/>
                <w:bCs/>
              </w:rPr>
              <w:t xml:space="preserve">Đất ở nông thôn</w:t>
            </w: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62,5</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80.000.000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5.000.000.000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rPr>
              <w:t xml:space="preserve">5.000.000.000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Năm tỷ đồng</w:t>
            </w:r>
            <w:r>
              <w:rPr>
                <w:b/>
                <w:bCs/>
                <w:i/>
                <w:iCs/>
                <w:color w:val="000000"/>
              </w:rPr>
              <w:t xml:space="preserve">./.)</w:t>
            </w:r>
            <w:r>
              <w:rPr>
                <w:b/>
                <w:bCs/>
                <w:i/>
                <w:iCs/>
                <w:color w:val="000000"/>
              </w:rPr>
            </w:r>
            <w:r>
              <w:rPr>
                <w:b/>
                <w:bCs/>
                <w:i/>
                <w:iCs/>
                <w:color w:val="000000"/>
              </w:rPr>
            </w:r>
          </w:p>
        </w:tc>
      </w:tr>
    </w:tbl>
    <w:p>
      <w:pPr>
        <w:pStyle w:val="1031"/>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1"/>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1"/>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1"/>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1"/>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1"/>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1"/>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1"/>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1"/>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1"/>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1"/>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1"/>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1"/>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1"/>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1"/>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31"/>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1"/>
        <w:numPr>
          <w:ilvl w:val="0"/>
          <w:numId w:val="5"/>
        </w:numPr>
        <w:pBdr/>
        <w:tabs>
          <w:tab w:val="left" w:leader="none" w:pos="993"/>
        </w:tabs>
        <w:spacing w:after="120" w:before="120" w:line="288" w:lineRule="auto"/>
        <w:ind/>
        <w:jc w:val="both"/>
        <w:rPr>
          <w:bCs/>
          <w:spacing w:val="-2"/>
          <w:lang w:val="pt-BR"/>
        </w:rPr>
      </w:pPr>
      <w:r>
        <w:rPr>
          <w:bCs/>
          <w:spacing w:val="-2"/>
          <w:lang w:val="pt-BR"/>
        </w:rPr>
      </w:r>
      <w:r>
        <w:rPr>
          <w:rFonts w:ascii="Times New Roman" w:hAnsi="Times New Roman" w:eastAsia="Times New Roman" w:cs="Times New Roman"/>
          <w:color w:val="000000" w:themeColor="text1"/>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trang mạng Meeymap, xác định</w:t>
      </w:r>
      <w:r>
        <w:rPr>
          <w:rFonts w:ascii="Times New Roman" w:hAnsi="Times New Roman" w:eastAsia="Times New Roman" w:cs="Times New Roman"/>
          <w:color w:val="000000" w:themeColor="text1"/>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themeColor="text1"/>
          <w:sz w:val="24"/>
        </w:rPr>
        <w:t xml:space="preserve"> nhận rõ tình trạng quy hoạch thì kết quả thẩm định giá cần được xem xét, điều chỉnh phù hợp, đồng thời chúng tôi bảo lưu quyền xem xét lại kết quả thẩm định giá</w:t>
      </w:r>
      <w:r>
        <w:rPr>
          <w:bCs/>
          <w:spacing w:val="-2"/>
          <w:lang w:val="pt-BR"/>
        </w:rPr>
        <w:t xml:space="preserve">.</w:t>
      </w:r>
      <w:r>
        <w:rPr>
          <w:bCs/>
          <w:spacing w:val="-2"/>
          <w:lang w:val="pt-BR"/>
        </w:rPr>
      </w:r>
      <w:r>
        <w:rPr>
          <w:bCs/>
          <w:spacing w:val="-2"/>
          <w:lang w:val="pt-BR"/>
        </w:rPr>
      </w:r>
    </w:p>
    <w:p>
      <w:pPr>
        <w:pStyle w:val="1031"/>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1"/>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1"/>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1"/>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1"/>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31"/>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275/2026/1371/VFI-CT.36.A</w:t>
      </w:r>
      <w:r>
        <w:rPr>
          <w:color w:val="ff0000"/>
          <w:lang w:val="vi-VN"/>
        </w:rPr>
        <w:t xml:space="preserve"> </w:t>
      </w:r>
      <w:r>
        <w:rPr>
          <w:color w:val="000000" w:themeColor="text1"/>
        </w:rPr>
        <w:t xml:space="preserve">ngày 03 tháng 9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Tấn Sang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275/2026/1371/VFI-BC.36.A ngày</w:t>
      </w:r>
      <w:r>
        <w:rPr>
          <w:i/>
          <w:lang w:val="pt-BR"/>
        </w:rPr>
        <w:t xml:space="preserve"> </w:t>
      </w:r>
      <w:r>
        <w:rPr>
          <w:i/>
          <w:lang w:val="pt-BR"/>
        </w:rPr>
        <w:t xml:space="preserve">03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5"/>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741635" cy="2577952"/>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401253" name=""/>
                              <pic:cNvPicPr>
                                <a:picLocks noChangeAspect="1"/>
                              </pic:cNvPicPr>
                              <pic:nvPr/>
                            </pic:nvPicPr>
                            <pic:blipFill rotWithShape="1">
                              <a:blip r:embed="rId19"/>
                              <a:stretch/>
                            </pic:blipFill>
                            <pic:spPr bwMode="auto">
                              <a:xfrm flipH="0" flipV="0">
                                <a:off x="0" y="0"/>
                                <a:ext cx="2741633" cy="257795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15.88pt;height:202.99pt;mso-wrap-distance-left:0.00pt;mso-wrap-distance-top:0.00pt;mso-wrap-distance-right:0.00pt;mso-wrap-distance-bottom:0.00pt;z-index:1;" stroked="false">
                      <v:imagedata r:id="rId19"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825593" cy="247913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032730" name=""/>
                              <pic:cNvPicPr>
                                <a:picLocks noChangeAspect="1"/>
                              </pic:cNvPicPr>
                              <pic:nvPr/>
                            </pic:nvPicPr>
                            <pic:blipFill rotWithShape="1">
                              <a:blip r:embed="rId20"/>
                              <a:stretch/>
                            </pic:blipFill>
                            <pic:spPr bwMode="auto">
                              <a:xfrm flipH="0" flipV="0">
                                <a:off x="0" y="0"/>
                                <a:ext cx="2825591" cy="247912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2.49pt;height:195.21pt;mso-wrap-distance-left:0.00pt;mso-wrap-distance-top:0.00pt;mso-wrap-distance-right:0.00pt;mso-wrap-distance-bottom:0.00pt;z-index:1;" stroked="false">
                      <v:imagedata r:id="rId20"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w:rPr>
                <w:i/>
                <w:lang w:val="pt-BR"/>
              </w:rPr>
            </w:r>
            <w:r>
              <w:rPr>
                <w:i/>
                <w:lang w:val="pt-BR"/>
              </w:rPr>
            </w:r>
          </w:p>
        </w:tc>
      </w:tr>
      <w:tr>
        <w:trPr>
          <w:trHeight w:val="4374"/>
        </w:trPr>
        <w:tc>
          <w:tcPr>
            <w:tcBorders/>
            <w:tcW w:w="4758" w:type="dxa"/>
            <w:vAlign w:val="center"/>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792954" cy="2440511"/>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791624" name=""/>
                              <pic:cNvPicPr>
                                <a:picLocks noChangeAspect="1"/>
                              </pic:cNvPicPr>
                              <pic:nvPr/>
                            </pic:nvPicPr>
                            <pic:blipFill rotWithShape="1">
                              <a:blip r:embed="rId21"/>
                              <a:stretch/>
                            </pic:blipFill>
                            <pic:spPr bwMode="auto">
                              <a:xfrm flipH="0" flipV="0">
                                <a:off x="0" y="0"/>
                                <a:ext cx="2792952" cy="24405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9.92pt;height:192.17pt;mso-wrap-distance-left:0.00pt;mso-wrap-distance-top:0.00pt;mso-wrap-distance-right:0.00pt;mso-wrap-distance-bottom:0.00pt;z-index:1;" stroked="false">
                      <v:imagedata r:id="rId21"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885616" cy="2461014"/>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622890" name=""/>
                              <pic:cNvPicPr>
                                <a:picLocks noChangeAspect="1"/>
                              </pic:cNvPicPr>
                              <pic:nvPr/>
                            </pic:nvPicPr>
                            <pic:blipFill rotWithShape="1">
                              <a:blip r:embed="rId22"/>
                              <a:stretch/>
                            </pic:blipFill>
                            <pic:spPr bwMode="auto">
                              <a:xfrm flipH="0" flipV="0">
                                <a:off x="0" y="0"/>
                                <a:ext cx="2885616" cy="246101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7.21pt;height:193.78pt;mso-wrap-distance-left:0.00pt;mso-wrap-distance-top:0.00pt;mso-wrap-distance-right:0.00pt;mso-wrap-distance-bottom:0.00pt;z-index:1;" stroked="false">
                      <v:imagedata r:id="rId22" o:title=""/>
                      <o:lock v:ext="edit" rotation="t"/>
                    </v:shape>
                  </w:pict>
                </mc:Fallback>
              </mc:AlternateContent>
            </w:r>
            <w:r>
              <w:rPr>
                <w:b/>
                <w:bCs/>
                <w:i/>
                <w:lang w:val="pt-BR"/>
              </w:rPr>
            </w:r>
            <w:r>
              <w:rPr>
                <w:b/>
                <w:bCs/>
                <w:i/>
                <w:lang w:val="pt-BR"/>
              </w:rPr>
            </w:r>
          </w:p>
        </w:tc>
      </w:tr>
      <w:tr>
        <w:trPr>
          <w:trHeight w:val="425"/>
        </w:trPr>
        <w:tc>
          <w:tcPr>
            <w:tcBorders/>
            <w:tcW w:w="4758" w:type="dxa"/>
            <w:vAlign w:val="center"/>
            <w:textDirection w:val="lrTb"/>
            <w:noWrap w:val="false"/>
          </w:tcPr>
          <w:p>
            <w:pPr>
              <w:pBdr/>
              <w:spacing w:after="120"/>
              <w:ind/>
              <w:jc w:val="center"/>
              <w:rPr>
                <w:i/>
                <w:lang w:val="pt-BR"/>
              </w:rPr>
            </w:pPr>
            <w:r>
              <w:rPr>
                <w:i/>
                <w:lang w:val="pt-BR"/>
              </w:rPr>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846410" cy="2275935"/>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078328" name=""/>
                              <pic:cNvPicPr>
                                <a:picLocks noChangeAspect="1"/>
                              </pic:cNvPicPr>
                              <pic:nvPr/>
                            </pic:nvPicPr>
                            <pic:blipFill rotWithShape="1">
                              <a:blip r:embed="rId23"/>
                              <a:stretch/>
                            </pic:blipFill>
                            <pic:spPr bwMode="auto">
                              <a:xfrm flipH="0" flipV="0">
                                <a:off x="0" y="0"/>
                                <a:ext cx="2846408" cy="227593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4.13pt;height:179.21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936192" cy="2333085"/>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900140" name=""/>
                              <pic:cNvPicPr>
                                <a:picLocks noChangeAspect="1"/>
                              </pic:cNvPicPr>
                              <pic:nvPr/>
                            </pic:nvPicPr>
                            <pic:blipFill rotWithShape="1">
                              <a:blip r:embed="rId24"/>
                              <a:stretch/>
                            </pic:blipFill>
                            <pic:spPr bwMode="auto">
                              <a:xfrm flipH="0" flipV="0">
                                <a:off x="0" y="0"/>
                                <a:ext cx="2936191" cy="233308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31.20pt;height:183.71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hd w:val="nil" w:color="auto"/>
        <w:spacing/>
        <w:ind/>
        <w:jc w:val="center"/>
        <w:rPr>
          <w:b/>
          <w:bCs/>
          <w:highlight w:val="none"/>
        </w:rPr>
      </w:pPr>
      <w:r>
        <w:rPr>
          <w:b/>
          <w:highlight w:val="none"/>
        </w:rPr>
        <w:t xml:space="preserve">GIẤY CHỨNG NHẬN QUYỀN SỬ DỤNG ĐẤT</w:t>
      </w:r>
      <w:r>
        <w:rPr>
          <w:b/>
          <w:bCs/>
          <w:highlight w:val="none"/>
        </w:rPr>
      </w:r>
      <w:r>
        <w:rPr>
          <w:b/>
          <w:bCs/>
          <w:highlight w:val="none"/>
        </w:rPr>
      </w:r>
    </w:p>
    <w:p>
      <w:pPr>
        <w:pBdr/>
        <w:shd w:val="nil" w:color="000000"/>
        <w:spacing/>
        <w:ind/>
        <w:jc w:val="center"/>
        <w:rPr>
          <w:bCs/>
          <w:i/>
          <w:lang w:val="pt-BR"/>
        </w:rPr>
      </w:pPr>
      <w:r>
        <w:rPr>
          <w:b/>
          <w:highlight w:val="none"/>
          <w:lang w:val="pt-BR" w:bidi="pt-BR"/>
        </w:rPr>
      </w:r>
      <w:r>
        <w:rPr>
          <w:bCs/>
          <w:i/>
          <w:lang w:val="pt-BR"/>
        </w:rPr>
      </w:r>
      <w:r>
        <w:rPr>
          <w:bCs/>
          <w:i/>
          <w:lang w:val="pt-BR"/>
        </w:rPr>
      </w:r>
    </w:p>
    <w:p>
      <w:pPr>
        <w:pBdr/>
        <w:shd w:val="nil" w:color="000000"/>
        <w:spacing/>
        <w:ind/>
        <w:jc w:val="center"/>
        <w:rPr>
          <w:b/>
          <w:bCs/>
          <w:highlight w:val="none"/>
        </w:rPr>
      </w:pPr>
      <w:r>
        <w:rPr>
          <w:b/>
          <w:highlight w:val="none"/>
        </w:rPr>
      </w:r>
      <w:r>
        <w:rPr>
          <w:b/>
          <w:bCs/>
          <w:highlight w:val="none"/>
        </w:rPr>
      </w:r>
      <w:r>
        <w:rPr>
          <w:b/>
          <w:bCs/>
          <w:highlight w:val="none"/>
        </w:rPr>
      </w:r>
    </w:p>
    <w:p>
      <w:pPr>
        <w:pBdr/>
        <w:shd w:val="nil" w:color="000000"/>
        <w:spacing/>
        <w:ind/>
        <w:jc w:val="center"/>
        <w:rPr>
          <w:b/>
          <w:bCs/>
          <w:highlight w:val="none"/>
        </w:rPr>
      </w:pPr>
      <w:r>
        <w:rPr>
          <w:b/>
          <w:highlight w:val="none"/>
        </w:rPr>
      </w:r>
      <w:r>
        <w:rPr>
          <w:b/>
          <w:bCs/>
          <w:highlight w:val="none"/>
        </w:rPr>
      </w:r>
      <w:r>
        <w:rPr>
          <w:b/>
          <w:bCs/>
          <w:highlight w:val="none"/>
        </w:rPr>
      </w:r>
    </w:p>
    <w:p>
      <w:pPr>
        <w:pBdr/>
        <w:shd w:val="nil" w:color="000000"/>
        <w:spacing/>
        <w:ind/>
        <w:jc w:val="center"/>
        <w:rPr>
          <w:b/>
          <w:bCs/>
          <w:highlight w:val="none"/>
        </w:rPr>
      </w:pPr>
      <w:r>
        <w:rPr>
          <w:b/>
          <w:highlight w:val="none"/>
        </w:rPr>
      </w:r>
      <w:r>
        <w:rPr>
          <w:b/>
          <w:bCs/>
          <w:highlight w:val="none"/>
        </w:rPr>
      </w:r>
      <w:r>
        <w:rPr>
          <w:b/>
          <w:bCs/>
          <w:highlight w:val="none"/>
        </w:rPr>
      </w:r>
    </w:p>
    <w:p>
      <w:pPr>
        <w:pBdr/>
        <w:shd w:val="nil" w:color="000000"/>
        <w:spacing/>
        <w:ind/>
        <w:jc w:val="center"/>
        <w:rPr>
          <w:b/>
          <w:bCs/>
          <w:highlight w:val="none"/>
        </w:rPr>
      </w:pPr>
      <w:r>
        <w:rPr>
          <w:b/>
          <w:highlight w:val="none"/>
        </w:rPr>
      </w:r>
      <w:r>
        <w:rPr>
          <w:b/>
          <w:bCs/>
          <w:highlight w:val="none"/>
        </w:rPr>
      </w:r>
      <w:r>
        <w:rPr>
          <w:b/>
          <w:bCs/>
          <w:highlight w:val="none"/>
        </w:rPr>
      </w:r>
    </w:p>
    <w:p>
      <w:pPr>
        <w:pBdr/>
        <w:shd w:val="nil" w:color="000000"/>
        <w:spacing/>
        <w:ind/>
        <w:jc w:val="center"/>
        <w:rPr>
          <w:b/>
          <w:bCs/>
          <w:highlight w:val="none"/>
        </w:rPr>
      </w:pPr>
      <w:r>
        <w:rPr>
          <w:b/>
          <w:highlight w:val="none"/>
        </w:rPr>
      </w:r>
      <w:r>
        <w:rPr>
          <w:b/>
          <w:bCs/>
          <w:highlight w:val="none"/>
        </w:rPr>
      </w:r>
      <w:r>
        <w:rPr>
          <w:b/>
          <w:bCs/>
          <w:highlight w:val="none"/>
        </w:rPr>
      </w:r>
    </w:p>
    <w:p>
      <w:pPr>
        <w:pBdr/>
        <w:shd w:val="nil" w:color="auto"/>
        <w:spacing/>
        <w:ind/>
        <w:jc w:val="center"/>
        <w:rPr>
          <w:b/>
          <w:bCs/>
          <w:highlight w:val="none"/>
        </w:rPr>
      </w:pPr>
      <w:r>
        <w:rPr>
          <w:b/>
          <w:highlight w:val="none"/>
        </w:rPr>
      </w:r>
      <w:r>
        <mc:AlternateContent>
          <mc:Choice Requires="wpg">
            <w:drawing>
              <wp:inline xmlns:wp="http://schemas.openxmlformats.org/drawingml/2006/wordprocessingDrawing" distT="0" distB="0" distL="0" distR="0">
                <wp:extent cx="6201115" cy="8796765"/>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141169" name=""/>
                        <pic:cNvPicPr>
                          <a:picLocks noChangeAspect="1"/>
                        </pic:cNvPicPr>
                        <pic:nvPr/>
                      </pic:nvPicPr>
                      <pic:blipFill rotWithShape="1">
                        <a:blip r:embed="rId25"/>
                        <a:stretch/>
                      </pic:blipFill>
                      <pic:spPr bwMode="auto">
                        <a:xfrm flipH="0" flipV="0">
                          <a:off x="0" y="0"/>
                          <a:ext cx="6201114" cy="879676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88.28pt;height:692.66pt;mso-wrap-distance-left:0.00pt;mso-wrap-distance-top:0.00pt;mso-wrap-distance-right:0.00pt;mso-wrap-distance-bottom:0.00pt;z-index:1;" stroked="false">
                <v:imagedata r:id="rId25" o:title=""/>
                <o:lock v:ext="edit" rotation="t"/>
              </v:shape>
            </w:pict>
          </mc:Fallback>
        </mc:AlternateContent>
      </w:r>
      <w:r>
        <w:rPr>
          <w:b/>
          <w:highlight w:val="none"/>
        </w:rPr>
        <w:br w:type="page" w:clear="all"/>
      </w:r>
      <w:r>
        <w:rPr>
          <w:b/>
          <w:bCs/>
          <w:highlight w:val="none"/>
        </w:rPr>
      </w:r>
      <w:r>
        <w:rPr>
          <w:b/>
          <w:bCs/>
          <w:highlight w:val="none"/>
        </w:rPr>
      </w:r>
    </w:p>
    <w:p>
      <w:pPr>
        <w:pBdr/>
        <w:shd w:val="nil" w:color="000000"/>
        <w:spacing/>
        <w:ind/>
        <w:jc w:val="center"/>
        <w:rPr>
          <w:b/>
          <w:bCs/>
          <w:highlight w:val="none"/>
        </w:rPr>
      </w:pPr>
      <w:r>
        <w:rPr>
          <w:b/>
          <w:highlight w:val="none"/>
        </w:rPr>
      </w:r>
      <w:r>
        <w:rPr>
          <w:b/>
          <w:bCs/>
          <w:highlight w:val="none"/>
        </w:rPr>
      </w:r>
      <w:r>
        <w:rPr>
          <w:b/>
          <w:bCs/>
          <w:highlight w:val="none"/>
        </w:rPr>
      </w:r>
    </w:p>
    <w:p>
      <w:pPr>
        <w:pBdr/>
        <w:shd w:val="nil" w:color="000000"/>
        <w:spacing/>
        <w:ind/>
        <w:jc w:val="center"/>
        <w:rPr>
          <w:b/>
          <w:bCs/>
          <w:highlight w:val="none"/>
        </w:rPr>
      </w:pPr>
      <w:r>
        <w:rPr>
          <w:b/>
          <w:highlight w:val="none"/>
        </w:rPr>
      </w:r>
      <w:r>
        <w:rPr>
          <w:b/>
          <w:bCs/>
          <w:highlight w:val="none"/>
        </w:rPr>
      </w:r>
      <w:r>
        <w:rPr>
          <w:b/>
          <w:bCs/>
          <w:highlight w:val="none"/>
        </w:rPr>
      </w:r>
    </w:p>
    <w:p>
      <w:pPr>
        <w:pBdr/>
        <w:shd w:val="nil" w:color="000000"/>
        <w:spacing/>
        <w:ind/>
        <w:jc w:val="center"/>
        <w:rPr>
          <w:b/>
          <w:bCs/>
          <w:highlight w:val="none"/>
        </w:rPr>
      </w:pPr>
      <w:r>
        <w:rPr>
          <w:b/>
          <w:highlight w:val="none"/>
        </w:rPr>
      </w:r>
      <w:r>
        <w:rPr>
          <w:b/>
          <w:bCs/>
          <w:highlight w:val="none"/>
        </w:rPr>
      </w:r>
      <w:r>
        <w:rPr>
          <w:b/>
          <w:bCs/>
          <w:highlight w:val="none"/>
        </w:rPr>
      </w:r>
    </w:p>
    <w:p>
      <w:pPr>
        <w:pBdr/>
        <w:shd w:val="nil" w:color="auto"/>
        <w:spacing/>
        <w:ind/>
        <w:jc w:val="center"/>
        <w:rPr>
          <w:b/>
          <w:bCs/>
          <w:highlight w:val="none"/>
        </w:rPr>
      </w:pPr>
      <w:r>
        <mc:AlternateContent>
          <mc:Choice Requires="wpg">
            <w:drawing>
              <wp:inline xmlns:wp="http://schemas.openxmlformats.org/drawingml/2006/wordprocessingDrawing" distT="0" distB="0" distL="0" distR="0">
                <wp:extent cx="6059215" cy="797706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778122" name=""/>
                        <pic:cNvPicPr>
                          <a:picLocks noChangeAspect="1"/>
                        </pic:cNvPicPr>
                        <pic:nvPr/>
                      </pic:nvPicPr>
                      <pic:blipFill rotWithShape="1">
                        <a:blip r:embed="rId26"/>
                        <a:stretch/>
                      </pic:blipFill>
                      <pic:spPr bwMode="auto">
                        <a:xfrm flipH="0" flipV="0">
                          <a:off x="0" y="0"/>
                          <a:ext cx="6059214" cy="797706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7.10pt;height:628.11pt;mso-wrap-distance-left:0.00pt;mso-wrap-distance-top:0.00pt;mso-wrap-distance-right:0.00pt;mso-wrap-distance-bottom:0.00pt;z-index:1;" stroked="false">
                <v:imagedata r:id="rId26" o:title=""/>
                <o:lock v:ext="edit" rotation="t"/>
              </v:shape>
            </w:pict>
          </mc:Fallback>
        </mc:AlternateContent>
      </w:r>
      <w:r>
        <w:rPr>
          <w:b/>
          <w:highlight w:val="none"/>
        </w:rPr>
        <w:br w:type="page" w:clear="all"/>
      </w:r>
      <w:r>
        <w:rPr>
          <w:b/>
          <w:bCs/>
          <w:highlight w:val="none"/>
        </w:rPr>
      </w:r>
      <w:r>
        <w:rPr>
          <w:b/>
          <w:bCs/>
          <w:highlight w:val="none"/>
        </w:rPr>
      </w:r>
    </w:p>
    <w:p>
      <w:pPr>
        <w:pBdr/>
        <w:shd w:val="nil" w:color="auto"/>
        <w:spacing/>
        <w:ind/>
        <w:jc w:val="center"/>
        <w:rPr>
          <w:b/>
          <w:bCs/>
          <w:highlight w:val="none"/>
        </w:rPr>
      </w:pPr>
      <w:r>
        <w:rPr>
          <w:b/>
          <w:highlight w:val="none"/>
        </w:rPr>
      </w:r>
      <w:r>
        <mc:AlternateContent>
          <mc:Choice Requires="wpg">
            <w:drawing>
              <wp:inline xmlns:wp="http://schemas.openxmlformats.org/drawingml/2006/wordprocessingDrawing" distT="0" distB="0" distL="0" distR="0">
                <wp:extent cx="5486400" cy="7496175"/>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413853" name=""/>
                        <pic:cNvPicPr>
                          <a:picLocks noChangeAspect="1"/>
                        </pic:cNvPicPr>
                        <pic:nvPr/>
                      </pic:nvPicPr>
                      <pic:blipFill rotWithShape="1">
                        <a:blip r:embed="rId27"/>
                        <a:stretch/>
                      </pic:blipFill>
                      <pic:spPr bwMode="auto">
                        <a:xfrm>
                          <a:off x="0" y="0"/>
                          <a:ext cx="5486400" cy="74961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32.00pt;height:590.25pt;mso-wrap-distance-left:0.00pt;mso-wrap-distance-top:0.00pt;mso-wrap-distance-right:0.00pt;mso-wrap-distance-bottom:0.00pt;z-index:1;" stroked="false">
                <v:imagedata r:id="rId27" o:title=""/>
                <o:lock v:ext="edit" rotation="t"/>
              </v:shape>
            </w:pict>
          </mc:Fallback>
        </mc:AlternateContent>
      </w:r>
      <w:r>
        <w:rPr>
          <w:b/>
          <w:bCs/>
          <w:highlight w:val="none"/>
        </w:rPr>
      </w:r>
      <w:r>
        <w:rPr>
          <w:b/>
          <w:bCs/>
          <w:highlight w:val="none"/>
        </w:rPr>
      </w:r>
    </w:p>
    <w:p>
      <w:pPr>
        <w:pBdr/>
        <w:shd w:val="nil" w:color="auto"/>
        <w:spacing/>
        <w:ind/>
        <w:rPr>
          <w:b/>
          <w:bCs/>
          <w:highlight w:val="none"/>
        </w:rPr>
      </w:pPr>
      <w:r>
        <w:rPr>
          <w:b/>
          <w:highlight w:val="none"/>
        </w:rPr>
        <w:br w:type="page" w:clear="all"/>
      </w:r>
      <w:r>
        <w:rPr>
          <w:b/>
          <w:bCs/>
          <w:highlight w:val="none"/>
        </w:rPr>
      </w:r>
      <w:r>
        <w:rPr>
          <w:b/>
          <w:bCs/>
          <w:highlight w:val="none"/>
        </w:rPr>
      </w:r>
    </w:p>
    <w:p>
      <w:pPr>
        <w:pBdr/>
        <w:shd w:val="nil" w:color="auto"/>
        <w:spacing/>
        <w:ind/>
        <w:jc w:val="center"/>
        <w:rPr>
          <w:b/>
          <w:bCs/>
          <w:highlight w:val="none"/>
        </w:rPr>
      </w:pPr>
      <w:r>
        <w:rPr>
          <w:b/>
          <w:highlight w:val="none"/>
        </w:rPr>
        <w:t xml:space="preserve">BIÊN BẢN KHẢO SÁT TÀI SẢN</w:t>
      </w:r>
      <w:r>
        <w:rPr>
          <w:b/>
          <w:bCs/>
          <w:highlight w:val="none"/>
        </w:rPr>
      </w:r>
      <w:r>
        <w:rPr>
          <w:b/>
          <w:bCs/>
          <w:highlight w:val="none"/>
        </w:rPr>
      </w:r>
    </w:p>
    <w:p>
      <w:pPr>
        <w:pBdr/>
        <w:shd w:val="nil" w:color="000000"/>
        <w:spacing/>
        <w:ind/>
        <w:jc w:val="center"/>
        <w:rPr>
          <w:b/>
          <w:bCs/>
          <w:highlight w:val="none"/>
        </w:rPr>
      </w:pPr>
      <w:r>
        <w:rPr>
          <w:b/>
          <w:bCs/>
          <w:highlight w:val="none"/>
        </w:rPr>
      </w:r>
      <w:r>
        <w:rPr>
          <w:b/>
          <w:bCs/>
          <w:highlight w:val="none"/>
        </w:rPr>
      </w:r>
      <w:r>
        <w:rPr>
          <w:b/>
          <w:bCs/>
          <w:highlight w:val="none"/>
        </w:rPr>
      </w:r>
    </w:p>
    <w:p>
      <w:pPr>
        <w:pBdr/>
        <w:shd w:val="nil" w:color="000000"/>
        <w:spacing/>
        <w:ind/>
        <w:jc w:val="center"/>
        <w:rPr>
          <w:b/>
          <w:bCs/>
          <w:highlight w:val="none"/>
        </w:rPr>
      </w:pPr>
      <w:r>
        <w:rPr>
          <w:b/>
          <w:highlight w:val="none"/>
        </w:rPr>
      </w:r>
      <w:r>
        <mc:AlternateContent>
          <mc:Choice Requires="wpg">
            <w:drawing>
              <wp:inline xmlns:wp="http://schemas.openxmlformats.org/drawingml/2006/wordprocessingDrawing" distT="0" distB="0" distL="0" distR="0">
                <wp:extent cx="6048375" cy="8064500"/>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290253" name=""/>
                        <pic:cNvPicPr>
                          <a:picLocks noChangeAspect="1"/>
                        </pic:cNvPicPr>
                        <pic:nvPr/>
                      </pic:nvPicPr>
                      <pic:blipFill rotWithShape="1">
                        <a:blip r:embed="rId28"/>
                        <a:stretch/>
                      </pic:blipFill>
                      <pic:spPr bwMode="auto">
                        <a:xfrm rot="0" flipH="0" flipV="0">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76.25pt;height:635.00pt;mso-wrap-distance-left:0.00pt;mso-wrap-distance-top:0.00pt;mso-wrap-distance-right:0.00pt;mso-wrap-distance-bottom:0.00pt;rotation:0;z-index:1;" stroked="false">
                <v:imagedata r:id="rId28" o:title=""/>
                <o:lock v:ext="edit" rotation="t"/>
              </v:shape>
            </w:pict>
          </mc:Fallback>
        </mc:AlternateContent>
      </w:r>
      <w:r>
        <w:rPr>
          <w:b/>
          <w:highlight w:val="none"/>
        </w:rPr>
        <w:br w:type="page" w:clear="all"/>
      </w:r>
      <w:r>
        <w:rPr>
          <w:b/>
          <w:bCs/>
          <w:highlight w:val="none"/>
        </w:rPr>
      </w:r>
      <w:r>
        <w:rPr>
          <w:b/>
          <w:bCs/>
          <w:highlight w:val="none"/>
        </w:rPr>
      </w:r>
    </w:p>
    <w:p>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b/>
          <w:bCs/>
          <w:highlight w:val="none"/>
        </w:rPr>
      </w:r>
      <w:r>
        <w:rPr>
          <w:b/>
          <w:bCs/>
          <w:highlight w:val="none"/>
        </w:rPr>
      </w:r>
    </w:p>
    <w:p>
      <w:pPr>
        <w:pBdr/>
        <w:spacing/>
        <w:ind/>
        <w:jc w:val="center"/>
        <w:rPr>
          <w:i/>
          <w:lang w:val="pt-BR"/>
        </w:rPr>
      </w:pPr>
      <w:r>
        <w:rPr>
          <w:i/>
          <w:lang w:val="pt-BR"/>
        </w:rPr>
        <w:t xml:space="preserve">(Kèm theo Báo cáo thẩm định số </w:t>
      </w:r>
      <w:r>
        <w:rPr>
          <w:i/>
        </w:rPr>
        <w:t xml:space="preserve">275/2026/1371/VFI-BC.36.A</w:t>
      </w:r>
      <w:r>
        <w:rPr>
          <w:i/>
          <w:lang w:val="pt-BR"/>
        </w:rPr>
        <w:t xml:space="preserve"> ngày 0</w:t>
      </w:r>
      <w:r>
        <w:rPr>
          <w:i/>
          <w:lang w:val="pt-BR"/>
        </w:rPr>
        <w:t xml:space="preserve">3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u w:val="none"/>
              </w:rPr>
            </w:pPr>
            <w:r>
              <w:rPr>
                <w:color w:val="000000" w:themeColor="text1"/>
                <w:sz w:val="22"/>
                <w:szCs w:val="22"/>
                <w:u w:val="none"/>
              </w:rPr>
            </w:r>
            <w:hyperlink r:id="rId29" w:tooltip="https://www.facebook.com/share/p/1ApuTEu3Gh/" w:history="1">
              <w:r>
                <w:rPr>
                  <w:rStyle w:val="1021"/>
                  <w:color w:val="000000" w:themeColor="text1"/>
                  <w:sz w:val="22"/>
                  <w:szCs w:val="22"/>
                  <w:u w:val="none"/>
                </w:rPr>
                <w:t xml:space="preserve">https://www.facebook.com/share/p/1ApuTEu3Gh/</w:t>
              </w:r>
              <w:r>
                <w:rPr>
                  <w:rStyle w:val="1021"/>
                  <w:color w:val="000000" w:themeColor="text1"/>
                  <w:sz w:val="22"/>
                  <w:szCs w:val="22"/>
                  <w:u w:val="none"/>
                </w:rPr>
              </w:r>
            </w:hyperlink>
            <w:r>
              <w:rPr>
                <w:color w:val="000000" w:themeColor="text1"/>
                <w:sz w:val="22"/>
                <w:szCs w:val="22"/>
                <w:u w:val="none"/>
              </w:rPr>
              <w:t xml:space="preserve"> SĐT: 0382207056</w:t>
            </w:r>
            <w:r>
              <w:rPr>
                <w:sz w:val="22"/>
                <w:szCs w:val="22"/>
                <w:u w:val="none"/>
              </w:rPr>
              <w:t xml:space="preserve"> </w:t>
            </w:r>
            <w:r>
              <w:rPr>
                <w:sz w:val="22"/>
                <w:szCs w:val="22"/>
                <w:u w:val="none"/>
              </w:rPr>
            </w:r>
            <w:r>
              <w:rPr>
                <w:sz w:val="22"/>
                <w:szCs w:val="22"/>
                <w:u w:val="none"/>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9.225.000.000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8.302.500.000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(123m²)</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Hát Môn, Thành phố Hà Nội, khoảng cách ra đường QL32 khoảng 465m.</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123</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8,28</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Thóp hậu</w:t>
            </w:r>
            <w:r>
              <w:rPr>
                <w:sz w:val="22"/>
                <w:szCs w:val="22"/>
              </w:rPr>
            </w:r>
            <w:r>
              <w:rPr>
                <w:sz w:val="22"/>
                <w:szCs w:val="22"/>
              </w:rPr>
            </w:r>
          </w:p>
        </w:tc>
      </w:tr>
      <w:tr>
        <w:trPr>
          <w:trHeight w:val="388"/>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Thích hợp để ở/Kinh doanh</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sz w:val="22"/>
                <w:szCs w:val="22"/>
              </w:rPr>
              <w:t xml:space="preserve">Tốt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ffffff" w:fill="ffffff"/>
            <w:tcBorders>
              <w:top w:val="none" w:color="000000" w:sz="4" w:space="0"/>
              <w:left w:val="none" w:color="000000" w:sz="4" w:space="0"/>
              <w:bottom w:val="single" w:color="000000" w:sz="4" w:space="0"/>
              <w:right w:val="single" w:color="000000" w:sz="4" w:space="0"/>
            </w:tcBorders>
            <w:tcW w:w="8987"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568915" cy="2799536"/>
                      <wp:effectExtent l="0" t="0" r="0" b="0"/>
                      <wp:docPr id="17" name=""/>
                      <wp:cNvGraphicFramePr/>
                      <a:graphic xmlns:a="http://schemas.openxmlformats.org/drawingml/2006/main">
                        <a:graphicData uri="http://schemas.openxmlformats.org/drawingml/2006/picture">
                          <pic:pic xmlns:pic="http://schemas.openxmlformats.org/drawingml/2006/picture">
                            <pic:nvPicPr>
                              <pic:cNvPr id="1723174119" name="" descr=""/>
                              <pic:cNvPicPr/>
                              <pic:nvPr/>
                            </pic:nvPicPr>
                            <pic:blipFill rotWithShape="1">
                              <a:blip r:embed="rId30"/>
                              <a:stretch/>
                            </pic:blipFill>
                            <pic:spPr bwMode="auto">
                              <a:xfrm flipH="0" flipV="0">
                                <a:off x="0" y="0"/>
                                <a:ext cx="2568913" cy="27995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02.28pt;height:220.44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68608" cy="2749143"/>
                      <wp:effectExtent l="0" t="0" r="0" b="0"/>
                      <wp:docPr id="18" name=""/>
                      <wp:cNvGraphicFramePr/>
                      <a:graphic xmlns:a="http://schemas.openxmlformats.org/drawingml/2006/main">
                        <a:graphicData uri="http://schemas.openxmlformats.org/drawingml/2006/picture">
                          <pic:pic xmlns:pic="http://schemas.openxmlformats.org/drawingml/2006/picture">
                            <pic:nvPicPr>
                              <pic:cNvPr id="1115601101" name="" descr=""/>
                              <pic:cNvPicPr/>
                              <pic:nvPr/>
                            </pic:nvPicPr>
                            <pic:blipFill rotWithShape="1">
                              <a:blip r:embed="rId31"/>
                              <a:stretch/>
                            </pic:blipFill>
                            <pic:spPr bwMode="auto">
                              <a:xfrm flipH="0" flipV="0">
                                <a:off x="0" y="0"/>
                                <a:ext cx="2768607" cy="274914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18.00pt;height:216.47pt;mso-wrap-distance-left:0.00pt;mso-wrap-distance-top:0.00pt;mso-wrap-distance-right:0.00pt;mso-wrap-distance-bottom:0.00pt;z-index:1;" stroked="false">
                      <v:imagedata r:id="rId31"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mc:AlternateContent>
                <mc:Choice Requires="wpg">
                  <w:drawing>
                    <wp:inline xmlns:wp="http://schemas.openxmlformats.org/drawingml/2006/wordprocessingDrawing" distT="0" distB="0" distL="0" distR="0">
                      <wp:extent cx="2740365" cy="3145885"/>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881895" name=""/>
                              <pic:cNvPicPr>
                                <a:picLocks noChangeAspect="1"/>
                              </pic:cNvPicPr>
                              <pic:nvPr/>
                            </pic:nvPicPr>
                            <pic:blipFill rotWithShape="1">
                              <a:blip r:embed="rId32"/>
                              <a:stretch/>
                            </pic:blipFill>
                            <pic:spPr bwMode="auto">
                              <a:xfrm flipH="0" flipV="0">
                                <a:off x="0" y="0"/>
                                <a:ext cx="2740365" cy="314588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15.78pt;height:247.71pt;mso-wrap-distance-left:0.00pt;mso-wrap-distance-top:0.00pt;mso-wrap-distance-right:0.00pt;mso-wrap-distance-bottom:0.00pt;z-index:1;" stroked="false">
                      <v:imagedata r:id="rId32" o:title=""/>
                      <o:lock v:ext="edit" rotation="t"/>
                    </v:shape>
                  </w:pict>
                </mc:Fallback>
              </mc:AlternateContent>
            </w:r>
            <w:r>
              <w:t xml:space="preserve">   </w:t>
            </w:r>
            <w:r>
              <mc:AlternateContent>
                <mc:Choice Requires="wpg">
                  <w:drawing>
                    <wp:inline xmlns:wp="http://schemas.openxmlformats.org/drawingml/2006/wordprocessingDrawing" distT="0" distB="0" distL="0" distR="0">
                      <wp:extent cx="2568915" cy="3155410"/>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980950" name=""/>
                              <pic:cNvPicPr>
                                <a:picLocks noChangeAspect="1"/>
                              </pic:cNvPicPr>
                              <pic:nvPr/>
                            </pic:nvPicPr>
                            <pic:blipFill rotWithShape="1">
                              <a:blip r:embed="rId33"/>
                              <a:stretch/>
                            </pic:blipFill>
                            <pic:spPr bwMode="auto">
                              <a:xfrm flipH="0" flipV="0">
                                <a:off x="0" y="0"/>
                                <a:ext cx="2568913" cy="31554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02.28pt;height:248.46pt;mso-wrap-distance-left:0.00pt;mso-wrap-distance-top:0.00pt;mso-wrap-distance-right:0.00pt;mso-wrap-distance-bottom:0.00pt;z-index:1;" stroked="false">
                      <v:imagedata r:id="rId33" o:title=""/>
                      <o:lock v:ext="edit" rotation="t"/>
                    </v:shape>
                  </w:pict>
                </mc:Fallback>
              </mc:AlternateContent>
            </w:r>
            <w:r>
              <w:rPr>
                <w:color w:val="000000"/>
                <w:sz w:val="22"/>
                <w:szCs w:val="22"/>
              </w:rPr>
            </w:r>
            <w:r>
              <w:rPr>
                <w:color w:val="000000"/>
                <w:sz w:val="22"/>
                <w:szCs w:val="22"/>
              </w:rPr>
            </w:r>
          </w:p>
        </w:tc>
      </w:tr>
    </w:tbl>
    <w:p>
      <w:pPr>
        <w:pBdr/>
        <w:spacing w:after="120"/>
        <w:ind/>
        <w:jc w:val="left"/>
        <w:rPr>
          <w:i/>
          <w:lang w:val="pt-BR"/>
        </w:rPr>
      </w:pPr>
      <w:r>
        <w:rPr>
          <w:i/>
          <w:lang w:val="pt-BR"/>
        </w:rPr>
      </w:r>
      <w:r>
        <w:rPr>
          <w:i/>
          <w:lang w:val="pt-BR"/>
        </w:rPr>
      </w:r>
      <w:r>
        <w:rPr>
          <w:i/>
          <w:lang w:val="pt-BR"/>
        </w:rPr>
      </w:r>
    </w:p>
    <w:p>
      <w:pPr>
        <w:pBdr/>
        <w:spacing w:after="200" w:line="276" w:lineRule="auto"/>
        <w:ind/>
        <w:jc w:val="left"/>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Tấn Sang</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https://www.facebook.com/share/p/1P7D2qeAYB/</w:t>
            </w:r>
            <w:r>
              <w:rPr>
                <w:color w:val="000000" w:themeColor="text1"/>
                <w:sz w:val="22"/>
                <w:szCs w:val="22"/>
              </w:rPr>
              <w:br/>
              <w:t xml:space="preserve">SĐT: 0975349092</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3.500.000.000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3.150.000.000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(42m²)</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Hát Môn, Huyện Phúc Thọ, Thành phố Hà Nội, khoảng cách ra đường QL 32 khoảng 300m, 21.083795203422657, 105.62158963376511</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42</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3,3</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Thích hợp để ở/Kinh doanh</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sz w:val="22"/>
                <w:szCs w:val="22"/>
              </w:rPr>
              <w:t xml:space="preserve">Tốt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ffffff" w:fill="ffffff"/>
            <w:tcBorders>
              <w:top w:val="none" w:color="000000" w:sz="4" w:space="0"/>
              <w:left w:val="none" w:color="000000" w:sz="4" w:space="0"/>
              <w:bottom w:val="single" w:color="000000" w:sz="4" w:space="0"/>
              <w:right w:val="single" w:color="000000" w:sz="4" w:space="0"/>
            </w:tcBorders>
            <w:tcW w:w="8987"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5140665"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1712649984" name="" descr=""/>
                              <pic:cNvPicPr/>
                              <pic:nvPr/>
                            </pic:nvPicPr>
                            <pic:blipFill rotWithShape="1">
                              <a:blip r:embed="rId34"/>
                              <a:stretch/>
                            </pic:blipFill>
                            <pic:spPr bwMode="auto">
                              <a:xfrm flipH="0" flipV="0">
                                <a:off x="0" y="0"/>
                                <a:ext cx="5140663" cy="317499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04.78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145885" cy="2394298"/>
                      <wp:effectExtent l="0" t="0" r="0" b="0"/>
                      <wp:docPr id="22" name=""/>
                      <wp:cNvGraphicFramePr/>
                      <a:graphic xmlns:a="http://schemas.openxmlformats.org/drawingml/2006/main">
                        <a:graphicData uri="http://schemas.openxmlformats.org/drawingml/2006/picture">
                          <pic:pic xmlns:pic="http://schemas.openxmlformats.org/drawingml/2006/picture">
                            <pic:nvPicPr>
                              <pic:cNvPr id="773877236" name="" descr=""/>
                              <pic:cNvPicPr/>
                              <pic:nvPr/>
                            </pic:nvPicPr>
                            <pic:blipFill rotWithShape="1">
                              <a:blip r:embed="rId35"/>
                              <a:stretch/>
                            </pic:blipFill>
                            <pic:spPr bwMode="auto">
                              <a:xfrm rot="16199932" flipH="0" flipV="0">
                                <a:off x="0" y="0"/>
                                <a:ext cx="3145883" cy="239429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47.71pt;height:188.53pt;mso-wrap-distance-left:0.00pt;mso-wrap-distance-top:0.00pt;mso-wrap-distance-right:0.00pt;mso-wrap-distance-bottom:0.00pt;rotation:269;z-index:1;" stroked="false">
                      <v:imagedata r:id="rId3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30840"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1440146748" name="" descr=""/>
                              <pic:cNvPicPr/>
                              <pic:nvPr/>
                            </pic:nvPicPr>
                            <pic:blipFill rotWithShape="1">
                              <a:blip r:embed="rId36"/>
                              <a:stretch/>
                            </pic:blipFill>
                            <pic:spPr bwMode="auto">
                              <a:xfrm flipH="0" flipV="0">
                                <a:off x="0" y="0"/>
                                <a:ext cx="2730838" cy="317499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15.03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left"/>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Tấn Sang</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https://www.facebook.com/groups/2447985032103770/posts/4701181483450769/</w:t>
            </w:r>
            <w:r>
              <w:rPr>
                <w:color w:val="000000" w:themeColor="text1"/>
                <w:sz w:val="22"/>
                <w:szCs w:val="22"/>
              </w:rPr>
              <w:br/>
            </w:r>
            <w:r>
              <w:rPr>
                <w:sz w:val="22"/>
                <w:szCs w:val="22"/>
              </w:rPr>
              <w:t xml:space="preserve">SĐT: </w:t>
            </w:r>
            <w:r>
              <w:rPr>
                <w:color w:val="000000" w:themeColor="text1"/>
                <w:sz w:val="22"/>
                <w:szCs w:val="22"/>
              </w:rPr>
              <w:t xml:space="preserve">092.3316888</w:t>
            </w:r>
            <w:r>
              <w:rPr>
                <w:sz w:val="22"/>
                <w:szCs w:val="22"/>
              </w:rPr>
              <w:t xml:space="preserve"> </w:t>
            </w:r>
            <w:r>
              <w:rPr>
                <w:sz w:val="22"/>
                <w:szCs w:val="22"/>
              </w:rPr>
              <w:br/>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12.540.000.000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11.286.000.000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(114m²)</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Khu Trại, thôn 4, Xã Hát Môn, Thành phố Hà Nội, khoảng cách ra đường chính Tài sản cách mặt đường Quốc lộ 32 khoảng 830m, 21.079252750521245, 105.6154030707677</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114</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6,55</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góc 1 mặt đường, phố + 1 mặt ngõ</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Thích hợp để ở/Kinh doanh</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sz w:val="22"/>
                <w:szCs w:val="22"/>
              </w:rPr>
              <w:t xml:space="preserve">Tốt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ffffff" w:fill="ffffff"/>
            <w:tcBorders>
              <w:top w:val="none" w:color="000000" w:sz="4" w:space="0"/>
              <w:left w:val="none" w:color="000000" w:sz="4" w:space="0"/>
              <w:bottom w:val="single" w:color="000000" w:sz="4" w:space="0"/>
              <w:right w:val="single" w:color="000000" w:sz="4" w:space="0"/>
            </w:tcBorders>
            <w:tcW w:w="8987"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372442" cy="3604728"/>
                      <wp:effectExtent l="0" t="0" r="0" b="0"/>
                      <wp:docPr id="24" name=""/>
                      <wp:cNvGraphicFramePr/>
                      <a:graphic xmlns:a="http://schemas.openxmlformats.org/drawingml/2006/main">
                        <a:graphicData uri="http://schemas.openxmlformats.org/drawingml/2006/picture">
                          <pic:pic xmlns:pic="http://schemas.openxmlformats.org/drawingml/2006/picture">
                            <pic:nvPicPr>
                              <pic:cNvPr id="759664624" name="" descr=""/>
                              <pic:cNvPicPr/>
                              <pic:nvPr/>
                            </pic:nvPicPr>
                            <pic:blipFill rotWithShape="1">
                              <a:blip r:embed="rId37"/>
                              <a:stretch/>
                            </pic:blipFill>
                            <pic:spPr bwMode="auto">
                              <a:xfrm flipH="0" flipV="0">
                                <a:off x="0" y="0"/>
                                <a:ext cx="5372440" cy="360472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23.03pt;height:283.84pt;mso-wrap-distance-left:0.00pt;mso-wrap-distance-top:0.00pt;mso-wrap-distance-right:0.00pt;mso-wrap-distance-bottom:0.00pt;z-index:1;" stroked="false">
                      <v:imagedata r:id="rId37" o:title=""/>
                      <o:lock v:ext="edit" rotation="t"/>
                    </v:shape>
                  </w:pict>
                </mc:Fallback>
              </mc:AlternateContent>
            </w:r>
            <w:r>
              <w:rPr>
                <w:color w:val="000000"/>
                <w:sz w:val="22"/>
                <w:szCs w:val="22"/>
              </w:rPr>
            </w:r>
            <w:r>
              <w:rPr>
                <w:color w:val="000000"/>
                <w:sz w:val="22"/>
                <w:szCs w:val="22"/>
              </w:rPr>
            </w:r>
          </w:p>
          <w:p>
            <w:pPr>
              <w:pBdr/>
              <w:spacing w:line="276" w:lineRule="auto"/>
              <w:ind/>
              <w:jc w:val="left"/>
              <w:rPr>
                <w:color w:val="000000"/>
                <w:sz w:val="22"/>
                <w:szCs w:val="22"/>
                <w:highlight w:val="none"/>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587965"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1061839433" name="" descr=""/>
                              <pic:cNvPicPr/>
                              <pic:nvPr/>
                            </pic:nvPicPr>
                            <pic:blipFill rotWithShape="1">
                              <a:blip r:embed="rId38"/>
                              <a:stretch/>
                            </pic:blipFill>
                            <pic:spPr bwMode="auto">
                              <a:xfrm flipH="0" flipV="0">
                                <a:off x="0" y="0"/>
                                <a:ext cx="2587963" cy="317499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203.78pt;height:250.00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40365" cy="3175000"/>
                      <wp:effectExtent l="0" t="0" r="0" b="0"/>
                      <wp:docPr id="26" name=""/>
                      <wp:cNvGraphicFramePr/>
                      <a:graphic xmlns:a="http://schemas.openxmlformats.org/drawingml/2006/main">
                        <a:graphicData uri="http://schemas.openxmlformats.org/drawingml/2006/picture">
                          <pic:pic xmlns:pic="http://schemas.openxmlformats.org/drawingml/2006/picture">
                            <pic:nvPicPr>
                              <pic:cNvPr id="1399122241" name="" descr=""/>
                              <pic:cNvPicPr/>
                              <pic:nvPr/>
                            </pic:nvPicPr>
                            <pic:blipFill rotWithShape="1">
                              <a:blip r:embed="rId39"/>
                              <a:stretch/>
                            </pic:blipFill>
                            <pic:spPr bwMode="auto">
                              <a:xfrm flipH="0" flipV="0">
                                <a:off x="0" y="0"/>
                                <a:ext cx="2740365" cy="317499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215.78pt;height:250.00pt;mso-wrap-distance-left:0.00pt;mso-wrap-distance-top:0.00pt;mso-wrap-distance-right:0.00pt;mso-wrap-distance-bottom:0.00pt;z-index:1;" stroked="false">
                      <v:imagedata r:id="rId39" o:title=""/>
                      <o:lock v:ext="edit" rotation="t"/>
                    </v:shape>
                  </w:pict>
                </mc:Fallback>
              </mc:AlternateContent>
            </w:r>
            <w:r>
              <w:rPr>
                <w:color w:val="000000"/>
                <w:sz w:val="22"/>
                <w:szCs w:val="22"/>
                <w:highlight w:val="none"/>
              </w:rPr>
            </w:r>
            <w:r>
              <w:rPr>
                <w:color w:val="000000"/>
                <w:sz w:val="22"/>
                <w:szCs w:val="22"/>
                <w:highlight w:val="none"/>
              </w:rPr>
            </w:r>
          </w:p>
          <w:p>
            <w:pPr>
              <w:pBdr/>
              <w:spacing w:line="276" w:lineRule="auto"/>
              <w:ind/>
              <w:jc w:val="left"/>
              <w:rPr>
                <w:color w:val="000000"/>
                <w:sz w:val="22"/>
                <w:szCs w:val="22"/>
              </w:rPr>
            </w:pPr>
            <w:r>
              <w:rPr>
                <w:color w:val="000000"/>
                <w:sz w:val="22"/>
                <w:szCs w:val="22"/>
                <w:highlight w:val="none"/>
              </w:rPr>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590256" cy="3175000"/>
                      <wp:effectExtent l="0" t="0" r="0" b="0"/>
                      <wp:docPr id="27" name=""/>
                      <wp:cNvGraphicFramePr/>
                      <a:graphic xmlns:a="http://schemas.openxmlformats.org/drawingml/2006/main">
                        <a:graphicData uri="http://schemas.openxmlformats.org/drawingml/2006/picture">
                          <pic:pic xmlns:pic="http://schemas.openxmlformats.org/drawingml/2006/picture">
                            <pic:nvPicPr>
                              <pic:cNvPr id="304904959" name="" descr=""/>
                              <pic:cNvPicPr/>
                              <pic:nvPr/>
                            </pic:nvPicPr>
                            <pic:blipFill rotWithShape="1">
                              <a:blip r:embed="rId40"/>
                              <a:stretch/>
                            </pic:blipFill>
                            <pic:spPr bwMode="auto">
                              <a:xfrm>
                                <a:off x="0" y="0"/>
                                <a:ext cx="5590255"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440.18pt;height:250.00pt;mso-wrap-distance-left:0.00pt;mso-wrap-distance-top:0.00pt;mso-wrap-distance-right:0.00pt;mso-wrap-distance-bottom:0.00pt;z-index:1;" stroked="false">
                      <v:imagedata r:id="rId4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Pr>
                <w:highlight w:val="none"/>
              </w:rPr>
            </w:r>
            <w:r>
              <w:rPr>
                <w:highlight w:val="none"/>
              </w:rPr>
            </w: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t xml:space="preserve">Nguyễn Tấn Sang</w:t>
            </w:r>
            <w:r>
              <w:rPr>
                <w:highlight w:val="none"/>
              </w:rPr>
            </w:r>
            <w:r>
              <w:rPr>
                <w:highlight w:val="none"/>
              </w:rP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7"/>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8">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9">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3">
    <w:name w:val="Table Grid Light"/>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1"/>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2"/>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3"/>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Plain Table 4"/>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5"/>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w:basedOn w:val="101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w:basedOn w:val="101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1"/>
    <w:basedOn w:val="101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2"/>
    <w:basedOn w:val="101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3"/>
    <w:basedOn w:val="101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4"/>
    <w:basedOn w:val="101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5"/>
    <w:basedOn w:val="101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6"/>
    <w:basedOn w:val="101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Accent 1"/>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2"/>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3"/>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Accent 4"/>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 Accent 5"/>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6"/>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5">
    <w:name w:val="Grid Table 6 Colorful - Accent 1"/>
    <w:basedOn w:val="101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6">
    <w:name w:val="Grid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7">
    <w:name w:val="Grid Table 6 Colorful - Accent 3"/>
    <w:basedOn w:val="101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8">
    <w:name w:val="Grid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9">
    <w:name w:val="Grid Table 6 Colorful - Accent 5"/>
    <w:basedOn w:val="101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0">
    <w:name w:val="Grid Table 6 Colorful - Accent 6"/>
    <w:basedOn w:val="101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1">
    <w:name w:val="Grid Table 7 Colorful"/>
    <w:basedOn w:val="101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1"/>
    <w:basedOn w:val="101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5"/>
    <w:basedOn w:val="101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6"/>
    <w:basedOn w:val="101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1"/>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2"/>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3"/>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4"/>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5"/>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6"/>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w:basedOn w:val="101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1"/>
    <w:basedOn w:val="101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2"/>
    <w:basedOn w:val="101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3"/>
    <w:basedOn w:val="101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4"/>
    <w:basedOn w:val="101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5"/>
    <w:basedOn w:val="101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6"/>
    <w:basedOn w:val="101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1"/>
    <w:basedOn w:val="101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3"/>
    <w:basedOn w:val="101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5"/>
    <w:basedOn w:val="101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6"/>
    <w:basedOn w:val="101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1"/>
    <w:basedOn w:val="101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2"/>
    <w:basedOn w:val="101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3"/>
    <w:basedOn w:val="101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4"/>
    <w:basedOn w:val="101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5"/>
    <w:basedOn w:val="101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6"/>
    <w:basedOn w:val="101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5 Dark"/>
    <w:basedOn w:val="101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1"/>
    <w:basedOn w:val="101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2"/>
    <w:basedOn w:val="101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3"/>
    <w:basedOn w:val="101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4"/>
    <w:basedOn w:val="101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5"/>
    <w:basedOn w:val="101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6"/>
    <w:basedOn w:val="101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1"/>
    <w:basedOn w:val="101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3"/>
    <w:basedOn w:val="101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5"/>
    <w:basedOn w:val="101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6"/>
    <w:basedOn w:val="101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7 Colorful"/>
    <w:basedOn w:val="101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1">
    <w:name w:val="List Table 7 Colorful - Accent 1"/>
    <w:basedOn w:val="101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2">
    <w:name w:val="List Table 7 Colorful - Accent 2"/>
    <w:basedOn w:val="101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3">
    <w:name w:val="List Table 7 Colorful - Accent 3"/>
    <w:basedOn w:val="101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4">
    <w:name w:val="List Table 7 Colorful - Accent 4"/>
    <w:basedOn w:val="101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5">
    <w:name w:val="List Table 7 Colorful - Accent 5"/>
    <w:basedOn w:val="101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6">
    <w:name w:val="List Table 7 Colorful - Accent 6"/>
    <w:basedOn w:val="101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7">
    <w:name w:val="Lined - Accent"/>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1"/>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2"/>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3"/>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4"/>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5"/>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6"/>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w:basedOn w:val="101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1"/>
    <w:basedOn w:val="101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2"/>
    <w:basedOn w:val="101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3"/>
    <w:basedOn w:val="101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4"/>
    <w:basedOn w:val="101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5"/>
    <w:basedOn w:val="101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6"/>
    <w:basedOn w:val="101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w:basedOn w:val="101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8">
    <w:name w:val="Heading 5"/>
    <w:basedOn w:val="1009"/>
    <w:next w:val="1009"/>
    <w:link w:val="97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9">
    <w:name w:val="Heading 6"/>
    <w:basedOn w:val="1009"/>
    <w:next w:val="1009"/>
    <w:link w:val="97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0">
    <w:name w:val="Heading 7"/>
    <w:basedOn w:val="1009"/>
    <w:next w:val="1009"/>
    <w:link w:val="97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1">
    <w:name w:val="Heading 8"/>
    <w:basedOn w:val="1009"/>
    <w:next w:val="1009"/>
    <w:link w:val="97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2">
    <w:name w:val="Heading 9"/>
    <w:basedOn w:val="1009"/>
    <w:next w:val="1009"/>
    <w:link w:val="97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3">
    <w:name w:val="Heading 5 Char"/>
    <w:basedOn w:val="1014"/>
    <w:link w:val="968"/>
    <w:uiPriority w:val="9"/>
    <w:pPr>
      <w:pBdr/>
      <w:spacing/>
      <w:ind/>
    </w:pPr>
    <w:rPr>
      <w:rFonts w:ascii="Arial" w:hAnsi="Arial" w:eastAsia="Arial" w:cs="Arial"/>
      <w:color w:val="0f4761" w:themeColor="accent1" w:themeShade="BF"/>
    </w:rPr>
  </w:style>
  <w:style w:type="character" w:styleId="974">
    <w:name w:val="Heading 6 Char"/>
    <w:basedOn w:val="1014"/>
    <w:link w:val="969"/>
    <w:uiPriority w:val="9"/>
    <w:pPr>
      <w:pBdr/>
      <w:spacing/>
      <w:ind/>
    </w:pPr>
    <w:rPr>
      <w:rFonts w:ascii="Arial" w:hAnsi="Arial" w:eastAsia="Arial" w:cs="Arial"/>
      <w:i/>
      <w:iCs/>
      <w:color w:val="595959" w:themeColor="text1" w:themeTint="A6"/>
    </w:rPr>
  </w:style>
  <w:style w:type="character" w:styleId="975">
    <w:name w:val="Heading 7 Char"/>
    <w:basedOn w:val="1014"/>
    <w:link w:val="970"/>
    <w:uiPriority w:val="9"/>
    <w:pPr>
      <w:pBdr/>
      <w:spacing/>
      <w:ind/>
    </w:pPr>
    <w:rPr>
      <w:rFonts w:ascii="Arial" w:hAnsi="Arial" w:eastAsia="Arial" w:cs="Arial"/>
      <w:color w:val="595959" w:themeColor="text1" w:themeTint="A6"/>
    </w:rPr>
  </w:style>
  <w:style w:type="character" w:styleId="976">
    <w:name w:val="Heading 8 Char"/>
    <w:basedOn w:val="1014"/>
    <w:link w:val="971"/>
    <w:uiPriority w:val="9"/>
    <w:pPr>
      <w:pBdr/>
      <w:spacing/>
      <w:ind/>
    </w:pPr>
    <w:rPr>
      <w:rFonts w:ascii="Arial" w:hAnsi="Arial" w:eastAsia="Arial" w:cs="Arial"/>
      <w:i/>
      <w:iCs/>
      <w:color w:val="272727" w:themeColor="text1" w:themeTint="D8"/>
    </w:rPr>
  </w:style>
  <w:style w:type="character" w:styleId="977">
    <w:name w:val="Heading 9 Char"/>
    <w:basedOn w:val="1014"/>
    <w:link w:val="972"/>
    <w:uiPriority w:val="9"/>
    <w:pPr>
      <w:pBdr/>
      <w:spacing/>
      <w:ind/>
    </w:pPr>
    <w:rPr>
      <w:rFonts w:ascii="Arial" w:hAnsi="Arial" w:eastAsia="Arial" w:cs="Arial"/>
      <w:i/>
      <w:iCs/>
      <w:color w:val="272727" w:themeColor="text1" w:themeTint="D8"/>
    </w:rPr>
  </w:style>
  <w:style w:type="paragraph" w:styleId="978">
    <w:name w:val="Subtitle"/>
    <w:basedOn w:val="1009"/>
    <w:next w:val="1009"/>
    <w:link w:val="979"/>
    <w:uiPriority w:val="11"/>
    <w:qFormat/>
    <w:pPr>
      <w:numPr>
        <w:ilvl w:val="1"/>
      </w:numPr>
      <w:pBdr/>
      <w:spacing/>
      <w:ind/>
    </w:pPr>
    <w:rPr>
      <w:color w:val="595959" w:themeColor="text1" w:themeTint="A6"/>
      <w:spacing w:val="15"/>
      <w:sz w:val="28"/>
      <w:szCs w:val="28"/>
    </w:rPr>
  </w:style>
  <w:style w:type="character" w:styleId="979">
    <w:name w:val="Subtitle Char"/>
    <w:basedOn w:val="1014"/>
    <w:link w:val="978"/>
    <w:uiPriority w:val="11"/>
    <w:pPr>
      <w:pBdr/>
      <w:spacing/>
      <w:ind/>
    </w:pPr>
    <w:rPr>
      <w:color w:val="595959" w:themeColor="text1" w:themeTint="A6"/>
      <w:spacing w:val="15"/>
      <w:sz w:val="28"/>
      <w:szCs w:val="28"/>
    </w:rPr>
  </w:style>
  <w:style w:type="paragraph" w:styleId="980">
    <w:name w:val="Quote"/>
    <w:basedOn w:val="1009"/>
    <w:next w:val="1009"/>
    <w:link w:val="981"/>
    <w:uiPriority w:val="29"/>
    <w:qFormat/>
    <w:pPr>
      <w:pBdr/>
      <w:spacing w:before="160"/>
      <w:ind/>
      <w:jc w:val="center"/>
    </w:pPr>
    <w:rPr>
      <w:i/>
      <w:iCs/>
      <w:color w:val="404040" w:themeColor="text1" w:themeTint="BF"/>
    </w:rPr>
  </w:style>
  <w:style w:type="character" w:styleId="981">
    <w:name w:val="Quote Char"/>
    <w:basedOn w:val="1014"/>
    <w:link w:val="980"/>
    <w:uiPriority w:val="29"/>
    <w:pPr>
      <w:pBdr/>
      <w:spacing/>
      <w:ind/>
    </w:pPr>
    <w:rPr>
      <w:i/>
      <w:iCs/>
      <w:color w:val="404040" w:themeColor="text1" w:themeTint="BF"/>
    </w:rPr>
  </w:style>
  <w:style w:type="character" w:styleId="982">
    <w:name w:val="Intense Emphasis"/>
    <w:basedOn w:val="1014"/>
    <w:uiPriority w:val="21"/>
    <w:qFormat/>
    <w:pPr>
      <w:pBdr/>
      <w:spacing/>
      <w:ind/>
    </w:pPr>
    <w:rPr>
      <w:i/>
      <w:iCs/>
      <w:color w:val="0f4761" w:themeColor="accent1" w:themeShade="BF"/>
    </w:rPr>
  </w:style>
  <w:style w:type="paragraph" w:styleId="983">
    <w:name w:val="Intense Quote"/>
    <w:basedOn w:val="1009"/>
    <w:next w:val="1009"/>
    <w:link w:val="984"/>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4">
    <w:name w:val="Intense Quote Char"/>
    <w:basedOn w:val="1014"/>
    <w:link w:val="983"/>
    <w:uiPriority w:val="30"/>
    <w:pPr>
      <w:pBdr/>
      <w:spacing/>
      <w:ind/>
    </w:pPr>
    <w:rPr>
      <w:i/>
      <w:iCs/>
      <w:color w:val="0f4761" w:themeColor="accent1" w:themeShade="BF"/>
    </w:rPr>
  </w:style>
  <w:style w:type="character" w:styleId="985">
    <w:name w:val="Intense Reference"/>
    <w:basedOn w:val="1014"/>
    <w:uiPriority w:val="32"/>
    <w:qFormat/>
    <w:pPr>
      <w:pBdr/>
      <w:spacing/>
      <w:ind/>
    </w:pPr>
    <w:rPr>
      <w:b/>
      <w:bCs/>
      <w:smallCaps/>
      <w:color w:val="0f4761" w:themeColor="accent1" w:themeShade="BF"/>
      <w:spacing w:val="5"/>
    </w:rPr>
  </w:style>
  <w:style w:type="paragraph" w:styleId="986">
    <w:name w:val="No Spacing"/>
    <w:basedOn w:val="1009"/>
    <w:uiPriority w:val="1"/>
    <w:qFormat/>
    <w:pPr>
      <w:pBdr/>
      <w:spacing w:after="0" w:line="240" w:lineRule="auto"/>
      <w:ind/>
    </w:pPr>
  </w:style>
  <w:style w:type="character" w:styleId="987">
    <w:name w:val="Subtle Emphasis"/>
    <w:basedOn w:val="1014"/>
    <w:uiPriority w:val="19"/>
    <w:qFormat/>
    <w:pPr>
      <w:pBdr/>
      <w:spacing/>
      <w:ind/>
    </w:pPr>
    <w:rPr>
      <w:i/>
      <w:iCs/>
      <w:color w:val="404040" w:themeColor="text1" w:themeTint="BF"/>
    </w:rPr>
  </w:style>
  <w:style w:type="character" w:styleId="988">
    <w:name w:val="Subtle Reference"/>
    <w:basedOn w:val="1014"/>
    <w:uiPriority w:val="31"/>
    <w:qFormat/>
    <w:pPr>
      <w:pBdr/>
      <w:spacing/>
      <w:ind/>
    </w:pPr>
    <w:rPr>
      <w:smallCaps/>
      <w:color w:val="5a5a5a" w:themeColor="text1" w:themeTint="A5"/>
    </w:rPr>
  </w:style>
  <w:style w:type="character" w:styleId="989">
    <w:name w:val="Book Title"/>
    <w:basedOn w:val="1014"/>
    <w:uiPriority w:val="33"/>
    <w:qFormat/>
    <w:pPr>
      <w:pBdr/>
      <w:spacing/>
      <w:ind/>
    </w:pPr>
    <w:rPr>
      <w:b/>
      <w:bCs/>
      <w:i/>
      <w:iCs/>
      <w:spacing w:val="5"/>
    </w:rPr>
  </w:style>
  <w:style w:type="paragraph" w:styleId="990">
    <w:name w:val="Caption"/>
    <w:basedOn w:val="1009"/>
    <w:next w:val="1009"/>
    <w:uiPriority w:val="35"/>
    <w:unhideWhenUsed/>
    <w:qFormat/>
    <w:pPr>
      <w:pBdr/>
      <w:spacing w:after="200" w:line="240" w:lineRule="auto"/>
      <w:ind/>
    </w:pPr>
    <w:rPr>
      <w:i/>
      <w:iCs/>
      <w:color w:val="0e2841" w:themeColor="text2"/>
      <w:sz w:val="18"/>
      <w:szCs w:val="18"/>
    </w:rPr>
  </w:style>
  <w:style w:type="paragraph" w:styleId="991">
    <w:name w:val="footnote text"/>
    <w:basedOn w:val="1009"/>
    <w:link w:val="992"/>
    <w:uiPriority w:val="99"/>
    <w:semiHidden/>
    <w:unhideWhenUsed/>
    <w:pPr>
      <w:pBdr/>
      <w:spacing w:after="0" w:line="240" w:lineRule="auto"/>
      <w:ind/>
    </w:pPr>
    <w:rPr>
      <w:sz w:val="20"/>
      <w:szCs w:val="20"/>
    </w:rPr>
  </w:style>
  <w:style w:type="character" w:styleId="992">
    <w:name w:val="Footnote Text Char"/>
    <w:basedOn w:val="1014"/>
    <w:link w:val="991"/>
    <w:uiPriority w:val="99"/>
    <w:semiHidden/>
    <w:pPr>
      <w:pBdr/>
      <w:spacing/>
      <w:ind/>
    </w:pPr>
    <w:rPr>
      <w:sz w:val="20"/>
      <w:szCs w:val="20"/>
    </w:rPr>
  </w:style>
  <w:style w:type="character" w:styleId="993">
    <w:name w:val="footnote reference"/>
    <w:basedOn w:val="1014"/>
    <w:uiPriority w:val="99"/>
    <w:semiHidden/>
    <w:unhideWhenUsed/>
    <w:pPr>
      <w:pBdr/>
      <w:spacing/>
      <w:ind/>
    </w:pPr>
    <w:rPr>
      <w:vertAlign w:val="superscript"/>
    </w:rPr>
  </w:style>
  <w:style w:type="paragraph" w:styleId="994">
    <w:name w:val="endnote text"/>
    <w:basedOn w:val="1009"/>
    <w:link w:val="995"/>
    <w:uiPriority w:val="99"/>
    <w:semiHidden/>
    <w:unhideWhenUsed/>
    <w:pPr>
      <w:pBdr/>
      <w:spacing w:after="0" w:line="240" w:lineRule="auto"/>
      <w:ind/>
    </w:pPr>
    <w:rPr>
      <w:sz w:val="20"/>
      <w:szCs w:val="20"/>
    </w:rPr>
  </w:style>
  <w:style w:type="character" w:styleId="995">
    <w:name w:val="Endnote Text Char"/>
    <w:basedOn w:val="1014"/>
    <w:link w:val="994"/>
    <w:uiPriority w:val="99"/>
    <w:semiHidden/>
    <w:pPr>
      <w:pBdr/>
      <w:spacing/>
      <w:ind/>
    </w:pPr>
    <w:rPr>
      <w:sz w:val="20"/>
      <w:szCs w:val="20"/>
    </w:rPr>
  </w:style>
  <w:style w:type="character" w:styleId="996">
    <w:name w:val="endnote reference"/>
    <w:basedOn w:val="1014"/>
    <w:uiPriority w:val="99"/>
    <w:semiHidden/>
    <w:unhideWhenUsed/>
    <w:pPr>
      <w:pBdr/>
      <w:spacing/>
      <w:ind/>
    </w:pPr>
    <w:rPr>
      <w:vertAlign w:val="superscript"/>
    </w:rPr>
  </w:style>
  <w:style w:type="paragraph" w:styleId="997">
    <w:name w:val="toc 1"/>
    <w:basedOn w:val="1009"/>
    <w:next w:val="1009"/>
    <w:uiPriority w:val="39"/>
    <w:unhideWhenUsed/>
    <w:pPr>
      <w:pBdr/>
      <w:spacing w:after="100"/>
      <w:ind/>
    </w:pPr>
  </w:style>
  <w:style w:type="paragraph" w:styleId="998">
    <w:name w:val="toc 2"/>
    <w:basedOn w:val="1009"/>
    <w:next w:val="1009"/>
    <w:uiPriority w:val="39"/>
    <w:unhideWhenUsed/>
    <w:pPr>
      <w:pBdr/>
      <w:spacing w:after="100"/>
      <w:ind w:left="220"/>
    </w:pPr>
  </w:style>
  <w:style w:type="paragraph" w:styleId="999">
    <w:name w:val="toc 3"/>
    <w:basedOn w:val="1009"/>
    <w:next w:val="1009"/>
    <w:uiPriority w:val="39"/>
    <w:unhideWhenUsed/>
    <w:pPr>
      <w:pBdr/>
      <w:spacing w:after="100"/>
      <w:ind w:left="440"/>
    </w:pPr>
  </w:style>
  <w:style w:type="paragraph" w:styleId="1000">
    <w:name w:val="toc 4"/>
    <w:basedOn w:val="1009"/>
    <w:next w:val="1009"/>
    <w:uiPriority w:val="39"/>
    <w:unhideWhenUsed/>
    <w:pPr>
      <w:pBdr/>
      <w:spacing w:after="100"/>
      <w:ind w:left="660"/>
    </w:pPr>
  </w:style>
  <w:style w:type="paragraph" w:styleId="1001">
    <w:name w:val="toc 5"/>
    <w:basedOn w:val="1009"/>
    <w:next w:val="1009"/>
    <w:uiPriority w:val="39"/>
    <w:unhideWhenUsed/>
    <w:pPr>
      <w:pBdr/>
      <w:spacing w:after="100"/>
      <w:ind w:left="880"/>
    </w:pPr>
  </w:style>
  <w:style w:type="paragraph" w:styleId="1002">
    <w:name w:val="toc 6"/>
    <w:basedOn w:val="1009"/>
    <w:next w:val="1009"/>
    <w:uiPriority w:val="39"/>
    <w:unhideWhenUsed/>
    <w:pPr>
      <w:pBdr/>
      <w:spacing w:after="100"/>
      <w:ind w:left="1100"/>
    </w:pPr>
  </w:style>
  <w:style w:type="paragraph" w:styleId="1003">
    <w:name w:val="toc 7"/>
    <w:basedOn w:val="1009"/>
    <w:next w:val="1009"/>
    <w:uiPriority w:val="39"/>
    <w:unhideWhenUsed/>
    <w:pPr>
      <w:pBdr/>
      <w:spacing w:after="100"/>
      <w:ind w:left="1320"/>
    </w:pPr>
  </w:style>
  <w:style w:type="paragraph" w:styleId="1004">
    <w:name w:val="toc 8"/>
    <w:basedOn w:val="1009"/>
    <w:next w:val="1009"/>
    <w:uiPriority w:val="39"/>
    <w:unhideWhenUsed/>
    <w:pPr>
      <w:pBdr/>
      <w:spacing w:after="100"/>
      <w:ind w:left="1540"/>
    </w:pPr>
  </w:style>
  <w:style w:type="paragraph" w:styleId="1005">
    <w:name w:val="toc 9"/>
    <w:basedOn w:val="1009"/>
    <w:next w:val="1009"/>
    <w:uiPriority w:val="39"/>
    <w:unhideWhenUsed/>
    <w:pPr>
      <w:pBdr/>
      <w:spacing w:after="100"/>
      <w:ind w:left="1760"/>
    </w:pPr>
  </w:style>
  <w:style w:type="character" w:styleId="1006">
    <w:name w:val="Placeholder Text"/>
    <w:basedOn w:val="1014"/>
    <w:uiPriority w:val="99"/>
    <w:semiHidden/>
    <w:pPr>
      <w:pBdr/>
      <w:spacing/>
      <w:ind/>
    </w:pPr>
    <w:rPr>
      <w:color w:val="666666"/>
    </w:rPr>
  </w:style>
  <w:style w:type="paragraph" w:styleId="1007">
    <w:name w:val="TOC Heading"/>
    <w:uiPriority w:val="39"/>
    <w:unhideWhenUsed/>
    <w:pPr>
      <w:pBdr/>
      <w:spacing/>
      <w:ind/>
    </w:pPr>
  </w:style>
  <w:style w:type="paragraph" w:styleId="1008">
    <w:name w:val="table of figures"/>
    <w:basedOn w:val="1009"/>
    <w:next w:val="1009"/>
    <w:uiPriority w:val="99"/>
    <w:unhideWhenUsed/>
    <w:pPr>
      <w:pBdr/>
      <w:spacing w:after="0" w:afterAutospacing="0"/>
      <w:ind/>
    </w:pPr>
  </w:style>
  <w:style w:type="paragraph" w:styleId="1009" w:default="1">
    <w:name w:val="Normal"/>
    <w:qFormat/>
    <w:pPr>
      <w:pBdr/>
      <w:spacing w:after="0" w:line="240" w:lineRule="auto"/>
      <w:ind/>
    </w:pPr>
    <w:rPr>
      <w:rFonts w:ascii="Times New Roman" w:hAnsi="Times New Roman" w:eastAsia="Times New Roman" w:cs="Times New Roman"/>
      <w:sz w:val="24"/>
      <w:szCs w:val="24"/>
    </w:rPr>
  </w:style>
  <w:style w:type="paragraph" w:styleId="1010">
    <w:name w:val="Heading 1"/>
    <w:basedOn w:val="1009"/>
    <w:next w:val="1009"/>
    <w:link w:val="1017"/>
    <w:qFormat/>
    <w:pPr>
      <w:keepNext w:val="true"/>
      <w:pBdr/>
      <w:spacing w:after="120" w:before="120"/>
      <w:ind/>
      <w:jc w:val="center"/>
      <w:outlineLvl w:val="0"/>
    </w:pPr>
    <w:rPr>
      <w:b/>
      <w:bCs/>
      <w:sz w:val="27"/>
      <w:szCs w:val="27"/>
    </w:rPr>
  </w:style>
  <w:style w:type="paragraph" w:styleId="1011">
    <w:name w:val="Heading 2"/>
    <w:basedOn w:val="1009"/>
    <w:next w:val="1009"/>
    <w:link w:val="1018"/>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2">
    <w:name w:val="Heading 3"/>
    <w:basedOn w:val="1009"/>
    <w:next w:val="1009"/>
    <w:link w:val="1019"/>
    <w:qFormat/>
    <w:pPr>
      <w:keepNext w:val="true"/>
      <w:pBdr/>
      <w:spacing w:before="60"/>
      <w:ind/>
      <w:outlineLvl w:val="2"/>
    </w:pPr>
    <w:rPr>
      <w:sz w:val="28"/>
      <w:szCs w:val="28"/>
    </w:rPr>
  </w:style>
  <w:style w:type="paragraph" w:styleId="1013">
    <w:name w:val="Heading 4"/>
    <w:basedOn w:val="1009"/>
    <w:next w:val="1009"/>
    <w:link w:val="1020"/>
    <w:qFormat/>
    <w:pPr>
      <w:keepNext w:val="true"/>
      <w:pBdr/>
      <w:spacing/>
      <w:ind/>
      <w:jc w:val="center"/>
      <w:outlineLvl w:val="3"/>
    </w:pPr>
    <w:rPr>
      <w:b/>
      <w:bCs/>
    </w:rPr>
  </w:style>
  <w:style w:type="character" w:styleId="1014" w:default="1">
    <w:name w:val="Default Paragraph Font"/>
    <w:uiPriority w:val="1"/>
    <w:semiHidden/>
    <w:unhideWhenUsed/>
    <w:pPr>
      <w:pBdr/>
      <w:spacing/>
      <w:ind/>
    </w:pPr>
  </w:style>
  <w:style w:type="table" w:styleId="101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6" w:default="1">
    <w:name w:val="No List"/>
    <w:uiPriority w:val="99"/>
    <w:semiHidden/>
    <w:unhideWhenUsed/>
    <w:pPr>
      <w:pBdr/>
      <w:spacing/>
      <w:ind/>
    </w:pPr>
  </w:style>
  <w:style w:type="character" w:styleId="1017" w:customStyle="1">
    <w:name w:val="Heading 1 Char"/>
    <w:basedOn w:val="1014"/>
    <w:link w:val="1010"/>
    <w:pPr>
      <w:pBdr/>
      <w:spacing/>
      <w:ind/>
    </w:pPr>
    <w:rPr>
      <w:rFonts w:ascii="Times New Roman" w:hAnsi="Times New Roman" w:eastAsia="Times New Roman" w:cs="Times New Roman"/>
      <w:b/>
      <w:bCs/>
      <w:sz w:val="27"/>
      <w:szCs w:val="27"/>
    </w:rPr>
  </w:style>
  <w:style w:type="character" w:styleId="1018" w:customStyle="1">
    <w:name w:val="Heading 2 Char"/>
    <w:basedOn w:val="1014"/>
    <w:link w:val="1011"/>
    <w:uiPriority w:val="9"/>
    <w:pPr>
      <w:pBdr/>
      <w:spacing/>
      <w:ind/>
    </w:pPr>
    <w:rPr>
      <w:rFonts w:asciiTheme="majorHAnsi" w:hAnsiTheme="majorHAnsi" w:eastAsiaTheme="majorEastAsia" w:cstheme="majorBidi"/>
      <w:color w:val="365f91" w:themeColor="accent1" w:themeShade="BF"/>
      <w:sz w:val="26"/>
      <w:szCs w:val="26"/>
    </w:rPr>
  </w:style>
  <w:style w:type="character" w:styleId="1019" w:customStyle="1">
    <w:name w:val="Heading 3 Char"/>
    <w:basedOn w:val="1014"/>
    <w:link w:val="1012"/>
    <w:pPr>
      <w:pBdr/>
      <w:spacing/>
      <w:ind/>
    </w:pPr>
    <w:rPr>
      <w:rFonts w:ascii="Times New Roman" w:hAnsi="Times New Roman" w:eastAsia="Times New Roman" w:cs="Times New Roman"/>
      <w:sz w:val="28"/>
      <w:szCs w:val="28"/>
    </w:rPr>
  </w:style>
  <w:style w:type="character" w:styleId="1020" w:customStyle="1">
    <w:name w:val="Heading 4 Char"/>
    <w:basedOn w:val="1014"/>
    <w:link w:val="1013"/>
    <w:pPr>
      <w:pBdr/>
      <w:spacing/>
      <w:ind/>
    </w:pPr>
    <w:rPr>
      <w:rFonts w:ascii="Times New Roman" w:hAnsi="Times New Roman" w:eastAsia="Times New Roman" w:cs="Times New Roman"/>
      <w:b/>
      <w:bCs/>
      <w:sz w:val="24"/>
      <w:szCs w:val="24"/>
    </w:rPr>
  </w:style>
  <w:style w:type="character" w:styleId="1021">
    <w:name w:val="Hyperlink"/>
    <w:uiPriority w:val="99"/>
    <w:pPr>
      <w:pBdr/>
      <w:spacing/>
      <w:ind/>
    </w:pPr>
    <w:rPr>
      <w:color w:val="000000"/>
      <w:u w:val="single"/>
    </w:rPr>
  </w:style>
  <w:style w:type="character" w:styleId="1022">
    <w:name w:val="Strong"/>
    <w:uiPriority w:val="22"/>
    <w:qFormat/>
    <w:pPr>
      <w:pBdr/>
      <w:spacing/>
      <w:ind/>
    </w:pPr>
    <w:rPr>
      <w:b/>
      <w:bCs/>
    </w:rPr>
  </w:style>
  <w:style w:type="paragraph" w:styleId="1023">
    <w:name w:val="Balloon Text"/>
    <w:basedOn w:val="1009"/>
    <w:link w:val="1024"/>
    <w:uiPriority w:val="99"/>
    <w:semiHidden/>
    <w:unhideWhenUsed/>
    <w:pPr>
      <w:pBdr/>
      <w:spacing/>
      <w:ind/>
    </w:pPr>
    <w:rPr>
      <w:rFonts w:ascii="Tahoma" w:hAnsi="Tahoma" w:cs="Tahoma"/>
      <w:sz w:val="16"/>
      <w:szCs w:val="16"/>
    </w:rPr>
  </w:style>
  <w:style w:type="character" w:styleId="1024" w:customStyle="1">
    <w:name w:val="Balloon Text Char"/>
    <w:basedOn w:val="1014"/>
    <w:link w:val="1023"/>
    <w:uiPriority w:val="99"/>
    <w:semiHidden/>
    <w:pPr>
      <w:pBdr/>
      <w:spacing/>
      <w:ind/>
    </w:pPr>
    <w:rPr>
      <w:rFonts w:ascii="Tahoma" w:hAnsi="Tahoma" w:eastAsia="Times New Roman" w:cs="Tahoma"/>
      <w:sz w:val="16"/>
      <w:szCs w:val="16"/>
    </w:rPr>
  </w:style>
  <w:style w:type="paragraph" w:styleId="1025">
    <w:name w:val="Header"/>
    <w:basedOn w:val="1009"/>
    <w:link w:val="1026"/>
    <w:unhideWhenUsed/>
    <w:pPr>
      <w:pBdr/>
      <w:tabs>
        <w:tab w:val="center" w:leader="none" w:pos="4680"/>
        <w:tab w:val="right" w:leader="none" w:pos="9360"/>
      </w:tabs>
      <w:spacing/>
      <w:ind/>
    </w:pPr>
  </w:style>
  <w:style w:type="character" w:styleId="1026" w:customStyle="1">
    <w:name w:val="Header Char"/>
    <w:basedOn w:val="1014"/>
    <w:link w:val="1025"/>
    <w:pPr>
      <w:pBdr/>
      <w:spacing/>
      <w:ind/>
    </w:pPr>
    <w:rPr>
      <w:rFonts w:ascii="Times New Roman" w:hAnsi="Times New Roman" w:eastAsia="Times New Roman" w:cs="Times New Roman"/>
      <w:sz w:val="24"/>
      <w:szCs w:val="24"/>
    </w:rPr>
  </w:style>
  <w:style w:type="paragraph" w:styleId="1027">
    <w:name w:val="Footer"/>
    <w:basedOn w:val="1009"/>
    <w:link w:val="1028"/>
    <w:uiPriority w:val="99"/>
    <w:unhideWhenUsed/>
    <w:pPr>
      <w:pBdr/>
      <w:tabs>
        <w:tab w:val="center" w:leader="none" w:pos="4680"/>
        <w:tab w:val="right" w:leader="none" w:pos="9360"/>
      </w:tabs>
      <w:spacing/>
      <w:ind/>
    </w:pPr>
  </w:style>
  <w:style w:type="character" w:styleId="1028" w:customStyle="1">
    <w:name w:val="Footer Char"/>
    <w:basedOn w:val="1014"/>
    <w:link w:val="1027"/>
    <w:uiPriority w:val="99"/>
    <w:pPr>
      <w:pBdr/>
      <w:spacing/>
      <w:ind/>
    </w:pPr>
    <w:rPr>
      <w:rFonts w:ascii="Times New Roman" w:hAnsi="Times New Roman" w:eastAsia="Times New Roman" w:cs="Times New Roman"/>
      <w:sz w:val="24"/>
      <w:szCs w:val="24"/>
    </w:rPr>
  </w:style>
  <w:style w:type="character" w:styleId="1029" w:customStyle="1">
    <w:name w:val="normal-h1"/>
    <w:pPr>
      <w:pBdr/>
      <w:spacing/>
      <w:ind/>
    </w:pPr>
    <w:rPr>
      <w:rFonts w:hint="default" w:ascii=".VnTime" w:hAnsi=".VnTime"/>
      <w:color w:val="0000ff"/>
      <w:sz w:val="24"/>
      <w:szCs w:val="24"/>
    </w:rPr>
  </w:style>
  <w:style w:type="paragraph" w:styleId="1030" w:customStyle="1">
    <w:name w:val="normal-p"/>
    <w:basedOn w:val="1009"/>
    <w:pPr>
      <w:pBdr/>
      <w:spacing/>
      <w:ind/>
      <w:jc w:val="both"/>
    </w:pPr>
    <w:rPr>
      <w:sz w:val="20"/>
      <w:szCs w:val="20"/>
    </w:rPr>
  </w:style>
  <w:style w:type="paragraph" w:styleId="1031">
    <w:name w:val="List Paragraph"/>
    <w:basedOn w:val="1009"/>
    <w:link w:val="1118"/>
    <w:uiPriority w:val="34"/>
    <w:qFormat/>
    <w:pPr>
      <w:pBdr/>
      <w:spacing/>
      <w:ind w:left="720"/>
    </w:pPr>
  </w:style>
  <w:style w:type="paragraph" w:styleId="1032">
    <w:name w:val="Normal (Web)"/>
    <w:basedOn w:val="1009"/>
    <w:uiPriority w:val="99"/>
    <w:pPr>
      <w:pBdr/>
      <w:spacing w:after="100" w:afterAutospacing="1" w:before="100" w:beforeAutospacing="1"/>
      <w:ind/>
    </w:pPr>
  </w:style>
  <w:style w:type="paragraph" w:styleId="1033">
    <w:name w:val="Body Text"/>
    <w:basedOn w:val="1009"/>
    <w:link w:val="1034"/>
    <w:pPr>
      <w:pBdr/>
      <w:spacing w:after="120"/>
      <w:ind/>
      <w:jc w:val="both"/>
    </w:pPr>
  </w:style>
  <w:style w:type="character" w:styleId="1034" w:customStyle="1">
    <w:name w:val="Body Text Char"/>
    <w:basedOn w:val="1014"/>
    <w:link w:val="1033"/>
    <w:pPr>
      <w:pBdr/>
      <w:spacing/>
      <w:ind/>
    </w:pPr>
    <w:rPr>
      <w:rFonts w:ascii="Times New Roman" w:hAnsi="Times New Roman" w:eastAsia="Times New Roman" w:cs="Times New Roman"/>
      <w:sz w:val="24"/>
      <w:szCs w:val="24"/>
    </w:rPr>
  </w:style>
  <w:style w:type="table" w:styleId="1035">
    <w:name w:val="Table Grid"/>
    <w:basedOn w:val="101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6"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7">
    <w:name w:val="annotation reference"/>
    <w:basedOn w:val="1014"/>
    <w:uiPriority w:val="99"/>
    <w:semiHidden/>
    <w:unhideWhenUsed/>
    <w:pPr>
      <w:pBdr/>
      <w:spacing/>
      <w:ind/>
    </w:pPr>
    <w:rPr>
      <w:sz w:val="16"/>
      <w:szCs w:val="16"/>
    </w:rPr>
  </w:style>
  <w:style w:type="paragraph" w:styleId="1038">
    <w:name w:val="annotation text"/>
    <w:basedOn w:val="1009"/>
    <w:link w:val="1039"/>
    <w:uiPriority w:val="99"/>
    <w:unhideWhenUsed/>
    <w:pPr>
      <w:pBdr/>
      <w:spacing/>
      <w:ind/>
    </w:pPr>
    <w:rPr>
      <w:sz w:val="20"/>
      <w:szCs w:val="20"/>
    </w:rPr>
  </w:style>
  <w:style w:type="character" w:styleId="1039" w:customStyle="1">
    <w:name w:val="Comment Text Char"/>
    <w:basedOn w:val="1014"/>
    <w:link w:val="1038"/>
    <w:uiPriority w:val="99"/>
    <w:pPr>
      <w:pBdr/>
      <w:spacing/>
      <w:ind/>
    </w:pPr>
    <w:rPr>
      <w:rFonts w:ascii="Times New Roman" w:hAnsi="Times New Roman" w:eastAsia="Times New Roman" w:cs="Times New Roman"/>
      <w:sz w:val="20"/>
      <w:szCs w:val="20"/>
    </w:rPr>
  </w:style>
  <w:style w:type="paragraph" w:styleId="1040">
    <w:name w:val="annotation subject"/>
    <w:basedOn w:val="1038"/>
    <w:next w:val="1038"/>
    <w:link w:val="1041"/>
    <w:uiPriority w:val="99"/>
    <w:semiHidden/>
    <w:unhideWhenUsed/>
    <w:pPr>
      <w:pBdr/>
      <w:spacing/>
      <w:ind/>
    </w:pPr>
    <w:rPr>
      <w:b/>
      <w:bCs/>
    </w:rPr>
  </w:style>
  <w:style w:type="character" w:styleId="1041" w:customStyle="1">
    <w:name w:val="Comment Subject Char"/>
    <w:basedOn w:val="1039"/>
    <w:link w:val="1040"/>
    <w:uiPriority w:val="99"/>
    <w:semiHidden/>
    <w:pPr>
      <w:pBdr/>
      <w:spacing/>
      <w:ind/>
    </w:pPr>
    <w:rPr>
      <w:rFonts w:ascii="Times New Roman" w:hAnsi="Times New Roman" w:eastAsia="Times New Roman" w:cs="Times New Roman"/>
      <w:b/>
      <w:bCs/>
      <w:sz w:val="20"/>
      <w:szCs w:val="20"/>
    </w:rPr>
  </w:style>
  <w:style w:type="paragraph" w:styleId="1042" w:customStyle="1">
    <w:name w:val="font5"/>
    <w:basedOn w:val="1009"/>
    <w:pPr>
      <w:pBdr/>
      <w:spacing w:after="100" w:afterAutospacing="1" w:before="100" w:beforeAutospacing="1"/>
      <w:ind/>
    </w:pPr>
    <w:rPr>
      <w:rFonts w:ascii="Tahoma" w:hAnsi="Tahoma" w:cs="Tahoma"/>
      <w:color w:val="000000"/>
      <w:sz w:val="18"/>
      <w:szCs w:val="18"/>
    </w:rPr>
  </w:style>
  <w:style w:type="paragraph" w:styleId="1043" w:customStyle="1">
    <w:name w:val="font6"/>
    <w:basedOn w:val="1009"/>
    <w:pPr>
      <w:pBdr/>
      <w:spacing w:after="100" w:afterAutospacing="1" w:before="100" w:beforeAutospacing="1"/>
      <w:ind/>
    </w:pPr>
    <w:rPr>
      <w:rFonts w:ascii="Tahoma" w:hAnsi="Tahoma" w:cs="Tahoma"/>
      <w:b/>
      <w:bCs/>
      <w:color w:val="000000"/>
      <w:sz w:val="18"/>
      <w:szCs w:val="18"/>
    </w:rPr>
  </w:style>
  <w:style w:type="paragraph" w:styleId="1044" w:customStyle="1">
    <w:name w:val="xl23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5" w:customStyle="1">
    <w:name w:val="xl234"/>
    <w:basedOn w:val="1009"/>
    <w:pPr>
      <w:pBdr/>
      <w:spacing w:after="100" w:afterAutospacing="1" w:before="100" w:beforeAutospacing="1"/>
      <w:ind/>
      <w:jc w:val="center"/>
    </w:pPr>
  </w:style>
  <w:style w:type="paragraph" w:styleId="1046" w:customStyle="1">
    <w:name w:val="xl235"/>
    <w:basedOn w:val="1009"/>
    <w:pPr>
      <w:pBdr/>
      <w:spacing w:after="100" w:afterAutospacing="1" w:before="100" w:beforeAutospacing="1"/>
      <w:ind/>
      <w:jc w:val="center"/>
    </w:pPr>
    <w:rPr>
      <w:b/>
      <w:bCs/>
    </w:rPr>
  </w:style>
  <w:style w:type="paragraph" w:styleId="1047" w:customStyle="1">
    <w:name w:val="xl236"/>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8" w:customStyle="1">
    <w:name w:val="xl23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38"/>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0" w:customStyle="1">
    <w:name w:val="xl23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1" w:customStyle="1">
    <w:name w:val="xl240"/>
    <w:basedOn w:val="1009"/>
    <w:pPr>
      <w:pBdr/>
      <w:spacing w:after="100" w:afterAutospacing="1" w:before="100" w:beforeAutospacing="1"/>
      <w:ind/>
    </w:pPr>
  </w:style>
  <w:style w:type="paragraph" w:styleId="1052" w:customStyle="1">
    <w:name w:val="xl241"/>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42"/>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4" w:customStyle="1">
    <w:name w:val="xl243"/>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5" w:customStyle="1">
    <w:name w:val="xl244"/>
    <w:basedOn w:val="1009"/>
    <w:pPr>
      <w:pBdr/>
      <w:spacing w:after="100" w:afterAutospacing="1" w:before="100" w:beforeAutospacing="1"/>
      <w:ind/>
    </w:pPr>
    <w:rPr>
      <w:b/>
      <w:bCs/>
    </w:rPr>
  </w:style>
  <w:style w:type="paragraph" w:styleId="1056" w:customStyle="1">
    <w:name w:val="xl245"/>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4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8" w:customStyle="1">
    <w:name w:val="xl247"/>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9" w:customStyle="1">
    <w:name w:val="xl24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0" w:customStyle="1">
    <w:name w:val="xl24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1" w:customStyle="1">
    <w:name w:val="xl25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2" w:customStyle="1">
    <w:name w:val="xl25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3" w:customStyle="1">
    <w:name w:val="xl25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3"/>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4"/>
    <w:basedOn w:val="1009"/>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6" w:customStyle="1">
    <w:name w:val="xl255"/>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7" w:customStyle="1">
    <w:name w:val="xl25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8" w:customStyle="1">
    <w:name w:val="xl25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8"/>
    <w:basedOn w:val="1009"/>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0" w:customStyle="1">
    <w:name w:val="xl25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1" w:customStyle="1">
    <w:name w:val="xl260"/>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2" w:customStyle="1">
    <w:name w:val="xl261"/>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3" w:customStyle="1">
    <w:name w:val="xl262"/>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3"/>
    <w:basedOn w:val="1009"/>
    <w:pPr>
      <w:pBdr/>
      <w:shd w:val="clear" w:color="000000" w:fill="ffffff"/>
      <w:spacing w:after="100" w:afterAutospacing="1" w:before="100" w:beforeAutospacing="1"/>
      <w:ind/>
    </w:pPr>
  </w:style>
  <w:style w:type="paragraph" w:styleId="1075" w:customStyle="1">
    <w:name w:val="xl264"/>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6" w:customStyle="1">
    <w:name w:val="xl265"/>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7" w:customStyle="1">
    <w:name w:val="xl26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8" w:customStyle="1">
    <w:name w:val="xl26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9" w:customStyle="1">
    <w:name w:val="xl268"/>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0" w:customStyle="1">
    <w:name w:val="xl269"/>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1" w:customStyle="1">
    <w:name w:val="xl27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1"/>
    <w:basedOn w:val="1009"/>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3" w:customStyle="1">
    <w:name w:val="xl27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4" w:customStyle="1">
    <w:name w:val="xl273"/>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5" w:customStyle="1">
    <w:name w:val="xl274"/>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5"/>
    <w:basedOn w:val="1009"/>
    <w:pPr>
      <w:pBdr/>
      <w:spacing w:after="100" w:afterAutospacing="1" w:before="100" w:beforeAutospacing="1"/>
      <w:ind/>
    </w:pPr>
  </w:style>
  <w:style w:type="paragraph" w:styleId="1087" w:customStyle="1">
    <w:name w:val="xl27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8" w:customStyle="1">
    <w:name w:val="xl277"/>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9" w:customStyle="1">
    <w:name w:val="xl27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0" w:customStyle="1">
    <w:name w:val="xl27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1" w:customStyle="1">
    <w:name w:val="xl28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2" w:customStyle="1">
    <w:name w:val="xl28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3" w:customStyle="1">
    <w:name w:val="xl28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8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4"/>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096" w:customStyle="1">
    <w:name w:val="xl285"/>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7" w:customStyle="1">
    <w:name w:val="xl28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8" w:customStyle="1">
    <w:name w:val="xl287"/>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8"/>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89"/>
    <w:basedOn w:val="1009"/>
    <w:pPr>
      <w:pBdr>
        <w:left w:val="single" w:color="000000" w:sz="4" w:space="0"/>
        <w:right w:val="single" w:color="000000" w:sz="4" w:space="0"/>
      </w:pBdr>
      <w:spacing w:after="100" w:afterAutospacing="1" w:before="100" w:beforeAutospacing="1"/>
      <w:ind/>
    </w:pPr>
    <w:rPr>
      <w:b/>
      <w:bCs/>
    </w:rPr>
  </w:style>
  <w:style w:type="paragraph" w:styleId="1101" w:customStyle="1">
    <w:name w:val="xl29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2" w:customStyle="1">
    <w:name w:val="xl291"/>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3" w:customStyle="1">
    <w:name w:val="xl292"/>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93"/>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94"/>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6">
    <w:name w:val="Title"/>
    <w:basedOn w:val="1009"/>
    <w:link w:val="1107"/>
    <w:qFormat/>
    <w:pPr>
      <w:pBdr/>
      <w:spacing/>
      <w:ind/>
      <w:jc w:val="center"/>
    </w:pPr>
    <w:rPr>
      <w:b/>
      <w:bCs/>
      <w:sz w:val="32"/>
      <w:szCs w:val="26"/>
    </w:rPr>
  </w:style>
  <w:style w:type="character" w:styleId="1107" w:customStyle="1">
    <w:name w:val="Title Char"/>
    <w:basedOn w:val="1014"/>
    <w:link w:val="1106"/>
    <w:pPr>
      <w:pBdr/>
      <w:spacing/>
      <w:ind/>
    </w:pPr>
    <w:rPr>
      <w:rFonts w:ascii="Times New Roman" w:hAnsi="Times New Roman" w:eastAsia="Times New Roman" w:cs="Times New Roman"/>
      <w:b/>
      <w:bCs/>
      <w:sz w:val="32"/>
      <w:szCs w:val="26"/>
    </w:rPr>
  </w:style>
  <w:style w:type="character" w:styleId="1108" w:customStyle="1">
    <w:name w:val="Unresolved Mention1"/>
    <w:basedOn w:val="1014"/>
    <w:uiPriority w:val="99"/>
    <w:semiHidden/>
    <w:unhideWhenUsed/>
    <w:pPr>
      <w:pBdr/>
      <w:spacing/>
      <w:ind/>
    </w:pPr>
    <w:rPr>
      <w:color w:val="605e5c"/>
      <w:shd w:val="clear" w:color="auto" w:fill="e1dfdd"/>
    </w:rPr>
  </w:style>
  <w:style w:type="character" w:styleId="1109" w:customStyle="1">
    <w:name w:val="Body text (3)_"/>
    <w:link w:val="1110"/>
    <w:pPr>
      <w:pBdr/>
      <w:spacing/>
      <w:ind/>
    </w:pPr>
    <w:rPr>
      <w:rFonts w:ascii="Times New Roman" w:hAnsi="Times New Roman" w:cs="Times New Roman"/>
      <w:i/>
      <w:iCs/>
      <w:spacing w:val="4"/>
      <w:shd w:val="clear" w:color="auto" w:fill="ffffff"/>
    </w:rPr>
  </w:style>
  <w:style w:type="paragraph" w:styleId="1110" w:customStyle="1">
    <w:name w:val="Body text (3)1"/>
    <w:basedOn w:val="1009"/>
    <w:link w:val="1109"/>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1" w:customStyle="1">
    <w:name w:val="t-j"/>
    <w:basedOn w:val="1009"/>
    <w:pPr>
      <w:pBdr/>
      <w:spacing w:after="100" w:afterAutospacing="1" w:before="100" w:beforeAutospacing="1"/>
      <w:ind/>
    </w:pPr>
  </w:style>
  <w:style w:type="character" w:styleId="1112" w:customStyle="1">
    <w:name w:val="Unresolved Mention2"/>
    <w:basedOn w:val="1014"/>
    <w:uiPriority w:val="99"/>
    <w:semiHidden/>
    <w:unhideWhenUsed/>
    <w:pPr>
      <w:pBdr/>
      <w:spacing/>
      <w:ind/>
    </w:pPr>
    <w:rPr>
      <w:color w:val="605e5c"/>
      <w:shd w:val="clear" w:color="auto" w:fill="e1dfdd"/>
    </w:rPr>
  </w:style>
  <w:style w:type="character" w:styleId="1113">
    <w:name w:val="FollowedHyperlink"/>
    <w:basedOn w:val="1014"/>
    <w:uiPriority w:val="99"/>
    <w:semiHidden/>
    <w:unhideWhenUsed/>
    <w:pPr>
      <w:pBdr/>
      <w:spacing/>
      <w:ind/>
    </w:pPr>
    <w:rPr>
      <w:color w:val="800080" w:themeColor="followedHyperlink"/>
      <w:u w:val="single"/>
    </w:rPr>
  </w:style>
  <w:style w:type="character" w:styleId="1114" w:customStyle="1">
    <w:name w:val="text"/>
    <w:basedOn w:val="1014"/>
    <w:pPr>
      <w:pBdr/>
      <w:spacing/>
      <w:ind/>
    </w:pPr>
  </w:style>
  <w:style w:type="character" w:styleId="1115" w:customStyle="1">
    <w:name w:val="card-send-time__sendtime"/>
    <w:basedOn w:val="1014"/>
    <w:pPr>
      <w:pBdr/>
      <w:spacing/>
      <w:ind/>
    </w:pPr>
  </w:style>
  <w:style w:type="character" w:styleId="1116" w:customStyle="1">
    <w:name w:val="Đề cập Chưa giải quyết1"/>
    <w:basedOn w:val="1014"/>
    <w:uiPriority w:val="99"/>
    <w:semiHidden/>
    <w:unhideWhenUsed/>
    <w:pPr>
      <w:pBdr/>
      <w:spacing/>
      <w:ind/>
    </w:pPr>
    <w:rPr>
      <w:color w:val="605e5c"/>
      <w:shd w:val="clear" w:color="auto" w:fill="e1dfdd"/>
    </w:rPr>
  </w:style>
  <w:style w:type="paragraph" w:styleId="1117" w:customStyle="1">
    <w:name w:val="nqtitle"/>
    <w:basedOn w:val="1009"/>
    <w:pPr>
      <w:pBdr/>
      <w:spacing w:after="100" w:afterAutospacing="1" w:before="100" w:beforeAutospacing="1"/>
      <w:ind/>
    </w:pPr>
    <w:rPr>
      <w:lang w:val="vi-VN" w:eastAsia="vi-VN"/>
    </w:rPr>
  </w:style>
  <w:style w:type="character" w:styleId="1118" w:customStyle="1">
    <w:name w:val="List Paragraph Char"/>
    <w:link w:val="1031"/>
    <w:uiPriority w:val="34"/>
    <w:qFormat/>
    <w:pPr>
      <w:pBdr/>
      <w:spacing/>
      <w:ind/>
    </w:pPr>
    <w:rPr>
      <w:rFonts w:ascii="Times New Roman" w:hAnsi="Times New Roman" w:eastAsia="Times New Roman" w:cs="Times New Roman"/>
      <w:sz w:val="24"/>
      <w:szCs w:val="24"/>
    </w:rPr>
  </w:style>
  <w:style w:type="character" w:styleId="1119" w:customStyle="1">
    <w:name w:val="Đề cập Chưa giải quyết2"/>
    <w:basedOn w:val="1014"/>
    <w:uiPriority w:val="99"/>
    <w:semiHidden/>
    <w:unhideWhenUsed/>
    <w:pPr>
      <w:pBdr/>
      <w:spacing/>
      <w:ind/>
    </w:pPr>
    <w:rPr>
      <w:color w:val="605e5c"/>
      <w:shd w:val="clear" w:color="auto" w:fill="e1dfdd"/>
    </w:rPr>
  </w:style>
  <w:style w:type="character" w:styleId="1120" w:customStyle="1">
    <w:name w:val="Unresolved Mention3"/>
    <w:basedOn w:val="1014"/>
    <w:uiPriority w:val="99"/>
    <w:semiHidden/>
    <w:unhideWhenUsed/>
    <w:pPr>
      <w:pBdr/>
      <w:spacing/>
      <w:ind/>
    </w:pPr>
    <w:rPr>
      <w:color w:val="605e5c"/>
      <w:shd w:val="clear" w:color="auto" w:fill="e1dfdd"/>
    </w:rPr>
  </w:style>
  <w:style w:type="character" w:styleId="1121" w:customStyle="1">
    <w:name w:val="copy"/>
    <w:basedOn w:val="1014"/>
    <w:pPr>
      <w:pBdr/>
      <w:spacing/>
      <w:ind/>
    </w:pPr>
  </w:style>
  <w:style w:type="paragraph" w:styleId="1122" w:customStyle="1">
    <w:name w:val="align-justify"/>
    <w:basedOn w:val="1009"/>
    <w:pPr>
      <w:pBdr/>
      <w:spacing w:after="100" w:afterAutospacing="1" w:before="100" w:beforeAutospacing="1"/>
      <w:ind/>
    </w:pPr>
  </w:style>
  <w:style w:type="character" w:styleId="1123" w:customStyle="1">
    <w:name w:val="btn"/>
    <w:basedOn w:val="1014"/>
    <w:pPr>
      <w:pBdr/>
      <w:spacing/>
      <w:ind/>
    </w:pPr>
  </w:style>
  <w:style w:type="character" w:styleId="1124" w:customStyle="1">
    <w:name w:val="hide_mobile"/>
    <w:basedOn w:val="1014"/>
    <w:pPr>
      <w:pBdr/>
      <w:spacing/>
      <w:ind/>
    </w:pPr>
  </w:style>
  <w:style w:type="character" w:styleId="1125">
    <w:name w:val="Emphasis"/>
    <w:basedOn w:val="1014"/>
    <w:uiPriority w:val="20"/>
    <w:qFormat/>
    <w:pPr>
      <w:pBdr/>
      <w:spacing/>
      <w:ind/>
    </w:pPr>
    <w:rPr>
      <w:i/>
      <w:iCs/>
    </w:rPr>
  </w:style>
  <w:style w:type="character" w:styleId="1126" w:customStyle="1">
    <w:name w:val="t1"/>
    <w:basedOn w:val="1014"/>
    <w:pPr>
      <w:pBdr/>
      <w:spacing/>
      <w:ind/>
    </w:pPr>
  </w:style>
  <w:style w:type="character" w:styleId="1127" w:customStyle="1">
    <w:name w:val="Unresolved Mention4"/>
    <w:basedOn w:val="1014"/>
    <w:uiPriority w:val="99"/>
    <w:semiHidden/>
    <w:unhideWhenUsed/>
    <w:pPr>
      <w:pBdr/>
      <w:spacing/>
      <w:ind/>
    </w:pPr>
    <w:rPr>
      <w:color w:val="605e5c"/>
      <w:shd w:val="clear" w:color="auto" w:fill="e1dfdd"/>
    </w:rPr>
  </w:style>
  <w:style w:type="character" w:styleId="1128">
    <w:name w:val="Unresolved Mention"/>
    <w:basedOn w:val="1014"/>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jpg"/><Relationship Id="rId29" Type="http://schemas.openxmlformats.org/officeDocument/2006/relationships/hyperlink" Target="https://www.facebook.com/share/p/1ApuTEu3Gh/" TargetMode="External"/><Relationship Id="rId30" Type="http://schemas.openxmlformats.org/officeDocument/2006/relationships/image" Target="media/image15.png"/><Relationship Id="rId31" Type="http://schemas.openxmlformats.org/officeDocument/2006/relationships/image" Target="media/image16.png"/><Relationship Id="rId32" Type="http://schemas.openxmlformats.org/officeDocument/2006/relationships/image" Target="media/image17.png"/><Relationship Id="rId33" Type="http://schemas.openxmlformats.org/officeDocument/2006/relationships/image" Target="media/image18.png"/><Relationship Id="rId34" Type="http://schemas.openxmlformats.org/officeDocument/2006/relationships/image" Target="media/image19.png"/><Relationship Id="rId35" Type="http://schemas.openxmlformats.org/officeDocument/2006/relationships/image" Target="media/image20.png"/><Relationship Id="rId36" Type="http://schemas.openxmlformats.org/officeDocument/2006/relationships/image" Target="media/image21.png"/><Relationship Id="rId37" Type="http://schemas.openxmlformats.org/officeDocument/2006/relationships/image" Target="media/image22.png"/><Relationship Id="rId38" Type="http://schemas.openxmlformats.org/officeDocument/2006/relationships/image" Target="media/image23.png"/><Relationship Id="rId39" Type="http://schemas.openxmlformats.org/officeDocument/2006/relationships/image" Target="media/image24.png"/><Relationship Id="rId40" Type="http://schemas.openxmlformats.org/officeDocument/2006/relationships/image" Target="media/image25.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Tấn Sang</cp:lastModifiedBy>
  <cp:revision>281</cp:revision>
  <dcterms:created xsi:type="dcterms:W3CDTF">2025-09-15T09:58:00Z</dcterms:created>
  <dcterms:modified xsi:type="dcterms:W3CDTF">2026-09-07T04:10:58Z</dcterms:modified>
</cp:coreProperties>
</file>