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17091"/>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1709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275/2026/1370/VFI-CT.36.A</w:t>
                            </w:r>
                            <w:r>
                              <w:rPr>
                                <w:b/>
                              </w:rPr>
                            </w:r>
                            <w:r>
                              <w:rPr>
                                <w:b/>
                              </w:rPr>
                            </w:r>
                          </w:p>
                          <w:p>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bCs/>
                                <w:color w:val="000000" w:themeColor="text1"/>
                                <w:lang w:val="pt-BR"/>
                              </w:rPr>
                            </w:r>
                            <w:r>
                              <w:rPr>
                                <w:rFonts w:ascii="Times New Roman Bold" w:hAnsi="Times New Roman Bold"/>
                                <w:b/>
                                <w:bCs/>
                                <w:color w:val="000000" w:themeColor="text1"/>
                                <w:lang w:val="pt-BR"/>
                              </w:rPr>
                            </w:r>
                          </w:p>
                          <w:p>
                            <w:pPr>
                              <w:pBdr/>
                              <w:spacing w:after="120" w:before="120" w:line="360" w:lineRule="auto"/>
                              <w:ind/>
                              <w:jc w:val="both"/>
                              <w:rPr>
                                <w:iCs/>
                                <w:color w:val="000000"/>
                                <w:highlight w:val="none"/>
                              </w:rPr>
                            </w:pPr>
                            <w:r>
                              <w:rPr>
                                <w:b/>
                              </w:rPr>
                              <w:t xml:space="preserve">Tài sản thẩm </w:t>
                            </w:r>
                            <w:r>
                              <w:rPr>
                                <w:b/>
                              </w:rPr>
                              <w:t xml:space="preserve">định: </w:t>
                            </w:r>
                            <w:r>
                              <w:rPr>
                                <w:color w:val="000000"/>
                              </w:rPr>
                              <w:t xml:space="preserve">Quyền sử dụng đất tại thửa đất số: 213, tờ bản đồ số: 20 - Bản đồ dự án tổng thể, có địa chỉ: Cụm 7, xã Tam Hiệp, huyện Phúc Thọ, thành phố Hà Nội (Nay là: xã Hát Môn, thành phố Hà Nội) theo Giấ</w:t>
                            </w:r>
                            <w:r>
                              <w:rPr>
                                <w:color w:val="000000"/>
                              </w:rPr>
                              <w:t xml:space="preserve">y chứng nhận Quyền sử dụng đất quyền sở hữu nhà ở và tài sản khác gắn liền với đất số: CR 990894, số vào sổ cấp GCN: CS-PT 10001 do Sở Tài nguyên và Môi trường Thành phố Hà Nội cấp ngày 11/6/2019; Chủ sử dụng đất là Ông Nguyễn Duy Hải và bà Dương Thị Thắm.</w:t>
                            </w:r>
                            <w:r>
                              <w:rPr>
                                <w:iCs/>
                                <w:color w:val="000000"/>
                                <w:highlight w:val="none"/>
                              </w:rPr>
                            </w:r>
                            <w:r>
                              <w:rPr>
                                <w:iCs/>
                                <w:color w:val="000000"/>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0.56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275/2026/1370/VFI-CT.36.A</w:t>
                      </w:r>
                      <w:r>
                        <w:rPr>
                          <w:b/>
                        </w:rPr>
                      </w:r>
                      <w:r>
                        <w:rPr>
                          <w:b/>
                        </w:rPr>
                      </w:r>
                    </w:p>
                    <w:p>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bCs/>
                          <w:color w:val="000000" w:themeColor="text1"/>
                          <w:lang w:val="pt-BR"/>
                        </w:rPr>
                      </w:r>
                      <w:r>
                        <w:rPr>
                          <w:rFonts w:ascii="Times New Roman Bold" w:hAnsi="Times New Roman Bold"/>
                          <w:b/>
                          <w:bCs/>
                          <w:color w:val="000000" w:themeColor="text1"/>
                          <w:lang w:val="pt-BR"/>
                        </w:rPr>
                      </w:r>
                    </w:p>
                    <w:p>
                      <w:pPr>
                        <w:pBdr/>
                        <w:spacing w:after="120" w:before="120" w:line="360" w:lineRule="auto"/>
                        <w:ind/>
                        <w:jc w:val="both"/>
                        <w:rPr>
                          <w:iCs/>
                          <w:color w:val="000000"/>
                          <w:highlight w:val="none"/>
                        </w:rPr>
                      </w:pPr>
                      <w:r>
                        <w:rPr>
                          <w:b/>
                        </w:rPr>
                        <w:t xml:space="preserve">Tài sản thẩm </w:t>
                      </w:r>
                      <w:r>
                        <w:rPr>
                          <w:b/>
                        </w:rPr>
                        <w:t xml:space="preserve">định: </w:t>
                      </w:r>
                      <w:r>
                        <w:rPr>
                          <w:color w:val="000000"/>
                        </w:rPr>
                        <w:t xml:space="preserve">Quyền sử dụng đất tại thửa đất số: 213, tờ bản đồ số: 20 - Bản đồ dự án tổng thể, có địa chỉ: Cụm 7, xã Tam Hiệp, huyện Phúc Thọ, thành phố Hà Nội (Nay là: xã Hát Môn, thành phố Hà Nội) theo Giấ</w:t>
                      </w:r>
                      <w:r>
                        <w:rPr>
                          <w:color w:val="000000"/>
                        </w:rPr>
                        <w:t xml:space="preserve">y chứng nhận Quyền sử dụng đất quyền sở hữu nhà ở và tài sản khác gắn liền với đất số: CR 990894, số vào sổ cấp GCN: CS-PT 10001 do Sở Tài nguyên và Môi trường Thành phố Hà Nội cấp ngày 11/6/2019; Chủ sử dụng đất là Ông Nguyễn Duy Hải và bà Dương Thị Thắm.</w:t>
                      </w:r>
                      <w:r>
                        <w:rPr>
                          <w:iCs/>
                          <w:color w:val="000000"/>
                          <w:highlight w:val="none"/>
                        </w:rPr>
                      </w:r>
                      <w:r>
                        <w:rPr>
                          <w:iCs/>
                          <w:color w:val="000000"/>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1 - 3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4 - 21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22 - 26 </w:t>
            </w:r>
            <w:r>
              <w:rPr>
                <w:b/>
                <w:bCs/>
              </w:rPr>
            </w:r>
            <w:r>
              <w:rPr>
                <w:b/>
                <w:bCs/>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27 - 32</w:t>
            </w:r>
            <w:r>
              <w:rPr>
                <w:b/>
                <w:bCs/>
              </w:rPr>
            </w:r>
            <w:r>
              <w:rPr>
                <w:b/>
                <w:bCs/>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275/2026/1370/VFI-CT.36.A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275/2026/1370/VFI-HĐTĐ.36.A</w:t>
      </w:r>
      <w:r>
        <w:rPr>
          <w:spacing w:val="-4"/>
          <w:lang w:val="vi-VN"/>
        </w:rPr>
        <w:t xml:space="preserve"> ký ngày 0</w:t>
      </w:r>
      <w:r>
        <w:rPr>
          <w:color w:val="000000" w:themeColor="text1"/>
          <w:spacing w:val="-4"/>
        </w:rPr>
        <w:t xml:space="preserve">3 tháng 8 năm 2026</w:t>
      </w:r>
      <w:r>
        <w:rPr>
          <w:spacing w:val="-4"/>
          <w:lang w:val="vi-VN"/>
        </w:rPr>
        <w:t xml:space="preserve"> </w:t>
      </w:r>
      <w:r>
        <w:rPr>
          <w:spacing w:val="-4"/>
          <w:lang w:val="vi-VN"/>
        </w:rPr>
        <w:t xml:space="preserve">giữa </w:t>
      </w:r>
      <w:r>
        <w:rPr>
          <w:color w:val="000000" w:themeColor="text1"/>
          <w:spacing w:val="-4"/>
        </w:rPr>
        <w:t xml:space="preserve">Công ty Cổ phần đầu tư xây dựng và phát triển Tú 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275/2026/1370/VFI-BC.36.A</w:t>
      </w:r>
      <w:r>
        <w:rPr>
          <w:spacing w:val="-2"/>
          <w:lang w:val="pt-BR"/>
        </w:rPr>
        <w:t xml:space="preserve"> </w:t>
      </w:r>
      <w:r>
        <w:rPr>
          <w:spacing w:val="-2"/>
          <w:lang w:val="pt-BR"/>
        </w:rPr>
        <w:t xml:space="preserve">ngày</w:t>
      </w:r>
      <w:r>
        <w:rPr>
          <w:spacing w:val="-2"/>
          <w:lang w:val="vi-VN"/>
        </w:rPr>
        <w:t xml:space="preserve"> 0</w:t>
      </w:r>
      <w:r>
        <w:rPr>
          <w:color w:val="000000" w:themeColor="text1"/>
          <w:spacing w:val="-2"/>
        </w:rPr>
        <w:t xml:space="preserve">3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CỔ PHẦN ĐẦU TƯ XÂY DỰNG VÀ PHÁT TRIỂN TÚ ANH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0108385651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Duy Hải</w:t>
            </w:r>
            <w:r>
              <w:rPr>
                <w:color w:val="000000" w:themeColor="text1"/>
                <w:lang w:val="vi-VN"/>
              </w:rPr>
              <w:t xml:space="preserve">         </w:t>
            </w:r>
            <w:r>
              <w:rPr>
                <w:b/>
                <w:bCs/>
                <w:color w:val="000000" w:themeColor="text1"/>
                <w:lang w:val="vi-VN"/>
              </w:rPr>
              <w:t xml:space="preserve"> Chức vụ: Giám đốc</w:t>
            </w:r>
            <w:r>
              <w:rPr>
                <w:b/>
                <w:bCs/>
                <w:color w:val="ff0000"/>
              </w:rPr>
            </w:r>
            <w:r>
              <w:rPr>
                <w:b/>
                <w:bCs/>
                <w:color w:val="ff0000"/>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Ngọc Tảo 9, Xã Hát Môn, TP Hà Nội, Việt Nam</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213, tờ bản đồ số: 20 - Bản đồ dự án tổng thể, có địa chỉ: Cụm 7, xã Tam Hiệp, huyện Phúc Thọ, thành phố Hà Nội (Nay là: xã Hát Môn, thành phố Hà Nội) theo Giấ</w:t>
      </w:r>
      <w:r>
        <w:rPr>
          <w:color w:val="000000" w:themeColor="text1"/>
        </w:rPr>
        <w:t xml:space="preserve">y chứng nhận Quyền sử dụng đất quyền sở hữu nhà ở và tài sản khác gắn liền với đất số: CR 990894, số vào sổ cấp GCN: CS-PT 10001 do Sở Tài nguyên và Môi trường Thành phố Hà Nội cấp ngày 11/6/2019; Chủ sử dụng đất là Ông Nguyễn Duy Hải và bà Dương Thị Thắm.</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213, tờ bản đồ số: 20 - Bản đồ dự án tổng thể, có địa chỉ: Cụm 7, xã Tam Hiệp, huyện Phúc Thọ, thành phố Hà Nội (Nay là: xã Hát Môn, thành phố Hà Nội) theo Giấ</w:t>
            </w:r>
            <w:r>
              <w:rPr>
                <w:b/>
                <w:bCs/>
                <w:color w:val="000000"/>
              </w:rPr>
              <w:t xml:space="preserve">y chứng nhận Quyền sử dụng đất quyền sở hữu nhà ở và tài sản khác gắn liền với đất số: CR 990894, số vào sổ cấp GCN: CS-PT 10001 do Sở Tài nguyên và Môi trường Thành phố Hà Nội cấp ngày 11/6/2019; Chủ sử dụng đất là Ông Nguyễn Duy Hải và bà Dương Thị Thắm.</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60,5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80.000.000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4.840.000.000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4.840.000.000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tám trăm bốn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right="0" w:firstLine="0" w:left="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7"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275/2026/1370/VFI-BC.36.A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03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275/2026/1370/VFI-CT.36.A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03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CỔ PHẦN ĐẦU TƯ XÂY DỰNG VÀ PHÁT TRIỂN TÚ ANH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0108385651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Duy Hải</w:t>
            </w:r>
            <w:r>
              <w:rPr>
                <w:color w:val="000000" w:themeColor="text1"/>
                <w:lang w:val="vi-VN"/>
              </w:rPr>
              <w:t xml:space="preserve">         </w:t>
            </w:r>
            <w:r>
              <w:rPr>
                <w:b/>
                <w:bCs/>
                <w:color w:val="000000" w:themeColor="text1"/>
                <w:lang w:val="vi-VN"/>
              </w:rPr>
              <w:t xml:space="preserve"> Chức vụ: Giám đốc</w:t>
            </w:r>
            <w:r>
              <w:rPr>
                <w:b/>
                <w:bCs/>
                <w:color w:val="ff0000"/>
              </w:rPr>
            </w:r>
            <w:r>
              <w:rPr>
                <w:b/>
                <w:bCs/>
                <w:color w:val="ff0000"/>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Ngọc Tảo 9, Xã Hát Môn, TP Hà Nội, Việt Nam</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213, tờ bản đồ số: 20 - Bản đồ dự án tổng thể, có địa chỉ: Cụm 7, xã Tam Hiệp, huyện Phúc Thọ, thành phố Hà Nội (Nay là: xã Hát Môn, thành phố Hà Nội) theo Giấ</w:t>
            </w:r>
            <w:r>
              <w:rPr>
                <w:bCs/>
                <w:color w:val="000000" w:themeColor="text1"/>
                <w:lang w:val="pt-BR"/>
              </w:rPr>
              <w:t xml:space="preserve">y chứng nhận Quyền sử dụng đất quyền sở hữu nhà ở và tài sản khác gắn liền với đất số: CR 990894, số vào sổ cấp GCN: CS-PT 10001 do Sở Tài nguyên và Môi trường Thành phố Hà Nội cấp ngày 11/6/2019; Chủ sử dụng đất là Ông Nguyễn Duy Hải và bà Dương Thị Thắm.</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Hát Môn,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21.081638888889, 105.61811111111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03/08/2026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7"/>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w:t>
      </w:r>
      <w:r>
        <w:rPr>
          <w:bCs/>
          <w:color w:val="000000" w:themeColor="text1"/>
          <w:lang w:val="pt-BR"/>
        </w:rPr>
        <w:t xml:space="preserve">y chứng nhận Quyền sử dụng đất quyền sở hữu nhà ở và tài sản khác gắn liền với đất số: CR 990894, số vào sổ cấp GCN: CS-PT 10001 do Sở Tài nguyên và Môi trường Thành phố Hà Nội cấp ngày 11/6/2019; Chủ sử dụng đất là Ông Nguyễn Duy Hải và bà Dương Thị Thắm.</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275/2026/1370/VFI-HĐTĐ.36.A ngày 03/08/2026 giữa </w:t>
      </w:r>
      <w:r>
        <w:rPr>
          <w:color w:val="000000" w:themeColor="text1"/>
          <w:spacing w:val="-4"/>
        </w:rPr>
        <w:t xml:space="preserve">Công ty Cổ phần đầu tư xây dựng và phát triển Tú Anh</w:t>
      </w:r>
      <w:r>
        <w:rPr>
          <w:color w:val="000000" w:themeColor="text1"/>
          <w:lang w:val="pt-BR"/>
        </w:rPr>
        <w:t xml:space="preserve"> với Công ty Cổ phần Thẩm định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b/>
          <w:bCs/>
          <w:iCs/>
        </w:rPr>
      </w:pPr>
      <w:r>
        <w:rPr>
          <w:b/>
          <w:bCs/>
          <w:shd w:val="clear" w:color="auto" w:fill="ffffff"/>
        </w:rPr>
        <w:t xml:space="preserve">Bức tranh thị</w:t>
      </w:r>
      <w:r>
        <w:rPr>
          <w:b/>
          <w:bCs/>
          <w:shd w:val="clear" w:color="auto" w:fill="ffffff"/>
        </w:rPr>
        <w:t xml:space="preserve"> trường bất động sản Hà Nội năm 2026: Hạ tầng dẫn dắt, thị trường bước vào chu kỳ tăng trưởng mới</w:t>
      </w:r>
      <w:r>
        <w:rPr>
          <w:b/>
          <w:bCs/>
          <w:iCs/>
        </w:rPr>
      </w:r>
      <w:r>
        <w:rPr>
          <w:b/>
          <w:bCs/>
          <w:i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w:t>
      </w:r>
      <w:r>
        <w:rPr>
          <w:shd w:val="clear" w:color="auto" w:fill="ffffff"/>
        </w:rPr>
        <w:t xml:space="preserve">Thay vì những cơn “sốt nóng”, thị trường vận động theo hướng chọn lọc, phân hóa mạnh, lấy nhu cầu ở thực, chất lượng dự án và năng lực doanh nghiệp làm trụ cột phát triển bền vững.</w:t>
      </w:r>
      <w:r/>
    </w:p>
    <w:p>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Hạ tầng - "xương sống" mở không gian phát triển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Trong nhiều năm qua, hạ</w:t>
      </w:r>
      <w:r>
        <w:rPr>
          <w:shd w:val="clear" w:color="auto" w:fill="ffffff"/>
        </w:rPr>
        <w:t xml:space="preserve">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động sản.</w:t>
      </w:r>
      <w:r/>
    </w:p>
    <w:p>
      <w:pPr>
        <w:pBdr/>
        <w:tabs>
          <w:tab w:val="left" w:leader="none" w:pos="426"/>
        </w:tabs>
        <w:spacing w:after="120" w:before="120" w:line="276" w:lineRule="auto"/>
        <w:ind/>
        <w:jc w:val="both"/>
        <w:rPr/>
      </w:pPr>
      <w:r>
        <w:rPr>
          <w:shd w:val="clear" w:color="auto" w:fill="ffffff"/>
        </w:rPr>
        <w:t xml:space="preserve">Dự án đường Vành</w:t>
      </w:r>
      <w:r>
        <w:rPr>
          <w:shd w:val="clear" w:color="auto" w:fill="ffffff"/>
        </w:rPr>
        <w:t xml:space="preserve">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có điều kiện kết</w:t>
      </w:r>
      <w:r>
        <w:rPr>
          <w:shd w:val="clear" w:color="auto" w:fill="ffffff"/>
        </w:rPr>
        <w:t xml:space="preserve"> nối thuận lợi hơn, qua đó gia tăng sức hấp dẫn với các dự án đô thị, khu nhà ở và dịch vụ.</w:t>
      </w:r>
      <w:r/>
    </w:p>
    <w:p>
      <w:pPr>
        <w:pBdr/>
        <w:tabs>
          <w:tab w:val="left" w:leader="none" w:pos="426"/>
        </w:tabs>
        <w:spacing w:after="120" w:before="120" w:line="276" w:lineRule="auto"/>
        <w:ind/>
        <w:jc w:val="both"/>
        <w:rPr/>
      </w:pPr>
      <w:r>
        <w:rPr>
          <w:shd w:val="clear" w:color="auto" w:fill="ffffff"/>
        </w:rPr>
      </w:r>
      <w:r>
        <w:rPr>
          <w:shd w:val="clear" w:color="auto" w:fill="ffffff"/>
        </w:rPr>
        <w:t xml:space="preserve">Thực tế thị trường cho thấy, các khu vực hưởng lợi trực tiếp từ hạ tầng đều ghi nhận sự cải thiện rõ rệt về giá trị và thanh khoản. Tâ</w:t>
      </w:r>
      <w:r>
        <w:rPr>
          <w:shd w:val="clear" w:color="auto" w:fill="ffffff"/>
        </w:rPr>
        <w:t xml:space="preserve">y Hà Nội, với trục Đại lộ Thăng Long, các tuyến Vành đai 3, 3,5 và định hướng tuyến metro số 5 (Văn Cao – Hòa Lạc), đang nổi lên như một cực phát triển mới. Ở phía Đông, hệ thống cầu vượt sông Hồng, cùng quy hoạch chỉnh trang đô thị ven sông, tiếp tục mở r</w:t>
      </w:r>
      <w:r>
        <w:rPr>
          <w:shd w:val="clear" w:color="auto" w:fill="ffffff"/>
        </w:rPr>
        <w:t xml:space="preserve">a dư địa cho các dự án nhà ở và đô thị sinh thái.</w:t>
      </w:r>
      <w:r>
        <w:rPr>
          <w:b/>
          <w:bCs/>
          <w:iCs/>
        </w:rPr>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Thị trường chuyển từ "tăng nóng" sang tăng trưởng chọn lọc</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Nếu như giai đoạn trước, thị trường bất động sản Hà Nội từng chứng kiến những đợt tăng giá nhanh ở một số phân khúc, thì bước sang năm 2026, xu hướ</w:t>
      </w:r>
      <w:r>
        <w:rPr>
          <w:shd w:val="clear" w:color="auto" w:fill="ffffff"/>
        </w:rPr>
        <w:t xml:space="preserve">ng chủ đạo là tăng trưởng có chọn lọc. Dòng tiền không còn chạy theo "sóng ngắn" mà ưu tiên những khu vực có quy hoạch rõ ràng, hạ tầng đồng bộ và nhu cầu ở thực ổn định.</w:t>
      </w:r>
      <w:r>
        <w:rPr>
          <w:b/>
          <w:bCs/>
        </w:rPr>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Nguồn cung lớn, thị trường phân hóa rõ nét</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w:t>
      </w:r>
      <w:r>
        <w:rPr>
          <w:shd w:val="clear" w:color="auto" w:fill="ffffff"/>
        </w:rPr>
        <w:t xml:space="preserve"> pháp lý và tái khởi động. Điều này vừa tạo cơ hội cho người mua, vừa đặt ra thách thức cho doanh nghiệp phát triển dự án.</w:t>
      </w:r>
      <w:r>
        <w:rPr>
          <w:b/>
          <w:bCs/>
        </w:rPr>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Chính sách và pháp lý - điểm tựa cho chu kỳ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Năm 2026 được xem là thời điểm các chính sách pháp luật về đất đai, nhà ở và kinh doa</w:t>
      </w:r>
      <w:r>
        <w:rPr>
          <w:shd w:val="clear" w:color="auto" w:fill="ffffff"/>
        </w:rPr>
        <w:t xml:space="preserve">nh bất động sản phát huy hiệu quả rõ nét hơn. Việc tháo gỡ vướng mắc cho hàng nghìn dự án tồn đọng không chỉ giúp giải phóng nguồn lực lớn cho nền kinh tế mà còn bổ sung nguồn cung đáng kể cho thị trường.</w:t>
      </w:r>
      <w:r>
        <w:rPr>
          <w:b/>
          <w:bCs/>
        </w:rPr>
      </w:r>
      <w:r/>
    </w:p>
    <w:p>
      <w:pPr>
        <w:pBdr/>
        <w:tabs>
          <w:tab w:val="left" w:leader="none" w:pos="426"/>
        </w:tabs>
        <w:spacing w:after="120" w:before="120" w:line="276" w:lineRule="auto"/>
        <w:ind/>
        <w:jc w:val="both"/>
        <w:rPr/>
      </w:pPr>
      <w:r>
        <w:rPr>
          <w:shd w:val="clear" w:color="auto" w:fill="ffffff"/>
        </w:rPr>
        <w:t xml:space="preserve">Các cơ chế mới liên quan đến định giá đất, thu hồi </w:t>
      </w:r>
      <w:r>
        <w:rPr>
          <w:shd w:val="clear" w:color="auto" w:fill="ffffff"/>
        </w:rPr>
        <w:t xml:space="preserve">đất và mở rộng khả năng tiếp cận quỹ đất được kỳ vọng sẽ rút ngắn thời gian chuẩn bị dự án, giảm chi phí và tăng tính minh bạch. Điều này giúp thị trường vận hành lành mạnh hơn, hạn chế tình trạng "treo" dự án kéo dài, đồng thời tạo niềm tin cho nhà đầu tư</w:t>
      </w:r>
      <w:r>
        <w:rPr>
          <w:shd w:val="clear" w:color="auto" w:fill="ffffff"/>
        </w:rPr>
        <w:t xml:space="preserve"> và người mua nhà.</w:t>
      </w:r>
      <w:r>
        <w:rPr>
          <w:b/>
          <w:bCs/>
        </w:rPr>
      </w:r>
      <w:r/>
    </w:p>
    <w:p>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Triển vọng 2026: tăng trưởng bền vững trên nền tảng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Với nguồn cung tăng mạnh và người mua ngày càng kỹ tính, năm 2026 được xem là giai đoạn sàng lọc rõ nét đối với các doanh nghiệp bất động sản. Những chủ đầu tư có quỹ đất sạch, năng</w:t>
      </w:r>
      <w:r>
        <w:rPr>
          <w:shd w:val="clear" w:color="auto" w:fill="ffffff"/>
        </w:rPr>
        <w:t xml:space="preserve"> lực tài chính lành mạnh và chiến lược phát triển sản phẩm phù hợp sẽ có cơ hội bứt phá. Ngược lại, các doanh nghiệp yếu về pháp lý, phụ thuộc nhiều vào đòn bẩy tài chính hoặc chạy theo đầu cơ ngắn hạn có thể tiếp tục bị đào thải.</w:t>
      </w:r>
      <w:r/>
    </w:p>
    <w:p>
      <w:pPr>
        <w:pBdr/>
        <w:tabs>
          <w:tab w:val="left" w:leader="none" w:pos="426"/>
        </w:tabs>
        <w:spacing w:after="120" w:before="120" w:line="276" w:lineRule="auto"/>
        <w:ind/>
        <w:jc w:val="both"/>
        <w:rPr/>
      </w:pPr>
      <w:r>
        <w:rPr>
          <w:shd w:val="clear" w:color="auto" w:fill="ffffff"/>
        </w:rPr>
        <w:t xml:space="preserve">Cuộc cạnh tranh không chỉ</w:t>
      </w:r>
      <w:r>
        <w:rPr>
          <w:shd w:val="clear" w:color="auto" w:fill="ffffff"/>
        </w:rPr>
        <w:t xml:space="preserve">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abs>
          <w:tab w:val="left" w:leader="none" w:pos="426"/>
        </w:tabs>
        <w:spacing w:after="120" w:before="120" w:line="276" w:lineRule="auto"/>
        <w:ind/>
        <w:jc w:val="both"/>
        <w:rPr/>
      </w:pPr>
      <w:r>
        <w:rPr>
          <w:shd w:val="clear" w:color="auto" w:fill="ffffff"/>
        </w:rPr>
        <w:t xml:space="preserve">Nhìn tổng thể, bức tranh thị trường bấ</w:t>
      </w:r>
      <w:r>
        <w:rPr>
          <w:shd w:val="clear" w:color="auto" w:fill="ffffff"/>
        </w:rPr>
        <w:t xml:space="preserve">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không còn chỗ cho những cơn sốt ảo, mà h</w:t>
      </w:r>
      <w:r>
        <w:rPr>
          <w:shd w:val="clear" w:color="auto" w:fill="ffffff"/>
        </w:rPr>
        <w:t xml:space="preserve">ướng tới tăng trưởng ổn định, gắn với chất lượng đô thị và chất lượng sống.</w:t>
      </w:r>
      <w:r/>
    </w:p>
    <w:p>
      <w:pPr>
        <w:pBdr/>
        <w:tabs>
          <w:tab w:val="left" w:leader="none" w:pos="426"/>
        </w:tabs>
        <w:spacing w:after="120" w:before="120" w:line="276" w:lineRule="auto"/>
        <w:ind/>
        <w:jc w:val="both"/>
        <w:rPr>
          <w:bCs/>
          <w:i/>
          <w:lang w:val="pt-BR"/>
        </w:rPr>
      </w:pPr>
      <w:r>
        <w:rPr>
          <w:shd w:val="clear" w:color="auto" w:fill="ffffff"/>
        </w:rPr>
      </w:r>
      <w:r>
        <w:rPr>
          <w:i/>
          <w:iCs/>
          <w:shd w:val="clear" w:color="auto" w:fill="ffffff"/>
        </w:rPr>
        <w:t xml:space="preserve">(Nguồn tham khảo: https://thanglong.chinhphu.vn/buc-tranh-thi-truong-bat-dong-san-ha-noi-nam-2026-ha-tang-dan-dat-thi-truong-buoc-vao-chu-ky-tang-truong-moi-103260101181315972.htm)</w:t>
      </w:r>
      <w:r>
        <w:rPr>
          <w:bCs/>
          <w:i/>
          <w:lang w:val="pt-BR"/>
        </w:rPr>
      </w:r>
      <w:r>
        <w:rPr>
          <w:bCs/>
          <w:i/>
          <w:lang w:val="pt-BR"/>
        </w:rPr>
      </w:r>
    </w:p>
    <w:p>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126"/>
        <w:gridCol w:w="2268"/>
        <w:gridCol w:w="1891"/>
        <w:gridCol w:w="2503"/>
      </w:tblGrid>
      <w:tr>
        <w:trPr>
          <w:trHeight w:val="161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213, tờ bản đồ số: 20 - Bản đồ dự án tổng thể, có địa chỉ: Cụm 7, xã Tam Hiệp, huyện Phúc Thọ, thành phố Hà Nội (Nay là: xã Hát Môn, thành phố Hà Nội) theo Giấy chứng nhận Quyền sử dụng đất quyền sở hữu nhà ở và tài sản k</w:t>
            </w:r>
            <w:r>
              <w:rPr>
                <w:rFonts w:ascii="Times New Roman" w:hAnsi="Times New Roman" w:eastAsia="Times New Roman" w:cs="Times New Roman"/>
                <w:b/>
                <w:color w:val="000000"/>
                <w:sz w:val="24"/>
              </w:rPr>
              <w:t xml:space="preserve">hác gắn liền với đất số: CR 990894, số vào sổ cấp GCN: CS-PT 10001 do Sở Tài nguyên và Môi trường Thành phố Hà Nội cấp ngày 11/6/2019; Chủ sử dụng đất là Ông Nguyễn Duy Hải và bà Dương Thị Thắm.</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213</w:t>
            </w:r>
            <w:r/>
          </w:p>
        </w:tc>
        <w:tc>
          <w:tcPr>
            <w:tcBorders>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20 - Bản đồ dự án tổng thể</w:t>
            </w:r>
            <w:r/>
          </w:p>
        </w:tc>
      </w:tr>
      <w:tr>
        <w:trPr>
          <w:trHeight w:val="64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76" w:lineRule="auto"/>
              <w:ind/>
              <w:jc w:val="both"/>
              <w:rPr/>
            </w:pPr>
            <w:r>
              <w:rPr>
                <w:rFonts w:ascii="Times New Roman" w:hAnsi="Times New Roman" w:eastAsia="Times New Roman" w:cs="Times New Roman"/>
                <w:color w:val="000000"/>
                <w:sz w:val="24"/>
              </w:rPr>
              <w:t xml:space="preserve">Cụm 7, xã Tam Hiệp, huyện Phúc Thọ, thành phố Hà Nội (Nay là: xã Hát Môn, thành phố Hà Nội)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60,5</w:t>
            </w:r>
            <w:r/>
          </w:p>
        </w:tc>
        <w:tc>
          <w:tcPr>
            <w:tcBorders>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Sử dụng riêng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Lâu dài</w:t>
            </w:r>
            <w:r/>
          </w:p>
        </w:tc>
      </w:tr>
      <w:tr>
        <w:trPr>
          <w:trHeight w:val="613"/>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76" w:lineRule="auto"/>
              <w:ind/>
              <w:jc w:val="both"/>
              <w:rPr/>
            </w:pPr>
            <w:r>
              <w:rPr>
                <w:rFonts w:ascii="Times New Roman" w:hAnsi="Times New Roman" w:eastAsia="Times New Roman" w:cs="Times New Roman"/>
                <w:color w:val="000000"/>
                <w:sz w:val="24"/>
              </w:rPr>
              <w:t xml:space="preserve">Nhận chuyển nhượng đất được Công nhận QSDĐ như giao đất có thu tiền sử dụng đất.</w:t>
            </w:r>
            <w:r/>
          </w:p>
        </w:tc>
      </w:tr>
      <w:tr>
        <w:trPr>
          <w:trHeight w:val="2187"/>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76"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Số tờ, số thửa và sơ đồ thửa đất sẽ điều chỉnh khi có bản đồ địa chính chính quy;</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76"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Thửa đất được tách ra từ thửa đất số 800, tờ bản đồ số 01 tại Giấy chứng nhận quyền sử dụng đất, quyền sở hữu nhà ở và tài sản khác gắn liền với đất số CK 715733 do Sở Tà</w:t>
            </w:r>
            <w:r>
              <w:rPr>
                <w:rFonts w:ascii="Times New Roman" w:hAnsi="Times New Roman" w:eastAsia="Times New Roman" w:cs="Times New Roman"/>
                <w:color w:val="000000"/>
                <w:sz w:val="24"/>
              </w:rPr>
              <w:t xml:space="preserve">i nguyên và Môi trường thành phố Hà Nội cấp ngày 15/01/2018;</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76" w:lineRule="auto"/>
              <w:ind/>
              <w:jc w:val="both"/>
              <w:rPr/>
            </w:pPr>
            <w:r>
              <w:rPr>
                <w:rFonts w:ascii="Times New Roman" w:hAnsi="Times New Roman" w:eastAsia="Times New Roman" w:cs="Times New Roman"/>
                <w:color w:val="000000"/>
                <w:sz w:val="24"/>
              </w:rPr>
              <w:t xml:space="preserve">- Thửa đất số 800-2, tờ bản đồ số: 01 được xác định là thửa đất số: 213, tờ bản đồ số: 20 - Bản đồ dự án tổng thể;</w:t>
            </w:r>
            <w:r/>
          </w:p>
        </w:tc>
      </w:tr>
      <w:tr>
        <w:trPr>
          <w:trHeight w:val="625"/>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76" w:lineRule="auto"/>
              <w:ind/>
              <w:jc w:val="both"/>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Meeymap, xác </w:t>
            </w:r>
            <w:r>
              <w:rPr>
                <w:rFonts w:ascii="Times New Roman" w:hAnsi="Times New Roman" w:eastAsia="Times New Roman" w:cs="Times New Roman"/>
                <w:color w:val="000000" w:themeColor="text1"/>
                <w:sz w:val="24"/>
              </w:rPr>
              <w:t xml:space="preserve">định vị trí tài sản thuộc quy hoạch đất ở.</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pPr>
              <w:pBdr/>
              <w:spacing w:after="0" w:before="0" w:line="276" w:lineRule="auto"/>
              <w:ind/>
              <w:jc w:val="both"/>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4219440" cy="22378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62663" name=""/>
                              <pic:cNvPicPr>
                                <a:picLocks noChangeAspect="1"/>
                              </pic:cNvPicPr>
                              <pic:nvPr/>
                            </pic:nvPicPr>
                            <pic:blipFill rotWithShape="1">
                              <a:blip r:embed="rId18"/>
                              <a:stretch/>
                            </pic:blipFill>
                            <pic:spPr bwMode="auto">
                              <a:xfrm flipH="0" flipV="0">
                                <a:off x="0" y="0"/>
                                <a:ext cx="4219439" cy="22378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32.24pt;height:176.21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highlight w:val="none"/>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Pr/>
            </w:pPr>
            <w:r>
              <w:rPr>
                <w:rFonts w:ascii="Times New Roman" w:hAnsi="Times New Roman" w:eastAsia="Times New Roman" w:cs="Times New Roman"/>
                <w:b/>
                <w:color w:val="000000"/>
                <w:sz w:val="24"/>
              </w:rPr>
              <w:t xml:space="preserve">Vị trí; Giao thông;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Đường nhựa</w:t>
            </w:r>
            <w:r/>
          </w:p>
        </w:tc>
        <w:tc>
          <w:tcPr>
            <w:tcBorders>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01 mặt tiền</w:t>
            </w:r>
            <w:r/>
          </w:p>
        </w:tc>
      </w:tr>
      <w:tr>
        <w:trPr>
          <w:trHeight w:val="1240"/>
        </w:trPr>
        <w:tc>
          <w:tcPr>
            <w:tcBorders>
              <w:left w:val="single" w:color="000000" w:sz="6" w:space="0"/>
              <w:bottom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Khoảng 7,3m</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Khoảng 7,3m</w:t>
            </w:r>
            <w:r/>
          </w:p>
        </w:tc>
      </w:tr>
      <w:tr>
        <w:trPr>
          <w:trHeight w:val="307"/>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2" w:type="dxa"/>
            <w:vAlign w:val="center"/>
            <w:textDirection w:val="lrTb"/>
            <w:noWrap w:val="false"/>
          </w:tcPr>
          <w:p>
            <w:pPr>
              <w:pBdr/>
              <w:spacing w:after="0" w:before="0" w:line="276" w:lineRule="auto"/>
              <w:ind/>
              <w:jc w:val="both"/>
              <w:rPr/>
            </w:pPr>
            <w:r>
              <w:rPr>
                <w:rFonts w:ascii="Times New Roman" w:hAnsi="Times New Roman" w:eastAsia="Times New Roman" w:cs="Times New Roman"/>
                <w:color w:val="000000"/>
                <w:sz w:val="24"/>
              </w:rPr>
              <w:t xml:space="preserve">Tài sản nằm tiếp giáp đường liên xã cách QL 32 khoảng 400m</w:t>
            </w:r>
            <w:r/>
          </w:p>
        </w:tc>
      </w:tr>
      <w:tr>
        <w:trPr>
          <w:trHeight w:val="425"/>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2" w:type="dxa"/>
            <w:vAlign w:val="center"/>
            <w:textDirection w:val="lrTb"/>
            <w:noWrap w:val="false"/>
          </w:tcPr>
          <w:p>
            <w:pPr>
              <w:pBdr/>
              <w:spacing w:after="0" w:before="0" w:line="276"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Bắc: Tiếp giáp với đường nhựa</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76"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Vị trí trên bản đồ vệ tinh: (</w:t>
            </w:r>
            <w:r>
              <w:rPr>
                <w:rFonts w:ascii="Times New Roman" w:hAnsi="Times New Roman" w:eastAsia="Times New Roman" w:cs="Times New Roman"/>
                <w:color w:val="000000"/>
                <w:sz w:val="24"/>
              </w:rPr>
              <w:t xml:space="preserve">21.081639, 105.618111</w:t>
            </w:r>
            <w:r>
              <w:rPr>
                <w:rFonts w:ascii="Times New Roman" w:hAnsi="Times New Roman" w:eastAsia="Times New Roman" w:cs="Times New Roman"/>
                <w:color w:val="000000"/>
                <w:sz w:val="24"/>
              </w:rPr>
              <w:t xml:space="preserve">)</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78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300055" cy="277069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94943" name=""/>
                              <pic:cNvPicPr>
                                <a:picLocks noChangeAspect="1"/>
                              </pic:cNvPicPr>
                              <pic:nvPr/>
                            </pic:nvPicPr>
                            <pic:blipFill rotWithShape="1">
                              <a:blip r:embed="rId19"/>
                              <a:stretch/>
                            </pic:blipFill>
                            <pic:spPr bwMode="auto">
                              <a:xfrm flipH="0" flipV="0">
                                <a:off x="0" y="0"/>
                                <a:ext cx="5300055" cy="27706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7.33pt;height:218.16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sz w:val="24"/>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Pr/>
            </w:pPr>
            <w:r>
              <w:rPr>
                <w:rFonts w:ascii="Times New Roman" w:hAnsi="Times New Roman" w:eastAsia="Times New Roman" w:cs="Times New Roman"/>
                <w:b/>
                <w:color w:val="000000"/>
                <w:sz w:val="24"/>
              </w:rPr>
              <w:t xml:space="preserve">Diện tích; Kích thước; Hình dáng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60,5</w:t>
            </w:r>
            <w:r/>
          </w:p>
        </w:tc>
        <w:tc>
          <w:tcPr>
            <w:tcBorders>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5,00</w:t>
            </w:r>
            <w:r/>
          </w:p>
        </w:tc>
        <w:tc>
          <w:tcPr>
            <w:tcBorders>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12,1</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Vuông vức</w:t>
            </w:r>
            <w:r/>
          </w:p>
        </w:tc>
        <w:tc>
          <w:tcPr>
            <w:tcBorders>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Bắc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62"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Ổn định</w:t>
            </w:r>
            <w:r/>
          </w:p>
        </w:tc>
      </w:tr>
      <w:tr>
        <w:trPr>
          <w:trHeight w:val="613"/>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Phù hợp để ở/kinh doanh</w:t>
            </w:r>
            <w:r/>
          </w:p>
        </w:tc>
        <w:tc>
          <w:tcPr>
            <w:tcBorders>
              <w:bottom w:val="single" w:color="000000" w:sz="6" w:space="0"/>
              <w:right w:val="single" w:color="000000" w:sz="6" w:space="0"/>
            </w:tcBorders>
            <w:tcMar>
              <w:left w:w="0" w:type="dxa"/>
              <w:top w:w="0" w:type="dxa"/>
              <w:right w:w="0" w:type="dxa"/>
              <w:bottom w:w="0" w:type="dxa"/>
            </w:tcMar>
            <w:tcW w:w="1891"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503"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Tốt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center"/>
            <w:textDirection w:val="lrTb"/>
            <w:noWrap w:val="false"/>
          </w:tcPr>
          <w:p>
            <w:pPr>
              <w:pBdr/>
              <w:spacing w:after="0" w:before="0" w:line="276" w:lineRule="auto"/>
              <w:ind/>
              <w:rPr/>
            </w:pPr>
            <w:r>
              <w:rPr>
                <w:rFonts w:ascii="Times New Roman" w:hAnsi="Times New Roman" w:eastAsia="Times New Roman" w:cs="Times New Roman"/>
                <w:b/>
                <w:color w:val="000000"/>
                <w:sz w:val="24"/>
              </w:rPr>
              <w:t xml:space="preserve">Tài sản gắn liền với đất</w:t>
            </w:r>
            <w:r/>
          </w:p>
        </w:tc>
      </w:tr>
      <w:tr>
        <w:trPr>
          <w:trHeight w:val="453"/>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88" w:type="dxa"/>
            <w:vAlign w:val="top"/>
            <w:textDirection w:val="lrTb"/>
            <w:noWrap w:val="false"/>
          </w:tcPr>
          <w:p>
            <w:pPr>
              <w:pBdr/>
              <w:spacing w:after="0" w:before="0" w:line="276" w:lineRule="auto"/>
              <w:ind/>
              <w:jc w:val="both"/>
              <w:rPr/>
            </w:pPr>
            <w:r>
              <w:rPr>
                <w:rFonts w:ascii="Times New Roman" w:hAnsi="Times New Roman" w:eastAsia="Times New Roman" w:cs="Times New Roman"/>
                <w:color w:val="000000"/>
                <w:sz w:val="24"/>
              </w:rPr>
              <w:t xml:space="preserve">+ Thửa đất hiện đang làm sân nhà lát gạch của CTXD có cùng chủ sở hữu.</w:t>
              <w:br/>
              <w:t xml:space="preserve">+ Công trình chưa được chứng nhận trên GCN.</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7"/>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trang mạng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color w:val="000000" w:themeColor="text1"/>
          <w:highlight w:val="none"/>
          <w:lang w:val="pt-BR" w:bidi="pt-BR"/>
        </w:rPr>
        <w:t xml:space="preserve">.</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54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Hát Môn, </w:t>
            </w:r>
            <w:r>
              <w:rPr>
                <w:color w:val="000000" w:themeColor="text1"/>
                <w:sz w:val="22"/>
                <w:szCs w:val="22"/>
              </w:rPr>
              <w:t xml:space="preserve">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Hát Môn, </w:t>
            </w:r>
            <w:r>
              <w:rPr>
                <w:color w:val="000000" w:themeColor="text1"/>
                <w:sz w:val="22"/>
                <w:szCs w:val="22"/>
              </w:rPr>
              <w:t xml:space="preserve">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Hát Môn, </w:t>
            </w:r>
            <w:r>
              <w:rPr>
                <w:color w:val="000000" w:themeColor="text1"/>
                <w:sz w:val="22"/>
                <w:szCs w:val="22"/>
              </w:rPr>
              <w:t xml:space="preserve">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Hát Môn, </w:t>
            </w:r>
            <w:r>
              <w:rPr>
                <w:color w:val="000000" w:themeColor="text1"/>
                <w:sz w:val="22"/>
                <w:szCs w:val="22"/>
              </w:rPr>
              <w:t xml:space="preserve">Thành phố Hà Nội</w:t>
            </w:r>
            <w:r>
              <w:rPr>
                <w:sz w:val="22"/>
                <w:szCs w:val="22"/>
              </w:rPr>
            </w:r>
            <w:r/>
          </w:p>
        </w:tc>
      </w:tr>
      <w:tr>
        <w:trPr>
          <w:trHeight w:val="118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https://www.facebook.com/share/p/1ApuTEu3Gh/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https://www.facebook.com/share/p/1P7D2qeAYB/</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https://www.facebook.com/groups/2447985032103770/posts/4701181483450769/</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0382207056</w:t>
            </w: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0975349092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092.3316888</w:t>
            </w:r>
            <w:r>
              <w:rPr>
                <w:sz w:val="22"/>
                <w:szCs w:val="22"/>
              </w:rPr>
            </w:r>
            <w:r>
              <w:rPr>
                <w:sz w:val="22"/>
                <w:szCs w:val="22"/>
              </w:rPr>
            </w:r>
          </w:p>
        </w:tc>
      </w:tr>
      <w:tr>
        <w:trPr>
          <w:trHeight w:val="48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Tài sản cách QL32 khoảng 400m, 21.08163888888889, 105.6181111111111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QL32 khoảng 465m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đường QL32 khoảng 300m, 21.083795203422657, 105.62158963376511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đường chính Tài sản cách mặt đường Quốc lộ 32 khoảng 830m, 21.079252750521245, 105.6154030707677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Thích hợp để ở/Kinh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Thích hợp để ở/Kinh doanh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Thích hợp để ở/Kinh doanh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Thích hợp để ở/Kinh doanh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cấp 4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2 tầng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Diện tích sàn sử dụng</w:t>
            </w:r>
            <w:r>
              <w:rPr>
                <w:color w:val="000000"/>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45</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9.225.000.000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12.540.000.000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8.302.500.000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11.286.000.000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214.097.184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1.434.283.200</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bCs/>
                <w:color w:val="000000"/>
                <w:sz w:val="22"/>
                <w:szCs w:val="22"/>
              </w:rPr>
            </w:r>
            <w:r>
              <w:rPr>
                <w:b w:val="0"/>
                <w:bCs w:val="0"/>
                <w:color w:val="000000"/>
                <w:sz w:val="22"/>
                <w:szCs w:val="22"/>
              </w:rPr>
              <w:t xml:space="preserve">Đơn giá xây dựng theo Quyết định số 425/QĐ-BXD ngày 30/3/2026 của Bộ Xây Dựng (đồng/m²)</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5.947.144</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7.968.240</w:t>
            </w:r>
            <w:r/>
          </w:p>
        </w:tc>
      </w:tr>
      <w:tr>
        <w:trPr>
          <w:trHeight w:val="26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val="0"/>
                <w:bCs w:val="0"/>
                <w:color w:val="000000"/>
                <w:sz w:val="22"/>
                <w:szCs w:val="22"/>
              </w:rPr>
            </w:r>
            <w:r>
              <w:rPr>
                <w:b w:val="0"/>
                <w:bCs w:val="0"/>
                <w:color w:val="000000"/>
                <w:sz w:val="22"/>
                <w:szCs w:val="22"/>
              </w:rPr>
              <w:t xml:space="preserve">Tỷ lệ % CLCL</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8.088.402.816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9.851.716.800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8.088.402.816</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9.851.716.800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Tài sản cách QL32 khoảng 400m, 21.08163888888889, 105.6181111111111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QL32 khoảng 465m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đường QL32 khoảng 300m, 21.083795203422657, 105.62158963376511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Hát Môn, Thành phố Hà Nội, khoảng cách ra đường chính Tài sản cách mặt đường Quốc lộ 32 khoảng 830m, 21.079252750521245, 105.6154030707677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65.759.372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3.287.969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69.047.341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3.287.969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72.335.310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Hạ tầng khu dân cư thông thường</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Hạ tầng khu dân cư thông thường</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Hạ tầng khu dân cư thông thường</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72.335.310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Tốt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72.335.310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86.418.568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5.918.343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5.185.114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78.253.653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91.603.682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-3.945.562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-3.456.743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74.308.091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88.146.939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-6.913.485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74.308.091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81.233.454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3.945.562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78.253.653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81.233.454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Thích hợp để ở/Kinh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Thích hợp để ở/Kinh doanh</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Thích hợp để ở/Kinh doanh</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Thích hợp để ở/Kinh doanh</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78.253.653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81.233.454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78.253.653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81.000.000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81.233.454</w:t>
            </w:r>
            <w:r>
              <w:rPr>
                <w:b/>
                <w:bCs/>
                <w:color w:val="000000"/>
                <w:sz w:val="22"/>
                <w:szCs w:val="22"/>
              </w:rPr>
            </w:r>
            <w:r>
              <w:rPr>
                <w:b/>
                <w:bCs/>
                <w:color w:val="000000"/>
                <w:sz w:val="22"/>
                <w:szCs w:val="22"/>
              </w:rPr>
            </w:r>
          </w:p>
        </w:tc>
      </w:tr>
      <w:tr>
        <w:trPr>
          <w:trHeight w:val="552"/>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80.162.369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1,34%</w:t>
            </w:r>
            <w:r>
              <w:rPr>
                <w:color w:val="000000"/>
                <w:sz w:val="22"/>
                <w:szCs w:val="22"/>
              </w:rPr>
            </w:r>
            <w:r>
              <w:rPr>
                <w:color w:val="000000"/>
                <w:sz w:val="22"/>
                <w:szCs w:val="22"/>
              </w:rPr>
            </w:r>
          </w:p>
        </w:tc>
      </w:tr>
      <w:tr>
        <w:trPr>
          <w:trHeight w:val="466"/>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20.385.405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15.555.342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12.494.281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6.000.000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5.185.114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-2,38</w:t>
      </w:r>
      <w:r>
        <w:t xml:space="preserve">% đến</w:t>
      </w:r>
      <w:r>
        <w:t xml:space="preserve"> </w:t>
      </w:r>
      <w:r>
        <w:t xml:space="preserve"> </w:t>
      </w:r>
      <w:r>
        <w:t xml:space="preserve">1,34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78.253.653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26.089.768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81.000.000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26.997.300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81.233.454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27.075.110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80.162.178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80.000.000</w:t>
      </w:r>
      <w:r>
        <w:rPr>
          <w:b/>
          <w:bCs/>
          <w:color w:val="000000" w:themeColor="text1"/>
        </w:rPr>
        <w:t xml:space="preserve"> </w:t>
      </w:r>
      <w:r>
        <w:rPr>
          <w:b/>
          <w:bCs/>
        </w:rPr>
        <w:t xml:space="preserve">đồng/m².</w:t>
      </w:r>
      <w:r>
        <w:rPr>
          <w:b/>
          <w:bCs/>
        </w:rPr>
      </w:r>
      <w:r>
        <w:rPr>
          <w:b/>
          <w:bCs/>
        </w:rP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213, tờ bản đồ số: 20 - Bản đồ dự án tổng thể, có địa chỉ: Cụm 7, xã Tam Hiệp, huyện Phúc Thọ, thành phố Hà Nội (Nay là: xã Hát Môn, thành phố Hà Nội) theo Giấ</w:t>
            </w:r>
            <w:r>
              <w:rPr>
                <w:b/>
                <w:bCs/>
                <w:color w:val="000000"/>
              </w:rPr>
              <w:t xml:space="preserve">y chứng nhận Quyền sử dụng đất quyền sở hữu nhà ở và tài sản khác gắn liền với đất số: CR 990894, số vào sổ cấp GCN: CS-PT 10001 do Sở Tài nguyên và Môi trường Thành phố Hà Nội cấp ngày 11/6/2019; Chủ sử dụng đất là Ông Nguyễn Duy Hải và bà Dương Thị Thắm.</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60,5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80.000.000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4.840.000.000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4.840.000.000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tám trăm bốn mươi triệu đồng</w:t>
            </w:r>
            <w:r>
              <w:rPr>
                <w:b/>
                <w:bCs/>
                <w:i/>
                <w:iCs/>
                <w:color w:val="000000"/>
              </w:rPr>
              <w:t xml:space="preserve">./.)</w:t>
            </w:r>
            <w:r>
              <w:rPr>
                <w:b/>
                <w:bCs/>
                <w:i/>
                <w:iCs/>
                <w:color w:val="000000"/>
              </w:rPr>
            </w:r>
            <w:r>
              <w:rPr>
                <w:b/>
                <w:bCs/>
                <w:i/>
                <w:iCs/>
                <w:color w:val="000000"/>
              </w:rPr>
            </w:r>
          </w:p>
        </w:tc>
      </w:tr>
    </w:tbl>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7"/>
        <w:numPr>
          <w:ilvl w:val="0"/>
          <w:numId w:val="5"/>
        </w:numPr>
        <w:pBdr/>
        <w:spacing w:after="120" w:before="120" w:line="288" w:lineRule="auto"/>
        <w:ind/>
        <w:jc w:val="both"/>
        <w:rPr>
          <w:lang w:val="vi-VN"/>
        </w:rPr>
      </w:pPr>
      <w:r>
        <w:rPr>
          <w:highlight w:val="none"/>
          <w:lang w:val="vi-VN" w:bidi="vi-VN"/>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trang mạng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highlight w:val="none"/>
          <w:lang w:val="vi-VN" w:bidi="vi-VN"/>
        </w:rPr>
        <w:t xml:space="preserve">.</w:t>
      </w:r>
      <w:r>
        <w:rPr>
          <w:lang w:val="vi-VN"/>
        </w:rPr>
      </w:r>
      <w:r>
        <w:rPr>
          <w:lang w:val="vi-VN"/>
        </w:rP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275/2026/1370/VFI-CT.36.A</w:t>
      </w:r>
      <w:r>
        <w:rPr>
          <w:color w:val="ff0000"/>
          <w:lang w:val="vi-VN"/>
        </w:rPr>
        <w:t xml:space="preserve"> </w:t>
      </w:r>
      <w:r>
        <w:rPr>
          <w:color w:val="000000" w:themeColor="text1"/>
        </w:rPr>
        <w:t xml:space="preserve">ngày 03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275/2026/1370/VFI-BC.36.A</w:t>
      </w:r>
      <w:r>
        <w:rPr>
          <w:i/>
          <w:lang w:val="pt-BR"/>
        </w:rPr>
        <w:t xml:space="preserve"> ngày 0</w:t>
      </w:r>
      <w:r>
        <w:rPr>
          <w:i/>
          <w:lang w:val="pt-BR"/>
        </w:rPr>
        <w:t xml:space="preserve">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41635" cy="257795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892819" name=""/>
                              <pic:cNvPicPr>
                                <a:picLocks noChangeAspect="1"/>
                              </pic:cNvPicPr>
                              <pic:nvPr/>
                            </pic:nvPicPr>
                            <pic:blipFill rotWithShape="1">
                              <a:blip r:embed="rId20"/>
                              <a:stretch/>
                            </pic:blipFill>
                            <pic:spPr bwMode="auto">
                              <a:xfrm flipH="0" flipV="0">
                                <a:off x="0" y="0"/>
                                <a:ext cx="2741634" cy="25779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5.88pt;height:202.99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25593" cy="247913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42823" name=""/>
                              <pic:cNvPicPr>
                                <a:picLocks noChangeAspect="1"/>
                              </pic:cNvPicPr>
                              <pic:nvPr/>
                            </pic:nvPicPr>
                            <pic:blipFill rotWithShape="1">
                              <a:blip r:embed="rId21"/>
                              <a:stretch/>
                            </pic:blipFill>
                            <pic:spPr bwMode="auto">
                              <a:xfrm flipH="0" flipV="0">
                                <a:off x="0" y="0"/>
                                <a:ext cx="2825591" cy="24791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49pt;height:195.21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rHeight w:val="4374"/>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92954" cy="244051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55648" name=""/>
                              <pic:cNvPicPr>
                                <a:picLocks noChangeAspect="1"/>
                              </pic:cNvPicPr>
                              <pic:nvPr/>
                            </pic:nvPicPr>
                            <pic:blipFill rotWithShape="1">
                              <a:blip r:embed="rId22"/>
                              <a:stretch/>
                            </pic:blipFill>
                            <pic:spPr bwMode="auto">
                              <a:xfrm flipH="0" flipV="0">
                                <a:off x="0" y="0"/>
                                <a:ext cx="2792953" cy="24405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9.92pt;height:192.17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85616" cy="246101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02060" name=""/>
                              <pic:cNvPicPr>
                                <a:picLocks noChangeAspect="1"/>
                              </pic:cNvPicPr>
                              <pic:nvPr/>
                            </pic:nvPicPr>
                            <pic:blipFill rotWithShape="1">
                              <a:blip r:embed="rId23"/>
                              <a:stretch/>
                            </pic:blipFill>
                            <pic:spPr bwMode="auto">
                              <a:xfrm flipH="0" flipV="0">
                                <a:off x="0" y="0"/>
                                <a:ext cx="2885616" cy="24610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7.21pt;height:193.78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trHeight w:val="425"/>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46410" cy="227593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31257" name=""/>
                              <pic:cNvPicPr>
                                <a:picLocks noChangeAspect="1"/>
                              </pic:cNvPicPr>
                              <pic:nvPr/>
                            </pic:nvPicPr>
                            <pic:blipFill rotWithShape="1">
                              <a:blip r:embed="rId24"/>
                              <a:stretch/>
                            </pic:blipFill>
                            <pic:spPr bwMode="auto">
                              <a:xfrm flipH="0" flipV="0">
                                <a:off x="0" y="0"/>
                                <a:ext cx="2846409" cy="22759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13pt;height:179.21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36192" cy="233308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625247" name=""/>
                              <pic:cNvPicPr>
                                <a:picLocks noChangeAspect="1"/>
                              </pic:cNvPicPr>
                              <pic:nvPr/>
                            </pic:nvPicPr>
                            <pic:blipFill rotWithShape="1">
                              <a:blip r:embed="rId25"/>
                              <a:stretch/>
                            </pic:blipFill>
                            <pic:spPr bwMode="auto">
                              <a:xfrm flipH="0" flipV="0">
                                <a:off x="0" y="0"/>
                                <a:ext cx="2936192" cy="23330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20pt;height:183.71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after="200" w:line="276" w:lineRule="auto"/>
        <w:ind/>
        <w:jc w:val="center"/>
        <w:rPr>
          <w:b/>
          <w:bCs/>
          <w:highlight w:val="none"/>
        </w:rPr>
      </w:pPr>
      <w:r>
        <w:rPr>
          <w:b/>
          <w:bCs/>
        </w:rPr>
        <w:t xml:space="preserve">GIẤY CHỨNG NHẬN QUYỀN SỬ DỤNG ĐẤT</w:t>
      </w:r>
      <w:r>
        <w:rPr>
          <w:b/>
          <w:bCs/>
          <w:highlight w:val="none"/>
        </w:rPr>
      </w:r>
      <w:r>
        <w:rPr>
          <w:b/>
          <w:bCs/>
          <w:highlight w:val="none"/>
        </w:rPr>
      </w:r>
    </w:p>
    <w:p>
      <w:pPr>
        <w:pBdr/>
        <w:spacing w:after="200" w:line="276" w:lineRule="auto"/>
        <w:ind/>
        <w:jc w:val="center"/>
        <w:rPr>
          <w:b/>
          <w:bCs/>
        </w:rPr>
      </w:pPr>
      <w:r>
        <w:rPr>
          <w:b/>
          <w:bCs/>
          <w:highlight w:val="none"/>
        </w:rPr>
      </w:r>
      <w:r>
        <w:rPr>
          <w:b/>
          <w:bCs/>
        </w:rPr>
      </w:r>
      <w:r>
        <w:rPr>
          <w:b/>
          <w:bCs/>
        </w:rPr>
      </w:r>
    </w:p>
    <w:p>
      <w:pPr>
        <w:pBdr/>
        <w:shd w:val="nil" w:color="auto"/>
        <w:spacing/>
        <w:ind/>
        <w:jc w:val="center"/>
        <w:rPr/>
      </w:pPr>
      <w:r>
        <w:rPr>
          <w:b/>
          <w:highlight w:val="none"/>
        </w:rPr>
      </w:r>
      <w:r>
        <mc:AlternateContent>
          <mc:Choice Requires="wpg">
            <w:drawing>
              <wp:inline xmlns:wp="http://schemas.openxmlformats.org/drawingml/2006/wordprocessingDrawing" distT="0" distB="0" distL="0" distR="0">
                <wp:extent cx="8120096" cy="591787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231285" name=""/>
                        <pic:cNvPicPr>
                          <a:picLocks noChangeAspect="1"/>
                        </pic:cNvPicPr>
                        <pic:nvPr/>
                      </pic:nvPicPr>
                      <pic:blipFill rotWithShape="1">
                        <a:blip r:embed="rId26"/>
                        <a:stretch/>
                      </pic:blipFill>
                      <pic:spPr bwMode="auto">
                        <a:xfrm rot="16199969" flipH="0" flipV="0">
                          <a:off x="0" y="0"/>
                          <a:ext cx="8120095" cy="59178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639.38pt;height:465.97pt;mso-wrap-distance-left:0.00pt;mso-wrap-distance-top:0.00pt;mso-wrap-distance-right:0.00pt;mso-wrap-distance-bottom:0.00pt;rotation:269;z-index:1;" stroked="false">
                <v:imagedata r:id="rId26" o:title=""/>
                <o:lock v:ext="edit" rotation="t"/>
              </v:shape>
            </w:pict>
          </mc:Fallback>
        </mc:AlternateContent>
      </w:r>
      <w:r>
        <w:rPr>
          <w:bCs/>
          <w:i/>
          <w:lang w:val="pt-BR"/>
        </w:rPr>
      </w:r>
      <w:r/>
    </w:p>
    <w:p>
      <w:pPr>
        <w:pBdr/>
        <w:shd w:val="nil" w:color="auto"/>
        <w:spacing/>
        <w:ind/>
        <w:rPr>
          <w:bCs/>
          <w:i/>
          <w:lang w:val="pt-BR"/>
        </w:rPr>
      </w:pPr>
      <w:r>
        <w:rPr>
          <w:b/>
          <w:highlight w:val="none"/>
        </w:rPr>
        <w:br w:type="page" w:clear="all"/>
      </w:r>
      <w:r>
        <w:rPr>
          <w:bCs/>
          <w:i/>
          <w:lang w:val="pt-BR"/>
        </w:rPr>
      </w:r>
      <w:r>
        <w:rPr>
          <w:bCs/>
          <w:i/>
          <w:lang w:val="pt-BR"/>
        </w:rPr>
      </w:r>
    </w:p>
    <w:p>
      <w:pPr>
        <w:pBdr/>
        <w:shd w:val="nil" w:color="000000"/>
        <w:spacing/>
        <w:ind/>
        <w:jc w:val="center"/>
        <w:rPr>
          <w:b/>
          <w:bCs/>
          <w:highlight w:val="none"/>
        </w:rPr>
      </w:pPr>
      <w:r>
        <mc:AlternateContent>
          <mc:Choice Requires="wpg">
            <w:drawing>
              <wp:inline xmlns:wp="http://schemas.openxmlformats.org/drawingml/2006/wordprocessingDrawing" distT="0" distB="0" distL="0" distR="0">
                <wp:extent cx="8777160" cy="611636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27492" name=""/>
                        <pic:cNvPicPr>
                          <a:picLocks noChangeAspect="1"/>
                        </pic:cNvPicPr>
                        <pic:nvPr/>
                      </pic:nvPicPr>
                      <pic:blipFill rotWithShape="1">
                        <a:blip r:embed="rId27"/>
                        <a:stretch/>
                      </pic:blipFill>
                      <pic:spPr bwMode="auto">
                        <a:xfrm rot="16199969" flipH="0" flipV="0">
                          <a:off x="0" y="0"/>
                          <a:ext cx="8777160" cy="61163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691.11pt;height:481.60pt;mso-wrap-distance-left:0.00pt;mso-wrap-distance-top:0.00pt;mso-wrap-distance-right:0.00pt;mso-wrap-distance-bottom:0.00pt;rotation:269;z-index:1;" stroked="false">
                <v:imagedata r:id="rId27" o:title=""/>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8524910" cy="561086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89422" name=""/>
                        <pic:cNvPicPr>
                          <a:picLocks noChangeAspect="1"/>
                        </pic:cNvPicPr>
                        <pic:nvPr/>
                      </pic:nvPicPr>
                      <pic:blipFill rotWithShape="1">
                        <a:blip r:embed="rId28"/>
                        <a:stretch/>
                      </pic:blipFill>
                      <pic:spPr bwMode="auto">
                        <a:xfrm rot="5399976" flipH="0" flipV="0">
                          <a:off x="0" y="0"/>
                          <a:ext cx="8524909" cy="56108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671.25pt;height:441.80pt;mso-wrap-distance-left:0.00pt;mso-wrap-distance-top:0.00pt;mso-wrap-distance-right:0.00pt;mso-wrap-distance-bottom:0.00pt;rotation:89;z-index:1;" stroked="false">
                <v:imagedata r:id="rId28" o:title=""/>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t xml:space="preserve">BIÊN BẢN KHẢO SÁT TÀI SẢN</w:t>
      </w:r>
      <w:r>
        <w:rPr>
          <w:b/>
          <w:bCs/>
          <w:highlight w:val="none"/>
        </w:rPr>
      </w:r>
      <w:r>
        <w:rPr>
          <w:b/>
          <w:bCs/>
          <w:highlight w:val="none"/>
        </w:rPr>
      </w:r>
    </w:p>
    <w:p>
      <w:pPr>
        <w:pBdr/>
        <w:shd w:val="nil" w:color="000000"/>
        <w:spacing/>
        <w:ind/>
        <w:jc w:val="center"/>
        <w:rPr>
          <w:b/>
          <w:bCs/>
          <w:highlight w:val="none"/>
        </w:rPr>
      </w:pPr>
      <w:r>
        <w:rPr>
          <w:b/>
          <w:bCs/>
          <w:highlight w:val="none"/>
        </w:rPr>
      </w:r>
      <w:r>
        <w:rPr>
          <w:b/>
          <w:bCs/>
          <w:highlight w:val="none"/>
        </w:rPr>
      </w:r>
      <w:r>
        <w:rPr>
          <w:b/>
          <w:bCs/>
          <w:highlight w:val="none"/>
        </w:rPr>
      </w:r>
    </w:p>
    <w:p>
      <w:pPr>
        <w:pBdr/>
        <w:shd w:val="nil" w:color="000000"/>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21675"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29" o:title=""/>
                <o:lock v:ext="edit" rotation="t"/>
              </v:shape>
            </w:pict>
          </mc:Fallback>
        </mc:AlternateContent>
      </w:r>
      <w:r>
        <w:rPr>
          <w:b/>
          <w:highlight w:val="none"/>
        </w:rPr>
        <w:br w:type="page" w:clear="all"/>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275/2026/1370/VFI-BC.36.A ngày</w:t>
      </w:r>
      <w:r>
        <w:rPr>
          <w:i/>
          <w:lang w:val="pt-BR"/>
        </w:rPr>
        <w:t xml:space="preserve"> 0</w:t>
      </w:r>
      <w:r>
        <w:rPr>
          <w:i/>
          <w:lang w:val="pt-BR"/>
        </w:rPr>
        <w:t xml:space="preserve">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u w:val="none"/>
              </w:rPr>
            </w:pPr>
            <w:r>
              <w:rPr>
                <w:color w:val="000000" w:themeColor="text1"/>
                <w:sz w:val="22"/>
                <w:szCs w:val="22"/>
                <w:u w:val="none"/>
              </w:rPr>
            </w:r>
            <w:hyperlink r:id="rId30" w:tooltip="https://www.facebook.com/share/p/1ApuTEu3Gh/" w:history="1">
              <w:r>
                <w:rPr>
                  <w:rStyle w:val="1027"/>
                  <w:color w:val="000000" w:themeColor="text1"/>
                  <w:sz w:val="22"/>
                  <w:szCs w:val="22"/>
                  <w:u w:val="none"/>
                </w:rPr>
                <w:t xml:space="preserve">https://www.facebook.com/share/p/1ApuTEu3Gh/</w:t>
              </w:r>
              <w:r>
                <w:rPr>
                  <w:rStyle w:val="1027"/>
                  <w:color w:val="000000" w:themeColor="text1"/>
                  <w:sz w:val="22"/>
                  <w:szCs w:val="22"/>
                  <w:u w:val="none"/>
                </w:rPr>
              </w:r>
            </w:hyperlink>
            <w:r>
              <w:rPr>
                <w:color w:val="000000" w:themeColor="text1"/>
                <w:sz w:val="22"/>
                <w:szCs w:val="22"/>
                <w:u w:val="none"/>
              </w:rPr>
              <w:t xml:space="preserve"> SĐT: 0382207056</w:t>
            </w:r>
            <w:r>
              <w:rPr>
                <w:sz w:val="22"/>
                <w:szCs w:val="22"/>
                <w:u w:val="none"/>
              </w:rPr>
              <w:t xml:space="preserve"> </w:t>
            </w:r>
            <w:r>
              <w:rPr>
                <w:sz w:val="22"/>
                <w:szCs w:val="22"/>
                <w:u w:val="none"/>
              </w:rPr>
            </w:r>
            <w:r>
              <w:rPr>
                <w:sz w:val="22"/>
                <w:szCs w:val="22"/>
                <w:u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8.302.500.000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Thành phố Hà Nội, khoảng cách ra đường QL32 khoảng 465m.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388"/>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68915" cy="2799536"/>
                      <wp:effectExtent l="0" t="0" r="0" b="0"/>
                      <wp:docPr id="17" name=""/>
                      <wp:cNvGraphicFramePr/>
                      <a:graphic xmlns:a="http://schemas.openxmlformats.org/drawingml/2006/main">
                        <a:graphicData uri="http://schemas.openxmlformats.org/drawingml/2006/picture">
                          <pic:pic xmlns:pic="http://schemas.openxmlformats.org/drawingml/2006/picture">
                            <pic:nvPicPr>
                              <pic:cNvPr id="1329636048" name="" descr=""/>
                              <pic:cNvPicPr/>
                              <pic:nvPr/>
                            </pic:nvPicPr>
                            <pic:blipFill rotWithShape="1">
                              <a:blip r:embed="rId31"/>
                              <a:stretch/>
                            </pic:blipFill>
                            <pic:spPr bwMode="auto">
                              <a:xfrm flipH="0" flipV="0">
                                <a:off x="0" y="0"/>
                                <a:ext cx="2568914" cy="27995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2.28pt;height:220.44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68608" cy="2749143"/>
                      <wp:effectExtent l="0" t="0" r="0" b="0"/>
                      <wp:docPr id="18" name=""/>
                      <wp:cNvGraphicFramePr/>
                      <a:graphic xmlns:a="http://schemas.openxmlformats.org/drawingml/2006/main">
                        <a:graphicData uri="http://schemas.openxmlformats.org/drawingml/2006/picture">
                          <pic:pic xmlns:pic="http://schemas.openxmlformats.org/drawingml/2006/picture">
                            <pic:nvPicPr>
                              <pic:cNvPr id="767715774" name="" descr=""/>
                              <pic:cNvPicPr/>
                              <pic:nvPr/>
                            </pic:nvPicPr>
                            <pic:blipFill rotWithShape="1">
                              <a:blip r:embed="rId32"/>
                              <a:stretch/>
                            </pic:blipFill>
                            <pic:spPr bwMode="auto">
                              <a:xfrm flipH="0" flipV="0">
                                <a:off x="0" y="0"/>
                                <a:ext cx="2768608" cy="27491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8.00pt;height:216.47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740365" cy="314588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89740" name=""/>
                              <pic:cNvPicPr>
                                <a:picLocks noChangeAspect="1"/>
                              </pic:cNvPicPr>
                              <pic:nvPr/>
                            </pic:nvPicPr>
                            <pic:blipFill rotWithShape="1">
                              <a:blip r:embed="rId33"/>
                              <a:stretch/>
                            </pic:blipFill>
                            <pic:spPr bwMode="auto">
                              <a:xfrm flipH="0" flipV="0">
                                <a:off x="0" y="0"/>
                                <a:ext cx="2740365" cy="31458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5.78pt;height:247.71pt;mso-wrap-distance-left:0.00pt;mso-wrap-distance-top:0.00pt;mso-wrap-distance-right:0.00pt;mso-wrap-distance-bottom:0.00pt;z-index:1;" stroked="false">
                      <v:imagedata r:id="rId33" o:title=""/>
                      <o:lock v:ext="edit" rotation="t"/>
                    </v:shape>
                  </w:pict>
                </mc:Fallback>
              </mc:AlternateContent>
            </w:r>
            <w:r>
              <w:t xml:space="preserve">   </w:t>
            </w:r>
            <w:r>
              <mc:AlternateContent>
                <mc:Choice Requires="wpg">
                  <w:drawing>
                    <wp:inline xmlns:wp="http://schemas.openxmlformats.org/drawingml/2006/wordprocessingDrawing" distT="0" distB="0" distL="0" distR="0">
                      <wp:extent cx="2568915" cy="315541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410964" name=""/>
                              <pic:cNvPicPr>
                                <a:picLocks noChangeAspect="1"/>
                              </pic:cNvPicPr>
                              <pic:nvPr/>
                            </pic:nvPicPr>
                            <pic:blipFill rotWithShape="1">
                              <a:blip r:embed="rId34"/>
                              <a:stretch/>
                            </pic:blipFill>
                            <pic:spPr bwMode="auto">
                              <a:xfrm flipH="0" flipV="0">
                                <a:off x="0" y="0"/>
                                <a:ext cx="2568914" cy="3155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2.28pt;height:248.46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val="0"/>
                <w:bCs w:val="0"/>
              </w:rPr>
            </w:pPr>
            <w:r>
              <w:rPr>
                <w:b w:val="0"/>
                <w:bCs w:val="0"/>
              </w:rPr>
              <w:t xml:space="preserve">Nguyễn Tấn Sang</w:t>
            </w:r>
            <w:r>
              <w:rPr>
                <w:b w:val="0"/>
                <w:bCs w:val="0"/>
              </w:rPr>
            </w:r>
            <w:r>
              <w:rPr>
                <w:b w:val="0"/>
                <w:bCs w:val="0"/>
              </w:rP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https://www.facebook.com/share/p/1P7D2qeAYB/</w:t>
            </w:r>
            <w:r>
              <w:rPr>
                <w:color w:val="000000" w:themeColor="text1"/>
                <w:sz w:val="22"/>
                <w:szCs w:val="22"/>
              </w:rPr>
              <w:br/>
              <w:t xml:space="preserve">SĐT: 0975349092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Huyện Phúc Thọ, Thành phố Hà Nội, khoảng cách ra đường QL 32 khoảng 300m, 21.083795203422657, 105.62158963376511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14066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675126365" name="" descr=""/>
                              <pic:cNvPicPr/>
                              <pic:nvPr/>
                            </pic:nvPicPr>
                            <pic:blipFill rotWithShape="1">
                              <a:blip r:embed="rId35"/>
                              <a:stretch/>
                            </pic:blipFill>
                            <pic:spPr bwMode="auto">
                              <a:xfrm flipH="0" flipV="0">
                                <a:off x="0" y="0"/>
                                <a:ext cx="514066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04.78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45885" cy="2394298"/>
                      <wp:effectExtent l="0" t="0" r="0" b="0"/>
                      <wp:docPr id="22" name=""/>
                      <wp:cNvGraphicFramePr/>
                      <a:graphic xmlns:a="http://schemas.openxmlformats.org/drawingml/2006/main">
                        <a:graphicData uri="http://schemas.openxmlformats.org/drawingml/2006/picture">
                          <pic:pic xmlns:pic="http://schemas.openxmlformats.org/drawingml/2006/picture">
                            <pic:nvPicPr>
                              <pic:cNvPr id="486556394" name="" descr=""/>
                              <pic:cNvPicPr/>
                              <pic:nvPr/>
                            </pic:nvPicPr>
                            <pic:blipFill rotWithShape="1">
                              <a:blip r:embed="rId36"/>
                              <a:stretch/>
                            </pic:blipFill>
                            <pic:spPr bwMode="auto">
                              <a:xfrm rot="16199969" flipH="0" flipV="0">
                                <a:off x="0" y="0"/>
                                <a:ext cx="3145884" cy="23942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7.71pt;height:188.53pt;mso-wrap-distance-left:0.00pt;mso-wrap-distance-top:0.00pt;mso-wrap-distance-right:0.00pt;mso-wrap-distance-bottom:0.00pt;rotation:269;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3084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509511232" name="" descr=""/>
                              <pic:cNvPicPr/>
                              <pic:nvPr/>
                            </pic:nvPicPr>
                            <pic:blipFill rotWithShape="1">
                              <a:blip r:embed="rId37"/>
                              <a:stretch/>
                            </pic:blipFill>
                            <pic:spPr bwMode="auto">
                              <a:xfrm flipH="0" flipV="0">
                                <a:off x="0" y="0"/>
                                <a:ext cx="27308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5.0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Tấn Sang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https://www.facebook.com/groups/2447985032103770/posts/4701181483450769/</w:t>
            </w:r>
            <w:r>
              <w:rPr>
                <w:color w:val="000000" w:themeColor="text1"/>
                <w:sz w:val="22"/>
                <w:szCs w:val="22"/>
              </w:rPr>
              <w:br/>
            </w:r>
            <w:r>
              <w:rPr>
                <w:sz w:val="22"/>
                <w:szCs w:val="22"/>
              </w:rPr>
              <w:t xml:space="preserve">SĐT: </w:t>
            </w:r>
            <w:r>
              <w:rPr>
                <w:color w:val="000000" w:themeColor="text1"/>
                <w:sz w:val="22"/>
                <w:szCs w:val="22"/>
              </w:rPr>
              <w:t xml:space="preserve">092.3316888</w:t>
            </w:r>
            <w:r>
              <w:rPr>
                <w:sz w:val="22"/>
                <w:szCs w:val="22"/>
              </w:rPr>
              <w:t xml:space="preserve"> </w:t>
            </w:r>
            <w:r>
              <w:rPr>
                <w:sz w:val="22"/>
                <w:szCs w:val="22"/>
              </w:rPr>
              <w:b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11.286.000.000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Khu Trại, thôn 4, Xã Hát Môn, Thành phố Hà Nội, khoảng cách ra đường chính Tài sản cách mặt đường Quốc lộ 32 khoảng 830m, 21.079252750521245, 105.6154030707677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72442" cy="3604728"/>
                      <wp:effectExtent l="0" t="0" r="0" b="0"/>
                      <wp:docPr id="24" name=""/>
                      <wp:cNvGraphicFramePr/>
                      <a:graphic xmlns:a="http://schemas.openxmlformats.org/drawingml/2006/main">
                        <a:graphicData uri="http://schemas.openxmlformats.org/drawingml/2006/picture">
                          <pic:pic xmlns:pic="http://schemas.openxmlformats.org/drawingml/2006/picture">
                            <pic:nvPicPr>
                              <pic:cNvPr id="1278434460" name="" descr=""/>
                              <pic:cNvPicPr/>
                              <pic:nvPr/>
                            </pic:nvPicPr>
                            <pic:blipFill rotWithShape="1">
                              <a:blip r:embed="rId38"/>
                              <a:stretch/>
                            </pic:blipFill>
                            <pic:spPr bwMode="auto">
                              <a:xfrm flipH="0" flipV="0">
                                <a:off x="0" y="0"/>
                                <a:ext cx="5372441" cy="36047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23.03pt;height:283.84pt;mso-wrap-distance-left:0.00pt;mso-wrap-distance-top:0.00pt;mso-wrap-distance-right:0.00pt;mso-wrap-distance-bottom:0.00pt;z-index:1;" stroked="false">
                      <v:imagedata r:id="rId38" o:title=""/>
                      <o:lock v:ext="edit" rotation="t"/>
                    </v:shape>
                  </w:pict>
                </mc:Fallback>
              </mc:AlternateContent>
            </w:r>
            <w:r>
              <w:rPr>
                <w:color w:val="000000"/>
                <w:sz w:val="22"/>
                <w:szCs w:val="22"/>
              </w:rPr>
            </w:r>
            <w:r>
              <w:rPr>
                <w:color w:val="000000"/>
                <w:sz w:val="22"/>
                <w:szCs w:val="22"/>
              </w:rPr>
            </w:r>
          </w:p>
          <w:p>
            <w:pPr>
              <w:pBdr/>
              <w:spacing w:line="276" w:lineRule="auto"/>
              <w:ind/>
              <w:jc w:val="left"/>
              <w:rPr>
                <w:color w:val="000000"/>
                <w:sz w:val="22"/>
                <w:szCs w:val="22"/>
                <w:highlight w:val="none"/>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8796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233121532" name="" descr=""/>
                              <pic:cNvPicPr/>
                              <pic:nvPr/>
                            </pic:nvPicPr>
                            <pic:blipFill rotWithShape="1">
                              <a:blip r:embed="rId39"/>
                              <a:stretch/>
                            </pic:blipFill>
                            <pic:spPr bwMode="auto">
                              <a:xfrm flipH="0" flipV="0">
                                <a:off x="0" y="0"/>
                                <a:ext cx="258796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03.78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0365"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492603501" name="" descr=""/>
                              <pic:cNvPicPr/>
                              <pic:nvPr/>
                            </pic:nvPicPr>
                            <pic:blipFill rotWithShape="1">
                              <a:blip r:embed="rId40"/>
                              <a:stretch/>
                            </pic:blipFill>
                            <pic:spPr bwMode="auto">
                              <a:xfrm flipH="0" flipV="0">
                                <a:off x="0" y="0"/>
                                <a:ext cx="274036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5.78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highlight w:val="none"/>
              </w:rPr>
            </w:r>
            <w:r>
              <w:rPr>
                <w:color w:val="000000"/>
                <w:sz w:val="22"/>
                <w:szCs w:val="22"/>
                <w:highlight w:val="none"/>
              </w:rPr>
            </w:r>
          </w:p>
          <w:p>
            <w:pPr>
              <w:pBdr/>
              <w:spacing w:line="276" w:lineRule="auto"/>
              <w:ind/>
              <w:jc w:val="left"/>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90256"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559025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40.18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Tấn Sang</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jpg"/><Relationship Id="rId30" Type="http://schemas.openxmlformats.org/officeDocument/2006/relationships/hyperlink" Target="https://www.facebook.com/share/p/1ApuTEu3Gh/" TargetMode="External"/><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40" Type="http://schemas.openxmlformats.org/officeDocument/2006/relationships/image" Target="media/image24.png"/><Relationship Id="rId41"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282</cp:revision>
  <dcterms:created xsi:type="dcterms:W3CDTF">2025-09-15T09:58:00Z</dcterms:created>
  <dcterms:modified xsi:type="dcterms:W3CDTF">2026-09-07T04:10:01Z</dcterms:modified>
</cp:coreProperties>
</file>