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jc w:val="center"/>
        <w:rPr>
          <w:b/>
          <w:sz w:val="28"/>
          <w:lang w:val="vi-VN"/>
        </w:rPr>
      </w:pPr>
      <w:r>
        <w:rPr>
          <w:b/>
          <w:sz w:val="28"/>
          <w:lang w:val="vi-VN"/>
        </w:rPr>
      </w:r>
      <w:r>
        <w:rPr>
          <w:b/>
          <w:sz w:val="28"/>
          <w:lang w:val="vi-VN"/>
        </w:rPr>
      </w:r>
      <w:r>
        <w:rPr>
          <w:b/>
          <w:sz w:val="28"/>
          <w:lang w:val="vi-VN"/>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467350" cy="3230199"/>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3230199"/>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 </w:t>
                            </w:r>
                            <w:r>
                              <w:rPr>
                                <w:b/>
                                <w:color w:val="000000" w:themeColor="text1"/>
                              </w:rPr>
                              <w:t xml:space="preserve">275/2026/1224/VFI-CT.C01.A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t xml:space="preserve">Ông Khương Văn Huân</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Cs/>
                                <w:i/>
                                <w:iCs/>
                              </w:rPr>
                            </w:pPr>
                            <w:r>
                              <w:rPr>
                                <w:b/>
                              </w:rPr>
                              <w:t xml:space="preserve">Tài sản thẩm </w:t>
                            </w:r>
                            <w:r>
                              <w:rPr>
                                <w:b/>
                              </w:rPr>
                              <w:t xml:space="preserve">định: </w:t>
                            </w:r>
                            <w:r>
                              <w:rPr>
                                <w:color w:val="000000"/>
                              </w:rPr>
                              <w:t xml:space="preserve">Quyền sử dụng đất tại thửa đất số 480, tờ bản đồ số 20, có địa chỉ: thôn Đông Trung, xã Đồng Tĩnh, huyện Tam Dương, tỉnh Vĩnh Phúc </w:t>
                            </w:r>
                            <w:r>
                              <w:rPr>
                                <w:i/>
                                <w:iCs/>
                                <w:color w:val="000000"/>
                              </w:rPr>
                              <w:t xml:space="preserve">(nay là xã Tam Dương Bắc, tỉnh Phú Thọ) </w:t>
                            </w:r>
                            <w:r>
                              <w:rPr>
                                <w:color w:val="000000"/>
                              </w:rPr>
                              <w:t xml:space="preserve">theo giấy chứng nhận Quyền sử dụng đất, quyền sở hữu nhà ở và tài sản gắn liền với đất số: DL 238227, số vào sổ cấp GCN: CS01634 do Sở Tài nguyên và Môi trường tỉnh Vĩnh Phúc cấp ngày 14/03/2023. Chủ sử dụng đất là ông Khương Văn Huân và bà Phạm Hồng Khánh</w:t>
                            </w:r>
                            <w:r>
                              <w:rPr>
                                <w:bCs/>
                                <w:i/>
                                <w:iCs/>
                              </w:rPr>
                              <w:t xml:space="preserve">.</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08/2026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30.50pt;height:254.35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 </w:t>
                      </w:r>
                      <w:r>
                        <w:rPr>
                          <w:b/>
                          <w:color w:val="000000" w:themeColor="text1"/>
                        </w:rPr>
                        <w:t xml:space="preserve">275/2026/1224/VFI-CT.C01.A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t xml:space="preserve">Ông Khương Văn Huân</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Cs/>
                          <w:i/>
                          <w:iCs/>
                        </w:rPr>
                      </w:pPr>
                      <w:r>
                        <w:rPr>
                          <w:b/>
                        </w:rPr>
                        <w:t xml:space="preserve">Tài sản thẩm </w:t>
                      </w:r>
                      <w:r>
                        <w:rPr>
                          <w:b/>
                        </w:rPr>
                        <w:t xml:space="preserve">định: </w:t>
                      </w:r>
                      <w:r>
                        <w:rPr>
                          <w:color w:val="000000"/>
                        </w:rPr>
                        <w:t xml:space="preserve">Quyền sử dụng đất tại thửa đất số 480, tờ bản đồ số 20, có địa chỉ: thôn Đông Trung, xã Đồng Tĩnh, huyện Tam Dương, tỉnh Vĩnh Phúc </w:t>
                      </w:r>
                      <w:r>
                        <w:rPr>
                          <w:i/>
                          <w:iCs/>
                          <w:color w:val="000000"/>
                        </w:rPr>
                        <w:t xml:space="preserve">(nay là xã Tam Dương Bắc, tỉnh Phú Thọ) </w:t>
                      </w:r>
                      <w:r>
                        <w:rPr>
                          <w:color w:val="000000"/>
                        </w:rPr>
                        <w:t xml:space="preserve">theo giấy chứng nhận Quyền sử dụng đất, quyền sở hữu nhà ở và tài sản gắn liền với đất số: DL 238227, số vào sổ cấp GCN: CS01634 do Sở Tài nguyên và Môi trường tỉnh Vĩnh Phúc cấp ngày 14/03/2023. Chủ sử dụng đất là ông Khương Văn Huân và bà Phạm Hồng Khánh</w:t>
                      </w:r>
                      <w:r>
                        <w:rPr>
                          <w:bCs/>
                          <w:i/>
                          <w:iCs/>
                        </w:rPr>
                        <w:t xml:space="preserve">.</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08/2026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r>
        <w:rPr>
          <w:b/>
          <w:sz w:val="28"/>
        </w:rPr>
      </w:r>
    </w:p>
    <w:p>
      <w:pPr>
        <w:pBdr/>
        <w:spacing/>
        <w:ind w:right="-1"/>
        <w:jc w:val="center"/>
        <w:rPr>
          <w:sz w:val="28"/>
        </w:rPr>
      </w:pPr>
      <w:r>
        <w:rPr>
          <w:b/>
          <w:sz w:val="28"/>
        </w:rPr>
        <w:t xml:space="preserve">MỤC LỤC</w:t>
      </w:r>
      <w:r>
        <w:rPr>
          <w:sz w:val="28"/>
        </w:rPr>
      </w:r>
      <w:r>
        <w:rPr>
          <w:sz w:val="28"/>
        </w:rPr>
      </w:r>
    </w:p>
    <w:p>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u w:val="single"/>
              </w:rPr>
            </w:pPr>
            <w:r>
              <w:rPr>
                <w:rFonts w:eastAsia="Calibri"/>
                <w:b/>
                <w:u w:val="single"/>
              </w:rPr>
              <w:t xml:space="preserve">NỘI DUNG</w:t>
            </w:r>
            <w:r>
              <w:rPr>
                <w:rFonts w:eastAsia="Calibri"/>
                <w:b/>
                <w:u w:val="single"/>
              </w:rPr>
            </w:r>
            <w:r>
              <w:rPr>
                <w:rFonts w:eastAsia="Calibri"/>
                <w:b/>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u w:val="single"/>
              </w:rPr>
            </w:pPr>
            <w:r>
              <w:rPr>
                <w:b/>
                <w:u w:val="single"/>
              </w:rPr>
              <w:t xml:space="preserve">TRANG</w:t>
            </w:r>
            <w:r>
              <w:rPr>
                <w:b/>
                <w:u w:val="single"/>
              </w:rPr>
            </w:r>
            <w:r>
              <w:rPr>
                <w:b/>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rPr>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Chứng thư thẩm định 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color w:val="000000" w:themeColor="text1"/>
              </w:rPr>
              <w:t xml:space="preserve">1-3</w:t>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Báo cáo thẩm định 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lang w:val="vi-VN"/>
              </w:rPr>
            </w:pPr>
            <w:r>
              <w:rPr>
                <w:b/>
                <w:color w:val="000000" w:themeColor="text1"/>
              </w:rPr>
              <w:t xml:space="preserve">4-21</w:t>
            </w:r>
            <w:r>
              <w:rPr>
                <w:b/>
                <w:lang w:val="vi-VN"/>
              </w:rPr>
            </w:r>
            <w:r>
              <w:rPr>
                <w:b/>
                <w:lang w:val="vi-VN"/>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Các phụ lục chi tiết kèm theo</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center"/>
              <w:rPr>
                <w:b/>
                <w:bCs/>
              </w:rPr>
            </w:pPr>
            <w:r>
              <w:rPr>
                <w:b/>
                <w:bCs/>
              </w:rPr>
            </w:r>
            <w:r>
              <w:rPr>
                <w:b/>
                <w:bCs/>
              </w:rPr>
            </w:r>
            <w:r>
              <w:rPr>
                <w:b/>
                <w:bCs/>
              </w:rPr>
            </w:r>
          </w:p>
        </w:tc>
      </w:tr>
      <w:tr>
        <w:trPr/>
        <w:tc>
          <w:tcPr>
            <w:tcBorders/>
            <w:tcMar>
              <w:left w:w="108" w:type="dxa"/>
              <w:right w:w="108" w:type="dxa"/>
            </w:tcMar>
            <w:tcW w:w="7280" w:type="dxa"/>
            <w:vAlign w:val="center"/>
            <w:textDirection w:val="lrTb"/>
            <w:noWrap w:val="false"/>
          </w:tcPr>
          <w:p>
            <w:pPr>
              <w:pStyle w:val="1027"/>
              <w:pBdr/>
              <w:tabs>
                <w:tab w:val="left" w:leader="none" w:pos="993"/>
              </w:tabs>
              <w:spacing w:after="120" w:before="120" w:line="288" w:lineRule="auto"/>
              <w:ind w:left="0"/>
              <w:jc w:val="both"/>
              <w:rPr>
                <w:bCs/>
                <w:lang w:val="pt-BR"/>
              </w:rPr>
            </w:pPr>
            <w:r>
              <w:rPr>
                <w:bCs/>
                <w:lang w:val="pt-BR"/>
              </w:rPr>
              <w:t xml:space="preserve">Phụ lục 1: Thông tin hiện trạng + Hồ sơ pháp lý</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22-25</w:t>
            </w:r>
            <w:r>
              <w:rPr>
                <w:b/>
                <w:bCs/>
              </w:rPr>
            </w:r>
            <w:r>
              <w:rPr>
                <w:b/>
                <w:bCs/>
              </w:rPr>
            </w:r>
          </w:p>
        </w:tc>
      </w:tr>
      <w:tr>
        <w:trPr/>
        <w:tc>
          <w:tcPr>
            <w:tcBorders/>
            <w:tcMar>
              <w:left w:w="108" w:type="dxa"/>
              <w:right w:w="108" w:type="dxa"/>
            </w:tcMar>
            <w:tcW w:w="7280" w:type="dxa"/>
            <w:vAlign w:val="center"/>
            <w:textDirection w:val="lrTb"/>
            <w:noWrap w:val="false"/>
          </w:tcPr>
          <w:p>
            <w:pPr>
              <w:pStyle w:val="1027"/>
              <w:pBdr/>
              <w:tabs>
                <w:tab w:val="left" w:leader="none" w:pos="993"/>
              </w:tabs>
              <w:spacing w:after="120" w:before="120" w:line="288" w:lineRule="auto"/>
              <w:ind w:left="0"/>
              <w:jc w:val="both"/>
              <w:rPr>
                <w:bCs/>
                <w:lang w:val="pt-BR"/>
              </w:rPr>
            </w:pPr>
            <w:r>
              <w:rPr>
                <w:bCs/>
                <w:lang w:val="pt-BR"/>
              </w:rPr>
              <w:t xml:space="preserve">Phụ lục 2: Thông tin thu thập thị trường + BBKS</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26-39</w:t>
            </w:r>
            <w:r>
              <w:rPr>
                <w:b/>
                <w:bCs/>
              </w:rPr>
            </w:r>
            <w:r>
              <w:rPr>
                <w:b/>
                <w:bCs/>
              </w:rPr>
            </w:r>
          </w:p>
        </w:tc>
      </w:tr>
    </w:tbl>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rPr>
          <w:b/>
          <w:sz w:val="22"/>
          <w:szCs w:val="22"/>
          <w:lang w:val="vi-VN"/>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r>
        <w:rPr>
          <w:b/>
          <w:sz w:val="22"/>
          <w:szCs w:val="22"/>
          <w:lang w:val="vi-VN"/>
        </w:rPr>
      </w:r>
    </w:p>
    <w:tbl>
      <w:tblPr>
        <w:tblInd w:w="-284" w:type="dxa"/>
        <w:tblW w:w="14414" w:type="dxa"/>
        <w:tblBorders/>
        <w:tblLayout w:type="fixed"/>
        <w:tblLook w:val="04A0" w:firstRow="1" w:lastRow="0" w:firstColumn="1" w:lastColumn="0" w:noHBand="0" w:noVBand="1"/>
      </w:tblPr>
      <w:tblGrid>
        <w:gridCol w:w="29"/>
        <w:gridCol w:w="1843"/>
        <w:gridCol w:w="12543"/>
      </w:tblGrid>
      <w:tr>
        <w:trPr>
          <w:trHeight w:val="1152"/>
        </w:trPr>
        <w:tc>
          <w:tcPr>
            <w:gridSpan w:val="2"/>
            <w:tcBorders/>
            <w:tcW w:w="1871"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3"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tcBorders/>
            <w:tcW w:w="12543"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5" w:tooltip="mailto:ilotus.contact@gmail.com" w:history="1">
              <w:r>
                <w:rPr>
                  <w:rStyle w:val="1017"/>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Before w:val="1"/>
          <w:trHeight w:val="482"/>
        </w:trPr>
        <w:tc>
          <w:tcPr>
            <w:gridSpan w:val="2"/>
            <w:shd w:val="clear" w:color="auto" w:fill="auto"/>
            <w:tcBorders/>
            <w:tcMar>
              <w:left w:w="108" w:type="dxa"/>
              <w:top w:w="0" w:type="dxa"/>
              <w:right w:w="108" w:type="dxa"/>
              <w:bottom w:w="0" w:type="dxa"/>
            </w:tcMar>
            <w:tcW w:w="14385" w:type="dxa"/>
            <w:textDirection w:val="lrTb"/>
            <w:noWrap w:val="false"/>
          </w:tcPr>
          <w:p>
            <w:pPr>
              <w:pStyle w:val="1026"/>
              <w:pBdr/>
              <w:spacing w:after="60"/>
              <w:ind/>
              <w:rPr>
                <w:color w:val="000000" w:themeColor="text1"/>
                <w:sz w:val="24"/>
                <w:szCs w:val="24"/>
              </w:rPr>
            </w:pPr>
            <w:r>
              <w:rPr>
                <w:rStyle w:val="1025"/>
                <w:rFonts w:ascii="Times New Roman" w:hAnsi="Times New Roman"/>
                <w:color w:val="000000" w:themeColor="text1"/>
                <w:lang w:val="pt-BR"/>
              </w:rPr>
              <w:t xml:space="preserve">Số: </w:t>
            </w:r>
            <w:r>
              <w:rPr>
                <w:rStyle w:val="1025"/>
                <w:rFonts w:ascii="Times New Roman" w:hAnsi="Times New Roman"/>
                <w:color w:val="000000" w:themeColor="text1"/>
                <w:lang w:val="pt-BR"/>
              </w:rPr>
              <w:t xml:space="preserve">275/2026/1224/VFI-CT.C01.A                                              </w:t>
            </w:r>
            <w:r>
              <w:rPr>
                <w:rStyle w:val="1025"/>
                <w:rFonts w:ascii="Times New Roman" w:hAnsi="Times New Roman"/>
                <w:i/>
                <w:color w:val="auto"/>
              </w:rPr>
              <w:t xml:space="preserve">TP. Hà Nội</w:t>
            </w:r>
            <w:r>
              <w:rPr>
                <w:rStyle w:val="1025"/>
                <w:rFonts w:ascii="Times New Roman" w:hAnsi="Times New Roman"/>
                <w:i/>
                <w:color w:val="auto"/>
                <w:lang w:val="vi-VN"/>
              </w:rPr>
              <w:t xml:space="preserve">, </w:t>
            </w:r>
            <w:r>
              <w:rPr>
                <w:rStyle w:val="1025"/>
                <w:rFonts w:ascii="Times New Roman" w:hAnsi="Times New Roman"/>
                <w:i/>
                <w:color w:val="000000" w:themeColor="text1"/>
                <w:lang w:val="vi-VN"/>
              </w:rPr>
              <w:t xml:space="preserve">ngày 8 tháng 8 năm 2026</w:t>
            </w:r>
            <w:r>
              <w:rPr>
                <w:color w:val="000000" w:themeColor="text1"/>
                <w:sz w:val="24"/>
                <w:szCs w:val="24"/>
              </w:rPr>
            </w:r>
            <w:r>
              <w:rPr>
                <w:color w:val="000000" w:themeColor="text1"/>
                <w:sz w:val="24"/>
                <w:szCs w:val="24"/>
              </w:rPr>
            </w:r>
          </w:p>
        </w:tc>
      </w:tr>
    </w:tbl>
    <w:p>
      <w:pPr>
        <w:pStyle w:val="1026"/>
        <w:pBdr/>
        <w:spacing w:after="120" w:before="200" w:line="288" w:lineRule="auto"/>
        <w:ind/>
        <w:jc w:val="center"/>
        <w:rPr>
          <w:rStyle w:val="1025"/>
          <w:rFonts w:ascii="Times New Roman" w:hAnsi="Times New Roman"/>
          <w:b/>
          <w:bCs/>
          <w:color w:val="auto"/>
          <w:sz w:val="30"/>
          <w:szCs w:val="30"/>
          <w:lang w:val="vi-VN"/>
        </w:rPr>
      </w:pPr>
      <w:r>
        <w:rPr>
          <w:rStyle w:val="1025"/>
          <w:rFonts w:ascii="Times New Roman" w:hAnsi="Times New Roman"/>
          <w:b/>
          <w:bCs/>
          <w:color w:val="auto"/>
          <w:sz w:val="30"/>
          <w:szCs w:val="30"/>
          <w:lang w:val="vi-VN"/>
        </w:rPr>
        <w:t xml:space="preserve">CHỨNG THƯ THẨM ĐỊNH GIÁ</w:t>
      </w:r>
      <w:r>
        <w:rPr>
          <w:rStyle w:val="1025"/>
          <w:rFonts w:ascii="Times New Roman" w:hAnsi="Times New Roman"/>
          <w:b/>
          <w:bCs/>
          <w:color w:val="auto"/>
          <w:sz w:val="30"/>
          <w:szCs w:val="30"/>
          <w:lang w:val="vi-VN"/>
        </w:rPr>
      </w:r>
      <w:r>
        <w:rPr>
          <w:rStyle w:val="1025"/>
          <w:rFonts w:ascii="Times New Roman" w:hAnsi="Times New Roman"/>
          <w:b/>
          <w:bCs/>
          <w:color w:val="auto"/>
          <w:sz w:val="30"/>
          <w:szCs w:val="30"/>
          <w:lang w:val="vi-VN"/>
        </w:rPr>
      </w:r>
    </w:p>
    <w:p>
      <w:pPr>
        <w:pBdr/>
        <w:spacing w:line="276" w:lineRule="auto"/>
        <w:ind/>
        <w:jc w:val="center"/>
        <w:rPr>
          <w:rFonts w:ascii="Times New Roman Bold" w:hAnsi="Times New Roman Bold"/>
          <w:b/>
          <w:lang w:val="pt-BR"/>
        </w:rPr>
      </w:pPr>
      <w:r>
        <w:rPr>
          <w:b/>
          <w:u w:val="single"/>
          <w:lang w:val="pt-BR"/>
        </w:rPr>
        <w:t xml:space="preserve">Kính gửi</w:t>
      </w:r>
      <w:r>
        <w:rPr>
          <w:b/>
          <w:lang w:val="pt-BR"/>
        </w:rPr>
        <w:t xml:space="preserve">:</w:t>
      </w:r>
      <w:r>
        <w:rPr>
          <w:b/>
          <w:lang w:val="pt-BR"/>
        </w:rPr>
        <w:t xml:space="preserve"> </w:t>
      </w:r>
      <w:r>
        <w:rPr>
          <w:rFonts w:ascii="Times New Roman Bold" w:hAnsi="Times New Roman Bold"/>
          <w:b/>
          <w:color w:val="000000" w:themeColor="text1"/>
          <w:lang w:val="pt-BR"/>
        </w:rPr>
        <w:t xml:space="preserve">Ông Khương Văn Huân</w:t>
      </w:r>
      <w:r>
        <w:rPr>
          <w:rFonts w:ascii="Times New Roman Bold" w:hAnsi="Times New Roman Bold"/>
          <w:b/>
          <w:lang w:val="pt-BR"/>
        </w:rPr>
      </w:r>
      <w:r>
        <w:rPr>
          <w:rFonts w:ascii="Times New Roman Bold" w:hAnsi="Times New Roman Bold"/>
          <w:b/>
          <w:lang w:val="pt-BR"/>
        </w:rPr>
      </w:r>
    </w:p>
    <w:p>
      <w:pPr>
        <w:pBdr/>
        <w:tabs>
          <w:tab w:val="left" w:leader="none" w:pos="450"/>
        </w:tabs>
        <w:spacing w:after="120" w:before="120" w:line="288" w:lineRule="auto"/>
        <w:ind w:left="-72"/>
        <w:jc w:val="both"/>
        <w:rPr>
          <w:spacing w:val="-4"/>
        </w:rPr>
      </w:pPr>
      <w:r>
        <w:rPr>
          <w:spacing w:val="-4"/>
          <w:lang w:val="vi-VN"/>
        </w:rPr>
        <w:tab/>
      </w:r>
      <w:r>
        <w:rPr>
          <w:spacing w:val="-4"/>
          <w:lang w:val="vi-VN"/>
        </w:rPr>
        <w:t xml:space="preserve">Căn cứ </w:t>
      </w:r>
      <w:r>
        <w:rPr>
          <w:spacing w:val="-4"/>
          <w:lang w:val="vi-VN"/>
        </w:rPr>
        <w:t xml:space="preserve">Hợp đồng</w:t>
      </w:r>
      <w:r>
        <w:rPr>
          <w:spacing w:val="-4"/>
        </w:rPr>
        <w:t xml:space="preserve"> dịch 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275/2026/1224/VFI-HĐTĐ.C01.A</w:t>
      </w:r>
      <w:r>
        <w:rPr>
          <w:spacing w:val="-4"/>
          <w:lang w:val="vi-VN"/>
        </w:rPr>
        <w:t xml:space="preserve"> ký ngày </w:t>
      </w:r>
      <w:r>
        <w:rPr>
          <w:color w:val="000000" w:themeColor="text1"/>
          <w:spacing w:val="-4"/>
        </w:rPr>
        <w:t xml:space="preserve">5 tháng 8 năm 2026</w:t>
      </w:r>
      <w:r>
        <w:rPr>
          <w:spacing w:val="-4"/>
          <w:lang w:val="vi-VN"/>
        </w:rPr>
        <w:t xml:space="preserve"> </w:t>
      </w:r>
      <w:r>
        <w:rPr>
          <w:spacing w:val="-4"/>
          <w:lang w:val="vi-VN"/>
        </w:rPr>
        <w:t xml:space="preserve">giữa </w:t>
      </w:r>
      <w:r>
        <w:rPr>
          <w:color w:val="000000" w:themeColor="text1"/>
          <w:spacing w:val="-4"/>
        </w:rPr>
        <w:t xml:space="preserve">Ông Khương Văn Huân</w:t>
      </w:r>
      <w:r>
        <w:rPr>
          <w:bCs/>
        </w:rPr>
        <w:t xml:space="preserve"> </w:t>
      </w:r>
      <w:r>
        <w:rPr>
          <w:spacing w:val="-6"/>
        </w:rPr>
        <w:t xml:space="preserve">v</w:t>
      </w:r>
      <w:r>
        <w:rPr>
          <w:spacing w:val="-6"/>
        </w:rPr>
        <w:t xml:space="preserve">ới</w:t>
      </w:r>
      <w:r>
        <w:rPr>
          <w:spacing w:val="-6"/>
        </w:rPr>
        <w:t xml:space="preserve"> </w:t>
      </w:r>
      <w:r>
        <w:rPr>
          <w:color w:val="000000" w:themeColor="text1"/>
          <w:spacing w:val="-4"/>
          <w:lang w:val="vi-VN"/>
        </w:rPr>
        <w:t xml:space="preserve">Công ty Cổ phần Thẩm định và Đầu tư Tài chính Hoa Sen</w:t>
      </w:r>
      <w:r>
        <w:rPr>
          <w:spacing w:val="-4"/>
        </w:rPr>
        <w:t xml:space="preserve">;</w:t>
      </w:r>
      <w:r>
        <w:rPr>
          <w:spacing w:val="-4"/>
        </w:rPr>
      </w:r>
      <w:r>
        <w:rPr>
          <w:spacing w:val="-4"/>
        </w:rPr>
      </w:r>
    </w:p>
    <w:p>
      <w:pPr>
        <w:pBdr/>
        <w:spacing w:after="120" w:before="120" w:line="288" w:lineRule="auto"/>
        <w:ind w:firstLine="432"/>
        <w:jc w:val="both"/>
        <w:rPr>
          <w:spacing w:val="-2"/>
        </w:rPr>
      </w:pPr>
      <w:r>
        <w:rPr>
          <w:spacing w:val="-2"/>
          <w:lang w:val="pt-BR"/>
        </w:rPr>
        <w:t xml:space="preserve">Căn cứ Báo cáo thẩm định giá số</w:t>
      </w:r>
      <w:r>
        <w:rPr>
          <w:spacing w:val="-2"/>
          <w:lang w:val="vi-VN"/>
        </w:rPr>
        <w:t xml:space="preserve"> </w:t>
      </w:r>
      <w:r>
        <w:rPr>
          <w:color w:val="000000" w:themeColor="text1"/>
          <w:spacing w:val="-2"/>
          <w:lang w:val="pt-BR"/>
        </w:rPr>
        <w:t xml:space="preserve">275/2026/1224/VFI-BC.C01.A</w:t>
      </w:r>
      <w:r>
        <w:rPr>
          <w:spacing w:val="-2"/>
          <w:lang w:val="pt-BR"/>
        </w:rPr>
        <w:t xml:space="preserve"> </w:t>
      </w:r>
      <w:r>
        <w:rPr>
          <w:spacing w:val="-2"/>
          <w:lang w:val="pt-BR"/>
        </w:rPr>
        <w:t xml:space="preserve">ngày</w:t>
      </w:r>
      <w:r>
        <w:rPr>
          <w:spacing w:val="-2"/>
          <w:lang w:val="vi-VN"/>
        </w:rPr>
        <w:t xml:space="preserve"> </w:t>
      </w:r>
      <w:r>
        <w:rPr>
          <w:color w:val="000000" w:themeColor="text1"/>
          <w:spacing w:val="-2"/>
        </w:rPr>
        <w:t xml:space="preserve">8 tháng 8 năm 2026</w:t>
      </w:r>
      <w:r>
        <w:rPr>
          <w:spacing w:val="-2"/>
          <w:lang w:val="vi-VN"/>
        </w:rPr>
        <w:t xml:space="preserve"> </w:t>
      </w:r>
      <w:r>
        <w:rPr>
          <w:spacing w:val="-2"/>
          <w:lang w:val="pt-BR"/>
        </w:rPr>
        <w:t xml:space="preserve">của </w:t>
      </w:r>
      <w:r>
        <w:rPr>
          <w:color w:val="000000" w:themeColor="text1"/>
          <w:spacing w:val="-2"/>
          <w:lang w:val="pt-BR"/>
        </w:rPr>
        <w:t xml:space="preserve">Công ty Cổ phần Thẩm định và Đầu tư Tài chính Hoa Sen</w:t>
      </w:r>
      <w:r>
        <w:rPr>
          <w:spacing w:val="-2"/>
          <w:lang w:val="pt-BR"/>
        </w:rPr>
        <w:t xml:space="preserve">;</w:t>
      </w:r>
      <w:r>
        <w:rPr>
          <w:spacing w:val="-2"/>
        </w:rPr>
      </w:r>
      <w:r>
        <w:rPr>
          <w:spacing w:val="-2"/>
        </w:rPr>
      </w:r>
    </w:p>
    <w:p>
      <w:pPr>
        <w:pBdr/>
        <w:spacing w:after="120" w:before="120" w:line="288" w:lineRule="auto"/>
        <w:ind w:firstLine="432"/>
        <w:jc w:val="both"/>
        <w:rPr/>
      </w:pPr>
      <w:r>
        <w:rPr>
          <w:color w:val="000000" w:themeColor="text1"/>
          <w:lang w:val="pt-BR"/>
        </w:rPr>
        <w:t xml:space="preserve">Công ty Cổ phần Thẩm định và Đầu tư Tài chính Hoa Sen</w:t>
      </w:r>
      <w:r>
        <w:rPr>
          <w:color w:val="000000" w:themeColor="text1"/>
          <w:lang w:val="pt-BR"/>
        </w:rPr>
        <w:t xml:space="preserve"> </w:t>
      </w:r>
      <w:r>
        <w:rPr>
          <w:lang w:val="pt-BR"/>
        </w:rPr>
        <w:t xml:space="preserve">cung cấp Chứng thư thẩm định giá tài sản với nội dung sau:</w:t>
      </w:r>
      <w:r/>
    </w:p>
    <w:p>
      <w:pPr>
        <w:pBdr/>
        <w:tabs>
          <w:tab w:val="left" w:leader="none" w:pos="851"/>
        </w:tabs>
        <w:spacing w:after="120" w:before="120" w:line="288" w:lineRule="auto"/>
        <w:ind/>
        <w:jc w:val="both"/>
        <w:rPr>
          <w:b/>
          <w:bCs/>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rPr>
      </w:r>
      <w:r>
        <w:rPr>
          <w:b/>
          <w:bCs/>
        </w:rPr>
      </w:r>
    </w:p>
    <w:tbl>
      <w:tblPr>
        <w:tblW w:w="5000" w:type="pct"/>
        <w:tblBorders/>
        <w:tblLook w:val="04A0" w:firstRow="1" w:lastRow="0" w:firstColumn="1" w:lastColumn="0" w:noHBand="0" w:noVBand="1"/>
      </w:tblPr>
      <w:tblGrid>
        <w:gridCol w:w="2113"/>
        <w:gridCol w:w="472"/>
        <w:gridCol w:w="6940"/>
      </w:tblGrid>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b/>
                <w:bCs/>
                <w:color w:val="000000" w:themeColor="text1"/>
              </w:rPr>
            </w:pPr>
            <w:r>
              <w:rPr>
                <w:b/>
                <w:bCs/>
                <w:color w:val="000000" w:themeColor="text1"/>
                <w:lang w:val="vi-VN"/>
              </w:rPr>
            </w:r>
            <w:r>
              <w:rPr>
                <w:rFonts w:ascii="Times New Roman Bold" w:hAnsi="Times New Roman Bold"/>
                <w:b/>
                <w:color w:val="000000" w:themeColor="text1"/>
                <w:lang w:val="pt-BR"/>
              </w:rPr>
              <w:t xml:space="preserve">Ông Khương Văn Huân</w:t>
            </w:r>
            <w:r>
              <w:rPr>
                <w:b/>
                <w:bCs/>
                <w:color w:val="000000" w:themeColor="text1"/>
              </w:rPr>
            </w:r>
            <w:r>
              <w:rPr>
                <w:b/>
                <w:bCs/>
                <w:color w:val="000000" w:themeColor="text1"/>
              </w:rP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MST/CMTND/CCCD:</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000000" w:themeColor="text1"/>
              </w:rPr>
            </w:pPr>
            <w:r>
              <w:rPr>
                <w:color w:val="000000" w:themeColor="text1"/>
                <w:lang w:val="vi-VN"/>
              </w:rPr>
              <w:t xml:space="preserve">026088009594</w:t>
            </w:r>
            <w:r>
              <w:rPr>
                <w:color w:val="000000" w:themeColor="text1"/>
              </w:rPr>
            </w:r>
            <w:r>
              <w:rPr>
                <w:color w:val="000000" w:themeColor="text1"/>
              </w:rP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Năm sinh:</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1988</w:t>
            </w:r>
            <w:r>
              <w:rPr>
                <w:color w:val="ff0000"/>
                <w:lang w:val="pt-BR"/>
              </w:rPr>
            </w:r>
            <w:r>
              <w:rPr>
                <w:color w:val="ff0000"/>
                <w:lang w:val="pt-BR"/>
              </w:rP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Địa chỉ</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after="60" w:before="60" w:line="276" w:lineRule="auto"/>
              <w:ind/>
              <w:rPr>
                <w:b/>
                <w:bCs/>
                <w:color w:val="000000" w:themeColor="text1"/>
              </w:rPr>
            </w:pPr>
            <w:r>
              <w:rPr>
                <w:color w:val="000000" w:themeColor="text1"/>
                <w:lang w:val="vi-VN"/>
              </w:rPr>
            </w:r>
            <w:r>
              <w:rPr>
                <w:color w:val="000000" w:themeColor="text1"/>
                <w:lang w:val="vi-VN"/>
              </w:rPr>
              <w:t xml:space="preserve">TDP Gẩy – Cầu Bút, phường Vĩnh Phúc, tỉnh Phú Thọ</w:t>
            </w:r>
            <w:r>
              <w:rPr>
                <w:b/>
                <w:bCs/>
                <w:color w:val="000000" w:themeColor="text1"/>
              </w:rPr>
            </w:r>
            <w:r>
              <w:rPr>
                <w:b/>
                <w:bCs/>
                <w:color w:val="000000" w:themeColor="text1"/>
              </w:rPr>
            </w:r>
          </w:p>
        </w:tc>
      </w:tr>
    </w:tbl>
    <w:p>
      <w:pPr>
        <w:pBdr/>
        <w:spacing w:after="120" w:before="120" w:line="276" w:lineRule="auto"/>
        <w:ind/>
        <w:jc w:val="both"/>
        <w:rPr>
          <w:b/>
          <w:bCs/>
        </w:rPr>
      </w:pPr>
      <w:r>
        <w:rPr>
          <w:b/>
          <w:bCs/>
        </w:rPr>
        <w:t xml:space="preserve">2. </w:t>
      </w:r>
      <w:r>
        <w:rPr>
          <w:b/>
          <w:bCs/>
        </w:rPr>
        <w:t xml:space="preserve">Thông tin về doanh nghiệp thẩm định giá:</w:t>
      </w:r>
      <w:r>
        <w:rPr>
          <w:b/>
          <w:bCs/>
        </w:rPr>
      </w:r>
      <w:r>
        <w:rPr>
          <w:b/>
          <w:bCs/>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pPr>
              <w:pBdr/>
              <w:spacing w:after="40" w:before="4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rFonts w:ascii="Times New Roman Bold" w:hAnsi="Times New Roman Bold"/>
                <w:b/>
                <w:bCs/>
                <w:spacing w:val="-16"/>
                <w:lang w:val="pt-BR"/>
              </w:rPr>
            </w:pPr>
            <w:r>
              <w:rPr>
                <w:b/>
                <w:bCs/>
                <w:color w:val="000000" w:themeColor="text1"/>
                <w:spacing w:val="-4"/>
                <w:lang w:val="pt-BR"/>
              </w:rPr>
              <w:t xml:space="preserve">CÔNG TY CỔ PHẦN THẨM ĐỊNH VÀ ĐẦU TƯ TÀI CHÍNH HOA SEN</w:t>
            </w:r>
            <w:r>
              <w:rPr>
                <w:rFonts w:ascii="Times New Roman Bold" w:hAnsi="Times New Roman Bold"/>
                <w:b/>
                <w:bCs/>
                <w:spacing w:val="-16"/>
                <w:lang w:val="pt-BR"/>
              </w:rPr>
            </w:r>
            <w:r>
              <w:rPr>
                <w:rFonts w:ascii="Times New Roman Bold" w:hAnsi="Times New Roman Bold"/>
                <w:b/>
                <w:bCs/>
                <w:spacing w:val="-1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 </w:t>
            </w:r>
            <w:r>
              <w:rPr>
                <w:bCs/>
                <w:lang w:val="pt-BR"/>
              </w:rPr>
            </w:r>
            <w:r>
              <w:rPr>
                <w:bCs/>
                <w:lang w:val="pt-BR"/>
              </w:rPr>
            </w:r>
          </w:p>
        </w:tc>
        <w:tc>
          <w:tcPr>
            <w:tcBorders/>
            <w:tcW w:w="7115" w:type="dxa"/>
            <w:vAlign w:val="center"/>
            <w:textDirection w:val="lrTb"/>
            <w:noWrap w:val="false"/>
          </w:tcPr>
          <w:p>
            <w:pPr>
              <w:pBdr/>
              <w:tabs>
                <w:tab w:val="left" w:leader="none" w:pos="3382"/>
              </w:tabs>
              <w:spacing w:after="40" w:before="40" w:line="276" w:lineRule="auto"/>
              <w:ind/>
              <w:rPr>
                <w:iCs/>
              </w:rPr>
            </w:pPr>
            <w:r>
              <w:rPr>
                <w:iCs/>
                <w:color w:val="000000" w:themeColor="text1"/>
              </w:rPr>
              <w:t xml:space="preserve">024 2264 4333</w:t>
            </w:r>
            <w:r>
              <w:rPr>
                <w:iCs/>
              </w:rPr>
            </w:r>
            <w:r>
              <w:rPr>
                <w:iCs/>
              </w:rPr>
            </w:r>
          </w:p>
        </w:tc>
      </w:tr>
      <w:tr>
        <w:trPr>
          <w:trHeight w:val="20"/>
        </w:trPr>
        <w:tc>
          <w:tcPr>
            <w:tcBorders/>
            <w:tcW w:w="2269" w:type="dxa"/>
            <w:vAlign w:val="center"/>
            <w:textDirection w:val="lrTb"/>
            <w:noWrap w:val="false"/>
          </w:tcPr>
          <w:p>
            <w:pPr>
              <w:pBdr/>
              <w:spacing w:after="40" w:before="40" w:line="276" w:lineRule="auto"/>
              <w:ind/>
              <w:rPr>
                <w:bCs/>
              </w:rPr>
            </w:pPr>
            <w:r>
              <w:t xml:space="preserve">Mã số thuế</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color w:val="000000" w:themeColor="text1"/>
              </w:rPr>
              <w:t xml:space="preserve">0102708994</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GCN</w:t>
            </w:r>
            <w:r>
              <w:t xml:space="preserve"> đủ điều kiện hành nghề</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rPr>
              <w:t xml:space="preserve">275/TĐG</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Thông báo</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jc w:val="both"/>
              <w:rPr>
                <w:bCs/>
              </w:rPr>
            </w:pPr>
            <w:r>
              <w:rPr>
                <w:color w:val="292a2e"/>
              </w:rPr>
              <w:t xml:space="preserve">Số 1294/TB-BTC ngày 25/12/2025</w:t>
            </w:r>
            <w:r>
              <w:rPr>
                <w:rFonts w:ascii="Segoe UI" w:hAnsi="Segoe UI" w:cs="Segoe UI"/>
                <w:color w:val="292a2e"/>
                <w:sz w:val="21"/>
                <w:szCs w:val="21"/>
              </w:rPr>
              <w:t xml:space="preserve"> </w:t>
            </w:r>
            <w:r>
              <w:rPr>
                <w:bCs/>
              </w:rPr>
              <w:t xml:space="preserve">về việc doanh nghiệp đủ điều kiện kinh doanh Dịch vụ thẩm định giá.</w:t>
            </w:r>
            <w:r>
              <w:rPr>
                <w:bCs/>
              </w:rPr>
            </w:r>
            <w:r>
              <w:rPr>
                <w:bCs/>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b/>
                <w:bCs/>
                <w:lang w:val="vi-VN"/>
              </w:rPr>
            </w:pPr>
            <w:r>
              <w:rPr>
                <w:b/>
                <w:bCs/>
                <w:lang w:val="vi-VN"/>
              </w:rPr>
              <w:t xml:space="preserve">Ông</w:t>
            </w:r>
            <w:r>
              <w:rPr>
                <w:b/>
                <w:bCs/>
              </w:rPr>
              <w:t xml:space="preserve"> Vũ Văn Quân</w:t>
            </w:r>
            <w:r>
              <w:rPr>
                <w:b/>
                <w:bCs/>
                <w:lang w:val="vi-VN"/>
              </w:rPr>
              <w:tab/>
            </w:r>
            <w:r>
              <w:rPr>
                <w:b/>
                <w:bCs/>
              </w:rPr>
              <w:t xml:space="preserve">        </w:t>
            </w:r>
            <w:r>
              <w:rPr>
                <w:b/>
                <w:bCs/>
                <w:lang w:val="vi-VN"/>
              </w:rPr>
              <w:t xml:space="preserve">Chức vụ: </w:t>
            </w:r>
            <w:r>
              <w:rPr>
                <w:b/>
                <w:bCs/>
              </w:rPr>
              <w:t xml:space="preserve">Chủ tịch HĐQT kiêm Tổng Giám Đốc</w:t>
            </w:r>
            <w:r>
              <w:rPr>
                <w:b/>
                <w:bCs/>
                <w:lang w:val="vi-VN"/>
              </w:rPr>
            </w:r>
            <w:r>
              <w:rPr>
                <w:b/>
                <w:bCs/>
                <w:lang w:val="vi-VN"/>
              </w:rPr>
            </w:r>
          </w:p>
        </w:tc>
      </w:tr>
    </w:tbl>
    <w:p>
      <w:pPr>
        <w:pBdr/>
        <w:spacing w:after="120" w:before="120" w:line="312" w:lineRule="auto"/>
        <w:ind/>
        <w:jc w:val="both"/>
        <w:rPr>
          <w:b/>
          <w:bCs/>
        </w:rPr>
      </w:pPr>
      <w:r>
        <w:rPr>
          <w:b/>
          <w:bCs/>
        </w:rPr>
        <w:t xml:space="preserve">3</w:t>
      </w:r>
      <w:r>
        <w:rPr>
          <w:b/>
          <w:bCs/>
          <w:lang w:val="vi-VN"/>
        </w:rPr>
        <w:t xml:space="preserve">. </w:t>
      </w:r>
      <w:r>
        <w:rPr>
          <w:b/>
          <w:bCs/>
        </w:rPr>
        <w:t xml:space="preserve">Tài sản thẩm định</w:t>
      </w:r>
      <w:r>
        <w:rPr>
          <w:b/>
          <w:bCs/>
          <w:lang w:val="vi-VN"/>
        </w:rPr>
        <w:t xml:space="preserve">:</w:t>
      </w:r>
      <w:r>
        <w:rPr>
          <w:color w:val="000000" w:themeColor="text1"/>
        </w:rPr>
        <w:t xml:space="preserve"> </w:t>
      </w:r>
      <w:r>
        <w:rPr>
          <w:color w:val="000000" w:themeColor="text1"/>
        </w:rPr>
        <w:t xml:space="preserve">Quyền sử dụng đất tại thửa đất số 480, tờ bản đồ số 20, có địa chỉ: thôn Đông Trung, xã Đồng Tĩnh, huyện Tam Dương, tỉnh Vĩnh Phúc </w:t>
      </w:r>
      <w:r>
        <w:rPr>
          <w:i/>
          <w:iCs/>
          <w:color w:val="000000" w:themeColor="text1"/>
        </w:rPr>
        <w:t xml:space="preserve">(nay là xã Tam Dương Bắc, tỉnh Phú Thọ)</w:t>
      </w:r>
      <w:r>
        <w:rPr>
          <w:color w:val="000000" w:themeColor="text1"/>
        </w:rPr>
        <w:t xml:space="preserve"> </w:t>
      </w:r>
      <w:r>
        <w:rPr>
          <w:color w:val="000000" w:themeColor="text1"/>
        </w:rPr>
        <w:t xml:space="preserve">theo giấy chứng nhận Quyền sử dụng đất, quyền sở hữu nhà ở và tài sản gắn liền với đất số: DL 238227, số vào sổ cấp GCN: CS01634 do Sở Tài nguyên và Môi trường tỉnh Vĩnh Phúc cấp ngày 14/03/2023. Chủ sử dụng đất là ông Khương Văn Huân và bà Phạm Hồng Khánh</w:t>
      </w:r>
      <w:r>
        <w:rPr>
          <w:i/>
          <w:iCs/>
        </w:rPr>
        <w:t xml:space="preserve">.</w:t>
      </w:r>
      <w:r>
        <w:rPr>
          <w:b/>
          <w:bCs/>
        </w:rPr>
      </w:r>
      <w:r>
        <w:rPr>
          <w:b/>
          <w:bCs/>
        </w:rPr>
      </w:r>
    </w:p>
    <w:p>
      <w:pPr>
        <w:pBdr/>
        <w:spacing w:after="120" w:before="120" w:line="312" w:lineRule="auto"/>
        <w:ind/>
        <w:jc w:val="both"/>
        <w:rPr>
          <w:b/>
          <w:bCs/>
        </w:rPr>
      </w:pPr>
      <w:r>
        <w:rPr>
          <w:b/>
          <w:bCs/>
          <w:lang w:val="nl-NL"/>
        </w:rPr>
        <w:t xml:space="preserve">4</w:t>
      </w:r>
      <w:r>
        <w:rPr>
          <w:b/>
          <w:bCs/>
          <w:lang w:val="nl-NL"/>
        </w:rPr>
        <w:t xml:space="preserve">. Thời điểm thẩm định giá:</w:t>
      </w:r>
      <w:r>
        <w:rPr>
          <w:bCs/>
          <w:color w:val="000000" w:themeColor="text1"/>
          <w:lang w:val="nl-NL"/>
        </w:rPr>
        <w:t xml:space="preserve"> </w:t>
      </w:r>
      <w:r>
        <w:rPr>
          <w:bCs/>
          <w:color w:val="000000" w:themeColor="text1"/>
          <w:lang w:val="nl-NL"/>
        </w:rPr>
        <w:t xml:space="preserve">Tháng 08/2026</w:t>
      </w:r>
      <w:r>
        <w:rPr>
          <w:bCs/>
          <w:lang w:val="nl-NL"/>
        </w:rPr>
        <w:t xml:space="preserve">.</w:t>
      </w:r>
      <w:r>
        <w:rPr>
          <w:b/>
          <w:bCs/>
        </w:rPr>
      </w:r>
      <w:r>
        <w:rPr>
          <w:b/>
          <w:bCs/>
        </w:rPr>
      </w:r>
    </w:p>
    <w:p>
      <w:pPr>
        <w:pBdr/>
        <w:tabs>
          <w:tab w:val="left" w:leader="none" w:pos="851"/>
        </w:tabs>
        <w:spacing w:after="120" w:before="120" w:line="312"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
          <w:bCs/>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lang w:val="vi-VN"/>
        </w:rPr>
        <w:t xml:space="preserve">.</w:t>
      </w:r>
      <w:r>
        <w:rPr>
          <w:bCs/>
        </w:rPr>
      </w:r>
      <w:r>
        <w:rPr>
          <w:bCs/>
        </w:rPr>
      </w:r>
    </w:p>
    <w:p>
      <w:pPr>
        <w:pBdr/>
        <w:tabs>
          <w:tab w:val="left" w:leader="none" w:pos="851"/>
        </w:tabs>
        <w:spacing w:after="120" w:before="120" w:line="312" w:lineRule="auto"/>
        <w:ind/>
        <w:jc w:val="both"/>
        <w:rPr>
          <w:b/>
          <w:lang w:val="vi-VN"/>
        </w:rPr>
      </w:pPr>
      <w:r>
        <w:rPr>
          <w:b/>
        </w:rPr>
        <w:t xml:space="preserve">6</w:t>
      </w:r>
      <w:r>
        <w:rPr>
          <w:b/>
          <w:lang w:val="pt-BR"/>
        </w:rPr>
        <w:t xml:space="preserve">. </w:t>
      </w:r>
      <w:r>
        <w:rPr>
          <w:b/>
          <w:lang w:val="pt-BR"/>
        </w:rPr>
        <w:t xml:space="preserve">Cơ sở giá trị của tài sản thẩm định giá</w:t>
      </w:r>
      <w:r>
        <w:rPr>
          <w:b/>
          <w:lang w:val="pt-BR"/>
        </w:rPr>
        <w:t xml:space="preserve">:</w:t>
      </w:r>
      <w:r>
        <w:rPr>
          <w:b/>
          <w:lang w:val="vi-VN"/>
        </w:rPr>
      </w:r>
      <w:r>
        <w:rPr>
          <w:b/>
          <w:lang w:val="vi-VN"/>
        </w:rPr>
      </w:r>
    </w:p>
    <w:p>
      <w:pPr>
        <w:pBdr/>
        <w:tabs>
          <w:tab w:val="left" w:leader="none" w:pos="5202"/>
        </w:tabs>
        <w:spacing w:after="120" w:before="120" w:line="312" w:lineRule="auto"/>
        <w:ind w:firstLine="432"/>
        <w:jc w:val="both"/>
        <w:rPr>
          <w:lang w:val="pt-BR"/>
        </w:rPr>
      </w:pPr>
      <w:r>
        <w:rPr>
          <w:bCs/>
          <w:i/>
          <w:lang w:val="pt-BR"/>
        </w:rPr>
        <w:t xml:space="preserve">Chi tiết như Báo cáo kèm theo</w:t>
      </w:r>
      <w:r>
        <w:rPr>
          <w:bCs/>
          <w:i/>
          <w:lang w:val="pt-BR"/>
        </w:rPr>
        <w:t xml:space="preserve"> </w:t>
      </w:r>
      <w:r>
        <w:rPr>
          <w:lang w:val="pt-BR"/>
        </w:rPr>
      </w:r>
      <w:r>
        <w:rPr>
          <w:lang w:val="pt-BR"/>
        </w:rPr>
      </w:r>
    </w:p>
    <w:p>
      <w:pPr>
        <w:pBdr/>
        <w:tabs>
          <w:tab w:val="left" w:leader="none" w:pos="2430"/>
          <w:tab w:val="left" w:leader="none" w:pos="5130"/>
        </w:tabs>
        <w:spacing w:after="120" w:before="120" w:line="312" w:lineRule="auto"/>
        <w:ind/>
        <w:jc w:val="both"/>
        <w:rPr>
          <w:b/>
          <w:bCs/>
          <w:lang w:val="pt-BR"/>
        </w:rPr>
      </w:pPr>
      <w:r>
        <w:rPr>
          <w:b/>
          <w:bCs/>
        </w:rPr>
        <w:t xml:space="preserve">7</w:t>
      </w:r>
      <w:r>
        <w:rPr>
          <w:b/>
          <w:bCs/>
          <w:lang w:val="pt-BR"/>
        </w:rPr>
        <w:t xml:space="preserve">. </w:t>
      </w:r>
      <w:r>
        <w:rPr>
          <w:b/>
          <w:bCs/>
          <w:lang w:val="pt-BR"/>
        </w:rPr>
        <w:t xml:space="preserve">Giả thiết và giả thiết đặc biệt</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rPr>
        <w:t xml:space="preserve">8</w:t>
      </w:r>
      <w:r>
        <w:rPr>
          <w:b/>
          <w:lang w:val="pt-BR"/>
        </w:rPr>
        <w:t xml:space="preserve">. </w:t>
      </w:r>
      <w:r>
        <w:rPr>
          <w:b/>
          <w:lang w:val="pt-BR"/>
        </w:rPr>
        <w:t xml:space="preserve">Cách tiếp cận và phương pháp thẩm định giá</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lang w:val="pt-BR"/>
        </w:rPr>
        <w:t xml:space="preserve">9</w:t>
      </w:r>
      <w:r>
        <w:rPr>
          <w:b/>
          <w:lang w:val="pt-BR"/>
        </w:rPr>
        <w:t xml:space="preserve">. </w:t>
      </w:r>
      <w:r>
        <w:rPr>
          <w:b/>
        </w:rPr>
        <w:t xml:space="preserve">Giá trị tài sản thẩm định giá</w:t>
      </w:r>
      <w:r>
        <w:rPr>
          <w:b/>
          <w:bCs/>
          <w:lang w:val="pt-BR"/>
        </w:rPr>
        <w:t xml:space="preserve">:</w:t>
      </w:r>
      <w:bookmarkEnd w:id="0"/>
      <w:r/>
      <w:bookmarkEnd w:id="1"/>
      <w:r/>
      <w:bookmarkEnd w:id="2"/>
      <w:r>
        <w:rPr>
          <w:b/>
          <w:bCs/>
          <w:lang w:val="pt-BR"/>
        </w:rPr>
      </w:r>
      <w:r>
        <w:rPr>
          <w:b/>
          <w:bCs/>
          <w:lang w:val="pt-BR"/>
        </w:rPr>
      </w:r>
    </w:p>
    <w:p>
      <w:pPr>
        <w:pBdr/>
        <w:spacing w:after="120" w:before="120" w:line="312" w:lineRule="auto"/>
        <w:ind/>
        <w:jc w:val="both"/>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 trị </w:t>
      </w:r>
      <w:r>
        <w:rPr>
          <w:lang w:val="de-DE"/>
        </w:rPr>
        <w:t xml:space="preserve">tài sản chưa bao gồm các loại thuế, phí và lệ phí liên quan đến việc chuyển nhượng tài sản của </w:t>
      </w:r>
      <w:r>
        <w:rPr>
          <w:lang w:val="vi-VN"/>
        </w:rPr>
        <w:t xml:space="preserve">Quý</w:t>
      </w:r>
      <w:r>
        <w:rPr>
          <w:lang w:val="vi-VN"/>
        </w:rPr>
        <w:t xml:space="preserve"> khách hàng tại thời điểm </w:t>
      </w:r>
      <w:r>
        <w:rPr>
          <w:bCs/>
          <w:color w:val="000000" w:themeColor="text1"/>
          <w:lang w:val="nl-NL"/>
        </w:rPr>
        <w:t xml:space="preserve">Tháng 08/2026</w:t>
      </w:r>
      <w:r>
        <w:rPr>
          <w:lang w:val="vi-VN"/>
        </w:rPr>
        <w:t xml:space="preserve"> ước tính</w:t>
      </w:r>
      <w:r>
        <w:t xml:space="preserve"> </w:t>
      </w:r>
      <w:r>
        <w:rPr>
          <w:lang w:val="vi-VN"/>
        </w:rPr>
        <w:t xml:space="preserve">như sau:</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952"/>
        <w:gridCol w:w="2194"/>
        <w:gridCol w:w="1701"/>
        <w:gridCol w:w="2514"/>
        <w:gridCol w:w="2164"/>
      </w:tblGrid>
      <w:tr>
        <w:trPr>
          <w:trHeight w:val="20"/>
        </w:trPr>
        <w:tc>
          <w:tcPr>
            <w:shd w:val="clear" w:color="000000" w:fill="ffffff"/>
            <w:tcBorders/>
            <w:tcW w:w="952" w:type="dxa"/>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2194" w:type="dxa"/>
            <w:vAlign w:val="center"/>
            <w:textDirection w:val="lrTb"/>
            <w:noWrap w:val="false"/>
          </w:tcPr>
          <w:p>
            <w:pPr>
              <w:pBdr/>
              <w:spacing w:after="40" w:before="40" w:line="288" w:lineRule="auto"/>
              <w:ind/>
              <w:jc w:val="center"/>
              <w:rPr>
                <w:b/>
                <w:bCs/>
              </w:rPr>
            </w:pPr>
            <w:r>
              <w:rPr>
                <w:b/>
                <w:bCs/>
              </w:rPr>
              <w:t xml:space="preserve">Tài sản</w:t>
            </w:r>
            <w:r>
              <w:rPr>
                <w:b/>
                <w:bCs/>
              </w:rPr>
            </w:r>
            <w:r>
              <w:rPr>
                <w:b/>
                <w:bCs/>
              </w:rPr>
            </w:r>
          </w:p>
        </w:tc>
        <w:tc>
          <w:tcPr>
            <w:shd w:val="clear" w:color="000000" w:fill="ffffff"/>
            <w:tcBorders/>
            <w:tcW w:w="1701" w:type="dxa"/>
            <w:vAlign w:val="center"/>
            <w:textDirection w:val="lrTb"/>
            <w:noWrap w:val="false"/>
          </w:tcPr>
          <w:p>
            <w:pPr>
              <w:pBdr/>
              <w:spacing w:after="40" w:before="40" w:line="288" w:lineRule="auto"/>
              <w:ind/>
              <w:jc w:val="center"/>
              <w:rPr>
                <w:b/>
                <w:bCs/>
              </w:rPr>
            </w:pPr>
            <w:r>
              <w:rPr>
                <w:b/>
                <w:bCs/>
              </w:rPr>
              <w:t xml:space="preserve">Diện tích (m²)</w:t>
            </w:r>
            <w:r>
              <w:rPr>
                <w:b/>
                <w:bCs/>
              </w:rPr>
            </w:r>
            <w:r>
              <w:rPr>
                <w:b/>
                <w:bCs/>
              </w:rPr>
            </w:r>
          </w:p>
        </w:tc>
        <w:tc>
          <w:tcPr>
            <w:shd w:val="clear" w:color="000000" w:fill="ffffff"/>
            <w:tcBorders/>
            <w:tcW w:w="2514" w:type="dxa"/>
            <w:vAlign w:val="center"/>
            <w:textDirection w:val="lrTb"/>
            <w:noWrap w:val="false"/>
          </w:tcPr>
          <w:p>
            <w:pPr>
              <w:pBdr/>
              <w:spacing w:after="40" w:before="40" w:line="288" w:lineRule="auto"/>
              <w:ind/>
              <w:jc w:val="center"/>
              <w:rPr>
                <w:b/>
                <w:bCs/>
              </w:rPr>
            </w:pPr>
            <w:r>
              <w:rPr>
                <w:b/>
                <w:bCs/>
              </w:rPr>
              <w:t xml:space="preserve">Đơn giá (đồng/m²)</w:t>
            </w:r>
            <w:r>
              <w:rPr>
                <w:b/>
                <w:bCs/>
              </w:rPr>
            </w:r>
            <w:r>
              <w:rPr>
                <w:b/>
                <w:bCs/>
              </w:rPr>
            </w:r>
          </w:p>
        </w:tc>
        <w:tc>
          <w:tcPr>
            <w:shd w:val="clear" w:color="000000" w:fill="ffffff"/>
            <w:tcBorders/>
            <w:tcW w:w="2164" w:type="dxa"/>
            <w:vAlign w:val="center"/>
            <w:textDirection w:val="lrTb"/>
            <w:noWrap w:val="false"/>
          </w:tcPr>
          <w:p>
            <w:pPr>
              <w:pBdr/>
              <w:spacing w:after="40" w:before="40" w:line="288" w:lineRule="auto"/>
              <w:ind/>
              <w:jc w:val="center"/>
              <w:rPr>
                <w:b/>
                <w:bCs/>
              </w:rPr>
            </w:pPr>
            <w:r>
              <w:rPr>
                <w:b/>
                <w:bCs/>
              </w:rPr>
              <w:t xml:space="preserve">Thành tiền (đồng)</w:t>
            </w:r>
            <w:r>
              <w:rPr>
                <w:b/>
                <w:bCs/>
              </w:rPr>
            </w:r>
            <w:r>
              <w:rPr>
                <w:b/>
                <w:bCs/>
              </w:rPr>
            </w:r>
          </w:p>
        </w:tc>
      </w:tr>
      <w:tr>
        <w:trPr>
          <w:trHeight w:val="20"/>
        </w:trPr>
        <w:tc>
          <w:tcPr>
            <w:shd w:val="clear" w:color="000000" w:fill="ffffff"/>
            <w:tcBorders/>
            <w:tcW w:w="952" w:type="dxa"/>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6408" w:type="dxa"/>
            <w:vAlign w:val="center"/>
            <w:textDirection w:val="lrTb"/>
            <w:noWrap w:val="false"/>
          </w:tcPr>
          <w:p>
            <w:pPr>
              <w:pBdr/>
              <w:spacing w:after="40" w:before="40" w:line="288" w:lineRule="auto"/>
              <w:ind/>
              <w:jc w:val="both"/>
              <w:rPr>
                <w:b/>
                <w:bCs/>
              </w:rPr>
            </w:pPr>
            <w:r>
              <w:rPr>
                <w:b/>
                <w:bCs/>
                <w:color w:val="000000"/>
              </w:rPr>
              <w:t xml:space="preserve">Quyền sử dụng đất tại thửa đất số 480, tờ bản đồ số 20, có địa chỉ: thôn Đông Trung, xã Đồng Tĩnh, huyện Tam Dương, tỉnh Vĩnh Phúc </w:t>
            </w:r>
            <w:r>
              <w:rPr>
                <w:b/>
                <w:bCs/>
                <w:i/>
                <w:iCs/>
                <w:color w:val="000000"/>
              </w:rPr>
              <w:t xml:space="preserve">(nay là xã Tam Dương Bắc, tỉnh Phú Thọ)</w:t>
            </w:r>
            <w:r>
              <w:rPr>
                <w:b/>
                <w:bCs/>
                <w:color w:val="000000"/>
              </w:rPr>
              <w:t xml:space="preserve"> </w:t>
            </w:r>
            <w:r>
              <w:rPr>
                <w:b/>
                <w:bCs/>
                <w:color w:val="000000"/>
              </w:rPr>
              <w:t xml:space="preserve">theo giấy chứng nhận Quyền sử dụng đất, quyền sở hữu nhà ở và tài sản gắn liền với đất số: DL 238227, số vào sổ cấp GCN: CS01634 do Sở Tài nguyên và Môi trường tỉnh Vĩnh Phúc cấp ngày 14/03/2023. Chủ sử dụng đất là ông Khương Văn Huân và bà Phạm Hồng Khánh</w:t>
            </w:r>
            <w:r>
              <w:rPr>
                <w:b/>
                <w:bCs/>
              </w:rPr>
              <w:t xml:space="preserve">.</w:t>
            </w:r>
            <w:r>
              <w:rPr>
                <w:b/>
                <w:bCs/>
              </w:rPr>
            </w:r>
            <w:r>
              <w:rPr>
                <w:b/>
                <w:bCs/>
              </w:rPr>
            </w:r>
          </w:p>
        </w:tc>
        <w:tc>
          <w:tcPr>
            <w:shd w:val="clear" w:color="000000" w:fill="ffffff"/>
            <w:tcBorders/>
            <w:tcW w:w="2164" w:type="dxa"/>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952" w:type="dxa"/>
            <w:vAlign w:val="center"/>
            <w:textDirection w:val="lrTb"/>
            <w:noWrap w:val="false"/>
          </w:tcPr>
          <w:p>
            <w:pPr>
              <w:pBdr/>
              <w:spacing w:after="40" w:before="40" w:line="288" w:lineRule="auto"/>
              <w:ind/>
              <w:jc w:val="center"/>
              <w:rPr/>
            </w:pPr>
            <w:r>
              <w:rPr>
                <w:b/>
                <w:bCs/>
              </w:rPr>
            </w:r>
            <w:r/>
          </w:p>
        </w:tc>
        <w:tc>
          <w:tcPr>
            <w:shd w:val="clear" w:color="000000" w:fill="ffffff"/>
            <w:tcBorders/>
            <w:tcW w:w="2194" w:type="dxa"/>
            <w:vAlign w:val="center"/>
            <w:textDirection w:val="lrTb"/>
            <w:noWrap w:val="false"/>
          </w:tcPr>
          <w:p>
            <w:pPr>
              <w:pBdr/>
              <w:spacing w:after="40" w:before="40" w:line="288" w:lineRule="auto"/>
              <w:ind/>
              <w:rPr>
                <w:b w:val="0"/>
                <w:bCs w:val="0"/>
              </w:rPr>
            </w:pPr>
            <w:r>
              <w:rPr>
                <w:b w:val="0"/>
                <w:bCs w:val="0"/>
              </w:rPr>
              <w:t xml:space="preserve">Đất hỗn hợp </w:t>
            </w:r>
            <w:r>
              <w:rPr>
                <w:b w:val="0"/>
                <w:bCs w:val="0"/>
                <w:i/>
                <w:iCs/>
              </w:rPr>
              <w:t xml:space="preserve">(Đất ONT + Đất TCLN)</w:t>
            </w:r>
            <w:r>
              <w:rPr>
                <w:b w:val="0"/>
                <w:bCs w:val="0"/>
              </w:rPr>
            </w:r>
            <w:r>
              <w:rPr>
                <w:b w:val="0"/>
                <w:bCs w:val="0"/>
              </w:rPr>
            </w:r>
          </w:p>
        </w:tc>
        <w:tc>
          <w:tcPr>
            <w:tcBorders/>
            <w:tcW w:w="1701" w:type="dxa"/>
            <w:vAlign w:val="center"/>
            <w:textDirection w:val="lrTb"/>
            <w:noWrap/>
          </w:tcPr>
          <w:p>
            <w:pPr>
              <w:pBdr/>
              <w:spacing w:after="40" w:before="40" w:line="288" w:lineRule="auto"/>
              <w:ind/>
              <w:jc w:val="center"/>
              <w:rPr>
                <w:color w:val="000000"/>
              </w:rPr>
            </w:pPr>
            <w:r>
              <w:rPr>
                <w:color w:val="000000" w:themeColor="text1"/>
              </w:rPr>
              <w:t xml:space="preserve">200</w:t>
            </w:r>
            <w:r>
              <w:rPr>
                <w:color w:val="000000"/>
              </w:rPr>
            </w:r>
            <w:r>
              <w:rPr>
                <w:color w:val="000000"/>
              </w:rPr>
            </w:r>
          </w:p>
        </w:tc>
        <w:tc>
          <w:tcPr>
            <w:shd w:val="clear" w:color="000000" w:fill="ffffff"/>
            <w:tcBorders/>
            <w:tcW w:w="2514" w:type="dxa"/>
            <w:vAlign w:val="center"/>
            <w:textDirection w:val="lrTb"/>
            <w:noWrap w:val="false"/>
          </w:tcPr>
          <w:p>
            <w:pPr>
              <w:pBdr/>
              <w:spacing w:after="40" w:before="40" w:line="288" w:lineRule="auto"/>
              <w:ind/>
              <w:jc w:val="center"/>
              <w:rPr/>
            </w:pPr>
            <w:r>
              <w:rPr>
                <w:color w:val="000000" w:themeColor="text1"/>
              </w:rPr>
              <w:t xml:space="preserve">5.500.000</w:t>
            </w:r>
            <w:r/>
          </w:p>
        </w:tc>
        <w:tc>
          <w:tcPr>
            <w:shd w:val="clear" w:color="000000" w:fill="ffffff"/>
            <w:tcBorders/>
            <w:tcW w:w="2164" w:type="dxa"/>
            <w:vAlign w:val="center"/>
            <w:textDirection w:val="lrTb"/>
            <w:noWrap w:val="false"/>
          </w:tcPr>
          <w:p>
            <w:pPr>
              <w:pBdr/>
              <w:spacing w:after="40" w:before="40" w:line="288" w:lineRule="auto"/>
              <w:ind/>
              <w:jc w:val="center"/>
              <w:rPr>
                <w:b/>
                <w:bCs/>
                <w:color w:val="000000"/>
              </w:rPr>
            </w:pPr>
            <w:r>
              <w:t xml:space="preserve">1.100.000.000</w:t>
            </w:r>
            <w:r>
              <w:rPr>
                <w:b/>
                <w:bCs/>
                <w:color w:val="000000"/>
              </w:rPr>
            </w:r>
            <w:r>
              <w:rPr>
                <w:b/>
                <w:bCs/>
                <w:color w:val="000000"/>
              </w:rPr>
            </w:r>
          </w:p>
        </w:tc>
      </w:tr>
      <w:tr>
        <w:trPr>
          <w:trHeight w:val="20"/>
        </w:trPr>
        <w:tc>
          <w:tcPr>
            <w:gridSpan w:val="4"/>
            <w:tcBorders/>
            <w:tcW w:w="7361" w:type="dxa"/>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2164" w:type="dxa"/>
            <w:vAlign w:val="center"/>
            <w:textDirection w:val="lrTb"/>
            <w:noWrap/>
          </w:tcPr>
          <w:p>
            <w:pPr>
              <w:pBdr/>
              <w:spacing w:after="40" w:before="40" w:line="288" w:lineRule="auto"/>
              <w:ind/>
              <w:jc w:val="center"/>
              <w:rPr>
                <w:b/>
                <w:bCs/>
                <w:color w:val="000000"/>
              </w:rPr>
            </w:pPr>
            <w:r>
              <w:t xml:space="preserve">1.100.000.000</w:t>
            </w:r>
            <w:r>
              <w:rPr>
                <w:b/>
                <w:bCs/>
                <w:color w:val="000000"/>
              </w:rPr>
            </w:r>
            <w:r>
              <w:rPr>
                <w:b/>
                <w:bCs/>
                <w:color w:val="000000"/>
              </w:rPr>
            </w:r>
          </w:p>
        </w:tc>
      </w:tr>
      <w:tr>
        <w:trPr>
          <w:trHeight w:val="20"/>
        </w:trPr>
        <w:tc>
          <w:tcPr>
            <w:gridSpan w:val="4"/>
            <w:tcBorders/>
            <w:tcW w:w="7361" w:type="dxa"/>
            <w:vAlign w:val="center"/>
            <w:textDirection w:val="lrTb"/>
            <w:noWrap/>
          </w:tcPr>
          <w:p>
            <w:pPr>
              <w:pBdr/>
              <w:spacing w:after="40" w:before="40" w:line="288" w:lineRule="auto"/>
              <w:ind/>
              <w:jc w:val="center"/>
              <w:rPr>
                <w:b/>
                <w:bCs/>
                <w:color w:val="000000"/>
              </w:rPr>
            </w:pPr>
            <w:r>
              <w:rPr>
                <w:b/>
                <w:bCs/>
                <w:color w:val="000000"/>
              </w:rPr>
              <w:t xml:space="preserve">LÀM TRÒN</w:t>
            </w:r>
            <w:r>
              <w:rPr>
                <w:b/>
                <w:bCs/>
                <w:color w:val="000000"/>
              </w:rPr>
            </w:r>
            <w:r>
              <w:rPr>
                <w:b/>
                <w:bCs/>
                <w:color w:val="000000"/>
              </w:rPr>
            </w:r>
          </w:p>
        </w:tc>
        <w:tc>
          <w:tcPr>
            <w:tcBorders/>
            <w:tcW w:w="2164" w:type="dxa"/>
            <w:vAlign w:val="center"/>
            <w:textDirection w:val="lrTb"/>
            <w:noWrap/>
          </w:tcPr>
          <w:p>
            <w:pPr>
              <w:pBdr/>
              <w:spacing w:after="40" w:before="40" w:line="288" w:lineRule="auto"/>
              <w:ind/>
              <w:jc w:val="center"/>
              <w:rPr>
                <w:b/>
                <w:bCs/>
                <w:color w:val="000000"/>
              </w:rPr>
            </w:pPr>
            <w:r>
              <w:rPr>
                <w:b/>
                <w:bCs/>
                <w:color w:val="000000"/>
              </w:rPr>
              <w:t xml:space="preserve">1.100.000.000</w:t>
            </w:r>
            <w:r>
              <w:rPr>
                <w:b/>
                <w:bCs/>
                <w:color w:val="000000"/>
              </w:rPr>
            </w:r>
            <w:r>
              <w:rPr>
                <w:b/>
                <w:bCs/>
                <w:color w:val="000000"/>
              </w:rPr>
            </w:r>
          </w:p>
        </w:tc>
      </w:tr>
      <w:tr>
        <w:trPr>
          <w:trHeight w:val="20"/>
        </w:trPr>
        <w:tc>
          <w:tcPr>
            <w:gridSpan w:val="5"/>
            <w:tcBorders/>
            <w:tcW w:w="9525" w:type="dxa"/>
            <w:vAlign w:val="center"/>
            <w:textDirection w:val="lrTb"/>
            <w:noWrap w:val="false"/>
          </w:tcPr>
          <w:p>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Một tỷ một trăm </w:t>
            </w:r>
            <w:r>
              <w:rPr>
                <w:b/>
                <w:bCs/>
                <w:i/>
                <w:iCs/>
                <w:color w:val="000000"/>
              </w:rPr>
              <w:t xml:space="preserve">triệu đồng</w:t>
            </w:r>
            <w:r>
              <w:rPr>
                <w:b/>
                <w:bCs/>
                <w:i/>
                <w:iCs/>
                <w:color w:val="000000"/>
              </w:rPr>
              <w:t xml:space="preserve">./.)</w:t>
            </w:r>
            <w:r>
              <w:rPr>
                <w:b/>
                <w:bCs/>
                <w:i/>
                <w:iCs/>
                <w:color w:val="000000"/>
              </w:rPr>
            </w:r>
            <w:r>
              <w:rPr>
                <w:b/>
                <w:bCs/>
                <w:i/>
                <w:iCs/>
                <w:color w:val="000000"/>
              </w:rPr>
            </w:r>
          </w:p>
        </w:tc>
      </w:tr>
    </w:tbl>
    <w:p>
      <w:pPr>
        <w:pBdr/>
        <w:spacing w:after="120" w:before="120" w:line="312" w:lineRule="auto"/>
        <w:ind/>
        <w:jc w:val="both"/>
        <w:rPr>
          <w:b/>
          <w:bCs/>
        </w:rPr>
      </w:pPr>
      <w:r>
        <w:rPr>
          <w:b/>
          <w:bCs/>
          <w:lang w:val="vi-VN"/>
        </w:rPr>
        <w:t xml:space="preserve">10. Thời hạn hiệu lực của kết quả thẩm định giá:</w:t>
      </w:r>
      <w:r>
        <w:rPr>
          <w:b/>
          <w:bCs/>
        </w:rPr>
      </w:r>
      <w:r>
        <w:rPr>
          <w:b/>
          <w:bCs/>
        </w:rPr>
      </w:r>
    </w:p>
    <w:p>
      <w:pPr>
        <w:pBdr/>
        <w:spacing w:after="120" w:before="120" w:line="312" w:lineRule="auto"/>
        <w:ind w:firstLine="360"/>
        <w:jc w:val="both"/>
        <w:rPr>
          <w:lang w:val="pt-BR"/>
        </w:rPr>
      </w:pPr>
      <w:r>
        <w:rPr>
          <w:lang w:val="pt-BR"/>
        </w:rPr>
        <w:t xml:space="preserve">- Tối đa 06 (sáu) tháng tính từ ngày ký đối với tài sản là Bất động sản.</w:t>
      </w:r>
      <w:r>
        <w:rPr>
          <w:lang w:val="pt-BR"/>
        </w:rPr>
      </w:r>
      <w:r>
        <w:rPr>
          <w:lang w:val="pt-BR"/>
        </w:rPr>
      </w:r>
    </w:p>
    <w:p>
      <w:pPr>
        <w:pBdr/>
        <w:spacing w:after="120" w:before="120" w:line="312" w:lineRule="auto"/>
        <w:ind/>
        <w:rPr/>
      </w:pPr>
      <w:r>
        <w:rPr>
          <w:b/>
          <w:bCs/>
          <w:lang w:val="vi-VN"/>
        </w:rPr>
        <w:t xml:space="preserve">11. Những điều khoản loại trừ và hạn chế của kết quả thẩm định giá:</w:t>
      </w:r>
      <w:r/>
    </w:p>
    <w:p>
      <w:pPr>
        <w:pBdr/>
        <w:spacing w:after="120" w:before="120" w:line="312" w:lineRule="auto"/>
        <w:ind w:firstLine="360"/>
        <w:rPr>
          <w:lang w:val="pt-BR"/>
        </w:rPr>
      </w:pPr>
      <w:r>
        <w:rPr>
          <w:lang w:val="pt-BR"/>
        </w:rPr>
        <w:t xml:space="preserve">- </w:t>
      </w:r>
      <w:r>
        <w:rPr>
          <w:lang w:val="pt-BR"/>
        </w:rPr>
        <w:t xml:space="preserve">Chi tiết như Báo cáo kèm theo.</w:t>
      </w:r>
      <w:r>
        <w:rPr>
          <w:rFonts w:eastAsia="Calibri"/>
          <w:b/>
          <w:spacing w:val="-4"/>
          <w:lang w:val="pt-BR"/>
        </w:rPr>
        <w:br w:type="page" w:clear="all"/>
      </w:r>
      <w:r>
        <w:rPr>
          <w:rFonts w:eastAsia="Calibri"/>
          <w:b/>
          <w:spacing w:val="-4"/>
          <w:lang w:val="pt-BR"/>
        </w:rPr>
        <w:t xml:space="preserve">12</w:t>
      </w:r>
      <w:r>
        <w:rPr>
          <w:rFonts w:eastAsia="Calibri"/>
          <w:b/>
          <w:spacing w:val="-4"/>
          <w:lang w:val="vi-VN"/>
        </w:rPr>
        <w:t xml:space="preserve">. Các tài liệu kèm theo:</w:t>
      </w:r>
      <w:r>
        <w:rPr>
          <w:lang w:val="pt-BR"/>
        </w:rPr>
      </w:r>
      <w:r>
        <w:rPr>
          <w:lang w:val="pt-BR"/>
        </w:rPr>
      </w:r>
    </w:p>
    <w:p>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r>
        <w:rPr>
          <w:spacing w:val="-6"/>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r>
              <w:rPr>
                <w:rFonts w:eastAsia="Calibri"/>
                <w:b/>
                <w:color w:val="000000" w:themeColor="text1"/>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bCs/>
                <w:lang w:val="vi-VN"/>
              </w:rPr>
            </w:pPr>
            <w:r>
              <w:rPr>
                <w:rFonts w:eastAsia="Calibri"/>
                <w:b/>
                <w:bCs/>
                <w:color w:val="000000" w:themeColor="text1"/>
                <w:lang w:val="pt-BR"/>
              </w:rPr>
              <w:t xml:space="preserve">Lê Thị Thịnh</w:t>
            </w:r>
            <w:r>
              <w:rPr>
                <w:rFonts w:eastAsia="Calibri"/>
                <w:b/>
                <w:bCs/>
                <w:lang w:val="vi-VN"/>
              </w:rPr>
            </w:r>
            <w:r>
              <w:rPr>
                <w:rFonts w:eastAsia="Calibri"/>
                <w:b/>
                <w:bCs/>
                <w:lang w:val="vi-VN"/>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VIII13.990</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w:t>
            </w:r>
            <w:r>
              <w:rPr>
                <w:rFonts w:eastAsia="Calibri"/>
                <w:lang w:val="pt-BR"/>
              </w:rPr>
              <w:t xml:space="preserve"> XII17.1825</w:t>
            </w:r>
            <w:r>
              <w:rPr>
                <w:rFonts w:eastAsia="Calibri"/>
                <w:b/>
                <w:lang w:val="pt-BR"/>
              </w:rPr>
            </w:r>
            <w:r>
              <w:rPr>
                <w:rFonts w:eastAsia="Calibri"/>
                <w:b/>
                <w:lang w:val="pt-BR"/>
              </w:rPr>
            </w:r>
          </w:p>
        </w:tc>
      </w:tr>
    </w:tbl>
    <w:p>
      <w:pPr>
        <w:pBdr/>
        <w:spacing w:after="200" w:line="276" w:lineRule="auto"/>
        <w:ind/>
        <w:rPr/>
      </w:pPr>
      <w:r>
        <w:br w:type="page" w:clear="all"/>
      </w:r>
      <w:r/>
    </w:p>
    <w:tbl>
      <w:tblPr>
        <w:tblInd w:w="-284" w:type="dxa"/>
        <w:tblW w:w="14417" w:type="dxa"/>
        <w:tblBorders/>
        <w:tblLayout w:type="fixed"/>
        <w:tblLook w:val="04A0" w:firstRow="1" w:lastRow="0" w:firstColumn="1" w:lastColumn="0" w:noHBand="0" w:noVBand="1"/>
      </w:tblPr>
      <w:tblGrid>
        <w:gridCol w:w="29"/>
        <w:gridCol w:w="1559"/>
        <w:gridCol w:w="12830"/>
      </w:tblGrid>
      <w:tr>
        <w:trPr>
          <w:trHeight w:val="1843"/>
        </w:trPr>
        <w:tc>
          <w:tcPr>
            <w:gridSpan w:val="2"/>
            <w:tcBorders/>
            <w:tcW w:w="1588"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tcBorders/>
            <w:tcW w:w="12830"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6" w:tooltip="mailto:ilotus.contact@gmail.com" w:history="1">
              <w:r>
                <w:rPr>
                  <w:rStyle w:val="1017"/>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Before w:val="1"/>
          <w:trHeight w:val="84"/>
        </w:trPr>
        <w:tc>
          <w:tcPr>
            <w:gridSpan w:val="2"/>
            <w:shd w:val="clear" w:color="auto" w:fill="auto"/>
            <w:tcBorders/>
            <w:tcMar>
              <w:left w:w="108" w:type="dxa"/>
              <w:top w:w="0" w:type="dxa"/>
              <w:right w:w="108" w:type="dxa"/>
              <w:bottom w:w="0" w:type="dxa"/>
            </w:tcMar>
            <w:tcW w:w="14389" w:type="dxa"/>
            <w:textDirection w:val="lrTb"/>
            <w:noWrap w:val="false"/>
          </w:tcPr>
          <w:p>
            <w:pPr>
              <w:pStyle w:val="1026"/>
              <w:pBdr/>
              <w:spacing w:after="60"/>
              <w:ind/>
              <w:rPr>
                <w:color w:val="000000" w:themeColor="text1"/>
                <w:sz w:val="24"/>
                <w:szCs w:val="24"/>
              </w:rPr>
            </w:pPr>
            <w:r>
              <w:rPr>
                <w:rStyle w:val="1025"/>
                <w:rFonts w:ascii="Times New Roman" w:hAnsi="Times New Roman"/>
                <w:color w:val="000000" w:themeColor="text1"/>
                <w:lang w:val="pt-BR"/>
              </w:rPr>
              <w:t xml:space="preserve">Số: </w:t>
            </w:r>
            <w:r>
              <w:rPr>
                <w:rStyle w:val="1025"/>
                <w:rFonts w:ascii="Times New Roman" w:hAnsi="Times New Roman"/>
                <w:color w:val="000000" w:themeColor="text1"/>
                <w:lang w:val="pt-BR"/>
              </w:rPr>
              <w:t xml:space="preserve">275/2026/1224/VFI-BC.C01.A                                               </w:t>
            </w:r>
            <w:r>
              <w:rPr>
                <w:rStyle w:val="1025"/>
                <w:rFonts w:ascii="Times New Roman" w:hAnsi="Times New Roman"/>
                <w:i/>
                <w:color w:val="auto"/>
              </w:rPr>
              <w:t xml:space="preserve">TP. Hà Nội</w:t>
            </w:r>
            <w:r>
              <w:rPr>
                <w:rStyle w:val="1025"/>
                <w:rFonts w:ascii="Times New Roman" w:hAnsi="Times New Roman"/>
                <w:i/>
                <w:color w:val="auto"/>
                <w:lang w:val="vi-VN"/>
              </w:rPr>
              <w:t xml:space="preserve">, </w:t>
            </w:r>
            <w:r>
              <w:rPr>
                <w:rStyle w:val="1025"/>
                <w:rFonts w:ascii="Times New Roman" w:hAnsi="Times New Roman"/>
                <w:i/>
                <w:color w:val="000000" w:themeColor="text1"/>
                <w:lang w:val="vi-VN"/>
              </w:rPr>
              <w:t xml:space="preserve">ngày 8 tháng 8 năm 2026</w:t>
            </w:r>
            <w:r>
              <w:rPr>
                <w:color w:val="000000" w:themeColor="text1"/>
                <w:sz w:val="24"/>
                <w:szCs w:val="24"/>
              </w:rPr>
            </w:r>
            <w:r>
              <w:rPr>
                <w:color w:val="000000" w:themeColor="text1"/>
                <w:sz w:val="24"/>
                <w:szCs w:val="24"/>
              </w:rPr>
            </w:r>
          </w:p>
        </w:tc>
      </w:tr>
      <w:tr>
        <w:trPr>
          <w:gridBefore w:val="1"/>
          <w:trHeight w:val="84"/>
        </w:trPr>
        <w:tc>
          <w:tcPr>
            <w:shd w:val="clear" w:color="auto" w:fill="auto"/>
            <w:tcBorders/>
            <w:tcMar>
              <w:left w:w="108" w:type="dxa"/>
              <w:top w:w="0" w:type="dxa"/>
              <w:right w:w="108" w:type="dxa"/>
              <w:bottom w:w="0" w:type="dxa"/>
            </w:tcMar>
            <w:tcW w:w="1559" w:type="dxa"/>
            <w:textDirection w:val="lrTb"/>
            <w:noWrap w:val="false"/>
          </w:tcPr>
          <w:p>
            <w:pPr>
              <w:pStyle w:val="1026"/>
              <w:pBdr/>
              <w:spacing w:after="60"/>
              <w:ind/>
              <w:rPr>
                <w:rStyle w:val="1025"/>
                <w:rFonts w:ascii="Times New Roman" w:hAnsi="Times New Roman"/>
                <w:color w:val="000000" w:themeColor="text1"/>
                <w:lang w:val="pt-BR"/>
              </w:rPr>
            </w:pPr>
            <w:r>
              <w:rPr>
                <w:rStyle w:val="1025"/>
                <w:rFonts w:ascii="Times New Roman" w:hAnsi="Times New Roman"/>
                <w:color w:val="000000" w:themeColor="text1"/>
                <w:lang w:val="pt-BR"/>
              </w:rPr>
            </w:r>
            <w:r>
              <w:rPr>
                <w:rStyle w:val="1025"/>
                <w:rFonts w:ascii="Times New Roman" w:hAnsi="Times New Roman"/>
                <w:color w:val="000000" w:themeColor="text1"/>
                <w:lang w:val="pt-BR"/>
              </w:rPr>
            </w:r>
            <w:r>
              <w:rPr>
                <w:rStyle w:val="1025"/>
                <w:rFonts w:ascii="Times New Roman" w:hAnsi="Times New Roman"/>
                <w:color w:val="000000" w:themeColor="text1"/>
                <w:lang w:val="pt-BR"/>
              </w:rPr>
            </w:r>
          </w:p>
        </w:tc>
        <w:tc>
          <w:tcPr>
            <w:shd w:val="clear" w:color="auto" w:fill="auto"/>
            <w:tcBorders/>
            <w:tcMar>
              <w:left w:w="108" w:type="dxa"/>
              <w:top w:w="0" w:type="dxa"/>
              <w:right w:w="108" w:type="dxa"/>
              <w:bottom w:w="0" w:type="dxa"/>
            </w:tcMar>
            <w:tcW w:w="12830" w:type="dxa"/>
            <w:textDirection w:val="lrTb"/>
            <w:noWrap w:val="false"/>
          </w:tcPr>
          <w:p>
            <w:pPr>
              <w:pStyle w:val="1026"/>
              <w:pBdr/>
              <w:spacing w:after="60"/>
              <w:ind w:right="-56"/>
              <w:rPr>
                <w:rStyle w:val="1025"/>
                <w:rFonts w:ascii="Times New Roman" w:hAnsi="Times New Roman"/>
                <w:i/>
                <w:color w:val="auto"/>
              </w:rPr>
            </w:pPr>
            <w:r>
              <w:rPr>
                <w:rFonts w:ascii="Times New Roman" w:hAnsi="Times New Roman"/>
                <w:i/>
                <w:color w:val="auto"/>
              </w:rPr>
            </w:r>
            <w:r>
              <w:rPr>
                <w:rStyle w:val="1025"/>
                <w:rFonts w:ascii="Times New Roman" w:hAnsi="Times New Roman"/>
                <w:i/>
                <w:color w:val="auto"/>
              </w:rPr>
            </w:r>
            <w:r>
              <w:rPr>
                <w:rStyle w:val="1025"/>
                <w:rFonts w:ascii="Times New Roman" w:hAnsi="Times New Roman"/>
                <w:i/>
                <w:color w:val="auto"/>
              </w:rPr>
            </w:r>
          </w:p>
        </w:tc>
      </w:tr>
    </w:tbl>
    <w:p>
      <w:pPr>
        <w:pStyle w:val="1026"/>
        <w:pBdr/>
        <w:tabs>
          <w:tab w:val="left" w:leader="none" w:pos="5103"/>
        </w:tabs>
        <w:spacing w:before="200" w:line="340" w:lineRule="atLeast"/>
        <w:ind/>
        <w:jc w:val="center"/>
        <w:rPr>
          <w:i/>
          <w:iCs/>
          <w:sz w:val="30"/>
          <w:szCs w:val="30"/>
          <w:lang w:val="pt-BR"/>
        </w:rPr>
      </w:pPr>
      <w:r>
        <w:rPr>
          <w:b/>
          <w:sz w:val="30"/>
          <w:szCs w:val="30"/>
          <w:lang w:val="pt-BR"/>
        </w:rPr>
        <w:t xml:space="preserve">BÁO CÁO KẾT QUẢ THẨM ĐỊNH GIÁ</w:t>
      </w:r>
      <w:r>
        <w:rPr>
          <w:i/>
          <w:iCs/>
          <w:sz w:val="30"/>
          <w:szCs w:val="30"/>
          <w:lang w:val="pt-BR"/>
        </w:rPr>
      </w:r>
      <w:r>
        <w:rPr>
          <w:i/>
          <w:iCs/>
          <w:sz w:val="30"/>
          <w:szCs w:val="30"/>
          <w:lang w:val="pt-BR"/>
        </w:rPr>
      </w:r>
    </w:p>
    <w:p>
      <w:pPr>
        <w:pStyle w:val="1006"/>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(Kèm t</w:t>
      </w:r>
      <w:r>
        <w:rPr>
          <w:b w:val="0"/>
          <w:i/>
          <w:spacing w:val="-6"/>
          <w:sz w:val="24"/>
          <w:szCs w:val="24"/>
          <w:lang w:val="pt-BR"/>
        </w:rPr>
        <w:t xml:space="preserve">heo Chứng thư thẩm định giá số:</w:t>
      </w:r>
      <w:r>
        <w:rPr>
          <w:b w:val="0"/>
          <w:i/>
          <w:spacing w:val="-6"/>
          <w:sz w:val="24"/>
          <w:szCs w:val="24"/>
          <w:lang w:val="pt-BR"/>
        </w:rPr>
        <w:t xml:space="preserve"> </w:t>
      </w:r>
      <w:r>
        <w:rPr>
          <w:b w:val="0"/>
          <w:i/>
          <w:color w:val="000000" w:themeColor="text1"/>
          <w:spacing w:val="-6"/>
          <w:sz w:val="24"/>
          <w:szCs w:val="24"/>
          <w:lang w:val="pt-BR"/>
        </w:rPr>
        <w:t xml:space="preserve">275/2026/1224/VFI-CT.C01.A</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8 tháng 8 năm 2026</w:t>
      </w:r>
      <w:r>
        <w:rPr>
          <w:b w:val="0"/>
          <w:i/>
          <w:spacing w:val="-6"/>
          <w:sz w:val="24"/>
          <w:szCs w:val="24"/>
          <w:lang w:val="pt-BR"/>
        </w:rPr>
        <w:t xml:space="preserve">)</w:t>
      </w:r>
      <w:r>
        <w:rPr>
          <w:b w:val="0"/>
          <w:i/>
          <w:spacing w:val="-6"/>
          <w:sz w:val="24"/>
          <w:szCs w:val="24"/>
          <w:lang w:val="pt-BR"/>
        </w:rPr>
      </w:r>
      <w:r>
        <w:rPr>
          <w:b w:val="0"/>
          <w:i/>
          <w:spacing w:val="-6"/>
          <w:sz w:val="24"/>
          <w:szCs w:val="24"/>
          <w:lang w:val="pt-BR"/>
        </w:rPr>
      </w:r>
    </w:p>
    <w:p>
      <w:pPr>
        <w:pStyle w:val="1006"/>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r>
        <w:rPr>
          <w:b w:val="0"/>
          <w:i/>
          <w:spacing w:val="-6"/>
          <w:sz w:val="24"/>
          <w:szCs w:val="24"/>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spacing w:after="60" w:before="6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b/>
                <w:bCs/>
                <w:spacing w:val="-4"/>
                <w:lang w:val="pt-BR"/>
              </w:rPr>
            </w:pPr>
            <w:r>
              <w:rPr>
                <w:b/>
                <w:bCs/>
                <w:color w:val="000000" w:themeColor="text1"/>
                <w:spacing w:val="-4"/>
                <w:lang w:val="pt-BR"/>
              </w:rPr>
              <w:t xml:space="preserve">CÔNG TY CỔ PHẦN THẨM ĐỊNH VÀ ĐẦU TƯ TÀI CHÍNH HOA SEN</w:t>
            </w:r>
            <w:r>
              <w:rPr>
                <w:b/>
                <w:bCs/>
                <w:spacing w:val="-4"/>
                <w:lang w:val="pt-BR"/>
              </w:rPr>
            </w:r>
            <w:r>
              <w:rPr>
                <w:b/>
                <w:bCs/>
                <w:spacing w:val="-4"/>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 </w:t>
            </w:r>
            <w:r>
              <w:rPr>
                <w:bCs/>
                <w:lang w:val="pt-BR"/>
              </w:rPr>
            </w:r>
            <w:r>
              <w:rPr>
                <w:bCs/>
                <w:lang w:val="pt-BR"/>
              </w:rPr>
            </w:r>
          </w:p>
        </w:tc>
        <w:tc>
          <w:tcPr>
            <w:tcBorders/>
            <w:tcW w:w="6940" w:type="dxa"/>
            <w:vAlign w:val="center"/>
            <w:textDirection w:val="lrTb"/>
            <w:noWrap w:val="false"/>
          </w:tcPr>
          <w:p>
            <w:pPr>
              <w:pBdr/>
              <w:tabs>
                <w:tab w:val="left" w:leader="none" w:pos="3382"/>
              </w:tabs>
              <w:spacing w:after="60" w:before="60" w:line="276" w:lineRule="auto"/>
              <w:ind/>
              <w:rPr>
                <w:iCs/>
              </w:rPr>
            </w:pPr>
            <w:r>
              <w:rPr>
                <w:iCs/>
                <w:color w:val="000000" w:themeColor="text1"/>
              </w:rPr>
              <w:t xml:space="preserve">024 2264 4333</w:t>
            </w:r>
            <w:r>
              <w:rPr>
                <w:iCs/>
              </w:rPr>
            </w:r>
            <w:r>
              <w:rPr>
                <w:iCs/>
              </w:rPr>
            </w:r>
          </w:p>
        </w:tc>
      </w:tr>
      <w:tr>
        <w:trPr>
          <w:trHeight w:val="20"/>
        </w:trPr>
        <w:tc>
          <w:tcPr>
            <w:tcBorders/>
            <w:tcW w:w="2552" w:type="dxa"/>
            <w:vAlign w:val="center"/>
            <w:textDirection w:val="lrTb"/>
            <w:noWrap w:val="false"/>
          </w:tcPr>
          <w:p>
            <w:pPr>
              <w:pBdr/>
              <w:spacing w:after="60" w:before="60" w:line="276" w:lineRule="auto"/>
              <w:ind/>
              <w:rPr>
                <w:bCs/>
              </w:rPr>
            </w:pPr>
            <w:r>
              <w:t xml:space="preserve">Mã số thuế</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color w:val="000000" w:themeColor="text1"/>
              </w:rPr>
              <w:t xml:space="preserve">0102708994</w:t>
            </w:r>
            <w:r>
              <w:rPr>
                <w:bCs/>
              </w:rPr>
            </w:r>
            <w:r>
              <w:rPr>
                <w:bCs/>
              </w:rPr>
            </w:r>
          </w:p>
        </w:tc>
      </w:tr>
      <w:tr>
        <w:trPr>
          <w:trHeight w:val="20"/>
        </w:trPr>
        <w:tc>
          <w:tcPr>
            <w:tcBorders/>
            <w:tcW w:w="2552" w:type="dxa"/>
            <w:vAlign w:val="center"/>
            <w:textDirection w:val="lrTb"/>
            <w:noWrap w:val="false"/>
          </w:tcPr>
          <w:p>
            <w:pPr>
              <w:pBdr/>
              <w:spacing w:after="60" w:before="60" w:line="276" w:lineRule="auto"/>
              <w:ind/>
              <w:rPr/>
            </w:pPr>
            <w:r>
              <w:t xml:space="preserve">GCN</w:t>
            </w:r>
            <w:r>
              <w:t xml:space="preserve"> đủ điều kiện hành nghề</w:t>
            </w: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rPr>
              <w:t xml:space="preserve">275/TĐG</w:t>
            </w:r>
            <w:r>
              <w:rPr>
                <w:bCs/>
              </w:rPr>
            </w:r>
            <w:r>
              <w:rPr>
                <w:bCs/>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b/>
                <w:bCs/>
                <w:lang w:val="vi-VN"/>
              </w:rPr>
            </w:pPr>
            <w:r>
              <w:rPr>
                <w:b/>
                <w:bCs/>
                <w:lang w:val="vi-VN"/>
              </w:rPr>
              <w:t xml:space="preserve">Ông</w:t>
            </w:r>
            <w:r>
              <w:rPr>
                <w:b/>
                <w:bCs/>
              </w:rPr>
              <w:t xml:space="preserve"> Vũ Văn Quân </w:t>
            </w:r>
            <w:r>
              <w:rPr>
                <w:b/>
                <w:bCs/>
                <w:lang w:val="vi-VN"/>
              </w:rPr>
              <w:tab/>
              <w:t xml:space="preserve">Chức vụ: </w:t>
            </w:r>
            <w:r>
              <w:rPr>
                <w:b/>
                <w:bCs/>
              </w:rPr>
              <w:t xml:space="preserve">Chủ tịch HĐQT kiêm Tổng Giám Đốc</w:t>
            </w:r>
            <w:r>
              <w:rPr>
                <w:b/>
                <w:bCs/>
                <w:lang w:val="vi-VN"/>
              </w:rPr>
            </w:r>
            <w:r>
              <w:rPr>
                <w:b/>
                <w:bCs/>
                <w:lang w:val="vi-VN"/>
              </w:rPr>
            </w:r>
          </w:p>
        </w:tc>
      </w:tr>
    </w:tbl>
    <w:p>
      <w:pPr>
        <w:pStyle w:val="1027"/>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r>
        <w:rPr>
          <w:b/>
          <w:bCs/>
          <w:lang w:val="pt-BR"/>
        </w:rPr>
      </w:r>
    </w:p>
    <w:p>
      <w:pPr>
        <w:pBdr/>
        <w:tabs>
          <w:tab w:val="left" w:leader="none" w:pos="284"/>
        </w:tabs>
        <w:spacing w:after="120" w:before="120" w:line="320" w:lineRule="atLeast"/>
        <w:ind/>
        <w:jc w:val="both"/>
        <w:rPr>
          <w:b/>
          <w:bCs/>
          <w:lang w:val="pt-BR"/>
        </w:rPr>
      </w:pPr>
      <w:r>
        <w:rPr>
          <w:b/>
          <w:bCs/>
          <w:lang w:val="pt-BR"/>
        </w:rPr>
        <w:t xml:space="preserve">1</w:t>
      </w:r>
      <w:r>
        <w:rPr>
          <w:b/>
          <w:bCs/>
          <w:lang w:val="pt-BR"/>
        </w:rPr>
        <w:t xml:space="preserve">. Thông tin cơ bản về cuộc thẩm định giá:</w:t>
      </w:r>
      <w:r>
        <w:rPr>
          <w:b/>
          <w:bCs/>
          <w:lang w:val="pt-BR"/>
        </w:rPr>
      </w:r>
      <w:r>
        <w:rPr>
          <w:b/>
          <w:bCs/>
          <w:lang w:val="pt-BR"/>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Tên khách hàng</w:t>
            </w:r>
            <w:r>
              <w:rPr>
                <w:bCs/>
                <w:lang w:val="pt-BR"/>
              </w:rPr>
            </w:r>
            <w:r>
              <w:rPr>
                <w:bCs/>
                <w:lang w:val="pt-BR"/>
              </w:rPr>
            </w:r>
          </w:p>
        </w:tc>
        <w:tc>
          <w:tcPr>
            <w:tcBorders/>
            <w:tcW w:w="284" w:type="dxa"/>
            <w:vAlign w:val="center"/>
            <w:textDirection w:val="lrTb"/>
            <w:noWrap w:val="false"/>
          </w:tcPr>
          <w:p>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ind/>
              <w:rPr/>
            </w:pPr>
            <w:r>
              <w:rPr>
                <w:b/>
                <w:bCs/>
              </w:rPr>
              <w:t xml:space="preserve">Ông Khương Văn Huân</w:t>
            </w: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MST/CMTND/CCCD:</w:t>
            </w:r>
            <w:r>
              <w:rPr>
                <w:bCs/>
                <w:lang w:val="pt-BR"/>
              </w:rPr>
            </w:r>
            <w:r>
              <w:rPr>
                <w:bCs/>
                <w:lang w:val="pt-BR"/>
              </w:rPr>
            </w:r>
          </w:p>
        </w:tc>
        <w:tc>
          <w:tcPr>
            <w:tcBorders/>
            <w:tcW w:w="284" w:type="dxa"/>
            <w:vAlign w:val="center"/>
            <w:textDirection w:val="lrTb"/>
            <w:noWrap w:val="false"/>
          </w:tcPr>
          <w:p>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40" w:before="40" w:line="276" w:lineRule="auto"/>
              <w:ind/>
              <w:jc w:val="both"/>
              <w:rPr>
                <w:color w:val="000000" w:themeColor="text1"/>
              </w:rPr>
            </w:pPr>
            <w:r>
              <w:rPr>
                <w:color w:val="000000" w:themeColor="text1"/>
                <w:lang w:val="vi-VN"/>
              </w:rPr>
              <w:t xml:space="preserve">026088009594</w:t>
            </w:r>
            <w:r>
              <w:rPr>
                <w:color w:val="000000" w:themeColor="text1"/>
              </w:rPr>
            </w:r>
            <w:r>
              <w:rPr>
                <w:color w:val="000000" w:themeColor="text1"/>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Năm sinh:</w:t>
            </w:r>
            <w:r>
              <w:rPr>
                <w:bCs/>
                <w:lang w:val="pt-BR"/>
              </w:rPr>
            </w:r>
            <w:r>
              <w:rPr>
                <w:bCs/>
                <w:lang w:val="pt-BR"/>
              </w:rPr>
            </w:r>
          </w:p>
        </w:tc>
        <w:tc>
          <w:tcPr>
            <w:tcBorders/>
            <w:tcW w:w="284" w:type="dxa"/>
            <w:vAlign w:val="center"/>
            <w:textDirection w:val="lrTb"/>
            <w:noWrap w:val="false"/>
          </w:tcPr>
          <w:p>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1988</w:t>
            </w:r>
            <w:r>
              <w:rPr>
                <w:color w:val="ff0000"/>
                <w:lang w:val="pt-BR"/>
              </w:rPr>
            </w:r>
            <w:r>
              <w:rPr>
                <w:color w:val="ff0000"/>
                <w:lang w:val="pt-BR"/>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Địa chỉ</w:t>
            </w:r>
            <w:r>
              <w:rPr>
                <w:bCs/>
                <w:lang w:val="pt-BR"/>
              </w:rPr>
            </w:r>
            <w:r>
              <w:rPr>
                <w:bCs/>
                <w:lang w:val="pt-BR"/>
              </w:rPr>
            </w:r>
          </w:p>
        </w:tc>
        <w:tc>
          <w:tcPr>
            <w:tcBorders/>
            <w:tcW w:w="284" w:type="dxa"/>
            <w:vAlign w:val="center"/>
            <w:textDirection w:val="lrTb"/>
            <w:noWrap w:val="false"/>
          </w:tcPr>
          <w:p>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rPr>
                <w:b/>
                <w:bCs/>
                <w:color w:val="000000" w:themeColor="text1"/>
              </w:rPr>
            </w:pPr>
            <w:r>
              <w:rPr>
                <w:color w:val="000000" w:themeColor="text1"/>
                <w:lang w:val="vi-VN"/>
              </w:rPr>
            </w:r>
            <w:r>
              <w:rPr>
                <w:color w:val="000000" w:themeColor="text1"/>
                <w:lang w:val="vi-VN"/>
              </w:rPr>
              <w:t xml:space="preserve">TDP Gẩy – Cầu Bút, phường Vĩnh Phúc, tỉnh Phú Thọ</w:t>
            </w:r>
            <w:r>
              <w:rPr>
                <w:b/>
                <w:bCs/>
                <w:color w:val="000000" w:themeColor="text1"/>
              </w:rPr>
            </w:r>
            <w:r>
              <w:rPr>
                <w:b/>
                <w:bCs/>
                <w:color w:val="000000" w:themeColor="text1"/>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Tài sản thẩm định giá</w:t>
            </w:r>
            <w:r>
              <w:rPr>
                <w:bCs/>
                <w:lang w:val="pt-BR"/>
              </w:rPr>
            </w:r>
            <w:r>
              <w:rPr>
                <w:bCs/>
                <w:lang w:val="pt-BR"/>
              </w:rPr>
            </w:r>
          </w:p>
        </w:tc>
        <w:tc>
          <w:tcPr>
            <w:tcBorders/>
            <w:tcW w:w="284" w:type="dxa"/>
            <w:vAlign w:val="center"/>
            <w:textDirection w:val="lrTb"/>
            <w:noWrap w:val="false"/>
          </w:tcPr>
          <w:p>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
                <w:bCs/>
                <w:spacing w:val="2"/>
                <w:lang w:val="vi-VN"/>
              </w:rPr>
            </w:pPr>
            <w:r>
              <w:rPr>
                <w:bCs/>
                <w:color w:val="000000" w:themeColor="text1"/>
                <w:lang w:val="pt-BR"/>
              </w:rPr>
              <w:t xml:space="preserve">Quyền sử dụng đất tại thửa đất số 480, tờ bản đồ số 20, có địa chỉ: thôn Đông Trung, xã Đồng Tĩnh, huyện Tam Dương, tỉnh Vĩnh Phúc </w:t>
            </w:r>
            <w:r>
              <w:rPr>
                <w:bCs/>
                <w:i/>
                <w:iCs/>
                <w:color w:val="000000" w:themeColor="text1"/>
                <w:lang w:val="pt-BR"/>
              </w:rPr>
              <w:t xml:space="preserve">(nay là xã Tam Dương Bắc, tỉnh Phú Thọ)</w:t>
            </w:r>
            <w:r>
              <w:rPr>
                <w:bCs/>
                <w:color w:val="000000" w:themeColor="text1"/>
                <w:lang w:val="pt-BR"/>
              </w:rPr>
              <w:t xml:space="preserve"> </w:t>
            </w:r>
            <w:r>
              <w:rPr>
                <w:bCs/>
                <w:color w:val="000000" w:themeColor="text1"/>
                <w:lang w:val="pt-BR"/>
              </w:rPr>
              <w:t xml:space="preserve">theo giấy chứng nhận Quyền sử dụng đất, quyền sở hữu nhà ở và tài sản gắn liền với đất số: DL 238227, số vào sổ cấp GCN: CS01634 do Sở Tài nguyên và Môi trường tỉnh Vĩnh Phúc cấp ngày 14/03/2023. Chủ sử dụng đất là ông Khương Văn Huân và bà Phạm Hồng Khánh</w:t>
            </w:r>
            <w:r>
              <w:rPr>
                <w:bCs/>
                <w:spacing w:val="2"/>
              </w:rPr>
              <w:t xml:space="preserve">.</w:t>
            </w:r>
            <w:r>
              <w:rPr>
                <w:b/>
                <w:bCs/>
                <w:spacing w:val="2"/>
                <w:lang w:val="vi-VN"/>
              </w:rPr>
            </w:r>
            <w:r>
              <w:rPr>
                <w:b/>
                <w:bCs/>
                <w:spacing w:val="2"/>
                <w:lang w:val="vi-VN"/>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Mục đích thẩm định giá</w:t>
            </w:r>
            <w:r>
              <w:rPr>
                <w:bCs/>
                <w:lang w:val="pt-BR"/>
              </w:rPr>
            </w:r>
            <w:r>
              <w:rPr>
                <w:bCs/>
                <w:lang w:val="pt-BR"/>
              </w:rPr>
            </w:r>
          </w:p>
        </w:tc>
        <w:tc>
          <w:tcPr>
            <w:tcBorders/>
            <w:tcW w:w="284" w:type="dxa"/>
            <w:vAlign w:val="center"/>
            <w:textDirection w:val="lrTb"/>
            <w:noWrap w:val="false"/>
          </w:tcPr>
          <w:p>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12"/>
                <w:lang w:val="pt-BR"/>
              </w:rPr>
            </w:pPr>
            <w:r>
              <w:rPr>
                <w:bCs/>
                <w:spacing w:val="-12"/>
                <w:lang w:val="pt-BR"/>
              </w:rPr>
              <w:t xml:space="preserve">Cơ sở giá trị thẩm định giá</w:t>
            </w:r>
            <w:r>
              <w:rPr>
                <w:bCs/>
                <w:spacing w:val="-12"/>
                <w:lang w:val="pt-BR"/>
              </w:rPr>
            </w:r>
            <w:r>
              <w:rPr>
                <w:bCs/>
                <w:spacing w:val="-12"/>
                <w:lang w:val="pt-BR"/>
              </w:rPr>
            </w:r>
          </w:p>
        </w:tc>
        <w:tc>
          <w:tcPr>
            <w:tcBorders/>
            <w:tcW w:w="284" w:type="dxa"/>
            <w:vAlign w:val="center"/>
            <w:textDirection w:val="lrTb"/>
            <w:noWrap w:val="false"/>
          </w:tcPr>
          <w:p>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thẩm định giá</w:t>
            </w:r>
            <w:r>
              <w:rPr>
                <w:bCs/>
                <w:spacing w:val="-6"/>
                <w:lang w:val="pt-BR"/>
              </w:rPr>
            </w:r>
            <w:r>
              <w:rPr>
                <w:bCs/>
                <w:spacing w:val="-6"/>
                <w:lang w:val="pt-BR"/>
              </w:rPr>
            </w:r>
          </w:p>
        </w:tc>
        <w:tc>
          <w:tcPr>
            <w:tcBorders/>
            <w:tcW w:w="284" w:type="dxa"/>
            <w:vAlign w:val="center"/>
            <w:textDirection w:val="lrTb"/>
            <w:noWrap w:val="false"/>
          </w:tcPr>
          <w:p>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Cs/>
                <w:spacing w:val="-4"/>
                <w:lang w:val="pt-BR"/>
              </w:rPr>
            </w:pPr>
            <w:r>
              <w:rPr>
                <w:color w:val="000000" w:themeColor="text1"/>
                <w:lang w:val="pt-BR"/>
              </w:rPr>
              <w:t xml:space="preserve">Tháng 08/2026</w:t>
            </w:r>
            <w:r>
              <w:rPr>
                <w:lang w:val="pt-BR"/>
              </w:rPr>
              <w:t xml:space="preserve">.</w:t>
            </w:r>
            <w:r>
              <w:rPr>
                <w:bCs/>
                <w:spacing w:val="-4"/>
                <w:lang w:val="pt-BR"/>
              </w:rPr>
            </w:r>
            <w:r>
              <w:rPr>
                <w:bCs/>
                <w:spacing w:val="-4"/>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Địa điểm thẩm định giá</w:t>
            </w:r>
            <w:r>
              <w:rPr>
                <w:bCs/>
                <w:spacing w:val="-6"/>
                <w:lang w:val="pt-BR"/>
              </w:rPr>
            </w:r>
            <w:r>
              <w:rPr>
                <w:bCs/>
                <w:spacing w:val="-6"/>
                <w:lang w:val="pt-BR"/>
              </w:rPr>
            </w:r>
          </w:p>
        </w:tc>
        <w:tc>
          <w:tcPr>
            <w:tcBorders/>
            <w:tcW w:w="284" w:type="dxa"/>
            <w:vAlign w:val="center"/>
            <w:textDirection w:val="lrTb"/>
            <w:noWrap w:val="false"/>
          </w:tcPr>
          <w:p>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color w:val="ee0000"/>
                <w:lang w:val="pt-BR"/>
              </w:rPr>
            </w:pPr>
            <w:r>
              <w:rPr>
                <w:color w:val="000000" w:themeColor="text1"/>
                <w:lang w:val="pt-BR"/>
              </w:rPr>
              <w:t xml:space="preserve">Xã Tam Dương, Tỉnh Phú Thọ</w:t>
            </w:r>
            <w:r>
              <w:rPr>
                <w:color w:val="ee0000"/>
                <w:lang w:val="pt-BR"/>
              </w:rPr>
            </w:r>
            <w:r>
              <w:rPr>
                <w:color w:val="ee0000"/>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Vị trí tài sản thẩm định </w:t>
            </w:r>
            <w:r>
              <w:rPr>
                <w:bCs/>
                <w:spacing w:val="-6"/>
                <w:lang w:val="pt-BR"/>
              </w:rPr>
            </w:r>
            <w:r>
              <w:rPr>
                <w:bCs/>
                <w:spacing w:val="-6"/>
                <w:lang w:val="pt-BR"/>
              </w:rPr>
            </w:r>
          </w:p>
        </w:tc>
        <w:tc>
          <w:tcPr>
            <w:tcBorders/>
            <w:tcW w:w="284" w:type="dxa"/>
            <w:vAlign w:val="center"/>
            <w:textDirection w:val="lrTb"/>
            <w:noWrap w:val="false"/>
          </w:tcPr>
          <w:p>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Style w:val="1007"/>
              <w:pBdr/>
              <w:spacing w:before="60"/>
              <w:ind/>
              <w:rPr>
                <w:rFonts w:ascii="Times New Roman" w:hAnsi="Times New Roman" w:cs="Times New Roman"/>
                <w:color w:val="auto"/>
                <w:sz w:val="24"/>
                <w:szCs w:val="24"/>
              </w:rPr>
            </w:pPr>
            <w:r>
              <w:rPr>
                <w:rFonts w:ascii="Times New Roman" w:hAnsi="Times New Roman" w:cs="Times New Roman"/>
                <w:color w:val="auto"/>
                <w:sz w:val="24"/>
                <w:szCs w:val="24"/>
              </w:rPr>
              <w:t xml:space="preserve">(</w:t>
            </w:r>
            <w:r>
              <w:rPr>
                <w:rFonts w:ascii="Times New Roman" w:hAnsi="Times New Roman" w:cs="Times New Roman"/>
                <w:color w:val="000000"/>
                <w:sz w:val="24"/>
                <w:szCs w:val="24"/>
              </w:rPr>
              <w:t xml:space="preserve">21.430444444444, 105.53461111111</w:t>
            </w:r>
            <w:r>
              <w:rPr>
                <w:rFonts w:ascii="Times New Roman" w:hAnsi="Times New Roman" w:cs="Times New Roman"/>
                <w:color w:val="auto"/>
                <w:sz w:val="24"/>
                <w:szCs w:val="24"/>
              </w:rPr>
              <w:t xml:space="preserve">)</w:t>
            </w:r>
            <w:r>
              <w:rPr>
                <w:rFonts w:ascii="Times New Roman" w:hAnsi="Times New Roman" w:cs="Times New Roman"/>
                <w:color w:val="auto"/>
                <w:sz w:val="24"/>
                <w:szCs w:val="24"/>
              </w:rPr>
            </w:r>
            <w:r>
              <w:rPr>
                <w:rFonts w:ascii="Times New Roman" w:hAnsi="Times New Roman" w:cs="Times New Roman"/>
                <w:color w:val="auto"/>
                <w:sz w:val="24"/>
                <w:szCs w:val="2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khảo sát</w:t>
            </w:r>
            <w:r>
              <w:rPr>
                <w:bCs/>
                <w:spacing w:val="-6"/>
                <w:lang w:val="pt-BR"/>
              </w:rPr>
            </w:r>
            <w:r>
              <w:rPr>
                <w:bCs/>
                <w:spacing w:val="-6"/>
                <w:lang w:val="pt-BR"/>
              </w:rPr>
            </w:r>
          </w:p>
        </w:tc>
        <w:tc>
          <w:tcPr>
            <w:tcBorders/>
            <w:tcW w:w="284" w:type="dxa"/>
            <w:vAlign w:val="center"/>
            <w:textDirection w:val="lrTb"/>
            <w:noWrap w:val="false"/>
          </w:tcPr>
          <w:p>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lang w:val="pt-BR"/>
              </w:rPr>
            </w:pPr>
            <w:r>
              <w:rPr>
                <w:lang w:val="pt-BR"/>
              </w:rPr>
              <w:t xml:space="preserve">05/08/2026</w:t>
            </w:r>
            <w:r>
              <w:rPr>
                <w:lang w:val="pt-BR"/>
              </w:rPr>
              <w:t xml:space="preserve">.</w:t>
            </w:r>
            <w:r>
              <w:rPr>
                <w:lang w:val="pt-BR"/>
              </w:rPr>
            </w:r>
            <w:r>
              <w:rPr>
                <w:lang w:val="pt-BR"/>
              </w:rPr>
            </w:r>
          </w:p>
        </w:tc>
      </w:tr>
    </w:tbl>
    <w:p>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 nguồn thông tin được sử dụng trong quá trình thẩm định giá</w:t>
      </w:r>
      <w:r>
        <w:rPr>
          <w:b/>
          <w:bCs/>
          <w:spacing w:val="-6"/>
          <w:lang w:val="pt-BR"/>
        </w:rPr>
        <w:t xml:space="preserve"> và xem xét đánh giá</w:t>
      </w:r>
      <w:r>
        <w:rPr>
          <w:b/>
          <w:bCs/>
          <w:spacing w:val="-6"/>
          <w:lang w:val="pt-BR"/>
        </w:rPr>
        <w:t xml:space="preserve"> các thông tin thu thập</w:t>
      </w:r>
      <w:r>
        <w:rPr>
          <w:b/>
          <w:bCs/>
          <w:spacing w:val="-6"/>
          <w:lang w:val="pt-BR"/>
        </w:rPr>
      </w:r>
      <w:r>
        <w:rPr>
          <w:b/>
          <w:bCs/>
          <w:spacing w:val="-6"/>
          <w:lang w:val="pt-BR"/>
        </w:rPr>
      </w:r>
    </w:p>
    <w:p>
      <w:pPr>
        <w:pStyle w:val="1027"/>
        <w:numPr>
          <w:ilvl w:val="0"/>
          <w:numId w:val="1"/>
        </w:numPr>
        <w:pBdr/>
        <w:tabs>
          <w:tab w:val="left" w:leader="none" w:pos="993"/>
        </w:tabs>
        <w:spacing w:after="120" w:before="120" w:line="276" w:lineRule="auto"/>
        <w:ind/>
        <w:jc w:val="both"/>
        <w:rPr>
          <w:lang w:val="pt-BR"/>
        </w:rPr>
      </w:pPr>
      <w:r>
        <w:rPr>
          <w:spacing w:val="-6"/>
          <w:lang w:val="pt-BR"/>
        </w:rPr>
        <w:t xml:space="preserve">Tham khảo nguồn thông tin từ các trang giao bán bất động sản qua mạng Internet</w:t>
      </w:r>
      <w:r>
        <w:rPr>
          <w:spacing w:val="-6"/>
          <w:lang w:val="pt-BR"/>
        </w:rPr>
        <w:t xml:space="preserve">, gọi điện trực tiếp</w:t>
      </w:r>
      <w:r>
        <w:rPr>
          <w:lang w:val="pt-BR"/>
        </w:rPr>
        <w:t xml:space="preserve">.</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Tham khảo nguồn thông tin trực tiếp từ </w:t>
      </w:r>
      <w:r>
        <w:rPr>
          <w:lang w:val="pt-BR"/>
        </w:rPr>
        <w:t xml:space="preserve">những</w:t>
      </w:r>
      <w:r>
        <w:rPr>
          <w:lang w:val="vi-VN"/>
        </w:rPr>
        <w:t xml:space="preserve"> người </w:t>
      </w:r>
      <w:r>
        <w:rPr>
          <w:lang w:val="pt-BR"/>
        </w:rPr>
        <w:t xml:space="preserve">dân </w:t>
      </w:r>
      <w:r>
        <w:rPr>
          <w:lang w:val="pt-BR"/>
        </w:rPr>
        <w:t xml:space="preserve">sinh</w:t>
      </w:r>
      <w:r>
        <w:rPr>
          <w:lang w:val="vi-VN"/>
        </w:rPr>
        <w:t xml:space="preserve"> s</w:t>
      </w:r>
      <w:r>
        <w:rPr>
          <w:lang w:val="pt-BR"/>
        </w:rPr>
        <w:t xml:space="preserve">ống </w:t>
      </w:r>
      <w:r>
        <w:rPr>
          <w:lang w:val="pt-BR"/>
        </w:rPr>
        <w:t xml:space="preserve">xung quanh </w:t>
      </w:r>
      <w:r>
        <w:rPr>
          <w:lang w:val="pt-BR"/>
        </w:rPr>
        <w:t xml:space="preserve">trên địa bàn.</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Đánh giá nguồn thông tin thu thập: Nguồn thông tin thu thập khách quan</w:t>
      </w:r>
      <w:r>
        <w:rPr>
          <w:lang w:val="pt-BR"/>
        </w:rPr>
        <w:t xml:space="preserve"> và phổ biến trên thị trường.</w:t>
      </w:r>
      <w:r>
        <w:rPr>
          <w:lang w:val="pt-BR"/>
        </w:rPr>
      </w:r>
      <w:r>
        <w:rPr>
          <w:lang w:val="pt-BR"/>
        </w:rPr>
      </w:r>
    </w:p>
    <w:p>
      <w:pPr>
        <w:pStyle w:val="1027"/>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 cứ pháp lý</w:t>
      </w:r>
      <w:r>
        <w:rPr>
          <w:b/>
          <w:bCs/>
          <w:lang w:val="vi-VN"/>
        </w:rPr>
      </w:r>
      <w:r>
        <w:rPr>
          <w:b/>
          <w:bCs/>
          <w:lang w:val="vi-VN"/>
        </w:rPr>
      </w:r>
    </w:p>
    <w:p>
      <w:pPr>
        <w:pStyle w:val="1027"/>
        <w:pBdr/>
        <w:tabs>
          <w:tab w:val="left" w:leader="none" w:pos="993"/>
        </w:tabs>
        <w:spacing w:after="120" w:before="120" w:line="276" w:lineRule="auto"/>
        <w:ind w:left="0"/>
        <w:jc w:val="both"/>
        <w:rPr>
          <w:b/>
          <w:lang w:val="pt-BR"/>
        </w:rPr>
      </w:pPr>
      <w:r>
        <w:rPr>
          <w:b/>
          <w:lang w:val="pt-BR"/>
        </w:rPr>
        <w:t xml:space="preserve">3.1</w:t>
      </w:r>
      <w:r>
        <w:rPr>
          <w:b/>
          <w:lang w:val="pt-BR"/>
        </w:rPr>
        <w:t xml:space="preserve">. Văn bản </w:t>
      </w:r>
      <w:r>
        <w:rPr>
          <w:b/>
          <w:lang w:val="pt-BR"/>
        </w:rPr>
        <w:t xml:space="preserve">quy phạm pháp luật</w:t>
      </w:r>
      <w:r>
        <w:rPr>
          <w:b/>
          <w:lang w:val="pt-BR"/>
        </w:rPr>
        <w:t xml:space="preserve">:</w:t>
      </w:r>
      <w:r>
        <w:rPr>
          <w:b/>
          <w:lang w:val="pt-BR"/>
        </w:rPr>
      </w:r>
      <w:r>
        <w:rPr>
          <w:b/>
          <w:lang w:val="pt-BR"/>
        </w:rPr>
      </w:r>
    </w:p>
    <w:p>
      <w:pPr>
        <w:pStyle w:val="1027"/>
        <w:pBdr/>
        <w:tabs>
          <w:tab w:val="left" w:leader="none" w:pos="993"/>
        </w:tabs>
        <w:spacing w:after="120" w:before="120" w:line="276" w:lineRule="auto"/>
        <w:ind w:left="0"/>
        <w:jc w:val="both"/>
        <w:rPr>
          <w:lang w:val="pt-BR"/>
        </w:rPr>
      </w:pPr>
      <w:r>
        <w:rPr>
          <w:bCs/>
          <w:color w:val="000000" w:themeColor="text1"/>
          <w:lang w:val="pt-BR"/>
        </w:rPr>
        <w:t xml:space="preserve">- </w:t>
      </w:r>
      <w:r>
        <w:rPr>
          <w:bCs/>
          <w:color w:val="000000" w:themeColor="text1"/>
          <w:lang w:val="pt-BR"/>
        </w:rPr>
        <w:t xml:space="preserve">   </w:t>
      </w:r>
      <w:r>
        <w:rPr>
          <w:lang w:val="pt-BR"/>
        </w:rPr>
        <w:t xml:space="preserve">Luật Giá số 16/2023/QH15 ngày 19/6/2023;</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Luật Đất đai số 31/2024/QH15 đã được Quốc hội nước Cộng hòa xã hội chủ nghĩa Việt Nam khóa XV, kỳ họp bất thường lần thứ 5 thông qua ngày 18 tháng 01 năm 2024;</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Luật Xây dựng số 50/2014/QH13 đã được Quốc hội nước Cộng hòa xã hội chủ nghĩa Việt Nam khóa XIII, kỳ họp thứ 7 thông qua ngày 18 tháng 6 năm 2014;</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Pr>
          <w:lang w:val="pt-BR"/>
        </w:rPr>
        <w:t xml:space="preserve">d</w:t>
      </w:r>
      <w:r>
        <w:rPr>
          <w:lang w:val="pt-BR"/>
        </w:rPr>
        <w:t xml:space="preserve">ựng;</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Luật Nhà ở số 27/2023/QH15 đã được Quốc hội nước Cộng hòa xã hội chủ nghĩa Việt Nam khóa XV, kỳ họp thứ 6 thông qua ngày 27 tháng 11 năm 2023;</w:t>
      </w:r>
      <w:r>
        <w:rPr>
          <w:lang w:val="pt-BR"/>
        </w:rPr>
      </w:r>
      <w:r>
        <w:rPr>
          <w:lang w:val="pt-BR"/>
        </w:rPr>
      </w:r>
    </w:p>
    <w:p>
      <w:pPr>
        <w:pStyle w:val="1027"/>
        <w:numPr>
          <w:ilvl w:val="0"/>
          <w:numId w:val="1"/>
        </w:numPr>
        <w:pBdr/>
        <w:spacing w:after="120" w:before="120" w:line="276" w:lineRule="auto"/>
        <w:ind/>
        <w:rPr>
          <w:lang w:val="pt-BR"/>
        </w:rPr>
      </w:pPr>
      <w:r>
        <w:rPr>
          <w:lang w:val="pt-BR"/>
        </w:rPr>
        <w:t xml:space="preserve">Nghị định số 71/2024/NĐ-CP ngày 27/6/2024 của Chính phủ Quy định về giá đất.</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Nghị định số 103/2024/NĐ-CP ngày 30/7/2024 của Chính phủ quy định về thu tiền sử dụng đất, tiền thuê đất;</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Thông tư số 28/2024/TT-BTC ngày 16/5/2024 của Bộ Tài </w:t>
      </w:r>
      <w:r>
        <w:rPr>
          <w:lang w:val="pt-BR"/>
        </w:rPr>
        <w:t xml:space="preserve">c</w:t>
      </w:r>
      <w:r>
        <w:rPr>
          <w:lang w:val="pt-BR"/>
        </w:rPr>
        <w:t xml:space="preserve">hính Quy định về trình tự, thủ tục kiểm tra việc chấp hành pháp luật về giá, thẩm định giá do Bộ trưởng Bộ Tài chính ban hành;</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Thông tư số 30/2024/TT-BTC ngày 16/5/2024 </w:t>
      </w:r>
      <w:r>
        <w:rPr>
          <w:lang w:val="pt-BR"/>
        </w:rPr>
        <w:t xml:space="preserve">của Bộ Tài chính </w:t>
      </w:r>
      <w:r>
        <w:rPr>
          <w:lang w:val="pt-BR"/>
        </w:rPr>
        <w:t xml:space="preserve">ban hành các chuẩn mực thẩm định giá Việt Nam về quy tắc đạo đức nghề nghiệp thẩm định giá, phạm vi công việc thẩm định giá, cơ sở giá trị thẩm định giá, hồ sơ thẩm định giá;</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Thông tư số 31/2024/TT-BTC ngày 16/5/2024 </w:t>
      </w:r>
      <w:r>
        <w:rPr>
          <w:lang w:val="pt-BR"/>
        </w:rPr>
        <w:t xml:space="preserve">của Bộ Tài chính </w:t>
      </w:r>
      <w:r>
        <w:rPr>
          <w:lang w:val="pt-BR"/>
        </w:rPr>
        <w:t xml:space="preserve">ban hành chuẩn mực thẩm định giá Việt Nam về thu thập và phân tích thông tin về tài sản thẩm định giá;</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Thông tư số 32/2024/TT-BTC ngày 16/5/2024 </w:t>
      </w:r>
      <w:r>
        <w:rPr>
          <w:lang w:val="pt-BR"/>
        </w:rPr>
        <w:t xml:space="preserve">của Bộ Tài chính </w:t>
      </w:r>
      <w:r>
        <w:rPr>
          <w:lang w:val="pt-BR"/>
        </w:rPr>
        <w:t xml:space="preserve">ban hành</w:t>
      </w:r>
      <w:r>
        <w:t xml:space="preserve"> </w:t>
      </w:r>
      <w:r>
        <w:rPr>
          <w:lang w:val="pt-BR"/>
        </w:rPr>
        <w:t xml:space="preserve">các chuẩn mực thẩm định giá Việt Nam về cách tiếp cận từ thị trường, cách tiếp cận từ chi phí, cách tiếp cận từ thu nhập;</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Thông tư số 36/2024/TT-BTC ngày 16/5/2024</w:t>
      </w:r>
      <w:r>
        <w:rPr>
          <w:lang w:val="pt-BR"/>
        </w:rPr>
        <w:t xml:space="preserve"> của Bộ Tài chính</w:t>
      </w:r>
      <w:r>
        <w:rPr>
          <w:lang w:val="pt-BR"/>
        </w:rPr>
        <w:t xml:space="preserve"> ban hành chuẩn mực thẩm định giá Việt Nam về thẩm định giá doanh nghiệp;</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Thông tư số 37/2024/TT-BTC ngày 16/5/2024 </w:t>
      </w:r>
      <w:r>
        <w:rPr>
          <w:lang w:val="pt-BR"/>
        </w:rPr>
        <w:t xml:space="preserve">của Bộ Tài chính </w:t>
      </w:r>
      <w:r>
        <w:rPr>
          <w:lang w:val="pt-BR"/>
        </w:rPr>
        <w:t xml:space="preserve">ban hành chuẩn mực thẩm định giá Việt Nam về thẩm định giá tài sản vô hình;</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Thông tư số 42/2024/TT-BTC ngày 20/6/2024 </w:t>
      </w:r>
      <w:r>
        <w:rPr>
          <w:lang w:val="pt-BR"/>
        </w:rPr>
        <w:t xml:space="preserve">của Bộ Tài chính </w:t>
      </w:r>
      <w:r>
        <w:rPr>
          <w:lang w:val="pt-BR"/>
        </w:rPr>
        <w:t xml:space="preserve">ban hành chuẩn mực thẩm định giá Việt Nam về thẩm định giá bất động sản</w:t>
      </w:r>
      <w:r>
        <w:rPr>
          <w:lang w:val="pt-BR"/>
        </w:rPr>
        <w:t xml:space="preserve">;</w:t>
      </w:r>
      <w:r>
        <w:rPr>
          <w:lang w:val="pt-BR"/>
        </w:rPr>
      </w:r>
      <w:r>
        <w:rPr>
          <w:lang w:val="pt-BR"/>
        </w:rPr>
      </w:r>
    </w:p>
    <w:p>
      <w:pPr>
        <w:pStyle w:val="1027"/>
        <w:numPr>
          <w:ilvl w:val="0"/>
          <w:numId w:val="1"/>
        </w:numPr>
        <w:pBdr/>
        <w:tabs>
          <w:tab w:val="left" w:leader="none" w:pos="993"/>
        </w:tabs>
        <w:spacing w:after="120" w:before="120" w:line="276" w:lineRule="auto"/>
        <w:ind/>
        <w:jc w:val="both"/>
        <w:rPr>
          <w:b/>
          <w:lang w:val="pt-BR"/>
        </w:rPr>
      </w:pPr>
      <w:r>
        <w:rPr>
          <w:lang w:val="pt-BR"/>
        </w:rPr>
        <w:t xml:space="preserve">Thông tư số 45/2013/TT-BTC ngày 24/5/2013 của Bộ Tài chính về việc hướng dẫn chế độ quản lý, sử dụng và trích khấu hao tài sản cố định;</w:t>
      </w:r>
      <w:r>
        <w:rPr>
          <w:b/>
          <w:lang w:val="pt-BR"/>
        </w:rPr>
      </w:r>
      <w:r>
        <w:rPr>
          <w:b/>
          <w:lang w:val="pt-BR"/>
        </w:rPr>
      </w:r>
    </w:p>
    <w:p>
      <w:pPr>
        <w:pStyle w:val="1027"/>
        <w:numPr>
          <w:ilvl w:val="0"/>
          <w:numId w:val="1"/>
        </w:numPr>
        <w:pBdr/>
        <w:tabs>
          <w:tab w:val="left" w:leader="none" w:pos="993"/>
        </w:tabs>
        <w:spacing w:after="120" w:before="120" w:line="276" w:lineRule="auto"/>
        <w:ind/>
        <w:jc w:val="both"/>
        <w:rPr>
          <w:b/>
          <w:lang w:val="pt-BR"/>
        </w:rPr>
      </w:pPr>
      <w:r>
        <w:rPr>
          <w:lang w:val="pt-BR"/>
        </w:rPr>
        <w:t xml:space="preserve">Thông tư 147/2016/TT-BTC ngày 13 tháng 10 năm 2016 sửa đổi bổ sung một số điều của Thông tư số 45/2013/TT-BTC ngày 25/4/2013 của Bộ Tài chính hướng dẫn chế độ quản lý, sử dụng và trích khấu hao tài sản cố định;</w:t>
      </w:r>
      <w:r>
        <w:rPr>
          <w:b/>
          <w:lang w:val="pt-BR"/>
        </w:rPr>
      </w:r>
      <w:r>
        <w:rPr>
          <w:b/>
          <w:lang w:val="pt-BR"/>
        </w:rPr>
      </w:r>
    </w:p>
    <w:p>
      <w:pPr>
        <w:pStyle w:val="1027"/>
        <w:numPr>
          <w:ilvl w:val="0"/>
          <w:numId w:val="1"/>
        </w:numPr>
        <w:pBdr/>
        <w:tabs>
          <w:tab w:val="left" w:leader="none" w:pos="993"/>
        </w:tabs>
        <w:spacing w:after="120" w:before="120" w:line="276" w:lineRule="auto"/>
        <w:ind/>
        <w:jc w:val="both"/>
        <w:rPr>
          <w:spacing w:val="-4"/>
          <w:lang w:val="pt-BR"/>
        </w:rPr>
      </w:pPr>
      <w:r>
        <w:rPr>
          <w:spacing w:val="-4"/>
          <w:lang w:val="pt-BR"/>
        </w:rPr>
        <w:t xml:space="preserve">Thông tư số 28/</w:t>
      </w:r>
      <w:r>
        <w:rPr>
          <w:spacing w:val="-4"/>
          <w:lang w:val="pt-BR"/>
        </w:rPr>
        <w:t xml:space="preserve">2017/TT-BTC ngày 12/4/2017 của Bộ Tài chính về việc sửa đổi, bổ sung một số điều của Thông tư 45/2013/TT-BTC ngày 25/4/2013 và Thông tư số 147/2016/TT-BTC ngày 13/10/2016 của Bộ Tài chính hướng dẫn chế độ quản lý, sử dụng và trích khấu hao tài sản cố định;</w:t>
      </w:r>
      <w:r>
        <w:rPr>
          <w:spacing w:val="-4"/>
          <w:lang w:val="pt-BR"/>
        </w:rPr>
      </w:r>
      <w:r>
        <w:rPr>
          <w:spacing w:val="-4"/>
          <w:lang w:val="pt-BR"/>
        </w:rPr>
      </w:r>
    </w:p>
    <w:p>
      <w:pPr>
        <w:pStyle w:val="1027"/>
        <w:numPr>
          <w:ilvl w:val="0"/>
          <w:numId w:val="1"/>
        </w:numPr>
        <w:pBdr/>
        <w:spacing w:after="120" w:before="120" w:line="276" w:lineRule="auto"/>
        <w:ind/>
        <w:jc w:val="both"/>
        <w:rPr>
          <w:bCs/>
          <w:spacing w:val="-4"/>
          <w:lang w:val="pt-BR"/>
        </w:rPr>
      </w:pPr>
      <w:r>
        <w:rPr>
          <w:bCs/>
          <w:spacing w:val="-4"/>
          <w:lang w:val="pt-BR"/>
        </w:rPr>
        <w:t xml:space="preserve">Quyết định số 409/QĐ-BXD ngày 11/4/2025 của Bộ Xây dựng về việc Công bố suất vốn đầu tư xây dựng công trình và giá xây dựng tổng hợp bộ phận kết cấu công trình năm 2024;</w:t>
      </w:r>
      <w:r>
        <w:rPr>
          <w:bCs/>
          <w:spacing w:val="-4"/>
          <w:lang w:val="pt-BR"/>
        </w:rPr>
      </w:r>
      <w:r>
        <w:rPr>
          <w:bCs/>
          <w:spacing w:val="-4"/>
          <w:lang w:val="pt-BR"/>
        </w:rPr>
      </w:r>
    </w:p>
    <w:p>
      <w:pPr>
        <w:pStyle w:val="1027"/>
        <w:numPr>
          <w:ilvl w:val="0"/>
          <w:numId w:val="1"/>
        </w:numPr>
        <w:pBdr/>
        <w:spacing w:after="120" w:before="120" w:line="276" w:lineRule="auto"/>
        <w:ind/>
        <w:jc w:val="both"/>
        <w:rPr>
          <w:spacing w:val="-4"/>
          <w:lang w:val="pt-BR"/>
        </w:rPr>
      </w:pPr>
      <w:r>
        <w:rPr>
          <w:bCs/>
          <w:spacing w:val="-4"/>
          <w:highlight w:val="none"/>
          <w:lang w:val="pt-BR" w:bidi="pt-BR"/>
        </w:rPr>
        <w:t xml:space="preserve">Quyết </w:t>
      </w:r>
      <w:r>
        <w:rPr>
          <w:rFonts w:ascii="Times New Roman" w:hAnsi="Times New Roman" w:eastAsia="Times New Roman" w:cs="Times New Roman"/>
          <w:color w:val="000000"/>
          <w:sz w:val="24"/>
        </w:rPr>
        <w:t xml:space="preserve">định số 425/QĐ-BXD ngày 30/3/2026 của Bộ Xây dựng về việc công bố suất vốn đầu tư xây dựng công trình và giá xây dựng tổng hợp bộ phận kết cấu công trình năm 2025</w:t>
      </w:r>
      <w:r>
        <w:rPr>
          <w:spacing w:val="-4"/>
          <w:lang w:val="pt-BR"/>
        </w:rPr>
      </w:r>
      <w:r>
        <w:rPr>
          <w:spacing w:val="-4"/>
          <w:lang w:val="pt-BR"/>
        </w:rPr>
      </w:r>
    </w:p>
    <w:p>
      <w:pPr>
        <w:pStyle w:val="1027"/>
        <w:numPr>
          <w:ilvl w:val="0"/>
          <w:numId w:val="1"/>
        </w:numPr>
        <w:pBdr/>
        <w:tabs>
          <w:tab w:val="left" w:leader="none" w:pos="993"/>
        </w:tabs>
        <w:spacing w:after="120" w:before="120" w:line="276" w:lineRule="auto"/>
        <w:ind/>
        <w:jc w:val="both"/>
        <w:rPr>
          <w:b/>
          <w:lang w:val="pt-BR"/>
        </w:rPr>
      </w:pPr>
      <w:r>
        <w:rPr>
          <w:lang w:val="pt-BR"/>
        </w:rPr>
        <w:t xml:space="preserve">Công văn số 1326/BXD-QLN của Bộ Xây dựng ban hành ngày 08/8/2011 về việc hướng dẫn kiểm kê, đánh giá lại giá trị tài sản cố định là nhà, vật kiến trúc;</w:t>
      </w:r>
      <w:r>
        <w:rPr>
          <w:b/>
          <w:lang w:val="pt-BR"/>
        </w:rPr>
      </w:r>
      <w:r>
        <w:rPr>
          <w:b/>
          <w:lang w:val="pt-BR"/>
        </w:rPr>
      </w:r>
    </w:p>
    <w:p>
      <w:pPr>
        <w:pStyle w:val="1027"/>
        <w:numPr>
          <w:ilvl w:val="0"/>
          <w:numId w:val="9"/>
        </w:numPr>
        <w:pBdr/>
        <w:tabs>
          <w:tab w:val="left" w:leader="none" w:pos="993"/>
        </w:tabs>
        <w:spacing w:after="120" w:before="120" w:line="276" w:lineRule="auto"/>
        <w:ind/>
        <w:jc w:val="both"/>
        <w:rPr>
          <w:b/>
          <w:lang w:val="pt-BR"/>
        </w:rPr>
      </w:pPr>
      <w:r>
        <w:rPr>
          <w:lang w:val="pt-BR"/>
        </w:rPr>
        <w:t xml:space="preserve">Và các văn bản pháp luật có liên quan khác.</w:t>
      </w:r>
      <w:r>
        <w:rPr>
          <w:b/>
          <w:lang w:val="pt-BR"/>
        </w:rPr>
      </w:r>
      <w:r>
        <w:rPr>
          <w:b/>
          <w:lang w:val="pt-BR"/>
        </w:rPr>
      </w:r>
    </w:p>
    <w:p>
      <w:pPr>
        <w:pStyle w:val="1027"/>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Các văn bản liên quan khác:</w:t>
      </w:r>
      <w:r>
        <w:rPr>
          <w:b/>
          <w:lang w:val="pt-BR"/>
        </w:rPr>
      </w:r>
      <w:r>
        <w:rPr>
          <w:b/>
          <w:lang w:val="pt-BR"/>
        </w:rPr>
      </w:r>
    </w:p>
    <w:p>
      <w:pPr>
        <w:pStyle w:val="1027"/>
        <w:pBdr/>
        <w:tabs>
          <w:tab w:val="left" w:leader="none" w:pos="993"/>
        </w:tabs>
        <w:spacing w:after="120" w:before="120" w:line="276" w:lineRule="auto"/>
        <w:ind w:left="0"/>
        <w:jc w:val="both"/>
        <w:rPr>
          <w:b/>
          <w:lang w:val="pt-BR"/>
        </w:rPr>
      </w:pPr>
      <w:r>
        <w:rPr>
          <w:b/>
          <w:lang w:val="pt-BR"/>
        </w:rPr>
        <w:t xml:space="preserve">a. </w:t>
      </w:r>
      <w:r>
        <w:rPr>
          <w:b/>
          <w:lang w:val="pt-BR"/>
        </w:rPr>
        <w:t xml:space="preserve">Hồ sơ pháp lý của tài sản</w:t>
      </w:r>
      <w:r>
        <w:rPr>
          <w:b/>
          <w:lang w:val="pt-BR"/>
        </w:rPr>
        <w:t xml:space="preserve">: </w:t>
      </w:r>
      <w:r>
        <w:rPr>
          <w:b/>
          <w:lang w:val="pt-BR"/>
        </w:rPr>
      </w:r>
      <w:r>
        <w:rPr>
          <w:b/>
          <w:lang w:val="pt-BR"/>
        </w:rPr>
      </w:r>
    </w:p>
    <w:p>
      <w:pPr>
        <w:pStyle w:val="1027"/>
        <w:numPr>
          <w:ilvl w:val="0"/>
          <w:numId w:val="2"/>
        </w:numPr>
        <w:pBdr/>
        <w:tabs>
          <w:tab w:val="left" w:leader="none" w:pos="993"/>
        </w:tabs>
        <w:spacing w:after="120" w:before="120" w:line="276" w:lineRule="auto"/>
        <w:ind/>
        <w:jc w:val="both"/>
        <w:rPr>
          <w:i/>
          <w:iCs/>
          <w:lang w:val="pt-BR"/>
        </w:rPr>
      </w:pPr>
      <w:r>
        <w:rPr>
          <w:bCs/>
          <w:color w:val="000000" w:themeColor="text1"/>
          <w:lang w:val="pt-BR"/>
        </w:rPr>
        <w:t xml:space="preserve">Giấy chứng nhận Quyền sử dụng đất, quyền sở hữu nhà ở và tài sản gắn liền với đất số: DL 238227, số vào sổ cấp GCN: CS01634 do Sở Tài nguyên và Môi trường tỉnh Vĩnh Phúc cấp ngày 14/03/2023. Chủ sử dụng đất là ông Khương Văn Huân và bà Phạm Hồng Khánh</w:t>
      </w:r>
      <w:r>
        <w:rPr>
          <w:lang w:val="pt-BR"/>
        </w:rPr>
        <w:t xml:space="preserve">.</w:t>
      </w:r>
      <w:r>
        <w:rPr>
          <w:i/>
          <w:iCs/>
          <w:lang w:val="pt-BR"/>
        </w:rPr>
      </w:r>
      <w:r>
        <w:rPr>
          <w:i/>
          <w:iCs/>
          <w:lang w:val="pt-BR"/>
        </w:rPr>
      </w:r>
    </w:p>
    <w:p>
      <w:pPr>
        <w:pBdr/>
        <w:spacing w:after="120" w:before="120" w:line="276" w:lineRule="auto"/>
        <w:ind/>
        <w:jc w:val="both"/>
        <w:rPr>
          <w:b/>
        </w:rPr>
      </w:pPr>
      <w:r>
        <w:rPr>
          <w:b/>
          <w:lang w:val="pt-BR"/>
        </w:rPr>
        <w:t xml:space="preserve">b. Hồ sơ khác</w:t>
      </w:r>
      <w:r>
        <w:rPr>
          <w:b/>
          <w:lang w:val="vi-VN"/>
        </w:rPr>
        <w:t xml:space="preserve">:</w:t>
      </w:r>
      <w:r>
        <w:rPr>
          <w:b/>
        </w:rPr>
      </w:r>
      <w:r>
        <w:rPr>
          <w:b/>
        </w:rPr>
      </w:r>
    </w:p>
    <w:p>
      <w:pPr>
        <w:pStyle w:val="1027"/>
        <w:numPr>
          <w:ilvl w:val="0"/>
          <w:numId w:val="2"/>
        </w:numPr>
        <w:pBdr/>
        <w:tabs>
          <w:tab w:val="left" w:leader="none" w:pos="993"/>
        </w:tabs>
        <w:spacing w:after="120" w:before="120" w:line="276" w:lineRule="auto"/>
        <w:ind/>
        <w:jc w:val="both"/>
        <w:rPr>
          <w:b/>
          <w:lang w:val="pt-BR"/>
        </w:rPr>
      </w:pPr>
      <w:r>
        <w:rPr>
          <w:color w:val="000000" w:themeColor="text1"/>
          <w:lang w:val="pt-BR"/>
        </w:rPr>
        <w:t xml:space="preserve">Hợp đồng số 275/2026/1224/VFI-HĐTĐ.C01.A ngày 05/08/2026 giữa Ông Khương Văn Huân với Công ty Cổ phần Thẩm định và Đầu tư Tài chính Hoa Sen.</w:t>
      </w:r>
      <w:r>
        <w:rPr>
          <w:b/>
          <w:lang w:val="pt-BR"/>
        </w:rPr>
      </w:r>
      <w:r>
        <w:rPr>
          <w:b/>
          <w:lang w:val="pt-BR"/>
        </w:rPr>
      </w:r>
    </w:p>
    <w:p>
      <w:pPr>
        <w:pStyle w:val="1027"/>
        <w:numPr>
          <w:ilvl w:val="0"/>
          <w:numId w:val="2"/>
        </w:numPr>
        <w:pBdr/>
        <w:tabs>
          <w:tab w:val="left" w:leader="none" w:pos="993"/>
        </w:tabs>
        <w:spacing w:after="120" w:before="120" w:line="276" w:lineRule="auto"/>
        <w:ind/>
        <w:jc w:val="both"/>
        <w:rPr>
          <w:b/>
          <w:lang w:val="pt-BR"/>
        </w:rPr>
      </w:pPr>
      <w:r>
        <w:rPr>
          <w:lang w:val="pt-BR"/>
        </w:rPr>
        <w:t xml:space="preserve">Hồ sơ, tài liệu, chứng từ liên quan đến tài sản thẩm định giá.</w:t>
      </w:r>
      <w:r>
        <w:rPr>
          <w:b/>
          <w:lang w:val="pt-BR"/>
        </w:rPr>
      </w:r>
      <w:r>
        <w:rPr>
          <w:b/>
          <w:lang w:val="pt-BR"/>
        </w:rPr>
      </w:r>
    </w:p>
    <w:p>
      <w:pPr>
        <w:pBdr/>
        <w:tabs>
          <w:tab w:val="left" w:leader="none" w:pos="993"/>
        </w:tabs>
        <w:spacing w:after="120" w:before="120" w:line="380" w:lineRule="atLeast"/>
        <w:ind/>
        <w:jc w:val="both"/>
        <w:rPr>
          <w:b/>
          <w:bCs/>
          <w:lang w:val="pt-BR"/>
        </w:rPr>
      </w:pPr>
      <w:r>
        <w:rPr>
          <w:b/>
          <w:bCs/>
          <w:lang w:val="pt-BR"/>
        </w:rPr>
        <w:t xml:space="preserve">III</w:t>
      </w:r>
      <w:r>
        <w:rPr>
          <w:b/>
          <w:bCs/>
          <w:lang w:val="pt-BR"/>
        </w:rPr>
        <w:t xml:space="preserve">. TỔNG QUAN VỀ THỊ TRƯỜNG CỦA TÀI SẢN THẨM ĐỊNH GIÁ</w:t>
      </w:r>
      <w:r>
        <w:rPr>
          <w:b/>
          <w:bCs/>
          <w:lang w:val="pt-BR"/>
        </w:rPr>
      </w:r>
      <w:r>
        <w:rPr>
          <w:b/>
          <w:bCs/>
          <w:lang w:val="pt-BR"/>
        </w:rPr>
      </w:r>
    </w:p>
    <w:p>
      <w:pPr>
        <w:pBdr/>
        <w:tabs>
          <w:tab w:val="left" w:leader="none" w:pos="426"/>
        </w:tabs>
        <w:spacing w:after="120" w:before="120" w:line="360" w:lineRule="auto"/>
        <w:ind/>
        <w:rPr>
          <w:iCs/>
        </w:rPr>
      </w:pPr>
      <w:r>
        <w:rPr>
          <w:lang w:val="pt-BR"/>
        </w:rPr>
        <w:tab/>
      </w:r>
      <w:r>
        <w:rPr>
          <w:b/>
          <w:bCs/>
          <w:shd w:val="clear" w:color="auto" w:fill="ffffff"/>
        </w:rPr>
        <w:t xml:space="preserve">Toàn cảnh bất động sản Phú Thọ 2025, cơ hội nào cho năm 2026?</w:t>
      </w:r>
      <w:r>
        <w:rPr>
          <w:shd w:val="clear" w:color="auto" w:fill="ffffff"/>
        </w:rPr>
        <w:br/>
        <w:tab/>
        <w:t xml:space="preserve">Năm 2025 được xem là thời điểm bản lề của thị trường bất động sản Phú Thọ, khi khu vực này bắt đầu thoát khỏi trạng thái trầm lắng kéo dài để b</w:t>
      </w:r>
      <w:r>
        <w:rPr>
          <w:shd w:val="clear" w:color="auto" w:fill="ffffff"/>
        </w:rPr>
        <w:t xml:space="preserve">ước sang giai đoạn tái định vị trên bản đồ đầu tư. Những chuyển động về giá, nguồn cung và thanh khoản trong năm qua đang tạo nền tảng quan trọng, mở ra kỳ vọng cho một chu kỳ tăng trưởng mới trong năm 2026.</w:t>
        <w:br/>
      </w:r>
      <w:r>
        <w:rPr>
          <w:b/>
          <w:bCs/>
          <w:shd w:val="clear" w:color="auto" w:fill="ffffff"/>
        </w:rPr>
        <w:t xml:space="preserve">“Cục diện” BĐS Phú Thọ trong năm 2025</w:t>
      </w:r>
      <w:r>
        <w:rPr>
          <w:shd w:val="clear" w:color="auto" w:fill="ffffff"/>
        </w:rPr>
        <w:br/>
        <w:tab/>
        <w:t xml:space="preserve">Năm 2025 đ</w:t>
      </w:r>
      <w:r>
        <w:rPr>
          <w:shd w:val="clear" w:color="auto" w:fill="ffffff"/>
        </w:rPr>
        <w:t xml:space="preserve">ánh dấu bước ngoặt quan trọng của thị trường bất động sản Phú Thọ sau nhiều năm tăng trưởng chậm. Ghi nhận từ thị trường cho thấy mặt bằng giá đất nền tại các khu vực có hạ tầng hoàn chỉnh, gần khu công nghiệp và trục giao thông chính đã tăng khoảng 10–20%</w:t>
      </w:r>
      <w:r>
        <w:rPr>
          <w:shd w:val="clear" w:color="auto" w:fill="ffffff"/>
        </w:rPr>
        <w:t xml:space="preserve"> so với giai đoạn 2023–2024, trong khi thanh khoản cải thiện chủ yếu ở những sản phẩm có khả năng khai thác thực.</w:t>
        <w:br/>
        <w:tab/>
        <w:t xml:space="preserve">Đất nền tiếp tục là phân khúc dẫn dắt thị trường trong năm 2025 nhờ mức giá còn thấp hơn đáng kể so với các tỉnh vệ tinh Hà Nội. Tuy nhiên, g</w:t>
      </w:r>
      <w:r>
        <w:rPr>
          <w:shd w:val="clear" w:color="auto" w:fill="ffffff"/>
        </w:rPr>
        <w:t xml:space="preserve">iao dịch chỉ tập trung vào những lô đất có pháp lý rõ ràng, nằm trong khu dân cư hiện hữu. Nhà liền kề và đất ở gần khu công nghiệp ghi nhận tốc độ hấp thụ tốt hơn nhờ nhu cầu ở thực của lực lượng lao động, kỹ sư và chuyên gia, thay vì nhu cầu đầu cơ ngắn </w:t>
      </w:r>
      <w:r>
        <w:rPr>
          <w:shd w:val="clear" w:color="auto" w:fill="ffffff"/>
        </w:rPr>
        <w:t xml:space="preserve">h</w:t>
      </w:r>
      <w:r>
        <w:rPr>
          <w:shd w:val="clear" w:color="auto" w:fill="ffffff"/>
        </w:rPr>
        <w:t xml:space="preserve">ạn.</w:t>
        <w:br/>
        <w:tab/>
        <w:t xml:space="preserve">Ở phân khúc đất công nghiệp, Phú Thọ nổi lên như một điểm đến mới trong làn sóng dịch chuyển sản xuất. Nguồn cung đất khu công nghiệp trong khu vực tiếp tục được mở rộng trong năm 2025, tỷ lệ lấp đầy tại một số khu công nghiệp trọng điểm cải thiện rõ </w:t>
      </w:r>
      <w:r>
        <w:rPr>
          <w:shd w:val="clear" w:color="auto" w:fill="ffffff"/>
        </w:rPr>
        <w:t xml:space="preserve">r</w:t>
      </w:r>
      <w:r>
        <w:rPr>
          <w:shd w:val="clear" w:color="auto" w:fill="ffffff"/>
        </w:rPr>
        <w:t xml:space="preserve">ệt, kéo theo nhu cầu lớn về nhà ở và dịch vụ phụ trợ. Giá thuê và giá chuyển nhượng đất công nghiệp duy trì xu hướng tăng ổn định, tạo lực đỡ dài hạn cho thị trường bất động sản khu vực.</w:t>
        <w:br/>
        <w:tab/>
        <w:t xml:space="preserve">Đáng chú ý, năm 2025 việc sáp nhập và mở rộng địa giới giúp tái cấu </w:t>
      </w:r>
      <w:r>
        <w:rPr>
          <w:shd w:val="clear" w:color="auto" w:fill="ffffff"/>
        </w:rPr>
        <w:t xml:space="preserve">trúc không gian đô thị, kéo theo điều chỉnh quy hoạch, phân bổ lại hạ tầng và nguồn lực đầu tư công. Thực tế thị trường năm 2025 cho thấy, giá đất tại một số khu vực liên quan trực tiếp đến sáp nhập đã ghi nhận mức tăng rõ rệt so với mặt bằng chung, nhưng </w:t>
      </w:r>
      <w:r>
        <w:rPr>
          <w:shd w:val="clear" w:color="auto" w:fill="ffffff"/>
        </w:rPr>
        <w:t xml:space="preserve">chủ yếu tập trung ở các vị trí có khả năng khai thác thực. Dù không còn là thông tin mới trên thị trường bất động sản, nhưng tại Phú Thọ, yếu tố này đang được nhìn nhận theo hướng thực chất hơn, thay vì chỉ mang tính kỳ vọng như các giai đoạn trước.</w:t>
        <w:br/>
      </w:r>
      <w:r>
        <w:rPr>
          <w:b/>
          <w:bCs/>
          <w:shd w:val="clear" w:color="auto" w:fill="ffffff"/>
        </w:rPr>
        <w:t xml:space="preserve">Toàn c</w:t>
      </w:r>
      <w:r>
        <w:rPr>
          <w:b/>
          <w:bCs/>
          <w:shd w:val="clear" w:color="auto" w:fill="ffffff"/>
        </w:rPr>
        <w:t xml:space="preserve">ảnh bất động sản Phú Thọ 2025, cơ hội nào cho năm 2026?</w:t>
      </w:r>
      <w:r>
        <w:rPr>
          <w:shd w:val="clear" w:color="auto" w:fill="ffffff"/>
        </w:rPr>
        <w:br/>
        <w:tab/>
        <w:t xml:space="preserve">Ở chiều nguồn cung, thị trường Phú Thọ năm 2025 không rơi vào tình trạng dư thừa. Nguồn cung mới chủ yếu đến từ các quỹ đất được đấu giá và một số dự án được quy hoạch bài bản, trong khi đất nền tự ph</w:t>
      </w:r>
      <w:r>
        <w:rPr>
          <w:shd w:val="clear" w:color="auto" w:fill="ffffff"/>
        </w:rPr>
        <w:t xml:space="preserve">á</w:t>
      </w:r>
      <w:r>
        <w:rPr>
          <w:shd w:val="clear" w:color="auto" w:fill="ffffff"/>
        </w:rPr>
        <w:t xml:space="preserve">t, manh mún dần mất lợi thế. Điều này khiến thị trường bước vào giai đoạn sàng lọc tự nhiên, nơi chất lượng sản phẩm và vị trí quyết định trực tiếp đến thanh khoản.</w:t>
        <w:br/>
        <w:tab/>
        <w:t xml:space="preserve">Nhìn tổng thể, năm 2025 được xem là năm bản lề của thị trường bất động sản Phú Thọ khi các</w:t>
      </w:r>
      <w:r>
        <w:rPr>
          <w:shd w:val="clear" w:color="auto" w:fill="ffffff"/>
        </w:rPr>
        <w:t xml:space="preserve"> yếu tố vĩ mô, hạ tầng và dòng tiền bắt đầu hội tụ. Thay vì tăng trưởng nóng, thị trường vận hành theo hướng chọn lọc, ưu tiên giá trị sử dụng và khả năng sinh lời dài hạn. Chính sự sàng lọc này giúp thị trường hình thành mặt bằng mới bền vững hơn, đồng th</w:t>
      </w:r>
      <w:r>
        <w:rPr>
          <w:shd w:val="clear" w:color="auto" w:fill="ffffff"/>
        </w:rPr>
        <w:t xml:space="preserve">ời mở ra dư địa cho các dự án được quy hoạch bài bản, có thể đón đầu chu kỳ tăng trưởng trong những năm sau.</w:t>
        <w:br/>
      </w:r>
      <w:r>
        <w:rPr>
          <w:b/>
          <w:bCs/>
          <w:shd w:val="clear" w:color="auto" w:fill="ffffff"/>
        </w:rPr>
        <w:t xml:space="preserve">Năm 2026: Đâu là ‘điểm rơi’ của dòng tiền đầu tư tại Phú Thọ?</w:t>
      </w:r>
      <w:r>
        <w:rPr>
          <w:shd w:val="clear" w:color="auto" w:fill="ffffff"/>
        </w:rPr>
        <w:br/>
        <w:tab/>
        <w:t xml:space="preserve">Khi thị trường bất động sản Phú Thọ bước sang năm 2026, dòng tiền đầu tư được dự báo </w:t>
      </w:r>
      <w:r>
        <w:rPr>
          <w:shd w:val="clear" w:color="auto" w:fill="ffffff"/>
        </w:rPr>
        <w:t xml:space="preserve">sẽ vận động theo hướng chọn lọc, thay vì lan tỏa dàn trải như các giai đoạn trước. Các chuyên gia nhận định “điểm rơi” của dòng vốn trong giai đoạn này nhiều khả năng tập trung vào những khu vực gắn với động lực phát triển công nghiệp và quá trình mở rộng </w:t>
      </w:r>
      <w:r>
        <w:rPr>
          <w:shd w:val="clear" w:color="auto" w:fill="ffffff"/>
        </w:rPr>
        <w:t xml:space="preserve">không gian đô thị. Đáng chú ý, giới đầu tư lớn không còn ưu tiên những khu đất trống dựa trên kỳ vọng dài hạn, mà chuyển hướng sang các dự án được quy hoạch bài bản, pháp lý hoàn chỉnh và có khả năng đưa vào khai thác sớm. Những sản phẩm đất ở, nhà liền kề</w:t>
      </w:r>
      <w:r>
        <w:rPr>
          <w:shd w:val="clear" w:color="auto" w:fill="ffffff"/>
        </w:rPr>
        <w:t xml:space="preserve"> trong các khu đô thị đã hình thành cộng đồng cư dân rõ nét được đánh giá là phù hợp với chiến lược tích lũy tài sản và đón đầu chu kỳ tăng trưởng tiếp theo.</w:t>
      </w:r>
      <w:r>
        <w:rPr>
          <w:i/>
          <w:iCs/>
        </w:rPr>
      </w:r>
      <w:r>
        <w:rPr>
          <w:iCs/>
        </w:rPr>
      </w:r>
    </w:p>
    <w:p>
      <w:pPr>
        <w:pBdr/>
        <w:tabs>
          <w:tab w:val="left" w:leader="none" w:pos="426"/>
        </w:tabs>
        <w:spacing w:after="120" w:before="120" w:line="360" w:lineRule="auto"/>
        <w:ind/>
        <w:jc w:val="center"/>
        <w:rPr>
          <w:bCs/>
          <w:i/>
        </w:rPr>
      </w:pPr>
      <w:r>
        <w:rPr>
          <w:shd w:val="clear" w:color="auto" w:fill="ffffff"/>
        </w:rPr>
        <w:t xml:space="preserve">(</w:t>
      </w:r>
      <w:r>
        <w:rPr>
          <w:i/>
          <w:iCs/>
          <w:shd w:val="clear" w:color="auto" w:fill="ffffff"/>
        </w:rPr>
        <w:t xml:space="preserve">Nguồn: https://baophutho.vn/toan-canh-bat-dong-san-phu-tho-2025-co-hoi-nao-cho-nam-2026-245748.htm</w:t>
      </w:r>
      <w:r>
        <w:rPr>
          <w:i/>
          <w:iCs/>
          <w:lang w:val="pt-BR"/>
        </w:rPr>
        <w:t xml:space="preserve">)</w:t>
      </w:r>
      <w:r>
        <w:rPr>
          <w:bCs/>
          <w:i/>
        </w:rPr>
      </w:r>
    </w:p>
    <w:p>
      <w:pPr>
        <w:pStyle w:val="1027"/>
        <w:pBdr/>
        <w:tabs>
          <w:tab w:val="left" w:leader="none" w:pos="993"/>
        </w:tabs>
        <w:spacing w:after="120" w:before="120" w:line="276" w:lineRule="auto"/>
        <w:ind w:left="0"/>
        <w:jc w:val="both"/>
        <w:rPr>
          <w:b/>
          <w:bCs/>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lang w:val="pt-BR"/>
        </w:rPr>
      </w:r>
      <w:r>
        <w:rPr>
          <w:b/>
          <w:bCs/>
          <w:lang w:val="pt-BR"/>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4"/>
        <w:gridCol w:w="2522"/>
        <w:gridCol w:w="2126"/>
        <w:gridCol w:w="2126"/>
        <w:gridCol w:w="2007"/>
      </w:tblGrid>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Tên tài sản</w:t>
            </w:r>
            <w:r>
              <w:rPr>
                <w:b/>
                <w:bCs/>
                <w:color w:val="000000"/>
              </w:rPr>
            </w:r>
            <w:r>
              <w:rPr>
                <w:b/>
                <w:bCs/>
                <w:color w:val="000000"/>
              </w:rPr>
            </w:r>
          </w:p>
        </w:tc>
        <w:tc>
          <w:tcPr>
            <w:gridSpan w:val="4"/>
            <w:tcBorders/>
            <w:tcW w:w="8781" w:type="dxa"/>
            <w:vAlign w:val="center"/>
            <w:textDirection w:val="lrTb"/>
            <w:noWrap w:val="false"/>
          </w:tcPr>
          <w:p>
            <w:pPr>
              <w:pBdr/>
              <w:spacing/>
              <w:ind/>
              <w:jc w:val="both"/>
              <w:rPr>
                <w:b/>
                <w:bCs/>
                <w:color w:val="000000"/>
              </w:rPr>
            </w:pPr>
            <w:r>
              <w:rPr>
                <w:b/>
                <w:bCs/>
                <w:color w:val="000000"/>
              </w:rPr>
              <w:t xml:space="preserve">Quyền sử dụng đất tại thửa đất số 480, tờ bản đồ số 20, có địa chỉ: thôn Đông Trung, xã Đồng Tĩnh, huyện Tam Dương, tỉnh Vĩnh Phúc </w:t>
            </w:r>
            <w:r>
              <w:rPr>
                <w:b/>
                <w:bCs/>
                <w:i/>
                <w:iCs/>
                <w:color w:val="000000"/>
              </w:rPr>
              <w:t xml:space="preserve">(nay là xã Tam Dương Bắc, tỉnh Phú Thọ)</w:t>
            </w:r>
            <w:r>
              <w:rPr>
                <w:b/>
                <w:bCs/>
                <w:color w:val="000000"/>
              </w:rPr>
              <w:t xml:space="preserve"> </w:t>
            </w:r>
            <w:r>
              <w:rPr>
                <w:b/>
                <w:bCs/>
                <w:color w:val="000000"/>
              </w:rPr>
              <w:t xml:space="preserve">theo giấy chứng nhận Quyền sử dụng đất, quyền sở hữu nhà ở và tài sản gắn liền với đất số: DL 238227, số vào sổ cấp GCN: CS01634 do Sở Tài nguyên và Môi trường tỉnh Vĩnh Phúc cấp ngày 14/03/2023. Chủ sử dụng đất là ông Khương Văn Huân và bà Phạm Hồng Khánh</w:t>
            </w:r>
            <w:r>
              <w:rPr>
                <w:b/>
                <w:bCs/>
                <w:color w:val="000000"/>
              </w:rPr>
              <w:t xml:space="preserve">.</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Nội dung Thửa đất theo Hồ sơ pháp lý</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Thửa đất số:</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480</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Tờ bản đồ số:</w:t>
            </w:r>
            <w:r>
              <w:rPr>
                <w:color w:val="000000"/>
              </w:rPr>
            </w:r>
            <w:r>
              <w:rPr>
                <w:color w:val="000000"/>
              </w:rPr>
            </w:r>
          </w:p>
        </w:tc>
        <w:tc>
          <w:tcPr>
            <w:tcBorders/>
            <w:tcW w:w="2007" w:type="dxa"/>
            <w:vAlign w:val="center"/>
            <w:textDirection w:val="lrTb"/>
            <w:noWrap w:val="false"/>
          </w:tcPr>
          <w:p>
            <w:pPr>
              <w:pBdr/>
              <w:spacing/>
              <w:ind/>
              <w:jc w:val="center"/>
              <w:rPr>
                <w:color w:val="ee0000"/>
              </w:rPr>
            </w:pPr>
            <w:r>
              <w:rPr>
                <w:color w:val="000000" w:themeColor="text1"/>
              </w:rPr>
              <w:t xml:space="preserve">20</w:t>
            </w:r>
            <w:r>
              <w:rPr>
                <w:color w:val="ee0000"/>
              </w:rPr>
            </w:r>
            <w:r>
              <w:rPr>
                <w:color w:val="ee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Địa chỉ:</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rPr>
              <w:t xml:space="preserve">Xã Tam Dương, Tỉnh Phú Thọ</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Diện tích (m²):</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200</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Hình thức sử dụng: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Sử dụng riêng: 200 m2</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Mục đích sử dụng:</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Đất ONT: 60m</w:t>
            </w:r>
            <w:r>
              <w:rPr>
                <w:color w:val="000000" w:themeColor="text1"/>
                <w:vertAlign w:val="superscript"/>
              </w:rPr>
              <w:t xml:space="preserve">2</w:t>
            </w:r>
            <w:r>
              <w:rPr>
                <w:color w:val="000000" w:themeColor="text1"/>
              </w:rPr>
              <w:t xml:space="preserve">;  Đất TCLN: 140m</w:t>
            </w:r>
            <w:r>
              <w:rPr>
                <w:color w:val="000000" w:themeColor="text1"/>
                <w:vertAlign w:val="superscript"/>
              </w:rPr>
              <w:t xml:space="preserve">2</w:t>
            </w:r>
            <w:r>
              <w:rPr>
                <w:color w:val="000000"/>
              </w:rPr>
            </w:r>
            <w:r>
              <w:rPr>
                <w:color w:val="000000"/>
              </w:rPr>
            </w:r>
          </w:p>
          <w:p>
            <w:pPr>
              <w:pBdr/>
              <w:spacing/>
              <w:ind/>
              <w:rPr/>
            </w:pPr>
            <w:r/>
            <w:r/>
          </w:p>
        </w:tc>
        <w:tc>
          <w:tcPr>
            <w:tcBorders/>
            <w:tcW w:w="2126" w:type="dxa"/>
            <w:vAlign w:val="center"/>
            <w:textDirection w:val="lrTb"/>
            <w:noWrap w:val="false"/>
          </w:tcPr>
          <w:p>
            <w:pPr>
              <w:pBdr/>
              <w:spacing/>
              <w:ind/>
              <w:rPr>
                <w:color w:val="000000"/>
              </w:rPr>
            </w:pPr>
            <w:r>
              <w:rPr>
                <w:color w:val="000000"/>
              </w:rPr>
              <w:t xml:space="preserve">Thời hạn sử dụng: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Đất ONT: Lâu dài; Đất TCLN: đến ngày 15/10/2043</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Nguồn gốc sử dụng đất:</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rPr>
              <w:t xml:space="preserve">Nhận chuyển nhượng đất được công nhận QSDĐ như giao đất có thu tiền sử dụng đất 60m²; Nhận chuyển nhượng đất được công nhận QSDĐ như giao đất không thu tiền sử dụng đất 140m²</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Thông tin quy hoạch:</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rPr>
            </w:r>
            <w:r>
              <w:rPr>
                <w:rFonts w:ascii="Times New Roman" w:hAnsi="Times New Roman" w:eastAsia="Times New Roman" w:cs="Times New Roman"/>
                <w:color w:val="000000"/>
                <w:sz w:val="24"/>
              </w:rPr>
              <w:t xml:space="preserve">Tại thời điểm thẩm định giá, tổ thẩm định không được Khách hàng cung cấp các thông tin quy hoạch liên quan đến thửa đất, dựa trên định vị của tài sản sau khi khảo sát, tổ thẩm định tra cứu quy hoạch online thông qua các trang mạng như Guland/Meeymap, xác đ</w:t>
            </w:r>
            <w:r>
              <w:rPr>
                <w:rFonts w:ascii="Times New Roman" w:hAnsi="Times New Roman" w:eastAsia="Times New Roman" w:cs="Times New Roman"/>
                <w:color w:val="000000"/>
                <w:sz w:val="24"/>
              </w:rPr>
              <w:t xml:space="preserve">ịnh vị trí tài sản thuộc quy hoạch đất ở</w:t>
            </w:r>
            <w:r>
              <mc:AlternateContent>
                <mc:Choice Requires="wpg">
                  <w:drawing>
                    <wp:inline xmlns:wp="http://schemas.openxmlformats.org/drawingml/2006/wordprocessingDrawing" distT="0" distB="0" distL="0" distR="0">
                      <wp:extent cx="3822461" cy="1998767"/>
                      <wp:effectExtent l="0" t="0" r="0" b="0"/>
                      <wp:docPr id="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1679922" name=""/>
                              <pic:cNvPicPr>
                                <a:picLocks noChangeAspect="1"/>
                              </pic:cNvPicPr>
                              <pic:nvPr/>
                            </pic:nvPicPr>
                            <pic:blipFill rotWithShape="1">
                              <a:blip r:embed="rId17"/>
                              <a:stretch/>
                            </pic:blipFill>
                            <pic:spPr bwMode="auto">
                              <a:xfrm flipH="0" flipV="0">
                                <a:off x="0" y="0"/>
                                <a:ext cx="3822460" cy="199876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300.98pt;height:157.38pt;mso-wrap-distance-left:0.00pt;mso-wrap-distance-top:0.00pt;mso-wrap-distance-right:0.00pt;mso-wrap-distance-bottom:0.00pt;z-index:1;" stroked="false">
                      <v:imagedata r:id="rId17" o:title=""/>
                      <o:lock v:ext="edit" rotation="t"/>
                    </v:shape>
                  </w:pict>
                </mc:Fallback>
              </mc:AlternateConten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Về đất:</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Vị trí; Giao thông;</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Đường tiếp giáp chính:</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Ngõ đường nhựa rộng 5m của đường Hợp Châu - Đồng Tĩnh</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Số mặt tiền:</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Tiếp giáp 1 mặt tiền</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jc w:val="both"/>
              <w:rPr>
                <w:color w:val="000000"/>
              </w:rPr>
            </w:pPr>
            <w:r>
              <w:rPr>
                <w:color w:val="000000"/>
              </w:rPr>
              <w:t xml:space="preserve">Mặt cắt đường/ngõ nhỏ nhất từ đường chính dẫn đến tài sản thẩm định giá</w:t>
            </w:r>
            <w:r>
              <w:rPr>
                <w:color w:val="000000"/>
              </w:rPr>
              <w:t xml:space="preserve"> (m)</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4,5</w:t>
            </w:r>
            <w:r>
              <w:rPr>
                <w:color w:val="000000"/>
              </w:rPr>
            </w:r>
            <w:r>
              <w:rPr>
                <w:color w:val="000000"/>
              </w:rPr>
            </w:r>
          </w:p>
        </w:tc>
        <w:tc>
          <w:tcPr>
            <w:tcBorders/>
            <w:tcW w:w="2126" w:type="dxa"/>
            <w:vAlign w:val="center"/>
            <w:textDirection w:val="lrTb"/>
            <w:noWrap w:val="false"/>
          </w:tcPr>
          <w:p>
            <w:pPr>
              <w:pBdr/>
              <w:spacing/>
              <w:ind/>
              <w:jc w:val="both"/>
              <w:rPr>
                <w:color w:val="000000"/>
              </w:rPr>
            </w:pPr>
            <w:r>
              <w:rPr>
                <w:color w:val="000000"/>
              </w:rPr>
              <w:t xml:space="preserve">Mặt cắt đường/ngõ trước mặt tài sản thẩm định giá</w:t>
            </w:r>
            <w:r>
              <w:rPr>
                <w:color w:val="000000"/>
              </w:rPr>
              <w:t xml:space="preserve"> (m)</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5</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Khoảng cách đến trục đường chính</w:t>
            </w:r>
            <w:r>
              <w:rPr>
                <w:color w:val="000000"/>
              </w:rPr>
              <w:t xml:space="preserve"> (m)</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themeColor="text1"/>
              </w:rPr>
              <w:t xml:space="preserve">Cách đường Hợp Châu - Đồng Tĩnh khoảng 25m</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Các hướng tiếp giáp:</w:t>
            </w:r>
            <w:r>
              <w:rPr>
                <w:color w:val="000000"/>
              </w:rPr>
            </w:r>
            <w:r>
              <w:rPr>
                <w:color w:val="000000"/>
              </w:rPr>
            </w:r>
          </w:p>
        </w:tc>
        <w:tc>
          <w:tcPr>
            <w:gridSpan w:val="3"/>
            <w:tcBorders/>
            <w:tcW w:w="6259" w:type="dxa"/>
            <w:vAlign w:val="center"/>
            <w:textDirection w:val="lrTb"/>
            <w:noWrap w:val="false"/>
          </w:tcPr>
          <w:p>
            <w:pPr>
              <w:pBdr/>
              <w:spacing/>
              <w:ind/>
              <w:rPr>
                <w:color w:val="000000" w:themeColor="text1"/>
              </w:rPr>
            </w:pPr>
            <w:r/>
            <w:bookmarkStart w:id="3" w:name="OLE_LINK1"/>
            <w:r>
              <w:rPr>
                <w:color w:val="000000" w:themeColor="text1"/>
              </w:rPr>
              <w:t xml:space="preserve">+ Hướng Đông Nam: tiếp giáp ngõ giao thông</w:t>
            </w:r>
            <w:r>
              <w:rPr>
                <w:color w:val="000000" w:themeColor="text1"/>
              </w:rPr>
            </w:r>
            <w:r>
              <w:rPr>
                <w:color w:val="000000" w:themeColor="text1"/>
              </w:rPr>
            </w:r>
          </w:p>
          <w:p>
            <w:pPr>
              <w:pBdr/>
              <w:spacing/>
              <w:ind/>
              <w:rPr>
                <w:color w:val="000000" w:themeColor="text1"/>
              </w:rPr>
            </w:pPr>
            <w:r>
              <w:rPr>
                <w:color w:val="000000" w:themeColor="text1"/>
              </w:rPr>
              <w:t xml:space="preserve">+ Các hướng khác: Tiếp giáp thửa đất khác.</w:t>
            </w:r>
            <w:bookmarkEnd w:id="3"/>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ind/>
              <w:rPr>
                <w:color w:val="000000"/>
              </w:rPr>
            </w:pPr>
            <w:r>
              <w:rPr>
                <w:color w:val="000000"/>
              </w:rPr>
              <w:t xml:space="preserve">Vị trí trên bản đồ vệ tinh: </w:t>
            </w:r>
            <w:r>
              <w:rPr>
                <w:color w:val="000000"/>
              </w:rPr>
              <w:t xml:space="preserve">(</w:t>
            </w:r>
            <w:r>
              <w:rPr>
                <w:color w:val="000000"/>
              </w:rPr>
              <w:t xml:space="preserve">21.430444444444</w:t>
            </w:r>
            <w:r>
              <w:rPr>
                <w:color w:val="000000"/>
              </w:rPr>
              <w:t xml:space="preserve">, </w:t>
            </w:r>
            <w:r>
              <w:rPr>
                <w:color w:val="000000"/>
              </w:rPr>
              <w:t xml:space="preserve">105.53461111111</w:t>
            </w:r>
            <w:r>
              <w:rPr>
                <w:color w:val="000000"/>
              </w:rPr>
              <w:t xml:space="preserve">)</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ind/>
              <w:rPr>
                <w:color w:val="000000"/>
              </w:rPr>
            </w:pPr>
            <w:r>
              <w:rPr>
                <w:color w:val="000000"/>
              </w:rPr>
              <mc:AlternateContent>
                <mc:Choice Requires="wpg">
                  <w:drawing>
                    <wp:inline xmlns:wp="http://schemas.openxmlformats.org/drawingml/2006/wordprocessingDrawing" distT="0" distB="0" distL="0" distR="0">
                      <wp:extent cx="4984750" cy="2540000"/>
                      <wp:effectExtent l="0" t="0" r="0" b="0"/>
                      <wp:docPr id="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18"/>
                              <a:stretch/>
                            </pic:blipFill>
                            <pic:spPr bwMode="auto">
                              <a:xfrm>
                                <a:off x="0" y="0"/>
                                <a:ext cx="4984750" cy="2540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392.50pt;height:200.00pt;mso-wrap-distance-left:0.00pt;mso-wrap-distance-top:0.00pt;mso-wrap-distance-right:0.00pt;mso-wrap-distance-bottom:0.00pt;z-index:1;" stroked="false">
                      <v:imagedata r:id="rId18" o:title=""/>
                      <o:lock v:ext="edit" rotation="t"/>
                    </v:shape>
                  </w:pict>
                </mc:Fallback>
              </mc:AlternateConten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Diện tích; Kích thước; Hình dáng</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Diện tích sử dụng riêng thực tế (m²):</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200</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Diện tích sử dụng chung thực tế (m²):</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Mặt tiền (m):</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5,65</w:t>
            </w:r>
            <w:r>
              <w:rPr>
                <w:color w:val="000000"/>
              </w:rPr>
            </w:r>
            <w:r>
              <w:rPr>
                <w:color w:val="000000"/>
              </w:rPr>
            </w:r>
          </w:p>
        </w:tc>
        <w:tc>
          <w:tcPr>
            <w:tcBorders/>
            <w:tcW w:w="2126" w:type="dxa"/>
            <w:vAlign w:val="center"/>
            <w:textDirection w:val="lrTb"/>
            <w:noWrap w:val="false"/>
          </w:tcPr>
          <w:p>
            <w:pPr>
              <w:pBdr/>
              <w:spacing/>
              <w:ind/>
              <w:rPr/>
            </w:pPr>
            <w:r>
              <w:t xml:space="preserve">Chiều sâu (m): </w:t>
            </w: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35,4</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Hình dáng:</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Hình chữ nhật</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Hướng: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Đông Nam</w: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Điều kiện kinh doanh; Hạ tầng nội bộ; Hạ tầng xung quanh</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Hạ tầng nội bộ:</w:t>
            </w:r>
            <w:r>
              <w:rPr>
                <w:color w:val="000000"/>
              </w:rPr>
            </w:r>
            <w:r>
              <w:rPr>
                <w:color w:val="000000"/>
              </w:rPr>
            </w:r>
          </w:p>
        </w:tc>
        <w:tc>
          <w:tcPr>
            <w:gridSpan w:val="3"/>
            <w:tcBorders/>
            <w:tcW w:w="6259" w:type="dxa"/>
            <w:vAlign w:val="center"/>
            <w:textDirection w:val="lrTb"/>
            <w:noWrap w:val="false"/>
          </w:tcPr>
          <w:p>
            <w:pPr>
              <w:pBdr/>
              <w:spacing/>
              <w:ind/>
              <w:rPr>
                <w:color w:val="000000"/>
              </w:rPr>
            </w:pPr>
            <w:r>
              <w:rPr>
                <w:color w:val="000000"/>
              </w:rPr>
              <w:t xml:space="preserve">Hạ tầng cấp nước: Nước máy, Hạ tầng thoát nước: Rãnh có nắp, Hạ tầng cấp điện: Điện lưới, Hạ tầng thông tin liên lạc: Điện thoại, Mạng internet, Truyền hình cáp</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Hạ tầng xung quanh:</w:t>
            </w:r>
            <w:r>
              <w:rPr>
                <w:color w:val="000000"/>
              </w:rPr>
            </w:r>
            <w:r>
              <w:rPr>
                <w:color w:val="000000"/>
              </w:rPr>
            </w:r>
          </w:p>
        </w:tc>
        <w:tc>
          <w:tcPr>
            <w:gridSpan w:val="3"/>
            <w:tcBorders/>
            <w:tcW w:w="6259" w:type="dxa"/>
            <w:vAlign w:val="center"/>
            <w:textDirection w:val="lrTb"/>
            <w:noWrap w:val="false"/>
          </w:tcPr>
          <w:p>
            <w:pPr>
              <w:pBdr/>
              <w:spacing/>
              <w:ind/>
              <w:rPr>
                <w:color w:val="000000"/>
              </w:rPr>
            </w:pPr>
            <w:r>
              <w:rPr>
                <w:color w:val="000000"/>
              </w:rPr>
              <w:t xml:space="preserve">Môi trường trong lành, an ninh đảm bảo, dân trí tốt</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Mật độ dân cư:</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Trung bình</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Đời sống dân cư:</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Trung bình</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Lợi thế kinh doanh:</w:t>
            </w:r>
            <w:r>
              <w:rPr>
                <w:color w:val="000000"/>
              </w:rPr>
            </w:r>
            <w:r>
              <w:rPr>
                <w:color w:val="000000"/>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Không có lợi thế kinh doanh</w:t>
            </w:r>
            <w:r>
              <w:rPr>
                <w:color w:val="000000" w:themeColor="text1"/>
              </w:rPr>
            </w:r>
            <w:r>
              <w:rPr>
                <w:color w:val="000000" w:themeColor="text1"/>
              </w:rPr>
            </w:r>
          </w:p>
        </w:tc>
        <w:tc>
          <w:tcPr>
            <w:tcBorders/>
            <w:tcW w:w="2126" w:type="dxa"/>
            <w:vAlign w:val="center"/>
            <w:textDirection w:val="lrTb"/>
            <w:noWrap w:val="false"/>
          </w:tcPr>
          <w:p>
            <w:pPr>
              <w:pBdr/>
              <w:spacing/>
              <w:ind/>
              <w:rPr>
                <w:color w:val="000000"/>
              </w:rPr>
            </w:pPr>
            <w:r>
              <w:rPr>
                <w:color w:val="000000"/>
              </w:rPr>
              <w:t xml:space="preserve">Khả năng chuyển nhượng: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Tốt</w: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Tài sản gắn liền với đất: Đất trống</w:t>
            </w:r>
            <w:r>
              <w:rPr>
                <w:b/>
                <w:bCs/>
                <w:color w:val="000000"/>
              </w:rPr>
            </w:r>
            <w:r>
              <w:rPr>
                <w:b/>
                <w:bCs/>
                <w:color w:val="000000"/>
              </w:rPr>
            </w:r>
          </w:p>
        </w:tc>
      </w:tr>
    </w:tbl>
    <w:p>
      <w:pPr>
        <w:pBdr/>
        <w:spacing w:line="235" w:lineRule="auto"/>
        <w:ind w:left="646"/>
        <w:jc w:val="both"/>
        <w:rPr>
          <w:u w:val="single"/>
        </w:rPr>
      </w:pPr>
      <w:r>
        <w:rPr>
          <w:u w:val="single"/>
        </w:rPr>
      </w:r>
      <w:r>
        <w:rPr>
          <w:u w:val="single"/>
        </w:rPr>
      </w:r>
      <w:r>
        <w:rPr>
          <w:u w:val="single"/>
        </w:rPr>
      </w:r>
    </w:p>
    <w:p>
      <w:pPr>
        <w:pBdr/>
        <w:spacing w:line="235" w:lineRule="auto"/>
        <w:ind w:left="646"/>
        <w:jc w:val="both"/>
        <w:rPr>
          <w:u w:val="single"/>
        </w:rPr>
      </w:pPr>
      <w:r>
        <w:rPr>
          <w:u w:val="single"/>
        </w:rPr>
      </w:r>
      <w:r>
        <w:rPr>
          <w:u w:val="single"/>
        </w:rPr>
      </w:r>
      <w:r>
        <w:rPr>
          <w:u w:val="single"/>
        </w:rPr>
      </w:r>
    </w:p>
    <w:p>
      <w:pPr>
        <w:pBdr/>
        <w:spacing/>
        <w:ind/>
        <w:rPr>
          <w:b/>
          <w:bCs/>
          <w:shd w:val="clear" w:color="auto" w:fill="ffffff"/>
        </w:rPr>
      </w:pPr>
      <w:r>
        <w:rPr>
          <w:b/>
          <w:bCs/>
          <w:shd w:val="clear" w:color="auto" w:fill="ffffff"/>
        </w:rPr>
        <w:t xml:space="preserve">Bảng ghi chú thay đổi giữa khảo sát thực trạng và pháp lý tài sản</w:t>
      </w:r>
      <w:r>
        <w:rPr>
          <w:b/>
          <w:bCs/>
          <w:shd w:val="clear" w:color="auto" w:fill="ffffff"/>
        </w:rPr>
        <w:t xml:space="preserve">:</w:t>
      </w:r>
      <w:r>
        <w:rPr>
          <w:b/>
          <w:bCs/>
          <w:shd w:val="clear" w:color="auto" w:fill="ffffff"/>
        </w:rPr>
      </w:r>
      <w:r>
        <w:rPr>
          <w:b/>
          <w:bCs/>
          <w:shd w:val="clear" w:color="auto" w:fill="ffffff"/>
        </w:rPr>
      </w:r>
    </w:p>
    <w:p>
      <w:pPr>
        <w:pBdr/>
        <w:spacing/>
        <w:ind/>
        <w:rPr>
          <w:b/>
          <w:bCs/>
          <w:shd w:val="clear" w:color="auto" w:fill="ffffff"/>
        </w:rPr>
      </w:pPr>
      <w:r>
        <w:rPr>
          <w:b/>
          <w:bCs/>
          <w:shd w:val="clear" w:color="auto" w:fill="ffffff"/>
        </w:rPr>
      </w:r>
      <w:r>
        <w:rPr>
          <w:b/>
          <w:bCs/>
          <w:shd w:val="clear" w:color="auto" w:fill="ffffff"/>
        </w:rPr>
      </w:r>
      <w:r>
        <w:rPr>
          <w:b/>
          <w:bCs/>
          <w:shd w:val="clear" w:color="auto" w:fill="ffffff"/>
        </w:rPr>
      </w:r>
    </w:p>
    <w:tbl>
      <w:tblPr>
        <w:tblStyle w:val="1031"/>
        <w:jc w:val="center"/>
        <w:tblW w:w="0" w:type="auto"/>
        <w:tblBorders/>
        <w:tblLook w:val="04A0" w:firstRow="1" w:lastRow="0" w:firstColumn="1" w:lastColumn="0" w:noHBand="0" w:noVBand="1"/>
      </w:tblPr>
      <w:tblGrid>
        <w:gridCol w:w="1167"/>
        <w:gridCol w:w="1662"/>
        <w:gridCol w:w="1443"/>
        <w:gridCol w:w="1484"/>
        <w:gridCol w:w="1660"/>
        <w:gridCol w:w="2099"/>
      </w:tblGrid>
      <w:tr>
        <w:trPr>
          <w:jc w:val="center"/>
        </w:trPr>
        <w:tc>
          <w:tcPr>
            <w:tcBorders/>
            <w:tcW w:w="1167" w:type="dxa"/>
            <w:vAlign w:val="center"/>
            <w:textDirection w:val="lrTb"/>
            <w:noWrap w:val="false"/>
          </w:tcPr>
          <w:p>
            <w:pPr>
              <w:pBdr/>
              <w:spacing/>
              <w:ind/>
              <w:jc w:val="center"/>
              <w:rPr>
                <w:b/>
                <w:bCs/>
              </w:rPr>
            </w:pPr>
            <w:r>
              <w:rPr>
                <w:b/>
                <w:bCs/>
              </w:rPr>
              <w:t xml:space="preserve">STT</w:t>
            </w:r>
            <w:r>
              <w:rPr>
                <w:b/>
                <w:bCs/>
              </w:rPr>
            </w:r>
            <w:r>
              <w:rPr>
                <w:b/>
                <w:bCs/>
              </w:rPr>
            </w:r>
          </w:p>
        </w:tc>
        <w:tc>
          <w:tcPr>
            <w:tcBorders/>
            <w:tcW w:w="1663" w:type="dxa"/>
            <w:vAlign w:val="center"/>
            <w:textDirection w:val="lrTb"/>
            <w:noWrap w:val="false"/>
          </w:tcPr>
          <w:p>
            <w:pPr>
              <w:pBdr/>
              <w:spacing/>
              <w:ind/>
              <w:jc w:val="center"/>
              <w:rPr>
                <w:b/>
                <w:bCs/>
              </w:rPr>
            </w:pPr>
            <w:r>
              <w:rPr>
                <w:b/>
                <w:bCs/>
              </w:rPr>
              <w:t xml:space="preserve">Các yếu tố</w:t>
            </w:r>
            <w:r>
              <w:rPr>
                <w:b/>
                <w:bCs/>
              </w:rPr>
            </w:r>
            <w:r>
              <w:rPr>
                <w:b/>
                <w:bCs/>
              </w:rPr>
            </w:r>
          </w:p>
        </w:tc>
        <w:tc>
          <w:tcPr>
            <w:tcBorders/>
            <w:tcW w:w="1560" w:type="dxa"/>
            <w:vAlign w:val="center"/>
            <w:textDirection w:val="lrTb"/>
            <w:noWrap w:val="false"/>
          </w:tcPr>
          <w:p>
            <w:pPr>
              <w:pBdr/>
              <w:spacing/>
              <w:ind/>
              <w:jc w:val="center"/>
              <w:rPr>
                <w:b/>
                <w:bCs/>
              </w:rPr>
            </w:pPr>
            <w:r>
              <w:rPr>
                <w:b/>
                <w:bCs/>
              </w:rPr>
              <w:t xml:space="preserve">Thông tin TSTĐ</w:t>
            </w:r>
            <w:r>
              <w:rPr>
                <w:b/>
                <w:bCs/>
              </w:rPr>
            </w:r>
            <w:r>
              <w:rPr>
                <w:b/>
                <w:bCs/>
              </w:rPr>
            </w:r>
          </w:p>
        </w:tc>
        <w:tc>
          <w:tcPr>
            <w:tcBorders/>
            <w:tcW w:w="1605" w:type="dxa"/>
            <w:vAlign w:val="center"/>
            <w:textDirection w:val="lrTb"/>
            <w:noWrap w:val="false"/>
          </w:tcPr>
          <w:p>
            <w:pPr>
              <w:pBdr/>
              <w:spacing/>
              <w:ind/>
              <w:jc w:val="center"/>
              <w:rPr>
                <w:b/>
                <w:bCs/>
              </w:rPr>
            </w:pPr>
            <w:r>
              <w:rPr>
                <w:b/>
                <w:bCs/>
              </w:rPr>
              <w:t xml:space="preserve">Thông tin khảo sát</w:t>
            </w:r>
            <w:r>
              <w:rPr>
                <w:b/>
                <w:bCs/>
              </w:rPr>
            </w:r>
            <w:r>
              <w:rPr>
                <w:b/>
                <w:bCs/>
              </w:rPr>
            </w:r>
          </w:p>
        </w:tc>
        <w:tc>
          <w:tcPr>
            <w:tcBorders/>
            <w:tcW w:w="1371" w:type="dxa"/>
            <w:vAlign w:val="center"/>
            <w:textDirection w:val="lrTb"/>
            <w:noWrap w:val="false"/>
          </w:tcPr>
          <w:p>
            <w:pPr>
              <w:pBdr/>
              <w:spacing/>
              <w:ind/>
              <w:jc w:val="center"/>
              <w:rPr>
                <w:b/>
                <w:bCs/>
              </w:rPr>
            </w:pPr>
            <w:r>
              <w:rPr>
                <w:b/>
                <w:bCs/>
              </w:rPr>
              <w:t xml:space="preserve">Chênh lệch</w:t>
            </w:r>
            <w:r>
              <w:rPr>
                <w:b/>
                <w:bCs/>
              </w:rPr>
            </w:r>
            <w:r>
              <w:rPr>
                <w:b/>
                <w:bCs/>
              </w:rPr>
            </w:r>
          </w:p>
        </w:tc>
        <w:tc>
          <w:tcPr>
            <w:tcBorders/>
            <w:tcW w:w="2149" w:type="dxa"/>
            <w:vAlign w:val="center"/>
            <w:textDirection w:val="lrTb"/>
            <w:noWrap w:val="false"/>
          </w:tcPr>
          <w:p>
            <w:pPr>
              <w:pBdr/>
              <w:spacing/>
              <w:ind/>
              <w:jc w:val="center"/>
              <w:rPr>
                <w:b/>
                <w:bCs/>
              </w:rPr>
            </w:pPr>
            <w:r>
              <w:rPr>
                <w:b/>
                <w:bCs/>
              </w:rPr>
              <w:t xml:space="preserve">Nguyên nhân</w:t>
            </w:r>
            <w:r>
              <w:rPr>
                <w:b/>
                <w:bCs/>
              </w:rPr>
            </w:r>
            <w:r>
              <w:rPr>
                <w:b/>
                <w:bCs/>
              </w:rPr>
            </w:r>
          </w:p>
        </w:tc>
      </w:tr>
      <w:tr>
        <w:trPr>
          <w:jc w:val="center"/>
        </w:trPr>
        <w:tc>
          <w:tcPr>
            <w:tcBorders/>
            <w:tcW w:w="1167" w:type="dxa"/>
            <w:vAlign w:val="center"/>
            <w:textDirection w:val="lrTb"/>
            <w:noWrap w:val="false"/>
          </w:tcPr>
          <w:p>
            <w:pPr>
              <w:pBdr/>
              <w:spacing/>
              <w:ind/>
              <w:jc w:val="center"/>
              <w:rPr/>
            </w:pPr>
            <w:r>
              <w:t xml:space="preserve">1</w:t>
            </w:r>
            <w:r/>
          </w:p>
        </w:tc>
        <w:tc>
          <w:tcPr>
            <w:tcBorders/>
            <w:tcW w:w="1663" w:type="dxa"/>
            <w:vAlign w:val="center"/>
            <w:textDirection w:val="lrTb"/>
            <w:noWrap w:val="false"/>
          </w:tcPr>
          <w:p>
            <w:pPr>
              <w:pBdr/>
              <w:spacing/>
              <w:ind/>
              <w:jc w:val="center"/>
              <w:rPr/>
            </w:pPr>
            <w:r>
              <w:t xml:space="preserve">Địa chỉ trên sổ</w:t>
            </w:r>
            <w:r/>
          </w:p>
        </w:tc>
        <w:tc>
          <w:tcPr>
            <w:tcBorders/>
            <w:tcW w:w="1560" w:type="dxa"/>
            <w:vAlign w:val="center"/>
            <w:textDirection w:val="lrTb"/>
            <w:noWrap w:val="false"/>
          </w:tcPr>
          <w:p>
            <w:pPr>
              <w:pBdr/>
              <w:spacing/>
              <w:ind/>
              <w:jc w:val="center"/>
              <w:rPr/>
            </w:pPr>
            <w:r>
              <w:t xml:space="preserve">Thôn Đông Trung, Xã Đồng Tĩnh, Huyện Tam Dương, Tỉnh Vĩnh Phúc</w:t>
            </w:r>
            <w:r/>
          </w:p>
        </w:tc>
        <w:tc>
          <w:tcPr>
            <w:tcBorders/>
            <w:tcW w:w="1605" w:type="dxa"/>
            <w:vAlign w:val="center"/>
            <w:textDirection w:val="lrTb"/>
            <w:noWrap w:val="false"/>
          </w:tcPr>
          <w:p>
            <w:pPr>
              <w:pBdr/>
              <w:spacing/>
              <w:ind/>
              <w:jc w:val="center"/>
              <w:rPr/>
            </w:pPr>
            <w:r>
              <w:t xml:space="preserve">Xã Tam Dương, Tỉnh Phú Thọ ✔</w:t>
            </w:r>
            <w:r/>
          </w:p>
        </w:tc>
        <w:tc>
          <w:tcPr>
            <w:tcBorders/>
            <w:tcW w:w="1371" w:type="dxa"/>
            <w:vAlign w:val="center"/>
            <w:textDirection w:val="lrTb"/>
            <w:noWrap w:val="false"/>
          </w:tcPr>
          <w:p>
            <w:pPr>
              <w:pBdr/>
              <w:spacing/>
              <w:ind/>
              <w:jc w:val="center"/>
              <w:rPr/>
            </w:pPr>
            <w:r>
              <w:t xml:space="preserve">Có</w:t>
            </w:r>
            <w:r/>
          </w:p>
        </w:tc>
        <w:tc>
          <w:tcPr>
            <w:tcBorders/>
            <w:tcW w:w="2149" w:type="dxa"/>
            <w:vAlign w:val="center"/>
            <w:textDirection w:val="lrTb"/>
            <w:noWrap w:val="false"/>
          </w:tcPr>
          <w:p>
            <w:pPr>
              <w:pBdr/>
              <w:spacing/>
              <w:ind/>
              <w:jc w:val="center"/>
              <w:rPr/>
            </w:pPr>
            <w:r>
              <w:t xml:space="preserve">Sáp nhập địa giới hành chính</w:t>
            </w:r>
            <w:r/>
          </w:p>
        </w:tc>
      </w:tr>
      <w:tr>
        <w:trPr>
          <w:jc w:val="center"/>
        </w:trPr>
        <w:tc>
          <w:tcPr>
            <w:tcBorders/>
            <w:tcW w:w="1167" w:type="dxa"/>
            <w:vAlign w:val="center"/>
            <w:textDirection w:val="lrTb"/>
            <w:noWrap w:val="false"/>
          </w:tcPr>
          <w:p>
            <w:pPr>
              <w:pBdr/>
              <w:spacing/>
              <w:ind/>
              <w:jc w:val="center"/>
              <w:rPr/>
            </w:pPr>
            <w:r>
              <w:t xml:space="preserve">2</w:t>
            </w:r>
            <w:r/>
          </w:p>
        </w:tc>
        <w:tc>
          <w:tcPr>
            <w:tcBorders/>
            <w:tcW w:w="1663" w:type="dxa"/>
            <w:vAlign w:val="center"/>
            <w:textDirection w:val="lrTb"/>
            <w:noWrap w:val="false"/>
          </w:tcPr>
          <w:p>
            <w:pPr>
              <w:pBdr/>
              <w:spacing/>
              <w:ind/>
              <w:jc w:val="center"/>
              <w:rPr/>
            </w:pPr>
            <w:r>
              <w:t xml:space="preserve">Địa chỉ thực tế</w:t>
            </w:r>
            <w:r/>
          </w:p>
        </w:tc>
        <w:tc>
          <w:tcPr>
            <w:tcBorders/>
            <w:tcW w:w="1560" w:type="dxa"/>
            <w:vAlign w:val="center"/>
            <w:textDirection w:val="lrTb"/>
            <w:noWrap w:val="false"/>
          </w:tcPr>
          <w:p>
            <w:pPr>
              <w:pBdr/>
              <w:spacing/>
              <w:ind/>
              <w:jc w:val="center"/>
              <w:rPr/>
            </w:pPr>
            <w:r>
              <w:t xml:space="preserve">Xã Tam Dương, Tỉnh Phú Thọ</w:t>
            </w:r>
            <w:r/>
          </w:p>
        </w:tc>
        <w:tc>
          <w:tcPr>
            <w:tcBorders/>
            <w:tcW w:w="1605" w:type="dxa"/>
            <w:vAlign w:val="center"/>
            <w:textDirection w:val="lrTb"/>
            <w:noWrap w:val="false"/>
          </w:tcPr>
          <w:p>
            <w:pPr>
              <w:pBdr/>
              <w:spacing/>
              <w:ind/>
              <w:jc w:val="center"/>
              <w:rPr/>
            </w:pPr>
            <w:r>
              <w:t xml:space="preserve">Xã Tam Dương, Tỉnh Phú Thọ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3</w:t>
            </w:r>
            <w:r/>
          </w:p>
        </w:tc>
        <w:tc>
          <w:tcPr>
            <w:tcBorders/>
            <w:tcW w:w="1663" w:type="dxa"/>
            <w:vAlign w:val="center"/>
            <w:textDirection w:val="lrTb"/>
            <w:noWrap w:val="false"/>
          </w:tcPr>
          <w:p>
            <w:pPr>
              <w:pBdr/>
              <w:spacing/>
              <w:ind/>
              <w:jc w:val="center"/>
              <w:rPr/>
            </w:pPr>
            <w:r>
              <w:t xml:space="preserve">Pháp lý</w:t>
            </w:r>
            <w:r/>
          </w:p>
        </w:tc>
        <w:tc>
          <w:tcPr>
            <w:tcBorders/>
            <w:tcW w:w="1560" w:type="dxa"/>
            <w:vAlign w:val="center"/>
            <w:textDirection w:val="lrTb"/>
            <w:noWrap w:val="false"/>
          </w:tcPr>
          <w:p>
            <w:pPr>
              <w:pBdr/>
              <w:spacing/>
              <w:ind/>
              <w:jc w:val="center"/>
              <w:rPr/>
            </w:pPr>
            <w:r>
              <w:t xml:space="preserve">Giấy chứng nhận quyền sử dụng đất, quyền sở hữu nhà ở và tài sản gắn liền với đất</w:t>
            </w:r>
            <w:r/>
          </w:p>
        </w:tc>
        <w:tc>
          <w:tcPr>
            <w:tcBorders/>
            <w:tcW w:w="1605" w:type="dxa"/>
            <w:vAlign w:val="center"/>
            <w:textDirection w:val="lrTb"/>
            <w:noWrap w:val="false"/>
          </w:tcPr>
          <w:p>
            <w:pPr>
              <w:pBdr/>
              <w:spacing/>
              <w:ind/>
              <w:jc w:val="center"/>
              <w:rPr/>
            </w:pPr>
            <w:r>
              <w:t xml:space="preserve">Giấy chứng nhận quyền sử dụng đất, quyền sở hữu tài sản gắn liền với đất ✔</w:t>
            </w:r>
            <w:r/>
          </w:p>
        </w:tc>
        <w:tc>
          <w:tcPr>
            <w:tcBorders/>
            <w:tcW w:w="1371" w:type="dxa"/>
            <w:vAlign w:val="center"/>
            <w:textDirection w:val="lrTb"/>
            <w:noWrap w:val="false"/>
          </w:tcPr>
          <w:p>
            <w:pPr>
              <w:pBdr/>
              <w:spacing/>
              <w:ind/>
              <w:jc w:val="center"/>
              <w:rPr/>
            </w:pPr>
            <w:r>
              <w:t xml:space="preserve">Có</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4</w:t>
            </w:r>
            <w:r/>
          </w:p>
        </w:tc>
        <w:tc>
          <w:tcPr>
            <w:tcBorders/>
            <w:tcW w:w="1663" w:type="dxa"/>
            <w:vAlign w:val="center"/>
            <w:textDirection w:val="lrTb"/>
            <w:noWrap w:val="false"/>
          </w:tcPr>
          <w:p>
            <w:pPr>
              <w:pBdr/>
              <w:spacing/>
              <w:ind/>
              <w:jc w:val="center"/>
              <w:rPr/>
            </w:pPr>
            <w:r>
              <w:t xml:space="preserve">Loại đất</w:t>
            </w:r>
            <w:r/>
          </w:p>
        </w:tc>
        <w:tc>
          <w:tcPr>
            <w:tcBorders/>
            <w:tcW w:w="1560" w:type="dxa"/>
            <w:vAlign w:val="center"/>
            <w:textDirection w:val="lrTb"/>
            <w:noWrap w:val="false"/>
          </w:tcPr>
          <w:p>
            <w:pPr>
              <w:pBdr>
                <w:top w:val="none" w:color="000000" w:sz="4" w:space="0"/>
                <w:left w:val="none" w:color="000000" w:sz="4" w:space="0"/>
                <w:bottom w:val="none" w:color="000000" w:sz="4" w:space="0"/>
                <w:right w:val="none" w:color="000000" w:sz="4" w:space="0"/>
              </w:pBdr>
              <w:spacing w:line="299" w:lineRule="atLeast"/>
              <w:ind w:right="0" w:firstLine="0" w:left="0"/>
              <w:jc w:val="center"/>
              <w:rPr>
                <w:color w:val="000000" w:themeColor="text1"/>
              </w:rPr>
            </w:pPr>
            <w:r>
              <w:rPr>
                <w:rFonts w:ascii="Times New Roman" w:hAnsi="Times New Roman" w:eastAsia="Times New Roman" w:cs="Times New Roman"/>
                <w:color w:val="000000" w:themeColor="text1"/>
                <w:sz w:val="24"/>
              </w:rPr>
              <w:t xml:space="preserve">Đất ONT: 60m</w:t>
            </w:r>
            <w:r>
              <w:rPr>
                <w:rFonts w:ascii="Times New Roman" w:hAnsi="Times New Roman" w:eastAsia="Times New Roman" w:cs="Times New Roman"/>
                <w:color w:val="000000" w:themeColor="text1"/>
                <w:sz w:val="20"/>
                <w:vertAlign w:val="superscript"/>
              </w:rPr>
              <w:t xml:space="preserve">2</w:t>
            </w:r>
            <w:r>
              <w:rPr>
                <w:rFonts w:ascii="Times New Roman" w:hAnsi="Times New Roman" w:eastAsia="Times New Roman" w:cs="Times New Roman"/>
                <w:color w:val="000000" w:themeColor="text1"/>
                <w:sz w:val="24"/>
              </w:rPr>
              <w:t xml:space="preserve">;  Đất TCLN: 140m</w:t>
            </w:r>
            <w:r>
              <w:rPr>
                <w:rFonts w:ascii="Times New Roman" w:hAnsi="Times New Roman" w:eastAsia="Times New Roman" w:cs="Times New Roman"/>
                <w:color w:val="000000" w:themeColor="text1"/>
                <w:sz w:val="20"/>
                <w:vertAlign w:val="superscript"/>
              </w:rPr>
              <w:t xml:space="preserve">2</w:t>
            </w:r>
            <w:r>
              <w:rPr>
                <w:color w:val="000000" w:themeColor="text1"/>
              </w:rPr>
            </w:r>
            <w:r>
              <w:rPr>
                <w:color w:val="000000" w:themeColor="text1"/>
              </w:rPr>
            </w:r>
          </w:p>
        </w:tc>
        <w:tc>
          <w:tcPr>
            <w:tcBorders/>
            <w:tcW w:w="1605" w:type="dxa"/>
            <w:vAlign w:val="center"/>
            <w:textDirection w:val="lrTb"/>
            <w:noWrap w:val="false"/>
          </w:tcPr>
          <w:p>
            <w:pPr>
              <w:pBdr>
                <w:top w:val="none" w:color="000000" w:sz="4" w:space="0"/>
                <w:left w:val="none" w:color="000000" w:sz="4" w:space="0"/>
                <w:bottom w:val="none" w:color="000000" w:sz="4" w:space="0"/>
                <w:right w:val="none" w:color="000000" w:sz="4" w:space="0"/>
              </w:pBdr>
              <w:spacing w:line="299" w:lineRule="atLeast"/>
              <w:ind w:right="0" w:firstLine="0" w:left="0"/>
              <w:jc w:val="center"/>
              <w:rPr>
                <w:rFonts w:ascii="Times New Roman" w:hAnsi="Times New Roman" w:eastAsia="Times New Roman" w:cs="Times New Roman"/>
                <w:color w:val="000000" w:themeColor="text1"/>
                <w:sz w:val="28"/>
              </w:rPr>
            </w:pPr>
            <w:r>
              <w:rPr>
                <w:rFonts w:ascii="Times New Roman" w:hAnsi="Times New Roman" w:eastAsia="Times New Roman" w:cs="Times New Roman"/>
                <w:color w:val="000000" w:themeColor="text1"/>
                <w:sz w:val="24"/>
              </w:rPr>
              <w:t xml:space="preserve">Đất ONT: 60m</w:t>
            </w:r>
            <w:r>
              <w:rPr>
                <w:rFonts w:ascii="Times New Roman" w:hAnsi="Times New Roman" w:eastAsia="Times New Roman" w:cs="Times New Roman"/>
                <w:color w:val="000000" w:themeColor="text1"/>
                <w:sz w:val="20"/>
                <w:vertAlign w:val="superscript"/>
              </w:rPr>
              <w:t xml:space="preserve">2</w:t>
            </w:r>
            <w:r>
              <w:rPr>
                <w:rFonts w:ascii="Times New Roman" w:hAnsi="Times New Roman" w:eastAsia="Times New Roman" w:cs="Times New Roman"/>
                <w:color w:val="000000" w:themeColor="text1"/>
                <w:sz w:val="24"/>
              </w:rPr>
              <w:t xml:space="preserve">;  Đất TCLN: 140m</w:t>
            </w:r>
            <w:r>
              <w:rPr>
                <w:rFonts w:ascii="Times New Roman" w:hAnsi="Times New Roman" w:eastAsia="Times New Roman" w:cs="Times New Roman"/>
                <w:color w:val="000000" w:themeColor="text1"/>
                <w:sz w:val="20"/>
                <w:vertAlign w:val="superscript"/>
              </w:rPr>
              <w:t xml:space="preserve">2</w:t>
            </w:r>
            <w:r>
              <w:rPr>
                <w:rFonts w:ascii="Times New Roman" w:hAnsi="Times New Roman" w:eastAsia="Times New Roman" w:cs="Times New Roman"/>
                <w:color w:val="000000" w:themeColor="text1"/>
                <w:sz w:val="28"/>
              </w:rPr>
            </w:r>
            <w:r>
              <w:rPr>
                <w:rFonts w:ascii="Times New Roman" w:hAnsi="Times New Roman" w:eastAsia="Times New Roman" w:cs="Times New Roman"/>
                <w:color w:val="000000" w:themeColor="text1"/>
                <w:sz w:val="28"/>
              </w:rPr>
            </w:r>
          </w:p>
        </w:tc>
        <w:tc>
          <w:tcPr>
            <w:tcBorders/>
            <w:tcW w:w="1371" w:type="dxa"/>
            <w:vAlign w:val="center"/>
            <w:textDirection w:val="lrTb"/>
            <w:noWrap w:val="false"/>
          </w:tcPr>
          <w:p>
            <w:pPr>
              <w:pBdr/>
              <w:spacing/>
              <w:ind/>
              <w:jc w:val="center"/>
              <w:rPr/>
            </w:pPr>
            <w:r>
              <w:t xml:space="preserve">Có</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5</w:t>
            </w:r>
            <w:r/>
          </w:p>
        </w:tc>
        <w:tc>
          <w:tcPr>
            <w:tcBorders/>
            <w:tcW w:w="1663" w:type="dxa"/>
            <w:vAlign w:val="center"/>
            <w:textDirection w:val="lrTb"/>
            <w:noWrap w:val="false"/>
          </w:tcPr>
          <w:p>
            <w:pPr>
              <w:pBdr/>
              <w:spacing/>
              <w:ind/>
              <w:jc w:val="center"/>
              <w:rPr/>
            </w:pPr>
            <w:r>
              <w:t xml:space="preserve">Thời hạn sử dụng</w:t>
            </w:r>
            <w:r/>
          </w:p>
        </w:tc>
        <w:tc>
          <w:tcPr>
            <w:tcBorders/>
            <w:tcW w:w="1560" w:type="dxa"/>
            <w:vAlign w:val="center"/>
            <w:textDirection w:val="lrTb"/>
            <w:noWrap w:val="false"/>
          </w:tcPr>
          <w:p>
            <w:pPr>
              <w:pBdr>
                <w:top w:val="none" w:color="000000" w:sz="4" w:space="0"/>
                <w:left w:val="none" w:color="000000" w:sz="4" w:space="0"/>
                <w:bottom w:val="none" w:color="000000" w:sz="4" w:space="0"/>
                <w:right w:val="none" w:color="000000" w:sz="4" w:space="0"/>
              </w:pBdr>
              <w:spacing w:line="299" w:lineRule="atLeast"/>
              <w:ind w:right="0" w:firstLine="0" w:left="0"/>
              <w:jc w:val="center"/>
              <w:rPr>
                <w:color w:val="000000" w:themeColor="text1"/>
              </w:rPr>
            </w:pPr>
            <w:r>
              <w:rPr>
                <w:rFonts w:ascii="Times New Roman" w:hAnsi="Times New Roman" w:eastAsia="Times New Roman" w:cs="Times New Roman"/>
                <w:color w:val="000000" w:themeColor="text1"/>
                <w:sz w:val="24"/>
              </w:rPr>
              <w:t xml:space="preserve">Đất ONT: Lâu dài; Đất TCLN: đến ngày 15/10/2043</w:t>
            </w:r>
            <w:r>
              <w:rPr>
                <w:color w:val="000000" w:themeColor="text1"/>
              </w:rPr>
            </w:r>
            <w:r>
              <w:rPr>
                <w:color w:val="000000" w:themeColor="text1"/>
              </w:rPr>
            </w:r>
          </w:p>
        </w:tc>
        <w:tc>
          <w:tcPr>
            <w:tcBorders/>
            <w:tcW w:w="1605" w:type="dxa"/>
            <w:vAlign w:val="center"/>
            <w:textDirection w:val="lrTb"/>
            <w:noWrap w:val="false"/>
          </w:tcPr>
          <w:p>
            <w:pPr>
              <w:pBdr>
                <w:top w:val="none" w:color="000000" w:sz="4" w:space="0"/>
                <w:left w:val="none" w:color="000000" w:sz="4" w:space="0"/>
                <w:bottom w:val="none" w:color="000000" w:sz="4" w:space="0"/>
                <w:right w:val="none" w:color="000000" w:sz="4" w:space="0"/>
              </w:pBdr>
              <w:spacing w:line="299" w:lineRule="atLeast"/>
              <w:ind w:right="0" w:firstLine="0" w:left="0"/>
              <w:jc w:val="center"/>
              <w:rPr>
                <w:rFonts w:ascii="Times New Roman" w:hAnsi="Times New Roman" w:eastAsia="Times New Roman" w:cs="Times New Roman"/>
                <w:color w:val="000000" w:themeColor="text1"/>
                <w:sz w:val="28"/>
              </w:rPr>
            </w:pPr>
            <w:r>
              <w:rPr>
                <w:rFonts w:ascii="Times New Roman" w:hAnsi="Times New Roman" w:eastAsia="Times New Roman" w:cs="Times New Roman"/>
                <w:color w:val="000000" w:themeColor="text1"/>
                <w:sz w:val="24"/>
              </w:rPr>
              <w:t xml:space="preserve">Đất ONT: Lâu dài; Đất TCLN: đến ngày 15/10/2043</w:t>
            </w:r>
            <w:r>
              <w:rPr>
                <w:rFonts w:ascii="Times New Roman" w:hAnsi="Times New Roman" w:eastAsia="Times New Roman" w:cs="Times New Roman"/>
                <w:color w:val="000000" w:themeColor="text1"/>
                <w:sz w:val="28"/>
              </w:rPr>
            </w:r>
            <w:r>
              <w:rPr>
                <w:rFonts w:ascii="Times New Roman" w:hAnsi="Times New Roman" w:eastAsia="Times New Roman" w:cs="Times New Roman"/>
                <w:color w:val="000000" w:themeColor="text1"/>
                <w:sz w:val="28"/>
              </w:rP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6</w:t>
            </w:r>
            <w:r/>
          </w:p>
        </w:tc>
        <w:tc>
          <w:tcPr>
            <w:tcBorders/>
            <w:tcW w:w="1663" w:type="dxa"/>
            <w:vAlign w:val="center"/>
            <w:textDirection w:val="lrTb"/>
            <w:noWrap w:val="false"/>
          </w:tcPr>
          <w:p>
            <w:pPr>
              <w:pBdr/>
              <w:spacing/>
              <w:ind/>
              <w:jc w:val="center"/>
              <w:rPr/>
            </w:pPr>
            <w:r>
              <w:t xml:space="preserve">Kết cấu mặt đường</w:t>
            </w:r>
            <w:r/>
          </w:p>
        </w:tc>
        <w:tc>
          <w:tcPr>
            <w:tcBorders/>
            <w:tcW w:w="1560" w:type="dxa"/>
            <w:vAlign w:val="center"/>
            <w:textDirection w:val="lrTb"/>
            <w:noWrap w:val="false"/>
          </w:tcPr>
          <w:p>
            <w:pPr>
              <w:pBdr/>
              <w:spacing/>
              <w:ind/>
              <w:jc w:val="center"/>
              <w:rPr/>
            </w:pPr>
            <w:r>
              <w:t xml:space="preserve">Đường nhựa không có vỉa hè</w:t>
            </w:r>
            <w:r/>
          </w:p>
        </w:tc>
        <w:tc>
          <w:tcPr>
            <w:tcBorders/>
            <w:tcW w:w="1605" w:type="dxa"/>
            <w:vAlign w:val="center"/>
            <w:textDirection w:val="lrTb"/>
            <w:noWrap w:val="false"/>
          </w:tcPr>
          <w:p>
            <w:pPr>
              <w:pBdr/>
              <w:spacing/>
              <w:ind/>
              <w:jc w:val="center"/>
              <w:rPr/>
            </w:pPr>
            <w:r>
              <w:t xml:space="preserve">Đường nhựa không có vỉa hè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7</w:t>
            </w:r>
            <w:r/>
          </w:p>
        </w:tc>
        <w:tc>
          <w:tcPr>
            <w:tcBorders/>
            <w:tcW w:w="1663" w:type="dxa"/>
            <w:vAlign w:val="center"/>
            <w:textDirection w:val="lrTb"/>
            <w:noWrap w:val="false"/>
          </w:tcPr>
          <w:p>
            <w:pPr>
              <w:pBdr/>
              <w:spacing/>
              <w:ind/>
              <w:jc w:val="center"/>
              <w:rPr/>
            </w:pPr>
            <w:r>
              <w:t xml:space="preserve">Mặt cắt đường trước nhà</w:t>
            </w:r>
            <w:r/>
          </w:p>
        </w:tc>
        <w:tc>
          <w:tcPr>
            <w:tcBorders/>
            <w:tcW w:w="1560" w:type="dxa"/>
            <w:vAlign w:val="center"/>
            <w:textDirection w:val="lrTb"/>
            <w:noWrap w:val="false"/>
          </w:tcPr>
          <w:p>
            <w:pPr>
              <w:pBdr/>
              <w:spacing/>
              <w:ind/>
              <w:jc w:val="center"/>
              <w:rPr/>
            </w:pPr>
            <w:r>
              <w:t xml:space="preserve">5</w:t>
            </w:r>
            <w:r/>
          </w:p>
        </w:tc>
        <w:tc>
          <w:tcPr>
            <w:tcBorders/>
            <w:tcW w:w="1605" w:type="dxa"/>
            <w:vAlign w:val="center"/>
            <w:textDirection w:val="lrTb"/>
            <w:noWrap w:val="false"/>
          </w:tcPr>
          <w:p>
            <w:pPr>
              <w:pBdr/>
              <w:spacing/>
              <w:ind/>
              <w:jc w:val="center"/>
              <w:rPr/>
            </w:pPr>
            <w:r>
              <w:t xml:space="preserve">5 ✔</w:t>
            </w:r>
            <w:r/>
          </w:p>
        </w:tc>
        <w:tc>
          <w:tcPr>
            <w:tcBorders/>
            <w:tcW w:w="1371" w:type="dxa"/>
            <w:vAlign w:val="center"/>
            <w:textDirection w:val="lrTb"/>
            <w:noWrap w:val="false"/>
          </w:tcPr>
          <w:p>
            <w:pPr>
              <w:pBdr/>
              <w:spacing/>
              <w:ind/>
              <w:jc w:val="center"/>
              <w:rPr/>
            </w:pPr>
            <w:r>
              <w:t xml:space="preserve">0</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8</w:t>
            </w:r>
            <w:r/>
          </w:p>
        </w:tc>
        <w:tc>
          <w:tcPr>
            <w:tcBorders/>
            <w:tcW w:w="1663" w:type="dxa"/>
            <w:vAlign w:val="center"/>
            <w:textDirection w:val="lrTb"/>
            <w:noWrap w:val="false"/>
          </w:tcPr>
          <w:p>
            <w:pPr>
              <w:pBdr/>
              <w:spacing/>
              <w:ind/>
              <w:jc w:val="center"/>
              <w:rPr/>
            </w:pPr>
            <w:r>
              <w:t xml:space="preserve">Diện tích</w:t>
            </w:r>
            <w:r/>
          </w:p>
        </w:tc>
        <w:tc>
          <w:tcPr>
            <w:tcBorders/>
            <w:tcW w:w="1560" w:type="dxa"/>
            <w:vAlign w:val="center"/>
            <w:textDirection w:val="lrTb"/>
            <w:noWrap w:val="false"/>
          </w:tcPr>
          <w:p>
            <w:pPr>
              <w:pBdr/>
              <w:spacing/>
              <w:ind/>
              <w:jc w:val="center"/>
              <w:rPr/>
            </w:pPr>
            <w:r>
              <w:t xml:space="preserve">200</w:t>
            </w:r>
            <w:r/>
          </w:p>
        </w:tc>
        <w:tc>
          <w:tcPr>
            <w:tcBorders/>
            <w:tcW w:w="1605" w:type="dxa"/>
            <w:vAlign w:val="center"/>
            <w:textDirection w:val="lrTb"/>
            <w:noWrap w:val="false"/>
          </w:tcPr>
          <w:p>
            <w:pPr>
              <w:pBdr/>
              <w:spacing/>
              <w:ind/>
              <w:jc w:val="center"/>
              <w:rPr/>
            </w:pPr>
            <w:r>
              <w:t xml:space="preserve">200 ✔</w:t>
            </w:r>
            <w:r/>
          </w:p>
        </w:tc>
        <w:tc>
          <w:tcPr>
            <w:tcBorders/>
            <w:tcW w:w="1371" w:type="dxa"/>
            <w:vAlign w:val="center"/>
            <w:textDirection w:val="lrTb"/>
            <w:noWrap w:val="false"/>
          </w:tcPr>
          <w:p>
            <w:pPr>
              <w:pBdr/>
              <w:spacing/>
              <w:ind/>
              <w:jc w:val="center"/>
              <w:rPr/>
            </w:pPr>
            <w:r>
              <w:t xml:space="preserve">0</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9</w:t>
            </w:r>
            <w:r/>
          </w:p>
        </w:tc>
        <w:tc>
          <w:tcPr>
            <w:tcBorders/>
            <w:tcW w:w="1663" w:type="dxa"/>
            <w:vAlign w:val="center"/>
            <w:textDirection w:val="lrTb"/>
            <w:noWrap w:val="false"/>
          </w:tcPr>
          <w:p>
            <w:pPr>
              <w:pBdr/>
              <w:spacing/>
              <w:ind/>
              <w:jc w:val="center"/>
              <w:rPr/>
            </w:pPr>
            <w:r>
              <w:t xml:space="preserve">Mặt tiền</w:t>
            </w:r>
            <w:r/>
          </w:p>
        </w:tc>
        <w:tc>
          <w:tcPr>
            <w:tcBorders/>
            <w:tcW w:w="1560" w:type="dxa"/>
            <w:vAlign w:val="center"/>
            <w:textDirection w:val="lrTb"/>
            <w:noWrap w:val="false"/>
          </w:tcPr>
          <w:p>
            <w:pPr>
              <w:pBdr/>
              <w:spacing/>
              <w:ind/>
              <w:jc w:val="center"/>
              <w:rPr/>
            </w:pPr>
            <w:r>
              <w:t xml:space="preserve">5,65</w:t>
            </w:r>
            <w:r/>
          </w:p>
        </w:tc>
        <w:tc>
          <w:tcPr>
            <w:tcBorders/>
            <w:tcW w:w="1605" w:type="dxa"/>
            <w:vAlign w:val="center"/>
            <w:textDirection w:val="lrTb"/>
            <w:noWrap w:val="false"/>
          </w:tcPr>
          <w:p>
            <w:pPr>
              <w:pBdr/>
              <w:spacing/>
              <w:ind/>
              <w:jc w:val="center"/>
              <w:rPr/>
            </w:pPr>
            <w:r>
              <w:t xml:space="preserve">5,65 ✔</w:t>
            </w:r>
            <w:r/>
          </w:p>
        </w:tc>
        <w:tc>
          <w:tcPr>
            <w:tcBorders/>
            <w:tcW w:w="1371" w:type="dxa"/>
            <w:vAlign w:val="center"/>
            <w:textDirection w:val="lrTb"/>
            <w:noWrap w:val="false"/>
          </w:tcPr>
          <w:p>
            <w:pPr>
              <w:pBdr/>
              <w:spacing/>
              <w:ind/>
              <w:jc w:val="center"/>
              <w:rPr/>
            </w:pPr>
            <w:r>
              <w:t xml:space="preserve">0</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10</w:t>
            </w:r>
            <w:r/>
          </w:p>
        </w:tc>
        <w:tc>
          <w:tcPr>
            <w:tcBorders/>
            <w:tcW w:w="1663" w:type="dxa"/>
            <w:vAlign w:val="center"/>
            <w:textDirection w:val="lrTb"/>
            <w:noWrap w:val="false"/>
          </w:tcPr>
          <w:p>
            <w:pPr>
              <w:pBdr/>
              <w:spacing/>
              <w:ind/>
              <w:jc w:val="center"/>
              <w:rPr/>
            </w:pPr>
            <w:r>
              <w:t xml:space="preserve">Chiều sâu</w:t>
            </w:r>
            <w:r/>
          </w:p>
        </w:tc>
        <w:tc>
          <w:tcPr>
            <w:tcBorders/>
            <w:tcW w:w="1560" w:type="dxa"/>
            <w:vAlign w:val="center"/>
            <w:textDirection w:val="lrTb"/>
            <w:noWrap w:val="false"/>
          </w:tcPr>
          <w:p>
            <w:pPr>
              <w:pBdr/>
              <w:spacing/>
              <w:ind/>
              <w:jc w:val="center"/>
              <w:rPr/>
            </w:pPr>
            <w:r>
              <w:t xml:space="preserve">35,67</w:t>
            </w:r>
            <w:r/>
          </w:p>
        </w:tc>
        <w:tc>
          <w:tcPr>
            <w:tcBorders/>
            <w:tcW w:w="1605" w:type="dxa"/>
            <w:vAlign w:val="center"/>
            <w:textDirection w:val="lrTb"/>
            <w:noWrap w:val="false"/>
          </w:tcPr>
          <w:p>
            <w:pPr>
              <w:pBdr/>
              <w:spacing/>
              <w:ind/>
              <w:jc w:val="center"/>
              <w:rPr>
                <w14:ligatures w14:val="none"/>
              </w:rPr>
            </w:pPr>
            <w:r>
              <w:t xml:space="preserve">35,67</w:t>
            </w:r>
            <w:r>
              <w:t xml:space="preserve">✔</w:t>
            </w:r>
            <w:r>
              <w:rPr>
                <w14:ligatures w14:val="none"/>
              </w:rPr>
            </w:r>
            <w:r>
              <w:rPr>
                <w14:ligatures w14:val="none"/>
              </w:rPr>
            </w:r>
          </w:p>
        </w:tc>
        <w:tc>
          <w:tcPr>
            <w:tcBorders/>
            <w:tcW w:w="1371" w:type="dxa"/>
            <w:vAlign w:val="center"/>
            <w:textDirection w:val="lrTb"/>
            <w:noWrap w:val="false"/>
          </w:tcPr>
          <w:p>
            <w:pPr>
              <w:pBdr/>
              <w:spacing/>
              <w:ind/>
              <w:jc w:val="center"/>
              <w:rPr/>
            </w:pPr>
            <w:r>
              <w:t xml:space="preserve">0</w:t>
            </w:r>
            <w:r/>
          </w:p>
        </w:tc>
        <w:tc>
          <w:tcPr>
            <w:tcBorders/>
            <w:tcW w:w="2149" w:type="dxa"/>
            <w:vAlign w:val="center"/>
            <w:textDirection w:val="lrTb"/>
            <w:noWrap w:val="false"/>
          </w:tcPr>
          <w:p>
            <w:pPr>
              <w:pBdr/>
              <w:spacing/>
              <w:ind/>
              <w:jc w:val="center"/>
              <w:rPr/>
            </w:pPr>
            <w:r/>
            <w:r/>
          </w:p>
        </w:tc>
      </w:tr>
    </w:tbl>
    <w:p>
      <w:pPr>
        <w:pBdr/>
        <w:spacing w:line="235" w:lineRule="auto"/>
        <w:ind w:left="646"/>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w:t>
      </w:r>
      <w:r>
        <w:rPr>
          <w:b/>
          <w:bCs/>
          <w:u w:val="single"/>
        </w:rPr>
        <w:t xml:space="preserve"> lợi thế thương mại </w:t>
      </w:r>
      <w:r>
        <w:rPr>
          <w:b/>
          <w:bCs/>
          <w:u w:val="single"/>
        </w:rPr>
        <w:t xml:space="preserve">của thửa đất:</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Đất/Tài sản bám biển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bám hồ (Diện tích &gt;=5ha thì được coi là hồ)</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Bám đầm, ao lớn thuộc sở hữu nhà nước (ao lớn - S=0.5</w:t>
            </w:r>
            <w:r>
              <w:rPr>
                <w:lang w:eastAsia="ko-KR"/>
              </w:rPr>
              <w:t xml:space="preserve">ha)&lt;</w:t>
            </w:r>
            <w:r>
              <w:rPr>
                <w:lang w:eastAsia="ko-KR"/>
              </w:rPr>
              <w:t xml:space="preserve">5ha</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Thế đất tọa sơn hướng thủy 'hậu tựa núi, trước view sông, hồ, đầm', view thoáng, không bị che khuất, loại đất rất được ưa chuộng nghỉ dưỡng, nhà nghỉ cao cấp</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View hồ sông, sông, suối, đầm, ao lớn (S=0.5ha), ruộng lúa, đồi núi xa, ngắm hoàng hôn, bình minh xa soi mặt nước, thơ mộng</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 vào thoáng không đâm thẳng cửa chính 'Thế tránh tiễn khí'</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Có yếu tố 'Linh' gắn với tiếng lành, tài lộc, đại danh, văn hóa, truyền thuyết được xem là khu địa linh nhân kiệt</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Đất/tài sản liền kề, đối diện vườn hoa, khu thể thao, bể bơi (không đối diện nhà ở) để được xe hơi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view công viên, vườn hoa, khu thể thao, bể bơi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 </w:t>
      </w:r>
      <w:r>
        <w:rPr>
          <w:b/>
          <w:bCs/>
          <w:u w:val="single"/>
        </w:rPr>
        <w:t xml:space="preserve">bất lợi thương mại </w:t>
      </w:r>
      <w:r>
        <w:rPr>
          <w:b/>
          <w:bCs/>
          <w:u w:val="single"/>
        </w:rPr>
        <w:t xml:space="preserve">của thửa đất:</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50m</w:t>
            </w:r>
            <w:r>
              <w:rPr>
                <w:lang w:eastAsia="ko-KR"/>
              </w:rPr>
              <w:t xml:space="preserve"> </w:t>
            </w:r>
            <w:r>
              <w:rPr>
                <w:lang w:eastAsia="ko-KR"/>
              </w:rPr>
              <w:t xml:space="preserve">&lt;=</w:t>
            </w:r>
            <w:r>
              <w:rPr>
                <w:lang w:eastAsia="ko-KR"/>
              </w:rPr>
              <w:t xml:space="preserve"> </w:t>
            </w:r>
            <w:r>
              <w:rPr>
                <w:lang w:eastAsia="ko-KR"/>
              </w:rPr>
              <w:t xml:space="preserve">150m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150m</w:t>
            </w:r>
            <w:r>
              <w:rPr>
                <w:lang w:eastAsia="ko-KR"/>
              </w:rPr>
              <w:t xml:space="preserve"> </w:t>
            </w:r>
            <w:r>
              <w:rPr>
                <w:lang w:eastAsia="ko-KR"/>
              </w:rPr>
              <w:t xml:space="preserve">&lt;=</w:t>
            </w:r>
            <w:r>
              <w:rPr>
                <w:lang w:eastAsia="ko-KR"/>
              </w:rPr>
              <w:t xml:space="preserve"> </w:t>
            </w:r>
            <w:r>
              <w:rPr>
                <w:lang w:eastAsia="ko-KR"/>
              </w:rPr>
              <w:t xml:space="preserve">300m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300m</w:t>
            </w:r>
            <w:r>
              <w:rPr>
                <w:lang w:eastAsia="ko-KR"/>
              </w:rPr>
              <w:t xml:space="preserve"> </w:t>
            </w:r>
            <w:r>
              <w:rPr>
                <w:lang w:eastAsia="ko-KR"/>
              </w:rPr>
              <w:t xml:space="preserve">&lt;=</w:t>
            </w:r>
            <w:r>
              <w:rPr>
                <w:lang w:eastAsia="ko-KR"/>
              </w:rPr>
              <w:t xml:space="preserve"> </w:t>
            </w:r>
            <w:r>
              <w:rPr>
                <w:lang w:eastAsia="ko-KR"/>
              </w:rPr>
              <w:t xml:space="preserve">500m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(Miếu thờ cúng tâm linh, đình, đền, chùa…)</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(Miếu thờ cúng tâm linh, đình, đền, chùa…) </w:t>
            </w:r>
            <w:r>
              <w:rPr>
                <w:lang w:eastAsia="ko-KR"/>
              </w:rPr>
              <w:t xml:space="preserve">(</w:t>
            </w:r>
            <w:r>
              <w:rPr>
                <w:lang w:eastAsia="ko-KR"/>
              </w:rPr>
              <w:t xml:space="preserve">30m</w:t>
            </w:r>
            <w:r>
              <w:rPr>
                <w:lang w:eastAsia="ko-KR"/>
              </w:rPr>
              <w:t xml:space="preserve"> </w:t>
            </w:r>
            <w:r>
              <w:rPr>
                <w:lang w:eastAsia="ko-KR"/>
              </w:rPr>
              <w:t xml:space="preserve">&lt;=</w:t>
            </w:r>
            <w:r>
              <w:rPr>
                <w:lang w:eastAsia="ko-KR"/>
              </w:rPr>
              <w:t xml:space="preserve"> </w:t>
            </w:r>
            <w:r>
              <w:rPr>
                <w:lang w:eastAsia="ko-KR"/>
              </w:rPr>
              <w:t xml:space="preserve">100m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w:t>
            </w:r>
            <w:r>
              <w:rPr>
                <w:lang w:eastAsia="ko-KR"/>
              </w:rPr>
              <w:t xml:space="preserve">từng</w:t>
            </w:r>
            <w:r>
              <w:rPr>
                <w:lang w:eastAsia="ko-KR"/>
              </w:rPr>
              <w:t xml:space="preserve"> là nghĩa trang, khu tâm linh cũ (đền, đình, chùa, miếu mạo…) đã được san lấp làm khu dân cư</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đất/Công trình có mộ không thể hoặc rất khó có khả năng di chuyển (Mộ tổ chi, tộc, mộ cổ, mộ tâm linh gắn với miếu mạo được nhân dân thờ cúng</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 Công trình có mộ gia đình hoặc vô chủ có thể di chuyển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sát khu mộ phần hoặc liền kề mộ phần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 Công trình có điện thờ, nhà thợ họ dòng tộc</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sát hoặc liền kề nhà thờ họ</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gia tộc anh em, họ hàng sống xung quanh chung ngõ đi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 án mạng/ tại nạn... bị ảnh hưởng truyền thông Nhẹ </w:t>
            </w:r>
            <w:r>
              <w:rPr>
                <w:lang w:eastAsia="ko-KR"/>
              </w:rPr>
              <w:t xml:space="preserve">“</w:t>
            </w:r>
            <w:r>
              <w:rPr>
                <w:lang w:eastAsia="ko-KR"/>
              </w:rPr>
              <w:t xml:space="preserve">Một vụ tự sát cá biệt không ồn ào, không truyền thông, trong nhà riêng, người Mua/Bán đông ít quan tâm: thị trường ít phản ứng, nếu có phản ứng chỉ là tâm lý tạm thời.</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Trung bình </w:t>
            </w:r>
            <w:r>
              <w:rPr>
                <w:lang w:eastAsia="ko-KR"/>
              </w:rPr>
              <w:t xml:space="preserve">“</w:t>
            </w:r>
            <w:r>
              <w:rPr>
                <w:lang w:eastAsia="ko-KR"/>
              </w:rPr>
              <w:t xml:space="preserve">Một vụ tự sát được biết trong khu vực nhưng có ít lời đồn, nhưng có thể che dấu/ khắc phục nhanh (sơn sửa, thay nội thất: phổ biến ở căn hộ chung cư, nhà phố ảnh hưởng của nó giảm theo thời gian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Mạnh </w:t>
            </w:r>
            <w:r>
              <w:rPr>
                <w:lang w:eastAsia="ko-KR"/>
              </w:rPr>
              <w:t xml:space="preserve">“</w:t>
            </w:r>
            <w:r>
              <w:rPr>
                <w:lang w:eastAsia="ko-KR"/>
              </w:rPr>
              <w:t xml:space="preserve">Vụ có yếu tố bạo lực, hoặc được đăng báo địa phương; khu dân cư tỏ ra e ngại; mua ở chịu ảnh hưởng. Mức này thường dùng khi có giao dịch thực tế cho thấy có sự kiện bị bán rẻ hơn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Rất Mạnh </w:t>
            </w:r>
            <w:r>
              <w:rPr>
                <w:lang w:eastAsia="ko-KR"/>
              </w:rPr>
              <w:t xml:space="preserve">“</w:t>
            </w:r>
            <w:r>
              <w:rPr>
                <w:lang w:eastAsia="ko-KR"/>
              </w:rPr>
              <w:t xml:space="preserve">Vụ nổi tiếng, nhiều truyề</w:t>
            </w:r>
            <w:r>
              <w:rPr>
                <w:lang w:eastAsia="ko-KR"/>
              </w:rPr>
              <w:t xml:space="preserve">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cây xăng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trạm thu phát </w:t>
            </w:r>
            <w:r>
              <w:rPr>
                <w:lang w:eastAsia="ko-KR"/>
              </w:rPr>
              <w:t xml:space="preserve">sóng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đường dây truyền tải điện cao thế 500 KV</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đường dây truyền tải điện 220 KV</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Mặt tiền bị che chắn (có cột điện, trạm biến áp…)</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đường sắt&lt;=50m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 vào thẳng tắp như mũi tên đâm thẳng cửa chính </w:t>
            </w:r>
            <w:r>
              <w:rPr>
                <w:lang w:eastAsia="ko-KR"/>
              </w:rPr>
              <w:t xml:space="preserve">“</w:t>
            </w:r>
            <w:r>
              <w:rPr>
                <w:lang w:eastAsia="ko-KR"/>
              </w:rPr>
              <w:t xml:space="preserve">Thế tiễn khí</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nằm dưới chân cầu, đường dốc cao (Thế bị </w:t>
            </w:r>
            <w:r>
              <w:rPr>
                <w:lang w:eastAsia="ko-KR"/>
              </w:rPr>
              <w:t xml:space="preserve">xung</w:t>
            </w:r>
            <w:r>
              <w:rPr>
                <w:lang w:eastAsia="ko-KR"/>
              </w:rPr>
              <w:t xml:space="preserve"> :</w:t>
            </w:r>
            <w:r>
              <w:rPr>
                <w:lang w:eastAsia="ko-KR"/>
              </w:rPr>
              <w:t xml:space="preserve"> </w:t>
            </w:r>
            <w:r>
              <w:rPr>
                <w:lang w:eastAsia="ko-KR"/>
              </w:rPr>
              <w:t xml:space="preserve">Hổ phục, Long phục) xe lao xuống, gió tạt thẳng sát khí, không tụ</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Giao lộ Chữ </w:t>
            </w:r>
            <w:r>
              <w:rPr>
                <w:lang w:eastAsia="ko-KR"/>
              </w:rPr>
              <w:t xml:space="preserve">“</w:t>
            </w:r>
            <w:r>
              <w:rPr>
                <w:lang w:eastAsia="ko-KR"/>
              </w:rPr>
              <w:t xml:space="preserve">T</w:t>
            </w:r>
            <w:r>
              <w:rPr>
                <w:lang w:eastAsia="ko-KR"/>
              </w:rPr>
              <w:t xml:space="preserve">”</w:t>
            </w:r>
            <w:r>
              <w:rPr>
                <w:lang w:eastAsia="ko-KR"/>
              </w:rPr>
              <w:t xml:space="preserve">, bị đường đâm thẳng vào </w:t>
            </w:r>
            <w:r>
              <w:rPr>
                <w:lang w:eastAsia="ko-KR"/>
              </w:rPr>
              <w:t xml:space="preserve">“</w:t>
            </w:r>
            <w:r>
              <w:rPr>
                <w:lang w:eastAsia="ko-KR"/>
              </w:rPr>
              <w:t xml:space="preserve">Thế tiền đao sát</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Style w:val="1027"/>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r>
        <w:rPr>
          <w:b/>
          <w:lang w:val="pt-BR"/>
        </w:rPr>
      </w:r>
    </w:p>
    <w:p>
      <w:pPr>
        <w:pStyle w:val="1027"/>
        <w:numPr>
          <w:ilvl w:val="0"/>
          <w:numId w:val="3"/>
        </w:numPr>
        <w:pBdr/>
        <w:tabs>
          <w:tab w:val="left" w:leader="none" w:pos="993"/>
        </w:tabs>
        <w:spacing w:after="120" w:before="120" w:line="264" w:lineRule="auto"/>
        <w:ind/>
        <w:jc w:val="both"/>
        <w:rPr>
          <w:spacing w:val="-2"/>
          <w:lang w:val="pt-BR"/>
        </w:rPr>
      </w:pPr>
      <w:r>
        <w:rPr>
          <w:spacing w:val="-2"/>
          <w:lang w:val="pt-BR"/>
        </w:rPr>
        <w:t xml:space="preserve">Chúng tôi giả định rằng tài sản thẩm </w:t>
      </w:r>
      <w:r>
        <w:rPr>
          <w:spacing w:val="-2"/>
          <w:lang w:val="pt-BR"/>
        </w:rPr>
        <w:t xml:space="preserve">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w:t>
      </w:r>
      <w:r>
        <w:rPr>
          <w:spacing w:val="-2"/>
          <w:lang w:val="pt-BR"/>
        </w:rPr>
        <w:t xml:space="preserve">đới (nếu có) trong trường hợp này.</w:t>
      </w:r>
      <w:r>
        <w:rPr>
          <w:spacing w:val="-2"/>
          <w:lang w:val="pt-BR"/>
        </w:rPr>
      </w:r>
      <w:r>
        <w:rPr>
          <w:spacing w:val="-2"/>
          <w:lang w:val="pt-BR"/>
        </w:rPr>
      </w:r>
    </w:p>
    <w:p>
      <w:pPr>
        <w:pStyle w:val="1027"/>
        <w:numPr>
          <w:ilvl w:val="0"/>
          <w:numId w:val="3"/>
        </w:numPr>
        <w:pBdr/>
        <w:tabs>
          <w:tab w:val="left" w:leader="none" w:pos="993"/>
        </w:tabs>
        <w:spacing w:after="120" w:before="120" w:line="264" w:lineRule="auto"/>
        <w:ind/>
        <w:jc w:val="both"/>
        <w:rPr>
          <w:spacing w:val="-2"/>
          <w:lang w:val="pt-BR"/>
        </w:rPr>
      </w:pPr>
      <w:r>
        <w:rPr>
          <w:lang w:val="pt-BR"/>
        </w:rPr>
        <w:t xml:space="preserve">Giá trị tài sản thẩm định giá được ước tính dựa trên giả định không có bất kỳ yếu tố nào làm cản trở ảnh hưởng đến việc giao dịch bình thường của tài sản trên thị trường.</w:t>
      </w:r>
      <w:r>
        <w:rPr>
          <w:spacing w:val="-2"/>
          <w:lang w:val="pt-BR"/>
        </w:rPr>
      </w:r>
      <w:r>
        <w:rPr>
          <w:spacing w:val="-2"/>
          <w:lang w:val="pt-BR"/>
        </w:rPr>
      </w:r>
    </w:p>
    <w:p>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r>
        <w:rPr>
          <w:b/>
          <w:bCs/>
          <w:lang w:val="pt-BR"/>
        </w:rPr>
      </w:r>
    </w:p>
    <w:p>
      <w:pPr>
        <w:pStyle w:val="1027"/>
        <w:numPr>
          <w:ilvl w:val="0"/>
          <w:numId w:val="3"/>
        </w:numPr>
        <w:pBdr/>
        <w:tabs>
          <w:tab w:val="left" w:leader="none" w:pos="993"/>
        </w:tabs>
        <w:spacing w:after="120" w:before="120" w:line="264" w:lineRule="auto"/>
        <w:ind/>
        <w:jc w:val="both"/>
        <w:rPr>
          <w:lang w:val="pt-BR"/>
        </w:rPr>
      </w:pPr>
      <w:r>
        <w:rPr>
          <w:b/>
          <w:bCs/>
          <w:lang w:val="pt-BR"/>
        </w:rPr>
        <w:t xml:space="preserve">Giá trị thị trường</w:t>
      </w:r>
      <w:r>
        <w:rPr>
          <w:b/>
          <w:bCs/>
          <w:lang w:val="pt-BR"/>
        </w:rPr>
        <w:t xml:space="preserve">:</w:t>
      </w:r>
      <w:r>
        <w:rPr>
          <w:lang w:val="pt-BR"/>
        </w:rPr>
        <w:t xml:space="preserve"> Kết quả thẩm định giá trị tài sản được xác định dựa trên cơ sở giá trị thị trường tại thời điểm thẩm định theo </w:t>
      </w:r>
      <w:r>
        <w:rPr>
          <w:lang w:val="pt-BR"/>
        </w:rPr>
        <w:t xml:space="preserve">Chuẩn mực thẩm định giá Việt Nam về Cơ sở giá trị thẩm định giá</w:t>
      </w:r>
      <w:r>
        <w:rPr>
          <w:lang w:val="pt-BR"/>
        </w:rPr>
        <w:t xml:space="preserve">: </w:t>
      </w:r>
      <w:r>
        <w:rPr>
          <w:i/>
          <w:iCs/>
          <w:lang w:val="pt-BR"/>
        </w:rPr>
        <w:t xml:space="preserve">“</w:t>
      </w:r>
      <w:r>
        <w:rPr>
          <w:i/>
          <w:iCs/>
          <w:lang w:val="pt-BR"/>
        </w:rPr>
        <w:t xml:space="preserve">Giá trị thị trường là khoản tiền ước </w:t>
      </w:r>
      <w:r>
        <w:rPr>
          <w:i/>
          <w:iCs/>
          <w:lang w:val="pt-BR"/>
        </w:rPr>
        <w:t xml:space="preserve">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i/>
          <w:iCs/>
          <w:lang w:val="pt-BR"/>
        </w:rPr>
        <w:t xml:space="preserve">”</w:t>
      </w:r>
      <w:r>
        <w:rPr>
          <w:lang w:val="pt-BR"/>
        </w:rPr>
        <w:t xml:space="preserve">. </w:t>
      </w:r>
      <w:r>
        <w:rPr>
          <w:lang w:val="pt-BR"/>
        </w:rPr>
      </w:r>
      <w:r>
        <w:rPr>
          <w:lang w:val="pt-BR"/>
        </w:rPr>
      </w:r>
    </w:p>
    <w:p>
      <w:pPr>
        <w:pBdr/>
        <w:spacing w:after="120" w:before="120" w:line="276" w:lineRule="auto"/>
        <w:ind/>
        <w:jc w:val="both"/>
        <w:rPr>
          <w:lang w:val="pt-BR"/>
        </w:rPr>
      </w:pPr>
      <w:r>
        <w:rPr>
          <w:b/>
          <w:bCs/>
          <w:lang w:val="pt-BR"/>
        </w:rPr>
        <w:t xml:space="preserve">VII. CÁCH TIẾP CẬN, PHƯƠNG PHÁP THẨM ĐỊNH GIÁ</w:t>
      </w:r>
      <w:r>
        <w:rPr>
          <w:lang w:val="pt-BR"/>
        </w:rPr>
      </w:r>
      <w:r>
        <w:rPr>
          <w:lang w:val="pt-BR"/>
        </w:rPr>
      </w:r>
    </w:p>
    <w:p>
      <w:pPr>
        <w:pStyle w:val="1027"/>
        <w:numPr>
          <w:ilvl w:val="0"/>
          <w:numId w:val="24"/>
        </w:numPr>
        <w:pBdr/>
        <w:spacing w:after="120" w:before="120" w:line="276" w:lineRule="auto"/>
        <w:ind w:hanging="357" w:left="357"/>
        <w:jc w:val="both"/>
        <w:rPr>
          <w:b/>
          <w:lang w:val="pt-BR"/>
        </w:rPr>
      </w:pPr>
      <w:r>
        <w:rPr>
          <w:b/>
          <w:lang w:val="pt-BR"/>
        </w:rPr>
        <w:t xml:space="preserve">Cách tiếp cận và phương pháp thẩm định:</w:t>
      </w:r>
      <w:r>
        <w:rPr>
          <w:b/>
          <w:lang w:val="pt-BR"/>
        </w:rPr>
      </w:r>
      <w:r>
        <w:rPr>
          <w:b/>
          <w:lang w:val="pt-BR"/>
        </w:rPr>
      </w:r>
    </w:p>
    <w:p>
      <w:pPr>
        <w:pStyle w:val="1027"/>
        <w:numPr>
          <w:ilvl w:val="0"/>
          <w:numId w:val="3"/>
        </w:numPr>
        <w:pBdr/>
        <w:tabs>
          <w:tab w:val="left" w:leader="none" w:pos="993"/>
        </w:tabs>
        <w:spacing w:after="120" w:before="120" w:line="276" w:lineRule="auto"/>
        <w:ind w:left="357"/>
        <w:jc w:val="both"/>
        <w:rPr>
          <w:bCs/>
          <w:lang w:val="pt-BR"/>
        </w:rPr>
      </w:pPr>
      <w:r>
        <w:rPr>
          <w:bCs/>
          <w:i/>
          <w:iCs/>
          <w:lang w:val="pt-BR"/>
        </w:rPr>
        <w:t xml:space="preserve">Cách t</w:t>
      </w:r>
      <w:r>
        <w:rPr>
          <w:bCs/>
          <w:i/>
          <w:iCs/>
          <w:lang w:val="pt-BR"/>
        </w:rPr>
        <w:t xml:space="preserve">iếp cận từ thị trường:</w:t>
      </w:r>
      <w:r>
        <w:rPr>
          <w:bCs/>
          <w:i/>
          <w:iCs/>
          <w:lang w:val="pt-BR"/>
        </w:rPr>
        <w:t xml:space="preserve"> </w:t>
      </w:r>
      <w:r>
        <w:rPr>
          <w:bCs/>
          <w:lang w:val="pt-BR"/>
        </w:rPr>
        <w:t xml:space="preserve">X</w:t>
      </w:r>
      <w:r>
        <w:rPr>
          <w:bCs/>
          <w:lang w:val="pt-BR"/>
        </w:rPr>
        <w:t xml:space="preserve">ác định giá trị của tài sản thẩm định giá thông qua việc so sánh tài sản thẩm định giá với các tài sản so sánh đã có các thông tin về giá trên thị trường</w:t>
      </w:r>
      <w:r>
        <w:rPr>
          <w:bCs/>
          <w:lang w:val="pt-BR"/>
        </w:rPr>
        <w:t xml:space="preserve">.</w:t>
      </w:r>
      <w:r>
        <w:rPr>
          <w:bCs/>
          <w:lang w:val="pt-BR"/>
        </w:rPr>
      </w:r>
      <w:r>
        <w:rPr>
          <w:bCs/>
          <w:lang w:val="pt-BR"/>
        </w:rPr>
      </w:r>
    </w:p>
    <w:p>
      <w:pPr>
        <w:pStyle w:val="1027"/>
        <w:numPr>
          <w:ilvl w:val="0"/>
          <w:numId w:val="3"/>
        </w:numPr>
        <w:pBdr/>
        <w:tabs>
          <w:tab w:val="left" w:leader="none" w:pos="993"/>
        </w:tabs>
        <w:spacing w:after="120" w:before="120" w:line="276" w:lineRule="auto"/>
        <w:ind w:left="357"/>
        <w:jc w:val="both"/>
        <w:rPr>
          <w:bCs/>
          <w:lang w:val="pt-BR"/>
        </w:rPr>
      </w:pPr>
      <w:r>
        <w:rPr>
          <w:bCs/>
          <w:i/>
          <w:iCs/>
          <w:lang w:val="pt-BR"/>
        </w:rPr>
        <w:t xml:space="preserve">Phương pháp so sánh:</w:t>
      </w:r>
      <w:r>
        <w:rPr>
          <w:bCs/>
          <w:lang w:val="pt-BR"/>
        </w:rPr>
        <w:t xml:space="preserve"> </w:t>
      </w:r>
      <w:r>
        <w:rPr>
          <w:bCs/>
          <w:lang w:val="pt-BR"/>
        </w:rPr>
        <w:t xml:space="preserve">X</w:t>
      </w:r>
      <w:r>
        <w:rPr>
          <w:bCs/>
          <w:lang w:val="pt-BR"/>
        </w:rPr>
        <w:t xml:space="preserve">ác đ</w:t>
      </w:r>
      <w:r>
        <w:rPr>
          <w:bCs/>
          <w:lang w:val="pt-BR"/>
        </w:rPr>
        <w:t xml:space="preserve">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bCs/>
          <w:lang w:val="pt-BR"/>
        </w:rPr>
        <w:t xml:space="preserve">.</w:t>
      </w:r>
      <w:r>
        <w:rPr>
          <w:bCs/>
          <w:lang w:val="pt-BR"/>
        </w:rPr>
      </w:r>
      <w:r>
        <w:rPr>
          <w:bCs/>
          <w:lang w:val="pt-BR"/>
        </w:rPr>
      </w:r>
    </w:p>
    <w:p>
      <w:pPr>
        <w:pStyle w:val="1027"/>
        <w:numPr>
          <w:ilvl w:val="0"/>
          <w:numId w:val="24"/>
        </w:numPr>
        <w:pBdr/>
        <w:spacing w:after="120" w:before="120" w:line="276" w:lineRule="auto"/>
        <w:ind w:hanging="357" w:left="357"/>
        <w:jc w:val="both"/>
        <w:rPr>
          <w:b/>
          <w:lang w:val="pt-BR"/>
        </w:rPr>
      </w:pPr>
      <w:r>
        <w:rPr>
          <w:b/>
          <w:lang w:val="pt-BR"/>
        </w:rPr>
        <w:t xml:space="preserve">Xác định cách tiếp cận và phương pháp đối với tài sản thẩm định giá</w:t>
      </w:r>
      <w:r>
        <w:rPr>
          <w:b/>
          <w:lang w:val="pt-BR"/>
        </w:rPr>
        <w:t xml:space="preserve">:</w:t>
      </w:r>
      <w:r>
        <w:rPr>
          <w:b/>
          <w:lang w:val="pt-BR"/>
        </w:rPr>
      </w:r>
      <w:r>
        <w:rPr>
          <w:b/>
          <w:lang w:val="pt-BR"/>
        </w:rPr>
      </w:r>
    </w:p>
    <w:p>
      <w:pPr>
        <w:pStyle w:val="1027"/>
        <w:numPr>
          <w:ilvl w:val="0"/>
          <w:numId w:val="3"/>
        </w:numPr>
        <w:pBdr/>
        <w:spacing w:after="120" w:before="120" w:line="276" w:lineRule="auto"/>
        <w:ind w:left="357"/>
        <w:jc w:val="both"/>
        <w:rPr>
          <w:spacing w:val="-4"/>
          <w:lang w:val="pt-BR"/>
        </w:rPr>
      </w:pPr>
      <w:r>
        <w:rPr>
          <w:spacing w:val="-4"/>
          <w:lang w:val="pt-BR"/>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Pr>
          <w:spacing w:val="-4"/>
          <w:lang w:val="pt-BR"/>
        </w:rPr>
        <w:t xml:space="preserve"> giá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sử dụn</w:t>
      </w:r>
      <w:r>
        <w:rPr>
          <w:spacing w:val="-4"/>
          <w:lang w:val="pt-BR"/>
        </w:rPr>
        <w:t xml:space="preserve">g đất của</w:t>
      </w:r>
      <w:r>
        <w:rPr>
          <w:spacing w:val="-4"/>
          <w:lang w:val="pt-BR"/>
        </w:rPr>
        <w:t xml:space="preserve"> tài sản thẩm định giá</w:t>
      </w:r>
      <w:r>
        <w:rPr>
          <w:spacing w:val="-4"/>
          <w:lang w:val="pt-BR"/>
        </w:rPr>
        <w:t xml:space="preserve">.</w:t>
      </w:r>
      <w:r>
        <w:rPr>
          <w:spacing w:val="-4"/>
          <w:lang w:val="pt-BR"/>
        </w:rPr>
      </w:r>
      <w:r>
        <w:rPr>
          <w:spacing w:val="-4"/>
          <w:lang w:val="pt-BR"/>
        </w:rPr>
      </w:r>
    </w:p>
    <w:p>
      <w:pPr>
        <w:pStyle w:val="1027"/>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r>
        <w:rPr>
          <w:lang w:val="de-DE"/>
        </w:rPr>
      </w:r>
    </w:p>
    <w:p>
      <w:pPr>
        <w:pStyle w:val="1027"/>
        <w:numPr>
          <w:ilvl w:val="0"/>
          <w:numId w:val="26"/>
        </w:numPr>
        <w:pBdr/>
        <w:spacing w:after="120" w:before="120" w:line="276" w:lineRule="auto"/>
        <w:ind w:hanging="357" w:left="357"/>
        <w:jc w:val="both"/>
        <w:rPr>
          <w:b/>
          <w:lang w:val="pt-BR"/>
        </w:rPr>
      </w:pPr>
      <w:r>
        <w:rPr>
          <w:b/>
          <w:lang w:val="pt-BR"/>
        </w:rPr>
        <w:t xml:space="preserve">Xác định </w:t>
      </w:r>
      <w:r>
        <w:rPr>
          <w:b/>
          <w:lang w:val="pt-BR"/>
        </w:rPr>
        <w:t xml:space="preserve">đơn giá</w:t>
      </w:r>
      <w:r>
        <w:rPr>
          <w:b/>
          <w:lang w:val="pt-BR"/>
        </w:rPr>
        <w:t xml:space="preserve"> quyền sử dụng đấ</w:t>
      </w:r>
      <w:r>
        <w:rPr>
          <w:b/>
          <w:lang w:val="pt-BR"/>
        </w:rPr>
        <w:t xml:space="preserve">t</w:t>
      </w:r>
      <w:r>
        <w:rPr>
          <w:b/>
          <w:lang w:val="pt-BR"/>
        </w:rPr>
        <w:t xml:space="preserve">:</w:t>
      </w:r>
      <w:r>
        <w:rPr>
          <w:b/>
          <w:lang w:val="pt-BR"/>
        </w:rPr>
      </w:r>
      <w:r>
        <w:rPr>
          <w:b/>
          <w:lang w:val="pt-BR"/>
        </w:rPr>
      </w:r>
    </w:p>
    <w:p>
      <w:pPr>
        <w:pStyle w:val="1027"/>
        <w:pBdr/>
        <w:spacing w:after="120" w:before="120" w:line="276" w:lineRule="auto"/>
        <w:ind w:firstLine="357" w:left="0"/>
        <w:jc w:val="both"/>
        <w:rPr>
          <w:bCs/>
          <w:lang w:val="pt-BR"/>
        </w:rPr>
      </w:pPr>
      <w:r>
        <w:rPr>
          <w:lang w:val="nl-NL"/>
        </w:rPr>
        <w:t xml:space="preserve">Qua khảo sát thị trường, </w:t>
      </w:r>
      <w:r>
        <w:rPr>
          <w:lang w:val="nl-NL"/>
        </w:rPr>
        <w:t xml:space="preserve">T</w:t>
      </w:r>
      <w:r>
        <w:rPr>
          <w:lang w:val="nl-NL"/>
        </w:rPr>
        <w:t xml:space="preserve">ổ thẩm định thu thập được 03 giao dịch được cho là tương đồng về đặc điểm vị trí, giao thông, kích thước, mặt tiền, điều kiện hạ tầng và điều kiện xã </w:t>
      </w:r>
      <w:r>
        <w:rPr>
          <w:lang w:val="nl-NL"/>
        </w:rPr>
        <w:t xml:space="preserve">hội,…</w:t>
      </w:r>
      <w:r>
        <w:rPr>
          <w:lang w:val="nl-NL"/>
        </w:rPr>
        <w:t xml:space="preserve"> với tài sản thẩm định giá, cụ thể như sau:</w:t>
      </w:r>
      <w:r>
        <w:rPr>
          <w:bCs/>
          <w:lang w:val="pt-BR"/>
        </w:rPr>
      </w:r>
      <w:r>
        <w:rPr>
          <w:bCs/>
          <w:lang w:val="pt-BR"/>
        </w:rPr>
      </w:r>
    </w:p>
    <w:p>
      <w:pPr>
        <w:pStyle w:val="1027"/>
        <w:numPr>
          <w:ilvl w:val="0"/>
          <w:numId w:val="6"/>
        </w:numPr>
        <w:pBdr/>
        <w:tabs>
          <w:tab w:val="left" w:leader="none" w:pos="720"/>
        </w:tabs>
        <w:spacing w:after="120" w:before="120" w:line="276" w:lineRule="auto"/>
        <w:ind w:left="360"/>
        <w:jc w:val="both"/>
        <w:rPr>
          <w:b/>
          <w:lang w:val="nl-NL"/>
        </w:rPr>
      </w:pPr>
      <w:r>
        <w:rPr>
          <w:b/>
          <w:lang w:val="nl-NL"/>
        </w:rPr>
        <w:t xml:space="preserve">Thông tin tài sản so sánh:</w:t>
      </w:r>
      <w:r>
        <w:rPr>
          <w:b/>
          <w:lang w:val="nl-NL"/>
        </w:rPr>
      </w:r>
      <w:r>
        <w:rPr>
          <w:b/>
          <w:lang w:val="nl-NL"/>
        </w:rPr>
      </w:r>
    </w:p>
    <w:tbl>
      <w:tblPr>
        <w:tblW w:w="0" w:type="auto"/>
        <w:tblBorders/>
        <w:tblLayout w:type="fixed"/>
        <w:tblLook w:val="04A0" w:firstRow="1" w:lastRow="0" w:firstColumn="1" w:lastColumn="0" w:noHBand="0" w:noVBand="1"/>
      </w:tblPr>
      <w:tblGrid>
        <w:gridCol w:w="704"/>
        <w:gridCol w:w="1843"/>
        <w:gridCol w:w="1742"/>
        <w:gridCol w:w="1742"/>
        <w:gridCol w:w="1742"/>
        <w:gridCol w:w="1742"/>
      </w:tblGrid>
      <w:tr>
        <w:trPr>
          <w:trHeight w:val="30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pPr>
              <w:pBdr/>
              <w:spacing/>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r>
      <w:tr>
        <w:trPr>
          <w:trHeight w:val="834"/>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Địa chỉ</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r>
            <w:r>
              <w:rPr>
                <w:color w:val="000000" w:themeColor="text1"/>
                <w:sz w:val="22"/>
                <w:szCs w:val="22"/>
              </w:rPr>
              <w:t xml:space="preserve">Tài sản tại thôn Đông Trung, xã Đồng Tĩnh, huyện Tam Dương, tỉnh Vĩnh Phú</w:t>
            </w:r>
            <w:r>
              <w:rPr>
                <w:i w:val="0"/>
                <w:iCs w:val="0"/>
                <w:color w:val="000000" w:themeColor="text1"/>
                <w:sz w:val="22"/>
                <w:szCs w:val="22"/>
              </w:rPr>
              <w:t xml:space="preserve">c</w:t>
            </w:r>
            <w:r>
              <w:rPr>
                <w:i w:val="0"/>
                <w:iCs w:val="0"/>
                <w:color w:val="000000" w:themeColor="text1"/>
                <w:sz w:val="22"/>
                <w:szCs w:val="22"/>
              </w:rPr>
              <w:t xml:space="preserve"> </w:t>
            </w:r>
            <w:r>
              <w:rPr>
                <w:i/>
                <w:iCs/>
                <w:color w:val="000000" w:themeColor="text1"/>
                <w:sz w:val="22"/>
                <w:szCs w:val="22"/>
              </w:rPr>
              <w:t xml:space="preserve">(nay là xã Tam Dương, Tỉnh Phú Thọ)</w:t>
            </w:r>
            <w:r>
              <w:rPr>
                <w:i/>
                <w:iCs/>
                <w:color w:val="000000" w:themeColor="text1"/>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Xã Tam Dương Bắc, Tỉnh Phú Thọ</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Xã Tam Dương Bắc, Tỉnh Phú Thọ</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Xã Tam Dương Bắc, Tỉnh Phú Thọ</w:t>
            </w:r>
            <w:r>
              <w:rPr>
                <w:sz w:val="22"/>
                <w:szCs w:val="22"/>
              </w:rPr>
            </w:r>
            <w:r>
              <w:rPr>
                <w:sz w:val="22"/>
                <w:szCs w:val="22"/>
              </w:rPr>
            </w:r>
          </w:p>
        </w:tc>
      </w:tr>
      <w:tr>
        <w:trPr>
          <w:trHeight w:val="557"/>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Liên hệ trực tiếp</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Liên hệ trực tiếp</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Liên hệ trực tiếp</w:t>
            </w:r>
            <w:r>
              <w:rPr>
                <w:sz w:val="22"/>
                <w:szCs w:val="22"/>
              </w:rPr>
            </w:r>
            <w:r>
              <w:rPr>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Thông tin liên lạc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0362211688</w:t>
            </w:r>
            <w:r>
              <w:rPr>
                <w:sz w:val="22"/>
                <w:szCs w:val="22"/>
              </w:rPr>
              <w:t xml:space="preserve"> </w:t>
            </w:r>
            <w:r>
              <w:rPr>
                <w:sz w:val="22"/>
                <w:szCs w:val="22"/>
              </w:rPr>
              <w:br/>
              <w:t xml:space="preserve">(</w:t>
            </w:r>
            <w:r>
              <w:rPr>
                <w:sz w:val="22"/>
                <w:szCs w:val="22"/>
              </w:rPr>
              <w:t xml:space="preserve">Hoàn</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0865654408</w:t>
            </w:r>
            <w:r>
              <w:rPr>
                <w:sz w:val="22"/>
                <w:szCs w:val="22"/>
              </w:rPr>
              <w:br/>
            </w:r>
            <w:r>
              <w:rPr>
                <w:sz w:val="22"/>
                <w:szCs w:val="22"/>
              </w:rPr>
              <w:t xml:space="preserve">(</w:t>
            </w:r>
            <w:r>
              <w:rPr>
                <w:sz w:val="22"/>
                <w:szCs w:val="22"/>
              </w:rPr>
              <w:t xml:space="preserve">Huy</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0334733455</w:t>
            </w:r>
            <w:r>
              <w:rPr>
                <w:sz w:val="22"/>
                <w:szCs w:val="22"/>
              </w:rPr>
              <w:br/>
            </w:r>
            <w:r>
              <w:rPr>
                <w:sz w:val="22"/>
                <w:szCs w:val="22"/>
              </w:rPr>
              <w:t xml:space="preserve">(</w:t>
            </w:r>
            <w:r>
              <w:rPr>
                <w:sz w:val="22"/>
                <w:szCs w:val="22"/>
              </w:rPr>
              <w:t xml:space="preserve">Nhật Hường</w:t>
            </w:r>
            <w:r>
              <w:rPr>
                <w:sz w:val="22"/>
                <w:szCs w:val="22"/>
              </w:rPr>
              <w:t xml:space="preserve">)</w:t>
            </w:r>
            <w:r>
              <w:rPr>
                <w:sz w:val="22"/>
                <w:szCs w:val="22"/>
              </w:rPr>
            </w:r>
            <w:r>
              <w:rPr>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Đang giao dịch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rPr/>
            </w:pPr>
            <w:r>
              <w:rPr>
                <w:color w:val="000000"/>
                <w:sz w:val="22"/>
                <w:szCs w:val="22"/>
              </w:rPr>
              <w:t xml:space="preserve">Đang giao dịch</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rPr/>
            </w:pPr>
            <w:r>
              <w:rPr>
                <w:color w:val="000000"/>
                <w:sz w:val="22"/>
                <w:szCs w:val="22"/>
              </w:rPr>
              <w:t xml:space="preserve">Đang giao dịch</w:t>
            </w:r>
            <w:r>
              <w:rPr>
                <w:color w:val="000000"/>
                <w:sz w:val="22"/>
                <w:szCs w:val="22"/>
              </w:rPr>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08/2026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08/2026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08/2026</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Giấy chứng nhận quyền sử dụng đất</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Giấy chứng nhận quyền sử dụng đất</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Giấy chứng nhận quyền sử dụng đất</w:t>
            </w:r>
            <w:r>
              <w:rPr>
                <w:color w:val="000000"/>
                <w:sz w:val="22"/>
                <w:szCs w:val="22"/>
              </w:rPr>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rFonts w:ascii="Times New Roman" w:hAnsi="Times New Roman" w:eastAsia="Times New Roman" w:cs="Times New Roman"/>
                <w:color w:val="000000" w:themeColor="text1"/>
                <w:sz w:val="24"/>
              </w:rPr>
              <w:t xml:space="preserve">Đất ONT: 60m</w:t>
            </w:r>
            <w:r>
              <w:rPr>
                <w:rFonts w:ascii="Times New Roman" w:hAnsi="Times New Roman" w:eastAsia="Times New Roman" w:cs="Times New Roman"/>
                <w:color w:val="000000" w:themeColor="text1"/>
                <w:sz w:val="20"/>
                <w:vertAlign w:val="superscript"/>
              </w:rPr>
              <w:t xml:space="preserve">2</w:t>
            </w:r>
            <w:r>
              <w:rPr>
                <w:rFonts w:ascii="Times New Roman" w:hAnsi="Times New Roman" w:eastAsia="Times New Roman" w:cs="Times New Roman"/>
                <w:color w:val="000000" w:themeColor="text1"/>
                <w:sz w:val="24"/>
              </w:rPr>
              <w:t xml:space="preserve">;  Đất TCLN: 140m</w:t>
            </w:r>
            <w:r>
              <w:rPr>
                <w:rFonts w:ascii="Times New Roman" w:hAnsi="Times New Roman" w:eastAsia="Times New Roman" w:cs="Times New Roman"/>
                <w:color w:val="000000" w:themeColor="text1"/>
                <w:sz w:val="20"/>
                <w:vertAlign w:val="superscript"/>
              </w:rPr>
              <w:t xml:space="preserve">2</w:t>
            </w:r>
            <w:r>
              <w:rPr>
                <w:rFonts w:ascii="Times New Roman" w:hAnsi="Times New Roman" w:eastAsia="Times New Roman" w:cs="Times New Roman"/>
                <w:color w:val="000000" w:themeColor="text1"/>
                <w:sz w:val="28"/>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rFonts w:ascii="Times New Roman" w:hAnsi="Times New Roman" w:eastAsia="Times New Roman" w:cs="Times New Roman"/>
                <w:color w:val="000000" w:themeColor="text1"/>
                <w:sz w:val="24"/>
              </w:rPr>
              <w:t xml:space="preserve">Đất ONT: 80m</w:t>
            </w:r>
            <w:r>
              <w:rPr>
                <w:rFonts w:ascii="Times New Roman" w:hAnsi="Times New Roman" w:eastAsia="Times New Roman" w:cs="Times New Roman"/>
                <w:color w:val="000000" w:themeColor="text1"/>
                <w:sz w:val="20"/>
                <w:vertAlign w:val="superscript"/>
              </w:rPr>
              <w:t xml:space="preserve">2</w:t>
            </w:r>
            <w:r>
              <w:rPr>
                <w:rFonts w:ascii="Times New Roman" w:hAnsi="Times New Roman" w:eastAsia="Times New Roman" w:cs="Times New Roman"/>
                <w:color w:val="000000" w:themeColor="text1"/>
                <w:sz w:val="24"/>
              </w:rPr>
              <w:t xml:space="preserve">;  Đất TCLN: 27,2m</w:t>
            </w:r>
            <w:r>
              <w:rPr>
                <w:rFonts w:ascii="Times New Roman" w:hAnsi="Times New Roman" w:eastAsia="Times New Roman" w:cs="Times New Roman"/>
                <w:color w:val="000000" w:themeColor="text1"/>
                <w:sz w:val="20"/>
                <w:vertAlign w:val="superscript"/>
              </w:rPr>
              <w:t xml:space="preserve">2</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rFonts w:ascii="Times New Roman" w:hAnsi="Times New Roman" w:eastAsia="Times New Roman" w:cs="Times New Roman"/>
                <w:color w:val="000000" w:themeColor="text1"/>
                <w:sz w:val="24"/>
              </w:rPr>
              <w:t xml:space="preserve">Đất ONT: 160m</w:t>
            </w:r>
            <w:r>
              <w:rPr>
                <w:rFonts w:ascii="Times New Roman" w:hAnsi="Times New Roman" w:eastAsia="Times New Roman" w:cs="Times New Roman"/>
                <w:color w:val="000000" w:themeColor="text1"/>
                <w:sz w:val="20"/>
                <w:vertAlign w:val="superscript"/>
              </w:rPr>
              <w:t xml:space="preserve">2</w:t>
            </w:r>
            <w:r>
              <w:rPr>
                <w:rFonts w:ascii="Times New Roman" w:hAnsi="Times New Roman" w:eastAsia="Times New Roman" w:cs="Times New Roman"/>
                <w:color w:val="000000" w:themeColor="text1"/>
                <w:sz w:val="24"/>
              </w:rPr>
              <w:t xml:space="preserve">;  Đất TCLN: 40m</w:t>
            </w:r>
            <w:r>
              <w:rPr>
                <w:rFonts w:ascii="Times New Roman" w:hAnsi="Times New Roman" w:eastAsia="Times New Roman" w:cs="Times New Roman"/>
                <w:color w:val="000000" w:themeColor="text1"/>
                <w:sz w:val="20"/>
                <w:vertAlign w:val="superscript"/>
              </w:rPr>
              <w:t xml:space="preserve">2</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rFonts w:ascii="Times New Roman" w:hAnsi="Times New Roman" w:eastAsia="Times New Roman" w:cs="Times New Roman"/>
                <w:color w:val="000000" w:themeColor="text1"/>
                <w:sz w:val="24"/>
              </w:rPr>
              <w:t xml:space="preserve">Đất ONT: 80m</w:t>
            </w:r>
            <w:r>
              <w:rPr>
                <w:rFonts w:ascii="Times New Roman" w:hAnsi="Times New Roman" w:eastAsia="Times New Roman" w:cs="Times New Roman"/>
                <w:color w:val="000000" w:themeColor="text1"/>
                <w:sz w:val="20"/>
                <w:vertAlign w:val="superscript"/>
              </w:rPr>
              <w:t xml:space="preserve">2</w:t>
            </w:r>
            <w:r>
              <w:rPr>
                <w:rFonts w:ascii="Times New Roman" w:hAnsi="Times New Roman" w:eastAsia="Times New Roman" w:cs="Times New Roman"/>
                <w:color w:val="000000" w:themeColor="text1"/>
                <w:sz w:val="24"/>
              </w:rPr>
              <w:t xml:space="preserve">;  Đất TCLN: 44,3m</w:t>
            </w:r>
            <w:r>
              <w:rPr>
                <w:rFonts w:ascii="Times New Roman" w:hAnsi="Times New Roman" w:eastAsia="Times New Roman" w:cs="Times New Roman"/>
                <w:color w:val="000000" w:themeColor="text1"/>
                <w:sz w:val="20"/>
                <w:vertAlign w:val="superscript"/>
              </w:rPr>
              <w:t xml:space="preserve">2</w:t>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line="299" w:lineRule="atLeast"/>
              <w:ind w:right="0" w:firstLine="0" w:left="0"/>
              <w:jc w:val="center"/>
              <w:rPr>
                <w:rFonts w:ascii="Times New Roman" w:hAnsi="Times New Roman" w:eastAsia="Times New Roman" w:cs="Times New Roman"/>
                <w:color w:val="000000" w:themeColor="text1"/>
                <w:sz w:val="28"/>
              </w:rPr>
            </w:pPr>
            <w:r>
              <w:rPr>
                <w:rFonts w:ascii="Times New Roman" w:hAnsi="Times New Roman" w:eastAsia="Times New Roman" w:cs="Times New Roman"/>
                <w:color w:val="000000" w:themeColor="text1"/>
                <w:sz w:val="24"/>
              </w:rPr>
              <w:t xml:space="preserve">Đất ONT: Lâu dài; Đất TCLN: đến ngày 15/10/2043</w:t>
            </w:r>
            <w:r>
              <w:rPr>
                <w:rFonts w:ascii="Times New Roman" w:hAnsi="Times New Roman" w:eastAsia="Times New Roman" w:cs="Times New Roman"/>
                <w:color w:val="000000" w:themeColor="text1"/>
                <w:sz w:val="28"/>
              </w:rPr>
            </w:r>
            <w:r>
              <w:rPr>
                <w:rFonts w:ascii="Times New Roman" w:hAnsi="Times New Roman" w:eastAsia="Times New Roman" w:cs="Times New Roman"/>
                <w:color w:val="000000" w:themeColor="text1"/>
                <w:sz w:val="28"/>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rFonts w:ascii="Times New Roman" w:hAnsi="Times New Roman" w:eastAsia="Times New Roman" w:cs="Times New Roman"/>
                <w:color w:val="000000" w:themeColor="text1"/>
                <w:sz w:val="24"/>
              </w:rPr>
              <w:t xml:space="preserve">Đất ONT: Lâu dài; Đất TCLN:</w:t>
            </w:r>
            <w:r>
              <w:rPr>
                <w:color w:val="000000" w:themeColor="text1"/>
                <w:sz w:val="22"/>
                <w:szCs w:val="22"/>
              </w:rPr>
              <w:t xml:space="preserve"> đến </w:t>
            </w:r>
            <w:r>
              <w:rPr>
                <w:rFonts w:ascii="Times New Roman" w:hAnsi="Times New Roman" w:eastAsia="Times New Roman" w:cs="Times New Roman"/>
                <w:color w:val="000000" w:themeColor="text1"/>
                <w:sz w:val="24"/>
              </w:rPr>
              <w:t xml:space="preserve">15/10/2043</w:t>
            </w:r>
            <w:r>
              <w:rPr>
                <w:color w:val="000000" w:themeColor="text1"/>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rFonts w:ascii="Times New Roman" w:hAnsi="Times New Roman" w:eastAsia="Times New Roman" w:cs="Times New Roman"/>
                <w:color w:val="000000" w:themeColor="text1"/>
                <w:sz w:val="24"/>
              </w:rPr>
              <w:t xml:space="preserve">Đất ONT: Lâu dài; Đất TCLN:</w:t>
            </w:r>
            <w:r>
              <w:rPr>
                <w:color w:val="000000" w:themeColor="text1"/>
                <w:sz w:val="22"/>
                <w:szCs w:val="22"/>
              </w:rPr>
              <w:t xml:space="preserve"> đến 20/03/2076)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rFonts w:ascii="Times New Roman" w:hAnsi="Times New Roman" w:eastAsia="Times New Roman" w:cs="Times New Roman"/>
                <w:color w:val="000000" w:themeColor="text1"/>
                <w:sz w:val="24"/>
              </w:rPr>
              <w:t xml:space="preserve">Đất ONT: Lâu dài; Đất TCLN:</w:t>
            </w:r>
            <w:r>
              <w:rPr>
                <w:color w:val="000000" w:themeColor="text1"/>
                <w:sz w:val="22"/>
                <w:szCs w:val="22"/>
              </w:rPr>
              <w:t xml:space="preserve"> đến 14/10/2043)</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thôn Đông Trung, xã Đồng Tĩnh, huyện Tam Dương, tỉnh Vĩnh Phúc</w:t>
            </w:r>
            <w:r>
              <w:rPr>
                <w:i/>
                <w:iCs/>
                <w:color w:val="000000" w:themeColor="text1"/>
                <w:sz w:val="22"/>
                <w:szCs w:val="22"/>
              </w:rPr>
              <w:t xml:space="preserve"> (nay là xã Tam Dương, Tỉnh Phú Thọ).</w:t>
            </w:r>
            <w:r>
              <w:rPr>
                <w:color w:val="000000" w:themeColor="text1"/>
                <w:sz w:val="22"/>
                <w:szCs w:val="22"/>
              </w:rPr>
              <w:t xml:space="preserve"> Tài sản cách đường Hợp Châu - Đồng Tĩnh 25m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themeColor="text1"/>
                <w:sz w:val="22"/>
                <w:szCs w:val="22"/>
              </w:rPr>
              <w:t xml:space="preserve">Tài sản tại Xã Tam Dương, Tỉnh Phú Thọ. Tài sản cách đường Hợp Châu - Đồng Tĩnh </w:t>
            </w:r>
            <w:r>
              <w:rPr>
                <w:color w:val="000000" w:themeColor="text1"/>
                <w:sz w:val="22"/>
                <w:szCs w:val="22"/>
              </w:rPr>
              <w:t xml:space="preserve">180m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themeColor="text1"/>
                <w:sz w:val="22"/>
                <w:szCs w:val="22"/>
              </w:rPr>
              <w:t xml:space="preserve">Tài sản tại Xã Tam Dương, Tỉnh Phú Thọ. Tài sản cách đường Hợp Châu - Đồng Tĩnh </w:t>
            </w:r>
            <w:r>
              <w:rPr>
                <w:color w:val="000000" w:themeColor="text1"/>
                <w:sz w:val="22"/>
                <w:szCs w:val="22"/>
              </w:rPr>
              <w:t xml:space="preserve">450m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themeColor="text1"/>
                <w:sz w:val="22"/>
                <w:szCs w:val="22"/>
              </w:rPr>
              <w:t xml:space="preserve">Tài sản tại Xã Tam Dương, Tỉnh Phú Thọ. Tài sản cách đường Hợp Châu - Đồng Tĩnh </w:t>
            </w:r>
            <w:r>
              <w:rPr>
                <w:color w:val="000000" w:themeColor="text1"/>
                <w:sz w:val="22"/>
                <w:szCs w:val="22"/>
              </w:rPr>
              <w:t xml:space="preserve">150m</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không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không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107,2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124,3</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5,65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5,34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5,74</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Chiều sâu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35,4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20,07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21,66</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Các thông tin khác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single" w:color="e5e7eb" w:sz="0" w:space="0"/>
                <w:left w:val="single" w:color="e5e7eb" w:sz="0" w:space="0"/>
                <w:bottom w:val="single" w:color="e5e7eb" w:sz="0" w:space="0"/>
                <w:right w:val="single" w:color="e5e7eb" w:sz="0" w:space="0"/>
              </w:pBdr>
              <w:spacing/>
              <w:ind/>
              <w:jc w:val="center"/>
              <w:rPr>
                <w:color w:val="000000" w:themeColor="text1"/>
                <w:sz w:val="22"/>
                <w:szCs w:val="22"/>
                <w14:ligatures w14:val="none"/>
              </w:rPr>
            </w:pPr>
            <w:r>
              <w:rPr>
                <w:color w:val="000000" w:themeColor="text1"/>
                <w:sz w:val="22"/>
                <w:szCs w:val="22"/>
              </w:rPr>
              <w:t xml:space="preserve">Tỷ lệ đất ở/tổng diện tích đất: 30%</w:t>
            </w:r>
            <w:r>
              <w:rPr>
                <w:color w:val="000000" w:themeColor="text1"/>
                <w:sz w:val="22"/>
                <w:szCs w:val="22"/>
                <w14:ligatures w14:val="none"/>
              </w:rPr>
            </w:r>
            <w:r>
              <w:rPr>
                <w:color w:val="000000" w:themeColor="text1"/>
                <w:sz w:val="22"/>
                <w:szCs w:val="22"/>
                <w14:ligatures w14: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single" w:color="e5e7eb" w:sz="0" w:space="0"/>
                <w:left w:val="single" w:color="e5e7eb" w:sz="0" w:space="0"/>
                <w:bottom w:val="single" w:color="e5e7eb" w:sz="0" w:space="0"/>
                <w:right w:val="single" w:color="e5e7eb" w:sz="0" w:space="0"/>
              </w:pBdr>
              <w:spacing/>
              <w:ind/>
              <w:jc w:val="center"/>
              <w:rPr>
                <w:color w:val="000000" w:themeColor="text1"/>
                <w:sz w:val="22"/>
                <w:szCs w:val="22"/>
                <w14:ligatures w14:val="none"/>
              </w:rPr>
            </w:pPr>
            <w:r>
              <w:rPr>
                <w:color w:val="000000" w:themeColor="text1"/>
                <w:sz w:val="22"/>
                <w:szCs w:val="22"/>
              </w:rPr>
              <w:t xml:space="preserve">Tỷ lệ đất ở/tổng diện tích: 75%</w:t>
            </w:r>
            <w:r>
              <w:rPr>
                <w:color w:val="000000" w:themeColor="text1"/>
                <w:sz w:val="22"/>
                <w:szCs w:val="22"/>
                <w14:ligatures w14:val="none"/>
              </w:rPr>
            </w:r>
            <w:r>
              <w:rPr>
                <w:color w:val="000000" w:themeColor="text1"/>
                <w:sz w:val="22"/>
                <w:szCs w:val="22"/>
                <w14:ligatures w14: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single" w:color="e5e7eb" w:sz="0" w:space="0"/>
                <w:left w:val="single" w:color="e5e7eb" w:sz="0" w:space="0"/>
                <w:bottom w:val="single" w:color="e5e7eb" w:sz="0" w:space="0"/>
                <w:right w:val="single" w:color="e5e7eb" w:sz="0" w:space="0"/>
              </w:pBdr>
              <w:spacing/>
              <w:ind/>
              <w:jc w:val="center"/>
              <w:rPr>
                <w:color w:val="000000" w:themeColor="text1"/>
                <w:sz w:val="22"/>
                <w:szCs w:val="22"/>
                <w14:ligatures w14:val="none"/>
              </w:rPr>
            </w:pPr>
            <w:r>
              <w:rPr>
                <w:color w:val="000000" w:themeColor="text1"/>
                <w:sz w:val="22"/>
                <w:szCs w:val="22"/>
              </w:rPr>
              <w:t xml:space="preserve">Tỷ lệ đất ở/tổng diện tích 80%. Nằm sát KCN Tam Dương</w:t>
            </w:r>
            <w:r>
              <w:rPr>
                <w:color w:val="000000" w:themeColor="text1"/>
                <w:sz w:val="22"/>
                <w:szCs w:val="22"/>
                <w14:ligatures w14:val="none"/>
              </w:rPr>
            </w:r>
            <w:r>
              <w:rPr>
                <w:color w:val="000000" w:themeColor="text1"/>
                <w:sz w:val="22"/>
                <w:szCs w:val="22"/>
                <w14:ligatures w14: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single" w:color="e5e7eb" w:sz="0" w:space="0"/>
                <w:left w:val="single" w:color="e5e7eb" w:sz="0" w:space="0"/>
                <w:bottom w:val="single" w:color="e5e7eb" w:sz="0" w:space="0"/>
                <w:right w:val="single" w:color="e5e7eb" w:sz="0" w:space="0"/>
              </w:pBdr>
              <w:spacing/>
              <w:ind/>
              <w:jc w:val="center"/>
              <w:rPr>
                <w:color w:val="000000" w:themeColor="text1"/>
                <w:sz w:val="22"/>
                <w:szCs w:val="22"/>
                <w14:ligatures w14:val="none"/>
              </w:rPr>
            </w:pPr>
            <w:r>
              <w:rPr>
                <w:color w:val="000000" w:themeColor="text1"/>
                <w:sz w:val="22"/>
                <w:szCs w:val="22"/>
              </w:rPr>
              <w:t xml:space="preserve">Tỷ lệ đất ở/tổng diện tích đất: 36%</w:t>
            </w:r>
            <w:r>
              <w:rPr>
                <w:color w:val="000000" w:themeColor="text1"/>
                <w:sz w:val="22"/>
                <w:szCs w:val="22"/>
                <w14:ligatures w14:val="none"/>
              </w:rPr>
            </w:r>
            <w:r>
              <w:rPr>
                <w:color w:val="000000" w:themeColor="text1"/>
                <w:sz w:val="22"/>
                <w:szCs w:val="22"/>
                <w14:ligatures w14:val="non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Giá rao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690.000.000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2.700.000.000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770.000.000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Giá thương lượng/bán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586.500.000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2.295.000.000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654.500.000</w:t>
            </w:r>
            <w:r>
              <w:rPr>
                <w:color w:val="000000"/>
                <w:sz w:val="22"/>
                <w:szCs w:val="22"/>
              </w:rPr>
            </w:r>
            <w:r>
              <w:rPr>
                <w:color w:val="000000"/>
                <w:sz w:val="22"/>
                <w:szCs w:val="22"/>
              </w:rPr>
            </w:r>
          </w:p>
        </w:tc>
      </w:tr>
      <w:tr>
        <w:trPr>
          <w:trHeight w:val="31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Chi tiết tính toán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1</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 trị tài sản trên đất (đồng)</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2</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 trị đất (đồng)</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586.500.000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2.295.000.000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654.500.000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3</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Đơn giá QSDĐ (đồng/m²)</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5.471.082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11.475.000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5.265.487</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NHẬN XÉT</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276"/>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color w:val="000000" w:themeColor="text1"/>
                <w:sz w:val="22"/>
                <w:szCs w:val="22"/>
              </w:rPr>
            </w:pPr>
            <w:r>
              <w:rPr>
                <w:color w:val="000000" w:themeColor="text1"/>
                <w:sz w:val="22"/>
                <w:szCs w:val="22"/>
              </w:rPr>
              <w:t xml:space="preserve">3</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Chiều sâu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Các thông tin khác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bl>
    <w:p>
      <w:pPr>
        <w:pBdr/>
        <w:tabs>
          <w:tab w:val="left" w:leader="none" w:pos="90"/>
          <w:tab w:val="left" w:leader="none" w:pos="180"/>
        </w:tabs>
        <w:spacing w:after="120" w:before="120" w:line="264" w:lineRule="auto"/>
        <w:ind/>
        <w:jc w:val="both"/>
        <w:rPr>
          <w:b/>
          <w:lang w:val="de-DE"/>
        </w:rPr>
      </w:pPr>
      <w:r>
        <w:rPr>
          <w:lang w:val="it-IT"/>
        </w:rPr>
        <w:t xml:space="preserve">Các yếu tố như</w:t>
      </w:r>
      <w:r>
        <w:rPr>
          <w:lang w:val="vi-VN"/>
        </w:rPr>
        <w:t xml:space="preserve"> vị trí, giao thông, diện tích, </w:t>
      </w:r>
      <w:r>
        <w:t xml:space="preserve">hình dáng, </w:t>
      </w:r>
      <w:r>
        <w:rPr>
          <w:lang w:val="vi-VN"/>
        </w:rPr>
        <w:t xml:space="preserve">hạ tầng kỹ thuật và hạ tầng xã hội</w:t>
      </w:r>
      <w:r>
        <w:rPr>
          <w:lang w:val="it-IT"/>
        </w:rPr>
        <w:t xml:space="preserve">… làm ảnh hưởng đến giá trị của </w:t>
      </w:r>
      <w:r>
        <w:t xml:space="preserve">thửa</w:t>
      </w:r>
      <w:r>
        <w:rPr>
          <w:lang w:val="vi-VN"/>
        </w:rPr>
        <w:t xml:space="preserve"> đất</w:t>
      </w:r>
      <w:r>
        <w:rPr>
          <w:lang w:val="it-IT"/>
        </w:rPr>
        <w:t xml:space="preserve">. Mỗi yếu tố đóng góp một tỷ lệ nhất định vào giá trị của </w:t>
      </w:r>
      <w:r>
        <w:rPr>
          <w:lang w:val="vi-VN"/>
        </w:rPr>
        <w:t xml:space="preserve">thửa đất</w:t>
      </w:r>
      <w:r>
        <w:rPr>
          <w:lang w:val="it-IT"/>
        </w:rPr>
        <w:t xml:space="preserve">. Vì vậy, </w:t>
      </w:r>
      <w:r>
        <w:rPr>
          <w:lang w:val="it-IT"/>
        </w:rPr>
        <w:t xml:space="preserve">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rPr>
          <w:b/>
          <w:lang w:val="de-DE"/>
        </w:rPr>
      </w:r>
      <w:r>
        <w:rPr>
          <w:b/>
          <w:lang w:val="de-DE"/>
        </w:rPr>
      </w:r>
    </w:p>
    <w:p>
      <w:pPr>
        <w:pBdr/>
        <w:tabs>
          <w:tab w:val="left" w:leader="none" w:pos="90"/>
          <w:tab w:val="left" w:leader="none" w:pos="180"/>
        </w:tabs>
        <w:spacing w:after="120" w:before="120" w:line="264" w:lineRule="auto"/>
        <w:ind/>
        <w:jc w:val="both"/>
        <w:rPr>
          <w:lang w:val="it-IT"/>
        </w:rPr>
      </w:pPr>
      <w:r>
        <w:rPr>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lang w:val="vi-VN"/>
        </w:rPr>
        <w:t xml:space="preserve">thẩm </w:t>
      </w:r>
      <w:r>
        <w:rPr>
          <w:lang w:val="it-IT"/>
        </w:rPr>
        <w:t xml:space="preserve">định giá thì giữ nguyên mức giá của tài sản so sánh (không điều chỉnh).</w:t>
      </w:r>
      <w:r>
        <w:rPr>
          <w:lang w:val="it-IT"/>
        </w:rPr>
      </w:r>
      <w:r>
        <w:rPr>
          <w:lang w:val="it-IT"/>
        </w:rPr>
      </w:r>
    </w:p>
    <w:p>
      <w:pPr>
        <w:pStyle w:val="1027"/>
        <w:numPr>
          <w:ilvl w:val="0"/>
          <w:numId w:val="6"/>
        </w:numPr>
        <w:pBdr/>
        <w:tabs>
          <w:tab w:val="left" w:leader="none" w:pos="720"/>
        </w:tabs>
        <w:spacing w:after="120" w:before="120" w:line="276" w:lineRule="auto"/>
        <w:ind w:hanging="284" w:left="284"/>
        <w:jc w:val="both"/>
        <w:rPr>
          <w:b/>
          <w:lang w:val="nl-NL"/>
        </w:rPr>
      </w:pPr>
      <w:r>
        <w:rPr>
          <w:b/>
          <w:lang w:val="nl-NL"/>
        </w:rPr>
        <w:t xml:space="preserve">Bảng điều chỉnh</w:t>
      </w:r>
      <w:r>
        <w:rPr>
          <w:b/>
          <w:lang w:val="nl-NL"/>
        </w:rPr>
        <w:t xml:space="preserve">:</w:t>
      </w:r>
      <w:r>
        <w:rPr>
          <w:b/>
          <w:lang w:val="nl-NL"/>
        </w:rPr>
      </w:r>
      <w:r>
        <w:rPr>
          <w:b/>
          <w:lang w:val="nl-NL"/>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32"/>
        <w:gridCol w:w="1765"/>
        <w:gridCol w:w="1030"/>
        <w:gridCol w:w="1522"/>
        <w:gridCol w:w="1522"/>
        <w:gridCol w:w="1522"/>
        <w:gridCol w:w="1522"/>
      </w:tblGrid>
      <w:tr>
        <w:trPr>
          <w:trHeight w:val="20"/>
          <w:tblHeader/>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jc w:val="center"/>
              <w:rPr>
                <w:b/>
                <w:bCs/>
                <w:color w:val="000000"/>
                <w:sz w:val="22"/>
                <w:szCs w:val="22"/>
              </w:rPr>
            </w:pPr>
            <w:r>
              <w:rPr>
                <w:b/>
                <w:bCs/>
                <w:color w:val="000000"/>
                <w:sz w:val="22"/>
                <w:szCs w:val="22"/>
              </w:rPr>
              <w:t xml:space="preserve">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Đơn vị tính</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Giá trị QSDĐ thị trường (Ước tính sau thương lượng)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Đồng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586.500.000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2.295.000.000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654.500.000</w:t>
            </w:r>
            <w:r>
              <w:rPr>
                <w:color w:val="000000"/>
                <w:sz w:val="20"/>
                <w:szCs w:val="20"/>
              </w:rPr>
            </w:r>
            <w:r>
              <w:rPr>
                <w:color w:val="000000"/>
                <w:sz w:val="20"/>
                <w:szCs w:val="20"/>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Đơn giá đất ước tính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5.471.082</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11.475.000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5.265.487</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Điều chỉnh các 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Pháp lý</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Giấy chứng nhận quyền sử dụng đất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rPr/>
            </w:pPr>
            <w:r>
              <w:rPr>
                <w:color w:val="000000" w:themeColor="text1"/>
                <w:sz w:val="22"/>
                <w:szCs w:val="22"/>
              </w:rPr>
              <w:t xml:space="preserve">Giấy chứng nhận quyền sử dụng đất</w:t>
            </w:r>
            <w:r>
              <w:rPr>
                <w:b/>
                <w:bCs/>
                <w:color w:val="000000"/>
                <w:sz w:val="22"/>
                <w:szCs w:val="22"/>
              </w:rPr>
            </w:r>
            <w:r/>
          </w:p>
        </w:tc>
        <w:tc>
          <w:tcPr>
            <w:shd w:val="clear" w:color="000000" w:fill="ffffff"/>
            <w:tcBorders/>
            <w:tcW w:w="1522" w:type="dxa"/>
            <w:vAlign w:val="center"/>
            <w:textDirection w:val="lrTb"/>
            <w:noWrap w:val="false"/>
          </w:tcPr>
          <w:p>
            <w:pPr>
              <w:pBdr/>
              <w:spacing/>
              <w:ind/>
              <w:rPr/>
            </w:pPr>
            <w:r>
              <w:rPr>
                <w:color w:val="000000" w:themeColor="text1"/>
                <w:sz w:val="22"/>
                <w:szCs w:val="22"/>
              </w:rPr>
              <w:t xml:space="preserve">Giấy chứng nhận quyền sử dụng đất</w:t>
            </w:r>
            <w:r>
              <w:rPr>
                <w:b/>
                <w:bCs/>
                <w:color w:val="000000"/>
                <w:sz w:val="22"/>
                <w:szCs w:val="22"/>
              </w:rPr>
            </w:r>
            <w:r/>
          </w:p>
        </w:tc>
        <w:tc>
          <w:tcPr>
            <w:shd w:val="clear" w:color="000000" w:fill="ffffff"/>
            <w:tcBorders/>
            <w:tcW w:w="1522" w:type="dxa"/>
            <w:vAlign w:val="center"/>
            <w:textDirection w:val="lrTb"/>
            <w:noWrap w:val="false"/>
          </w:tcPr>
          <w:p>
            <w:pPr>
              <w:pBdr/>
              <w:spacing/>
              <w:ind/>
              <w:rPr/>
            </w:pPr>
            <w:r>
              <w:rPr>
                <w:color w:val="000000" w:themeColor="text1"/>
                <w:sz w:val="22"/>
                <w:szCs w:val="22"/>
              </w:rPr>
              <w:t xml:space="preserve">Giấy chứng nhận quyền sử dụng đất</w:t>
            </w:r>
            <w:r>
              <w:rPr>
                <w:b/>
                <w:bCs/>
                <w:color w:val="000000"/>
                <w:sz w:val="22"/>
                <w:szCs w:val="22"/>
              </w:rPr>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5.471.082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11.475.000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5.265.487</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Vị trí</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thôn Đông Trung, xã Đồng Tĩnh, huyện Tam Dương, tỉnh Vĩnh Phúc</w:t>
            </w:r>
            <w:r>
              <w:rPr>
                <w:i/>
                <w:iCs/>
                <w:color w:val="000000" w:themeColor="text1"/>
                <w:sz w:val="22"/>
                <w:szCs w:val="22"/>
              </w:rPr>
              <w:t xml:space="preserve"> (nay là xã Tam Dương, Tỉnh Phú Thọ).</w:t>
            </w:r>
            <w:r>
              <w:rPr>
                <w:color w:val="000000" w:themeColor="text1"/>
                <w:sz w:val="22"/>
                <w:szCs w:val="22"/>
              </w:rPr>
              <w:t xml:space="preserve"> Tài sản cách đường Hợp Châu - Đồng Tĩnh 25m</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themeColor="text1"/>
                <w:sz w:val="22"/>
                <w:szCs w:val="22"/>
              </w:rPr>
              <w:t xml:space="preserve">Tài sản tại Xã Tam Dương, Tỉnh Phú Thọ. Tài sản cách đường Hợp Châu - Đồng Tĩnh </w:t>
            </w:r>
            <w:r>
              <w:rPr>
                <w:color w:val="000000" w:themeColor="text1"/>
                <w:sz w:val="22"/>
                <w:szCs w:val="22"/>
              </w:rPr>
              <w:t xml:space="preserve">180m</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themeColor="text1"/>
                <w:sz w:val="22"/>
                <w:szCs w:val="22"/>
              </w:rPr>
              <w:t xml:space="preserve">Tài sản tại Xã Tam Dương, Tỉnh Phú Thọ. Tài sản cách đường Hợp Châu - Đồng Tĩnh </w:t>
            </w:r>
            <w:r>
              <w:rPr>
                <w:color w:val="000000" w:themeColor="text1"/>
                <w:sz w:val="22"/>
                <w:szCs w:val="22"/>
              </w:rPr>
              <w:t xml:space="preserve">450m</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themeColor="text1"/>
                <w:sz w:val="22"/>
                <w:szCs w:val="22"/>
              </w:rPr>
              <w:t xml:space="preserve">Tài sản tại Xã Tam Dương, Tỉnh Phú Thọ. Tài sản cách đường Hợp Châu - Đồng Tĩnh </w:t>
            </w:r>
            <w:r>
              <w:rPr>
                <w:color w:val="000000" w:themeColor="text1"/>
                <w:sz w:val="22"/>
                <w:szCs w:val="22"/>
              </w:rPr>
              <w:t xml:space="preserve">150m</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547.108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1.147.500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526.549</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6.018.190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12.622.500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5.792.036</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Giao thông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không có vỉa hè</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bê tông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không có vỉa hè</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bê tông</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328.265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315.929</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6.346.455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12.622.500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6.107.965</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Độ rộng đường trước tài sản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109.422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-1.262.250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6.455.877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11.360.250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6.107.965</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C.5</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Diện tích đất (m²)</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(m2)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200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107,2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200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124,3</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-547.108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-526.549</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5.908.769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11.360.250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5.581.416</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C.6</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Mặt tiền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5,65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5,34</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5,74</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-1.377.000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5.908.769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9.983.250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5.581.416</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C.7</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Chiều sâu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35,4</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20,07</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21,66</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5.908.769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9.983.250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5.581.416</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C.8</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Số lượng mặt tiếp giáp</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5.908.769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9.983.250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5.581.416</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C.9</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Hình dáng thửa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5.908.769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9.983.250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5.581.416</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C.10</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Tỷ lệ đất ở/tổng DT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30%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75%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80%. Nằm sát KCN Tam Dương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36%</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-18%</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-32%</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-984.795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-3.672.000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-263.274</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4.923.974</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6.311.250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5.318.142</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D</w:t>
            </w:r>
            <w:r>
              <w:rPr>
                <w:b/>
                <w:bCs/>
                <w:color w:val="000000"/>
                <w:sz w:val="22"/>
                <w:szCs w:val="22"/>
              </w:rPr>
            </w:r>
            <w:r>
              <w:rPr>
                <w:b/>
                <w:bCs/>
                <w:color w:val="000000"/>
                <w:sz w:val="22"/>
                <w:szCs w:val="22"/>
              </w:rPr>
            </w:r>
          </w:p>
        </w:tc>
        <w:tc>
          <w:tcPr>
            <w:shd w:val="clear" w:color="000000" w:fill="ffffff"/>
            <w:tcBorders/>
            <w:tcW w:w="1765" w:type="dxa"/>
            <w:vAlign w:val="center"/>
            <w:textDirection w:val="lrTb"/>
            <w:noWrap/>
          </w:tcPr>
          <w:p>
            <w:pPr>
              <w:pBdr/>
              <w:spacing/>
              <w:ind/>
              <w:rPr>
                <w:b/>
                <w:bCs/>
                <w:color w:val="000000"/>
                <w:sz w:val="22"/>
                <w:szCs w:val="22"/>
              </w:rPr>
            </w:pPr>
            <w:r>
              <w:rPr>
                <w:b/>
                <w:bCs/>
                <w:color w:val="000000"/>
                <w:sz w:val="22"/>
                <w:szCs w:val="22"/>
              </w:rPr>
              <w:t xml:space="preserve">Mức giá chỉ dẫn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4.923.974</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6.311.250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5.318.142</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trị trung bình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gridSpan w:val="3"/>
            <w:shd w:val="clear" w:color="000000" w:fill="ffffff"/>
            <w:tcBorders/>
            <w:tcW w:w="4566"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5.517.789</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độ chênh lệch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-10,76%</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14,38%</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-3,62%</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E</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Tổng hợp các số liệu điều chỉnh tại mục C</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giá trị điều chỉnh gộp</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2.516.698</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7.458.750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1.632.301</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số lần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Lần</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5</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4</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4</w:t>
            </w:r>
            <w:r>
              <w:rPr>
                <w:sz w:val="22"/>
                <w:szCs w:val="22"/>
              </w:rPr>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Biên độ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- 18%%</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- 32%%</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- 10%%</w:t>
            </w:r>
            <w:r>
              <w:rPr>
                <w:sz w:val="22"/>
                <w:szCs w:val="22"/>
              </w:rPr>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giá trị điều chỉnh thuần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547.108</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5.163.750</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52.655</w:t>
            </w:r>
            <w:r>
              <w:rPr>
                <w:sz w:val="22"/>
                <w:szCs w:val="22"/>
              </w:rPr>
            </w:r>
            <w:r>
              <w:rPr>
                <w:sz w:val="22"/>
                <w:szCs w:val="22"/>
              </w:rPr>
            </w:r>
          </w:p>
        </w:tc>
      </w:tr>
    </w:tbl>
    <w:p>
      <w:pPr>
        <w:pBdr/>
        <w:spacing w:after="120" w:before="120" w:line="276" w:lineRule="auto"/>
        <w:ind/>
        <w:jc w:val="both"/>
        <w:rPr>
          <w:b/>
          <w:bCs/>
          <w:i/>
          <w:iCs/>
        </w:rPr>
      </w:pPr>
      <w:r>
        <w:rPr>
          <w:i/>
          <w:iCs/>
          <w:u w:val="single"/>
        </w:rPr>
        <w:t xml:space="preserve"> </w:t>
      </w:r>
      <w:r>
        <w:rPr>
          <w:b/>
          <w:bCs/>
          <w:i/>
          <w:iCs/>
          <w:u w:val="single"/>
        </w:rPr>
        <w:t xml:space="preserve">Về nguyên tắc khống chế</w:t>
      </w:r>
      <w:r>
        <w:rPr>
          <w:b/>
          <w:bCs/>
          <w:i/>
          <w:iCs/>
        </w:rPr>
        <w:t xml:space="preserve">: </w:t>
      </w:r>
      <w:r>
        <w:rPr>
          <w:b/>
          <w:bCs/>
          <w:i/>
          <w:iCs/>
        </w:rPr>
      </w:r>
      <w:r>
        <w:rPr>
          <w:b/>
          <w:bCs/>
          <w:i/>
          <w:iCs/>
        </w:rPr>
      </w:r>
    </w:p>
    <w:p>
      <w:pPr>
        <w:pBdr/>
        <w:spacing w:after="120" w:before="120" w:line="276" w:lineRule="auto"/>
        <w:ind/>
        <w:jc w:val="both"/>
        <w:rPr>
          <w:b/>
          <w:bCs/>
          <w:u w:val="single"/>
        </w:rPr>
      </w:pPr>
      <w:r>
        <w:t xml:space="preserve">Theo số liệu tại mục </w:t>
      </w:r>
      <w:r>
        <w:t xml:space="preserve">D</w:t>
      </w:r>
      <w:r>
        <w:t xml:space="preserve">2, chênh lệch giữa mức giá trung bình của các mức giá chỉ dẫn nằm trong khoảng </w:t>
      </w:r>
      <w:r>
        <w:t xml:space="preserve">từ </w:t>
      </w:r>
      <w:r>
        <w:t xml:space="preserve"> -10,76</w:t>
      </w:r>
      <w:r>
        <w:t xml:space="preserve">% đến</w:t>
      </w:r>
      <w:r>
        <w:t xml:space="preserve"> </w:t>
      </w:r>
      <w:r>
        <w:t xml:space="preserve"> </w:t>
      </w:r>
      <w:r>
        <w:t xml:space="preserve">14,38</w:t>
      </w:r>
      <w:r>
        <w:t xml:space="preserve">%, đảm bảo không quá 15% (theo </w:t>
      </w:r>
      <w:r>
        <w:t xml:space="preserve">Thông tư số 32/2024</w:t>
      </w:r>
      <w:r>
        <w:t xml:space="preserve">/TT-BTC</w:t>
      </w:r>
      <w:r>
        <w:t xml:space="preserve"> ngày 16/5/2024 của Bộ Tài </w:t>
      </w:r>
      <w:r>
        <w:t xml:space="preserve">c</w:t>
      </w:r>
      <w:r>
        <w:t xml:space="preserve">hính)</w:t>
      </w:r>
      <w:r>
        <w:t xml:space="preserve">.</w:t>
      </w:r>
      <w:r>
        <w:rPr>
          <w:b/>
          <w:bCs/>
          <w:u w:val="single"/>
        </w:rPr>
      </w:r>
      <w:r>
        <w:rPr>
          <w:b/>
          <w:bCs/>
          <w:u w:val="single"/>
        </w:rPr>
      </w:r>
    </w:p>
    <w:p>
      <w:pPr>
        <w:pBdr/>
        <w:spacing w:after="120" w:before="120" w:line="276" w:lineRule="auto"/>
        <w:ind/>
        <w:rPr>
          <w:b/>
          <w:bCs/>
          <w:i/>
          <w:iCs/>
          <w:u w:val="single"/>
        </w:rPr>
      </w:pPr>
      <w:r>
        <w:rPr>
          <w:b/>
          <w:bCs/>
          <w:i/>
          <w:iCs/>
          <w:u w:val="single"/>
        </w:rPr>
        <w:t xml:space="preserve">Về thống nhất mức giá chỉ dẫn</w:t>
      </w:r>
      <w:r>
        <w:rPr>
          <w:b/>
          <w:bCs/>
          <w:i/>
          <w:iCs/>
          <w:u w:val="single"/>
        </w:rPr>
        <w:t xml:space="preserve">:</w:t>
      </w:r>
      <w:r>
        <w:rPr>
          <w:b/>
          <w:bCs/>
          <w:i/>
          <w:iCs/>
          <w:u w:val="single"/>
        </w:rPr>
      </w:r>
      <w:r>
        <w:rPr>
          <w:b/>
          <w:bCs/>
          <w:i/>
          <w:iCs/>
          <w:u w:val="single"/>
        </w:rPr>
      </w:r>
    </w:p>
    <w:p>
      <w:pPr>
        <w:pBdr/>
        <w:spacing/>
        <w:ind/>
        <w:jc w:val="right"/>
        <w:rPr>
          <w:i/>
          <w:iCs/>
        </w:rPr>
      </w:pPr>
      <w:r>
        <w:rPr>
          <w:i/>
          <w:iCs/>
        </w:rPr>
        <w:t xml:space="preserve">Đơn vị tính: Đồng/m²</w:t>
      </w:r>
      <w:r>
        <w:rPr>
          <w:i/>
          <w:iCs/>
        </w:rPr>
      </w:r>
      <w:r>
        <w:rPr>
          <w:i/>
          <w:iCs/>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b/>
                <w:bCs/>
                <w:color w:val="000000"/>
              </w:rPr>
            </w:pPr>
            <w:r>
              <w:rPr>
                <w:b/>
                <w:bCs/>
                <w:color w:val="000000"/>
              </w:rPr>
              <w:t xml:space="preserve">TT</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pPr>
              <w:pBdr/>
              <w:spacing/>
              <w:ind/>
              <w:jc w:val="center"/>
              <w:rPr>
                <w:b/>
                <w:bCs/>
                <w:color w:val="000000"/>
              </w:rPr>
            </w:pPr>
            <w:r>
              <w:rPr>
                <w:b/>
                <w:bCs/>
                <w:color w:val="000000"/>
              </w:rPr>
              <w:t xml:space="preserve">Tài sản</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b/>
                <w:bCs/>
                <w:color w:val="000000"/>
              </w:rPr>
            </w:pPr>
            <w:r>
              <w:rPr>
                <w:b/>
                <w:bCs/>
                <w:color w:val="000000"/>
              </w:rPr>
              <w:t xml:space="preserve">Mức giá chỉ dẫn của các TSSS</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b/>
                <w:bCs/>
                <w:color w:val="000000"/>
              </w:rPr>
            </w:pPr>
            <w:r>
              <w:rPr>
                <w:b/>
                <w:bCs/>
                <w:color w:val="000000"/>
              </w:rPr>
              <w:t xml:space="preserve">Trọng số của các TSSS sau điều chỉnh</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rPr>
              <w:t xml:space="preserve">Giá trị trung bình của mức giá chỉ dẫn sau điều chỉnh</w:t>
            </w:r>
            <w:r>
              <w:rPr>
                <w:b/>
                <w:bCs/>
                <w:color w:val="000000"/>
              </w:rPr>
            </w:r>
            <w:r>
              <w:rPr>
                <w:b/>
                <w:bCs/>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4.923.974</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33,34</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1.641.653</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6.311.250</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2.103.540</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5.318.142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1.772.537</w:t>
            </w:r>
            <w:r>
              <w:rPr>
                <w:color w:val="000000"/>
              </w:rPr>
            </w:r>
            <w:r>
              <w:rPr>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Giá trị bình quân theo trọng số:</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5.517.730</w:t>
            </w:r>
            <w:r>
              <w:rPr>
                <w:b/>
                <w:bCs/>
                <w:color w:val="000000"/>
              </w:rPr>
            </w:r>
            <w:r>
              <w:rPr>
                <w:b/>
                <w:bCs/>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Làm tròn:</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5.500.000</w:t>
            </w:r>
            <w:r>
              <w:rPr>
                <w:b/>
                <w:bCs/>
                <w:color w:val="000000"/>
              </w:rPr>
            </w:r>
            <w:r>
              <w:rPr>
                <w:b/>
                <w:bCs/>
                <w:color w:val="000000"/>
              </w:rPr>
            </w:r>
          </w:p>
        </w:tc>
      </w:tr>
    </w:tbl>
    <w:p>
      <w:pPr>
        <w:pBdr/>
        <w:spacing w:after="120" w:before="120" w:line="276" w:lineRule="auto"/>
        <w:ind/>
        <w:jc w:val="both"/>
        <w:rPr>
          <w:b/>
          <w:bCs/>
        </w:rPr>
      </w:pPr>
      <w:r>
        <w:t xml:space="preserve">Tổ thẩm định sử dụng mức giá chỉ dẫn là mức giá bình quân có trọng số của 03 tài sản so sánh làm mức giá của tài sản thẩm định, tương ứng là</w:t>
      </w:r>
      <w:r>
        <w:t xml:space="preserve">:</w:t>
      </w:r>
      <w:r>
        <w:t xml:space="preserve"> </w:t>
      </w:r>
      <w:r>
        <w:rPr>
          <w:b/>
          <w:bCs/>
          <w:color w:val="000000" w:themeColor="text1"/>
          <w:lang w:val="vi-VN"/>
        </w:rPr>
        <w:t xml:space="preserve">5.500.000</w:t>
      </w:r>
      <w:r>
        <w:rPr>
          <w:b/>
          <w:bCs/>
          <w:color w:val="000000" w:themeColor="text1"/>
        </w:rPr>
        <w:t xml:space="preserve"> </w:t>
      </w:r>
      <w:r>
        <w:rPr>
          <w:b/>
          <w:bCs/>
        </w:rPr>
        <w:t xml:space="preserve">đồng/m².</w:t>
      </w:r>
      <w:r>
        <w:rPr>
          <w:b/>
          <w:bCs/>
        </w:rPr>
      </w:r>
      <w:r>
        <w:rPr>
          <w:b/>
          <w:bCs/>
        </w:rPr>
      </w:r>
    </w:p>
    <w:p>
      <w:pPr>
        <w:pStyle w:val="1027"/>
        <w:numPr>
          <w:ilvl w:val="0"/>
          <w:numId w:val="26"/>
        </w:numPr>
        <w:pBdr/>
        <w:spacing w:after="120" w:before="120" w:line="276" w:lineRule="auto"/>
        <w:ind w:hanging="357" w:left="357"/>
        <w:jc w:val="both"/>
        <w:rPr>
          <w:b/>
          <w:lang w:val="pt-BR"/>
        </w:rPr>
      </w:pPr>
      <w:r>
        <w:rPr>
          <w:b/>
          <w:lang w:val="pt-BR"/>
        </w:rPr>
        <w:t xml:space="preserve">Kết quả thẩm định giá:</w:t>
      </w:r>
      <w:r>
        <w:rPr>
          <w:b/>
          <w:lang w:val="pt-BR"/>
        </w:rPr>
      </w:r>
      <w:r>
        <w:rPr>
          <w:b/>
          <w:lang w:val="pt-BR"/>
        </w:rPr>
      </w:r>
    </w:p>
    <w:p>
      <w:pPr>
        <w:pStyle w:val="1027"/>
        <w:pBdr/>
        <w:tabs>
          <w:tab w:val="left" w:leader="none" w:pos="993"/>
        </w:tabs>
        <w:spacing w:after="120" w:before="120" w:line="276" w:lineRule="auto"/>
        <w:ind w:left="0"/>
        <w:jc w:val="both"/>
        <w:rPr/>
      </w:pPr>
      <w:r>
        <w:rPr>
          <w:lang w:val="pt-BR"/>
        </w:rPr>
        <w:t xml:space="preserve">Dựa trên các lập luận trên, </w:t>
      </w:r>
      <w:r>
        <w:rPr>
          <w:lang w:val="pt-BR"/>
        </w:rPr>
        <w:t xml:space="preserve">T</w:t>
      </w:r>
      <w:r>
        <w:rPr>
          <w:lang w:val="pt-BR"/>
        </w:rPr>
        <w:t xml:space="preserve">ổ</w:t>
      </w:r>
      <w:r>
        <w:rPr>
          <w:lang w:val="pt-BR"/>
        </w:rPr>
        <w:t xml:space="preserve"> thẩm định ước tính giá trị </w:t>
      </w:r>
      <w:r>
        <w:rPr>
          <w:lang w:val="vi-VN"/>
        </w:rPr>
        <w:t xml:space="preserve">tài sản thẩm định giá</w:t>
      </w:r>
      <w:r>
        <w:rPr>
          <w:lang w:val="pt-BR"/>
        </w:rPr>
        <w:t xml:space="preserve"> </w:t>
      </w:r>
      <w:r>
        <w:rPr>
          <w:lang w:val="de-DE"/>
        </w:rPr>
        <w:t xml:space="preserve">chưa bao gồm các loại thuế, phí và lệ phí liên quan đến việc chuyển nhượng tài sản</w:t>
      </w:r>
      <w:r>
        <w:rPr>
          <w:lang w:val="pt-BR"/>
        </w:rPr>
        <w:t xml:space="preserve"> tại thời điểm thẩm định giá </w:t>
      </w:r>
      <w:r>
        <w:t xml:space="preserve">Tháng 08/2026</w:t>
      </w:r>
      <w:r>
        <w:t xml:space="preserve"> </w:t>
      </w:r>
      <w:r>
        <w:t xml:space="preserve">ước tính </w:t>
      </w:r>
      <w:r>
        <w:t xml:space="preserve">như sau</w:t>
      </w:r>
      <w:r>
        <w:t xml:space="preserve">:</w:t>
      </w:r>
      <w:r/>
    </w:p>
    <w:p>
      <w:pPr>
        <w:pStyle w:val="1027"/>
        <w:pBdr/>
        <w:tabs>
          <w:tab w:val="left" w:leader="none" w:pos="993"/>
        </w:tabs>
        <w:spacing w:after="120" w:before="120" w:line="276" w:lineRule="auto"/>
        <w:ind w:left="0"/>
        <w:jc w:val="both"/>
        <w:rPr/>
      </w:pPr>
      <w:r/>
      <w:r/>
    </w:p>
    <w:p>
      <w:pPr>
        <w:pStyle w:val="1027"/>
        <w:pBdr/>
        <w:tabs>
          <w:tab w:val="left" w:leader="none" w:pos="993"/>
        </w:tabs>
        <w:spacing w:after="120" w:before="120" w:line="276" w:lineRule="auto"/>
        <w:ind w:left="0"/>
        <w:jc w:val="both"/>
        <w:rPr/>
      </w:pPr>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2"/>
        <w:gridCol w:w="1801"/>
        <w:gridCol w:w="2578"/>
        <w:gridCol w:w="2162"/>
      </w:tblGrid>
      <w:tr>
        <w:trPr>
          <w:trHeight w:val="20"/>
        </w:trPr>
        <w:tc>
          <w:tcPr>
            <w:shd w:val="clear" w:color="000000" w:fill="ffffff"/>
            <w:tcBorders/>
            <w:tcW w:w="363" w:type="pct"/>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1097" w:type="pct"/>
            <w:vAlign w:val="center"/>
            <w:textDirection w:val="lrTb"/>
            <w:noWrap w:val="false"/>
          </w:tcPr>
          <w:p>
            <w:pPr>
              <w:pBdr/>
              <w:spacing w:after="40" w:before="40" w:line="288" w:lineRule="auto"/>
              <w:ind/>
              <w:jc w:val="center"/>
              <w:rPr>
                <w:b/>
                <w:bCs/>
              </w:rPr>
            </w:pPr>
            <w:r>
              <w:rPr>
                <w:b/>
                <w:bCs/>
              </w:rPr>
              <w:t xml:space="preserve">Tài sản</w:t>
            </w:r>
            <w:r>
              <w:rPr>
                <w:b/>
                <w:bCs/>
              </w:rPr>
            </w:r>
            <w:r>
              <w:rPr>
                <w:b/>
                <w:bCs/>
              </w:rPr>
            </w:r>
          </w:p>
        </w:tc>
        <w:tc>
          <w:tcPr>
            <w:shd w:val="clear" w:color="000000" w:fill="ffffff"/>
            <w:tcBorders/>
            <w:tcW w:w="981" w:type="pct"/>
            <w:vAlign w:val="center"/>
            <w:textDirection w:val="lrTb"/>
            <w:noWrap w:val="false"/>
          </w:tcPr>
          <w:p>
            <w:pPr>
              <w:pBdr/>
              <w:spacing w:after="40" w:before="40" w:line="288" w:lineRule="auto"/>
              <w:ind/>
              <w:jc w:val="center"/>
              <w:rPr>
                <w:b/>
                <w:bCs/>
              </w:rPr>
            </w:pPr>
            <w:r>
              <w:rPr>
                <w:b/>
                <w:bCs/>
              </w:rPr>
              <w:t xml:space="preserve">Diện tích (m²)</w:t>
            </w:r>
            <w:r>
              <w:rPr>
                <w:b/>
                <w:bCs/>
              </w:rPr>
            </w:r>
            <w:r>
              <w:rPr>
                <w:b/>
                <w:bCs/>
              </w:rPr>
            </w:r>
          </w:p>
        </w:tc>
        <w:tc>
          <w:tcPr>
            <w:shd w:val="clear" w:color="000000" w:fill="ffffff"/>
            <w:tcBorders/>
            <w:tcW w:w="1389" w:type="pct"/>
            <w:vAlign w:val="center"/>
            <w:textDirection w:val="lrTb"/>
            <w:noWrap w:val="false"/>
          </w:tcPr>
          <w:p>
            <w:pPr>
              <w:pBdr/>
              <w:spacing w:after="40" w:before="40" w:line="288" w:lineRule="auto"/>
              <w:ind/>
              <w:jc w:val="center"/>
              <w:rPr>
                <w:b/>
                <w:bCs/>
              </w:rPr>
            </w:pPr>
            <w:r>
              <w:rPr>
                <w:b/>
                <w:bCs/>
              </w:rPr>
              <w:t xml:space="preserve">Đơn giá (đồng/m²)</w:t>
            </w:r>
            <w:r>
              <w:rPr>
                <w:b/>
                <w:bCs/>
              </w:rPr>
            </w:r>
            <w:r>
              <w:rPr>
                <w:b/>
                <w:bCs/>
              </w:rPr>
            </w:r>
          </w:p>
        </w:tc>
        <w:tc>
          <w:tcPr>
            <w:shd w:val="clear" w:color="000000" w:fill="ffffff"/>
            <w:tcBorders/>
            <w:tcW w:w="1170" w:type="pct"/>
            <w:vAlign w:val="center"/>
            <w:textDirection w:val="lrTb"/>
            <w:noWrap w:val="false"/>
          </w:tcPr>
          <w:p>
            <w:pPr>
              <w:pBdr/>
              <w:spacing w:after="40" w:before="40" w:line="288" w:lineRule="auto"/>
              <w:ind/>
              <w:jc w:val="center"/>
              <w:rPr>
                <w:b/>
                <w:bCs/>
              </w:rPr>
            </w:pPr>
            <w:r>
              <w:rPr>
                <w:b/>
                <w:bCs/>
              </w:rPr>
              <w:t xml:space="preserve">Thành tiền (đồng)</w:t>
            </w:r>
            <w:r>
              <w:rPr>
                <w:b/>
                <w:bCs/>
              </w:rPr>
            </w:r>
            <w:r>
              <w:rPr>
                <w:b/>
                <w:bCs/>
              </w:rPr>
            </w:r>
          </w:p>
        </w:tc>
      </w:tr>
      <w:tr>
        <w:trPr>
          <w:trHeight w:val="20"/>
        </w:trPr>
        <w:tc>
          <w:tcPr>
            <w:shd w:val="clear" w:color="000000" w:fill="ffffff"/>
            <w:tcBorders/>
            <w:tcW w:w="363" w:type="pct"/>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3467" w:type="pct"/>
            <w:vAlign w:val="center"/>
            <w:textDirection w:val="lrTb"/>
            <w:noWrap w:val="false"/>
          </w:tcPr>
          <w:p>
            <w:pPr>
              <w:pBdr/>
              <w:spacing w:after="40" w:before="40" w:line="288" w:lineRule="auto"/>
              <w:ind/>
              <w:jc w:val="both"/>
              <w:rPr>
                <w:b/>
                <w:bCs/>
              </w:rPr>
            </w:pPr>
            <w:r>
              <w:rPr>
                <w:b/>
                <w:bCs/>
                <w:color w:val="000000"/>
              </w:rPr>
              <w:t xml:space="preserve">Quyền sử dụng đất tại thửa đất số 480, tờ bản đồ số 20, có địa chỉ: thôn Đông Trung, xã Đồng Tĩnh, huyện Tam Dương, tỉnh Vĩnh Phúc </w:t>
            </w:r>
            <w:r>
              <w:rPr>
                <w:b/>
                <w:bCs/>
                <w:i/>
                <w:iCs/>
                <w:color w:val="000000"/>
              </w:rPr>
              <w:t xml:space="preserve">(nay là xã Tam Dương Bắc, tỉnh Phú Thọ) </w:t>
            </w:r>
            <w:r>
              <w:rPr>
                <w:b/>
                <w:bCs/>
                <w:color w:val="000000"/>
              </w:rPr>
              <w:t xml:space="preserve">theo giấy chứng nhận Quyền sử dụng đất, quyền sở hữu nhà ở và tài sản gắn liền với đất số: DL 238227, số vào sổ cấp GCN: CS01634 do Sở Tài nguyên và Môi trường tỉnh Vĩnh Phúc cấp ngày 14/03/2023. Chủ sử dụng đất là ông Khương Văn Huân và bà Phạm Hồng Khánh</w:t>
            </w:r>
            <w:r>
              <w:rPr>
                <w:b/>
                <w:bCs/>
              </w:rPr>
              <w:t xml:space="preserve">.</w:t>
            </w:r>
            <w:r>
              <w:rPr>
                <w:b/>
                <w:bCs/>
              </w:rPr>
            </w:r>
            <w:r>
              <w:rPr>
                <w:b/>
                <w:bCs/>
              </w:rPr>
            </w:r>
          </w:p>
        </w:tc>
        <w:tc>
          <w:tcPr>
            <w:shd w:val="clear" w:color="000000" w:fill="ffffff"/>
            <w:tcBorders/>
            <w:tcW w:w="1170" w:type="pct"/>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363" w:type="pct"/>
            <w:vAlign w:val="center"/>
            <w:textDirection w:val="lrTb"/>
            <w:noWrap w:val="false"/>
          </w:tcPr>
          <w:p>
            <w:pPr>
              <w:pBdr/>
              <w:spacing w:after="40" w:before="40" w:line="288" w:lineRule="auto"/>
              <w:ind/>
              <w:jc w:val="center"/>
              <w:rPr/>
            </w:pPr>
            <w:r>
              <w:rPr>
                <w:b/>
                <w:bCs/>
              </w:rPr>
            </w:r>
            <w:r/>
          </w:p>
        </w:tc>
        <w:tc>
          <w:tcPr>
            <w:shd w:val="clear" w:color="000000" w:fill="ffffff"/>
            <w:tcBorders/>
            <w:tcW w:w="1097" w:type="pct"/>
            <w:vAlign w:val="center"/>
            <w:textDirection w:val="lrTb"/>
            <w:noWrap w:val="false"/>
          </w:tcPr>
          <w:p>
            <w:pPr>
              <w:pBdr/>
              <w:spacing w:after="40" w:before="40" w:line="288" w:lineRule="auto"/>
              <w:ind/>
              <w:jc w:val="center"/>
              <w:rPr>
                <w:b w:val="0"/>
                <w:bCs w:val="0"/>
              </w:rPr>
            </w:pPr>
            <w:r>
              <w:rPr>
                <w:b w:val="0"/>
                <w:bCs w:val="0"/>
              </w:rPr>
              <w:t xml:space="preserve">Đất hỗn hợp </w:t>
            </w:r>
            <w:r>
              <w:rPr>
                <w:b w:val="0"/>
                <w:bCs w:val="0"/>
                <w:i/>
                <w:iCs/>
              </w:rPr>
              <w:t xml:space="preserve">(Đất ONT + Đất TCLN)</w:t>
            </w:r>
            <w:r>
              <w:rPr>
                <w:b w:val="0"/>
                <w:bCs w:val="0"/>
              </w:rPr>
            </w:r>
            <w:r>
              <w:rPr>
                <w:b w:val="0"/>
                <w:bCs w:val="0"/>
              </w:rPr>
            </w:r>
          </w:p>
        </w:tc>
        <w:tc>
          <w:tcPr>
            <w:tcBorders/>
            <w:tcW w:w="981" w:type="pct"/>
            <w:vAlign w:val="center"/>
            <w:textDirection w:val="lrTb"/>
            <w:noWrap/>
          </w:tcPr>
          <w:p>
            <w:pPr>
              <w:pBdr/>
              <w:spacing w:after="40" w:before="40" w:line="288" w:lineRule="auto"/>
              <w:ind/>
              <w:jc w:val="center"/>
              <w:rPr>
                <w:color w:val="000000"/>
              </w:rPr>
            </w:pPr>
            <w:r>
              <w:rPr>
                <w:color w:val="000000" w:themeColor="text1"/>
              </w:rPr>
              <w:t xml:space="preserve">200</w:t>
            </w:r>
            <w:r>
              <w:rPr>
                <w:color w:val="000000"/>
              </w:rPr>
            </w:r>
            <w:r>
              <w:rPr>
                <w:color w:val="000000"/>
              </w:rPr>
            </w:r>
          </w:p>
        </w:tc>
        <w:tc>
          <w:tcPr>
            <w:shd w:val="clear" w:color="000000" w:fill="ffffff"/>
            <w:tcBorders/>
            <w:tcW w:w="1389" w:type="pct"/>
            <w:vAlign w:val="center"/>
            <w:textDirection w:val="lrTb"/>
            <w:noWrap w:val="false"/>
          </w:tcPr>
          <w:p>
            <w:pPr>
              <w:pBdr/>
              <w:spacing w:after="40" w:before="40" w:line="288" w:lineRule="auto"/>
              <w:ind/>
              <w:jc w:val="center"/>
              <w:rPr/>
            </w:pPr>
            <w:r>
              <w:rPr>
                <w:color w:val="000000" w:themeColor="text1"/>
              </w:rPr>
              <w:t xml:space="preserve">5.500.000</w:t>
            </w:r>
            <w:r/>
          </w:p>
        </w:tc>
        <w:tc>
          <w:tcPr>
            <w:shd w:val="clear" w:color="000000" w:fill="ffffff"/>
            <w:tcBorders/>
            <w:tcW w:w="1170" w:type="pct"/>
            <w:vAlign w:val="center"/>
            <w:textDirection w:val="lrTb"/>
            <w:noWrap w:val="false"/>
          </w:tcPr>
          <w:p>
            <w:pPr>
              <w:pBdr/>
              <w:spacing w:after="40" w:before="40" w:line="288" w:lineRule="auto"/>
              <w:ind/>
              <w:jc w:val="center"/>
              <w:rPr>
                <w:b/>
                <w:bCs/>
                <w:color w:val="000000"/>
              </w:rPr>
            </w:pPr>
            <w:r>
              <w:t xml:space="preserve">1.100.000.000</w:t>
            </w:r>
            <w:r>
              <w:rPr>
                <w:b/>
                <w:bCs/>
                <w:color w:val="000000"/>
              </w:rPr>
            </w:r>
            <w:r>
              <w:rPr>
                <w:b/>
                <w:bCs/>
                <w:color w:val="000000"/>
              </w:rPr>
            </w:r>
          </w:p>
        </w:tc>
      </w:tr>
      <w:tr>
        <w:trPr>
          <w:trHeight w:val="20"/>
        </w:trPr>
        <w:tc>
          <w:tcPr>
            <w:gridSpan w:val="4"/>
            <w:tcBorders/>
            <w:tcW w:w="3830" w:type="pct"/>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1170" w:type="pct"/>
            <w:vAlign w:val="center"/>
            <w:textDirection w:val="lrTb"/>
            <w:noWrap/>
          </w:tcPr>
          <w:p>
            <w:pPr>
              <w:pBdr/>
              <w:spacing w:after="40" w:before="40" w:line="288" w:lineRule="auto"/>
              <w:ind/>
              <w:jc w:val="center"/>
              <w:rPr>
                <w:b/>
                <w:bCs/>
                <w:color w:val="000000"/>
              </w:rPr>
            </w:pPr>
            <w:r>
              <w:t xml:space="preserve">1.100.000.000</w:t>
            </w:r>
            <w:r>
              <w:rPr>
                <w:b/>
                <w:bCs/>
                <w:color w:val="000000"/>
              </w:rPr>
            </w:r>
            <w:r>
              <w:rPr>
                <w:b/>
                <w:bCs/>
                <w:color w:val="000000"/>
              </w:rPr>
            </w:r>
          </w:p>
        </w:tc>
      </w:tr>
      <w:tr>
        <w:trPr>
          <w:trHeight w:val="20"/>
        </w:trPr>
        <w:tc>
          <w:tcPr>
            <w:gridSpan w:val="4"/>
            <w:tcBorders/>
            <w:tcW w:w="3830" w:type="pct"/>
            <w:vAlign w:val="center"/>
            <w:textDirection w:val="lrTb"/>
            <w:noWrap/>
          </w:tcPr>
          <w:p>
            <w:pPr>
              <w:pBdr/>
              <w:spacing w:after="40" w:before="40" w:line="288" w:lineRule="auto"/>
              <w:ind/>
              <w:jc w:val="center"/>
              <w:rPr>
                <w:b/>
                <w:bCs/>
                <w:color w:val="000000"/>
              </w:rPr>
            </w:pPr>
            <w:r>
              <w:rPr>
                <w:b/>
                <w:bCs/>
                <w:color w:val="000000"/>
              </w:rPr>
              <w:t xml:space="preserve">LÀM TRÒN</w:t>
            </w:r>
            <w:r>
              <w:rPr>
                <w:b/>
                <w:bCs/>
                <w:color w:val="000000"/>
              </w:rPr>
            </w:r>
            <w:r>
              <w:rPr>
                <w:b/>
                <w:bCs/>
                <w:color w:val="000000"/>
              </w:rPr>
            </w:r>
          </w:p>
        </w:tc>
        <w:tc>
          <w:tcPr>
            <w:tcBorders/>
            <w:tcW w:w="1170" w:type="pct"/>
            <w:vAlign w:val="center"/>
            <w:textDirection w:val="lrTb"/>
            <w:noWrap/>
          </w:tcPr>
          <w:p>
            <w:pPr>
              <w:pBdr/>
              <w:spacing w:after="40" w:before="40" w:line="288" w:lineRule="auto"/>
              <w:ind/>
              <w:jc w:val="center"/>
              <w:rPr>
                <w:b/>
                <w:bCs/>
                <w:color w:val="000000"/>
              </w:rPr>
            </w:pPr>
            <w:r>
              <w:rPr>
                <w:b/>
                <w:bCs/>
                <w:color w:val="000000"/>
              </w:rPr>
              <w:t xml:space="preserve">1.100.000.000</w:t>
            </w:r>
            <w:r>
              <w:rPr>
                <w:b/>
                <w:bCs/>
                <w:color w:val="000000"/>
              </w:rPr>
            </w:r>
            <w:r>
              <w:rPr>
                <w:b/>
                <w:bCs/>
                <w:color w:val="000000"/>
              </w:rPr>
            </w:r>
          </w:p>
        </w:tc>
      </w:tr>
      <w:tr>
        <w:trPr>
          <w:trHeight w:val="20"/>
        </w:trPr>
        <w:tc>
          <w:tcPr>
            <w:gridSpan w:val="5"/>
            <w:tcBorders/>
            <w:tcW w:w="5000" w:type="pct"/>
            <w:vAlign w:val="center"/>
            <w:textDirection w:val="lrTb"/>
            <w:noWrap w:val="false"/>
          </w:tcPr>
          <w:p>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Một tỷ một trăm triệu đồng</w:t>
            </w:r>
            <w:r>
              <w:rPr>
                <w:b/>
                <w:bCs/>
                <w:i/>
                <w:iCs/>
                <w:color w:val="000000"/>
              </w:rPr>
              <w:t xml:space="preserve">./.)</w:t>
            </w:r>
            <w:r>
              <w:rPr>
                <w:b/>
                <w:bCs/>
                <w:i/>
                <w:iCs/>
                <w:color w:val="000000"/>
              </w:rPr>
            </w:r>
            <w:r>
              <w:rPr>
                <w:b/>
                <w:bCs/>
                <w:i/>
                <w:iCs/>
                <w:color w:val="000000"/>
              </w:rPr>
            </w:r>
          </w:p>
        </w:tc>
      </w:tr>
    </w:tbl>
    <w:p>
      <w:pPr>
        <w:pStyle w:val="1027"/>
        <w:pBdr/>
        <w:tabs>
          <w:tab w:val="left" w:leader="none" w:pos="993"/>
        </w:tabs>
        <w:spacing w:after="120" w:before="120" w:line="288" w:lineRule="auto"/>
        <w:ind w:left="0"/>
        <w:jc w:val="both"/>
        <w:rPr>
          <w:b/>
          <w:lang w:val="pt-BR"/>
        </w:rPr>
      </w:pPr>
      <w:r>
        <w:rPr>
          <w:b/>
          <w:lang w:val="pt-BR"/>
        </w:rPr>
        <w:t xml:space="preserve">IX</w:t>
      </w:r>
      <w:r>
        <w:rPr>
          <w:b/>
          <w:lang w:val="pt-BR"/>
        </w:rPr>
        <w:t xml:space="preserve">. </w:t>
      </w:r>
      <w:r>
        <w:rPr>
          <w:b/>
          <w:bCs/>
          <w:lang w:val="pt-BR"/>
        </w:rPr>
        <w:t xml:space="preserve">THỜI HẠN HIỆU LỰC CỦA KẾT QUẢ THẨM ĐỊNH GIÁ</w:t>
      </w:r>
      <w:r>
        <w:rPr>
          <w:b/>
          <w:lang w:val="pt-BR"/>
        </w:rPr>
      </w:r>
      <w:r>
        <w:rPr>
          <w:b/>
          <w:lang w:val="pt-BR"/>
        </w:rPr>
      </w:r>
    </w:p>
    <w:p>
      <w:pPr>
        <w:pStyle w:val="1027"/>
        <w:numPr>
          <w:ilvl w:val="0"/>
          <w:numId w:val="4"/>
        </w:numPr>
        <w:pBdr/>
        <w:tabs>
          <w:tab w:val="left" w:leader="none" w:pos="993"/>
        </w:tabs>
        <w:spacing w:after="120" w:before="120" w:line="288" w:lineRule="auto"/>
        <w:ind/>
        <w:jc w:val="both"/>
        <w:rPr>
          <w:b/>
          <w:lang w:val="pt-BR"/>
        </w:rPr>
      </w:pPr>
      <w:r>
        <w:rPr>
          <w:lang w:val="pt-BR"/>
        </w:rPr>
        <w:t xml:space="preserve">Tối đa 06 (sáu) tháng tính từ ngày ký đối với tài sản là Bất động sản.</w:t>
      </w:r>
      <w:r>
        <w:rPr>
          <w:b/>
          <w:lang w:val="pt-BR"/>
        </w:rPr>
      </w:r>
      <w:r>
        <w:rPr>
          <w:b/>
          <w:lang w:val="pt-BR"/>
        </w:rPr>
      </w:r>
    </w:p>
    <w:p>
      <w:pPr>
        <w:pStyle w:val="1027"/>
        <w:pBdr/>
        <w:tabs>
          <w:tab w:val="left" w:leader="none" w:pos="993"/>
        </w:tabs>
        <w:spacing w:after="120" w:before="120" w:line="288"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r>
        <w:rPr>
          <w:rFonts w:ascii="Times New Roman Bold" w:hAnsi="Times New Roman Bold"/>
          <w:b/>
          <w:bCs/>
          <w:spacing w:val="-4"/>
          <w:lang w:val="pt-BR"/>
        </w:rPr>
      </w:r>
    </w:p>
    <w:p>
      <w:pPr>
        <w:pStyle w:val="1027"/>
        <w:numPr>
          <w:ilvl w:val="0"/>
          <w:numId w:val="5"/>
        </w:numPr>
        <w:pBdr/>
        <w:tabs>
          <w:tab w:val="left" w:leader="none" w:pos="993"/>
        </w:tabs>
        <w:spacing w:after="120" w:before="120" w:line="288" w:lineRule="auto"/>
        <w:ind/>
        <w:jc w:val="both"/>
        <w:rPr>
          <w:lang w:val="pt-BR"/>
        </w:rPr>
      </w:pPr>
      <w:r>
        <w:rPr>
          <w:lang w:val="pt-BR"/>
        </w:rPr>
        <w:t xml:space="preserve">Công ty </w:t>
      </w:r>
      <w:r>
        <w:rPr>
          <w:lang w:val="pt-BR"/>
        </w:rPr>
        <w:t xml:space="preserve">Cổ phần Thẩm định</w:t>
      </w:r>
      <w:r>
        <w:rPr>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lang w:val="pt-BR"/>
        </w:rPr>
      </w:r>
      <w:r>
        <w:rPr>
          <w:lang w:val="pt-BR"/>
        </w:rPr>
      </w:r>
    </w:p>
    <w:p>
      <w:pPr>
        <w:pStyle w:val="1027"/>
        <w:numPr>
          <w:ilvl w:val="0"/>
          <w:numId w:val="5"/>
        </w:numPr>
        <w:pBdr/>
        <w:tabs>
          <w:tab w:val="left" w:leader="none" w:pos="993"/>
        </w:tabs>
        <w:spacing w:after="120" w:before="120" w:line="288" w:lineRule="auto"/>
        <w:ind/>
        <w:jc w:val="both"/>
        <w:rPr>
          <w:lang w:val="pt-BR"/>
        </w:rPr>
      </w:pPr>
      <w:r>
        <w:rPr>
          <w:lang w:val="pt-BR"/>
        </w:rPr>
        <w:t xml:space="preserve">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w:t>
      </w:r>
      <w:r>
        <w:rPr>
          <w:lang w:val="pt-BR"/>
        </w:rPr>
        <w:t xml:space="preserve">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lang w:val="pt-BR"/>
        </w:rPr>
      </w:r>
      <w:r>
        <w:rPr>
          <w:lang w:val="pt-BR"/>
        </w:rPr>
      </w:r>
    </w:p>
    <w:p>
      <w:pPr>
        <w:pStyle w:val="1027"/>
        <w:numPr>
          <w:ilvl w:val="0"/>
          <w:numId w:val="5"/>
        </w:numPr>
        <w:pBdr/>
        <w:tabs>
          <w:tab w:val="left" w:leader="none" w:pos="993"/>
        </w:tabs>
        <w:spacing w:after="120" w:before="120" w:line="288" w:lineRule="auto"/>
        <w:ind/>
        <w:jc w:val="both"/>
        <w:rPr>
          <w:lang w:val="pt-BR"/>
        </w:rPr>
      </w:pPr>
      <w:r>
        <w:rPr>
          <w:lang w:val="pt-BR"/>
        </w:rPr>
        <w:t xml:space="preserve">Chứng thư, Báo cáo này được soạn thảo theo Hợp đồng được ký kết</w:t>
      </w:r>
      <w:r>
        <w:rPr>
          <w:lang w:val="pt-BR"/>
        </w:rPr>
        <w:t xml:space="preserve"> </w:t>
      </w:r>
      <w:r>
        <w:rPr>
          <w:lang w:val="pt-BR"/>
        </w:rPr>
        <w:t xml:space="preserve">và tuâ</w:t>
      </w:r>
      <w:r>
        <w:rPr>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lang w:val="pt-BR"/>
        </w:rPr>
      </w:r>
      <w:r>
        <w:rPr>
          <w:lang w:val="pt-BR"/>
        </w:rPr>
      </w:r>
    </w:p>
    <w:p>
      <w:pPr>
        <w:pStyle w:val="1027"/>
        <w:numPr>
          <w:ilvl w:val="0"/>
          <w:numId w:val="5"/>
        </w:numPr>
        <w:pBdr/>
        <w:tabs>
          <w:tab w:val="left" w:leader="none" w:pos="993"/>
        </w:tabs>
        <w:spacing w:after="120" w:before="120" w:line="288" w:lineRule="auto"/>
        <w:ind/>
        <w:jc w:val="both"/>
        <w:rPr>
          <w:lang w:val="pt-BR"/>
        </w:rPr>
      </w:pPr>
      <w:r>
        <w:rPr>
          <w:lang w:val="pt-BR"/>
        </w:rPr>
        <w:t xml:space="preserve">Các bên liên quan khi đọc và thực hiện sử dụng sản phẩm tư vấn này, tức là đã chấp nhận và đồng ý với những điều khoản sau:</w:t>
      </w:r>
      <w:r>
        <w:rPr>
          <w:lang w:val="pt-BR"/>
        </w:rPr>
      </w:r>
      <w:r>
        <w:rPr>
          <w:lang w:val="pt-BR"/>
        </w:rPr>
      </w:r>
    </w:p>
    <w:p>
      <w:pPr>
        <w:pStyle w:val="1027"/>
        <w:numPr>
          <w:ilvl w:val="0"/>
          <w:numId w:val="10"/>
        </w:numPr>
        <w:pBdr/>
        <w:spacing w:after="120" w:before="120" w:line="288" w:lineRule="auto"/>
        <w:ind w:hanging="284" w:left="426"/>
        <w:jc w:val="both"/>
        <w:rPr>
          <w:lang w:val="pt-BR"/>
        </w:rPr>
      </w:pPr>
      <w:r>
        <w:rPr>
          <w:lang w:val="pt-BR"/>
        </w:rPr>
        <w:t xml:space="preserve">Sản phẩm tư vấn của Chúng tôi chỉ nhằm mục đích duy nhất đã ghi tại Mục 4 của Chứng thư mà không nhằm bất kỳ mục đích nào khác và mọi hành</w:t>
      </w:r>
      <w:r>
        <w:rPr>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lang w:val="pt-BR"/>
        </w:rPr>
      </w:r>
      <w:r>
        <w:rPr>
          <w:lang w:val="pt-BR"/>
        </w:rPr>
      </w:r>
    </w:p>
    <w:p>
      <w:pPr>
        <w:pStyle w:val="1027"/>
        <w:numPr>
          <w:ilvl w:val="0"/>
          <w:numId w:val="10"/>
        </w:numPr>
        <w:pBdr/>
        <w:spacing w:after="120" w:before="120" w:line="288" w:lineRule="auto"/>
        <w:ind w:hanging="284" w:left="426"/>
        <w:jc w:val="both"/>
        <w:rPr>
          <w:lang w:val="pt-BR"/>
        </w:rPr>
      </w:pPr>
      <w:r>
        <w:rPr>
          <w:lang w:val="pt-BR"/>
        </w:rPr>
        <w:t xml:space="preserve">Lotus VFI, Ban Lãnh đạo, toàn thể nhân viên, Thẩm định viên và đại diện pháp luật của Lotus VFI khôn</w:t>
      </w:r>
      <w:r>
        <w:rPr>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lang w:val="pt-BR"/>
        </w:rPr>
      </w:r>
      <w:r>
        <w:rPr>
          <w:lang w:val="pt-BR"/>
        </w:rPr>
      </w:r>
    </w:p>
    <w:p>
      <w:pPr>
        <w:pStyle w:val="1027"/>
        <w:numPr>
          <w:ilvl w:val="0"/>
          <w:numId w:val="10"/>
        </w:numPr>
        <w:pBdr/>
        <w:spacing w:after="120" w:before="120" w:line="288" w:lineRule="auto"/>
        <w:ind w:hanging="284" w:left="426"/>
        <w:jc w:val="both"/>
        <w:rPr>
          <w:lang w:val="pt-BR"/>
        </w:rPr>
      </w:pPr>
      <w:r>
        <w:rPr>
          <w:lang w:val="pt-BR"/>
        </w:rPr>
        <w:t xml:space="preserve">Khách hàng hoặc bất kỳ bên nào khác sử dụng báo cáo này và bất kỳ hoạt động nào của bất kỳ bên liên q</w:t>
      </w:r>
      <w:r>
        <w:rPr>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lang w:val="pt-BR"/>
        </w:rPr>
      </w:r>
      <w:r>
        <w:rPr>
          <w:lang w:val="pt-BR"/>
        </w:rPr>
      </w:r>
    </w:p>
    <w:p>
      <w:pPr>
        <w:pStyle w:val="1027"/>
        <w:pBdr/>
        <w:tabs>
          <w:tab w:val="left" w:leader="none" w:pos="993"/>
        </w:tabs>
        <w:spacing w:after="120" w:before="120" w:line="288"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r>
        <w:rPr>
          <w:rFonts w:ascii="Times New Roman Bold" w:hAnsi="Times New Roman Bold"/>
          <w:b/>
          <w:spacing w:val="-4"/>
          <w:lang w:val="pt-BR"/>
        </w:rPr>
      </w:r>
    </w:p>
    <w:p>
      <w:pPr>
        <w:pStyle w:val="1027"/>
        <w:numPr>
          <w:ilvl w:val="0"/>
          <w:numId w:val="5"/>
        </w:numPr>
        <w:pBdr/>
        <w:tabs>
          <w:tab w:val="left" w:leader="none" w:pos="993"/>
        </w:tabs>
        <w:spacing w:after="120" w:before="120" w:line="288" w:lineRule="auto"/>
        <w:ind w:hanging="357" w:left="357"/>
        <w:jc w:val="both"/>
        <w:rPr>
          <w:lang w:val="pt-BR"/>
        </w:rPr>
      </w:pPr>
      <w:r>
        <w:rPr>
          <w:lang w:val="pt-BR"/>
        </w:rPr>
        <w:t xml:space="preserve">Chứng thư này chỉ được cung cấp theo yêu cầu của khách hàng. Chỉ bản chính và bản sao Chứng thư thẩm định giá do Công ty </w:t>
      </w:r>
      <w:r>
        <w:rPr>
          <w:lang w:val="pt-BR"/>
        </w:rPr>
        <w:t xml:space="preserve">Cổ phần Thẩm định</w:t>
      </w:r>
      <w:r>
        <w:rPr>
          <w:lang w:val="pt-BR"/>
        </w:rPr>
        <w:t xml:space="preserve"> và Đầu tư Tài chính Hoa Sen cấp mới có giá trị. Mọi hành vi sử dụng bản sao Chứng thư/Báo cáo kết quả thẩm định giá mà không có xác nhận của Công ty </w:t>
      </w:r>
      <w:r>
        <w:rPr>
          <w:lang w:val="pt-BR"/>
        </w:rPr>
        <w:t xml:space="preserve">Cổ phần Thẩm định</w:t>
      </w:r>
      <w:r>
        <w:rPr>
          <w:lang w:val="pt-BR"/>
        </w:rPr>
        <w:t xml:space="preserve"> và Đầu tư Tài chính Hoa Sen đều vi phạm pháp luật và không có giá trị.</w:t>
      </w:r>
      <w:r>
        <w:rPr>
          <w:lang w:val="pt-BR"/>
        </w:rPr>
      </w:r>
      <w:r>
        <w:rPr>
          <w:lang w:val="pt-BR"/>
        </w:rPr>
      </w:r>
    </w:p>
    <w:p>
      <w:pPr>
        <w:pStyle w:val="1027"/>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lang w:val="pt-BR"/>
        </w:rPr>
      </w:r>
      <w:r>
        <w:rPr>
          <w:lang w:val="pt-BR"/>
        </w:rPr>
      </w:r>
    </w:p>
    <w:p>
      <w:pPr>
        <w:pStyle w:val="1027"/>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lang w:val="pt-BR"/>
        </w:rPr>
      </w:r>
      <w:r>
        <w:rPr>
          <w:lang w:val="pt-BR"/>
        </w:rPr>
      </w:r>
    </w:p>
    <w:p>
      <w:pPr>
        <w:pStyle w:val="1027"/>
        <w:numPr>
          <w:ilvl w:val="0"/>
          <w:numId w:val="5"/>
        </w:numPr>
        <w:pBdr/>
        <w:tabs>
          <w:tab w:val="left" w:leader="none" w:pos="993"/>
        </w:tabs>
        <w:spacing w:after="120" w:before="120" w:line="288" w:lineRule="auto"/>
        <w:ind/>
        <w:jc w:val="both"/>
        <w:rPr>
          <w:b/>
          <w:lang w:val="pt-BR"/>
        </w:rPr>
      </w:pPr>
      <w:r>
        <w:rPr>
          <w:lang w:val="pt-BR"/>
        </w:rPr>
        <w:t xml:space="preserve">Các phương pháp tính toán trên cơ sở tài liệu được cung cấp bởi khách hàng và dựa trên các tài liệu khác có liên quan do tổ</w:t>
      </w:r>
      <w:r>
        <w:rPr>
          <w:lang w:val="vi-VN"/>
        </w:rPr>
        <w:t xml:space="preserve"> </w:t>
      </w:r>
      <w:r>
        <w:rPr>
          <w:lang w:val="pt-BR"/>
        </w:rPr>
        <w:t xml:space="preserve">thẩm định thu thập, cũng như các điều kiện và kỳ vọng tại thời điểm thẩm định giá phù hợp với các luật định, chính sách quản lý của Nhà nước hiện hành và các điều </w:t>
      </w:r>
      <w:r>
        <w:rPr>
          <w:lang w:val="pt-BR"/>
        </w:rPr>
        <w:t xml:space="preserve">kiện, giả định theo quan điểm hợp lý của tổ</w:t>
      </w:r>
      <w:r>
        <w:rPr>
          <w:lang w:val="vi-VN"/>
        </w:rPr>
        <w:t xml:space="preserve"> </w:t>
      </w:r>
      <w:r>
        <w:rPr>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lang w:val="vi-VN"/>
        </w:rPr>
        <w:t xml:space="preserve">tổ </w:t>
      </w:r>
      <w:r>
        <w:rPr>
          <w:lang w:val="pt-BR"/>
        </w:rPr>
        <w:t xml:space="preserve">thẩm định không đảm bảo là các giả định làm cơ sở thẩm định giá là chính xác hoàn toàn.</w:t>
      </w:r>
      <w:r>
        <w:rPr>
          <w:b/>
          <w:lang w:val="pt-BR"/>
        </w:rPr>
      </w:r>
      <w:r>
        <w:rPr>
          <w:b/>
          <w:lang w:val="pt-BR"/>
        </w:rPr>
      </w:r>
    </w:p>
    <w:p>
      <w:pPr>
        <w:pStyle w:val="1027"/>
        <w:numPr>
          <w:ilvl w:val="0"/>
          <w:numId w:val="5"/>
        </w:numPr>
        <w:pBdr/>
        <w:tabs>
          <w:tab w:val="left" w:leader="none" w:pos="993"/>
        </w:tabs>
        <w:spacing w:after="120" w:before="120" w:line="288" w:lineRule="auto"/>
        <w:ind/>
        <w:jc w:val="both"/>
        <w:rPr>
          <w:b/>
          <w:spacing w:val="2"/>
          <w:lang w:val="pt-BR"/>
        </w:rPr>
      </w:pPr>
      <w:r>
        <w:rPr>
          <w:spacing w:val="2"/>
          <w:lang w:val="pt-BR"/>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w:t>
      </w:r>
      <w:r>
        <w:rPr>
          <w:spacing w:val="2"/>
          <w:lang w:val="pt-BR"/>
        </w:rPr>
        <w:t xml:space="preserve">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w:t>
      </w:r>
      <w:r>
        <w:rPr>
          <w:spacing w:val="2"/>
          <w:lang w:val="pt-BR"/>
        </w:rPr>
        <w:t xml:space="preserve">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b/>
          <w:spacing w:val="2"/>
          <w:lang w:val="pt-BR"/>
        </w:rPr>
      </w:r>
      <w:r>
        <w:rPr>
          <w:b/>
          <w:spacing w:val="2"/>
          <w:lang w:val="pt-BR"/>
        </w:rPr>
      </w:r>
    </w:p>
    <w:p>
      <w:pPr>
        <w:pStyle w:val="1027"/>
        <w:numPr>
          <w:ilvl w:val="0"/>
          <w:numId w:val="5"/>
        </w:numPr>
        <w:pBdr/>
        <w:tabs>
          <w:tab w:val="left" w:leader="none" w:pos="993"/>
        </w:tabs>
        <w:spacing w:after="120" w:before="120" w:line="288" w:lineRule="auto"/>
        <w:ind w:hanging="357" w:left="357"/>
        <w:jc w:val="both"/>
        <w:rPr>
          <w:b/>
          <w:lang w:val="pt-BR"/>
        </w:rPr>
      </w:pPr>
      <w:r>
        <w:rPr>
          <w:lang w:val="pt-BR"/>
        </w:rPr>
        <w:t xml:space="preserve">Khách hàng yêu cầu thẩm định giá và người hướng dẫn tổ</w:t>
      </w:r>
      <w:r>
        <w:rPr>
          <w:lang w:val="vi-VN"/>
        </w:rPr>
        <w:t xml:space="preserve"> </w:t>
      </w:r>
      <w:r>
        <w:rPr>
          <w:lang w:val="pt-BR"/>
        </w:rPr>
        <w:t xml:space="preserve">thẩm định thực hiện thẩm định hiện trạng tà</w:t>
      </w:r>
      <w:r>
        <w:rPr>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b/>
          <w:lang w:val="pt-BR"/>
        </w:rPr>
      </w:r>
      <w:r>
        <w:rPr>
          <w:b/>
          <w:lang w:val="pt-BR"/>
        </w:rPr>
      </w:r>
    </w:p>
    <w:p>
      <w:pPr>
        <w:pStyle w:val="1027"/>
        <w:numPr>
          <w:ilvl w:val="0"/>
          <w:numId w:val="5"/>
        </w:numPr>
        <w:pBdr/>
        <w:spacing w:after="120" w:before="120" w:line="288" w:lineRule="auto"/>
        <w:ind w:hanging="357" w:left="357"/>
        <w:jc w:val="both"/>
        <w:rPr>
          <w:lang w:val="pt-BR"/>
        </w:rPr>
      </w:pPr>
      <w:r>
        <w:rPr>
          <w:shd w:val="clear" w:color="auto" w:fill="ffffff"/>
          <w:lang w:val="pt-BR"/>
        </w:rPr>
        <w:t xml:space="preserve">Chúng tôi nhấn mạnh rằng việc thẩm định giá không phải là môn khoa học chính xác, m</w:t>
      </w:r>
      <w:r>
        <w:rPr>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shd w:val="clear" w:color="auto" w:fill="ffffff"/>
          <w:lang w:val="vi-VN"/>
        </w:rPr>
        <w:t xml:space="preserve">.</w:t>
      </w:r>
      <w:r>
        <w:rPr>
          <w:lang w:val="pt-BR"/>
        </w:rPr>
      </w:r>
      <w:r>
        <w:rPr>
          <w:lang w:val="pt-BR"/>
        </w:rPr>
      </w:r>
    </w:p>
    <w:p>
      <w:pPr>
        <w:pStyle w:val="1027"/>
        <w:numPr>
          <w:ilvl w:val="0"/>
          <w:numId w:val="5"/>
        </w:numPr>
        <w:pBdr/>
        <w:tabs>
          <w:tab w:val="left" w:leader="none" w:pos="993"/>
        </w:tabs>
        <w:spacing w:after="120" w:before="120" w:line="288" w:lineRule="auto"/>
        <w:ind/>
        <w:jc w:val="both"/>
        <w:rPr>
          <w:shd w:val="clear" w:color="auto" w:fill="ffffff"/>
          <w:lang w:val="pt-BR"/>
        </w:rPr>
      </w:pPr>
      <w:r>
        <w:rPr>
          <w:shd w:val="clear" w:color="auto" w:fill="ffffff"/>
          <w:lang w:val="pt-BR"/>
        </w:rPr>
        <w:t xml:space="preserve">Chúng tôi chỉ hoạt động trong lĩnh</w:t>
      </w:r>
      <w:r>
        <w:rPr>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iCs/>
          <w:lang w:val="pt-BR"/>
        </w:rPr>
        <w:t xml:space="preserve">Giấy chứng nhận quyền sử dụng </w:t>
      </w:r>
      <w:r>
        <w:rPr>
          <w:iCs/>
          <w:lang w:val="pt-BR"/>
        </w:rPr>
        <w:t xml:space="preserve">đất  đã</w:t>
      </w:r>
      <w:r>
        <w:rPr>
          <w:iCs/>
          <w:lang w:val="pt-BR"/>
        </w:rPr>
        <w:t xml:space="preserve"> cung cấp cho chúng tôi.</w:t>
      </w:r>
      <w:r>
        <w:rPr>
          <w:shd w:val="clear" w:color="auto" w:fill="ffffff"/>
          <w:lang w:val="pt-BR"/>
        </w:rPr>
      </w:r>
      <w:r>
        <w:rPr>
          <w:shd w:val="clear" w:color="auto" w:fill="ffffff"/>
          <w:lang w:val="pt-BR"/>
        </w:rPr>
      </w:r>
    </w:p>
    <w:p>
      <w:pPr>
        <w:pStyle w:val="1027"/>
        <w:numPr>
          <w:ilvl w:val="0"/>
          <w:numId w:val="5"/>
        </w:numPr>
        <w:pBdr/>
        <w:spacing w:after="120" w:before="120" w:line="288" w:lineRule="auto"/>
        <w:ind/>
        <w:jc w:val="both"/>
        <w:rPr>
          <w:lang w:val="vi-VN"/>
        </w:rPr>
      </w:pPr>
      <w:r>
        <w:rPr>
          <w:lang w:val="vi-VN"/>
        </w:rPr>
        <w:t xml:space="preserve">Chúng tôi giả định rằng tà</w:t>
      </w:r>
      <w:r>
        <w:rPr>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lang w:val="vi-VN"/>
        </w:rPr>
        <w:t xml:space="preserve">sinh, liên đới (nếu có) trong trường hợp này.</w:t>
      </w:r>
      <w:r>
        <w:rPr>
          <w:lang w:val="vi-VN"/>
        </w:rPr>
      </w:r>
      <w:r>
        <w:rPr>
          <w:lang w:val="vi-VN"/>
        </w:rPr>
      </w:r>
    </w:p>
    <w:p>
      <w:pPr>
        <w:pStyle w:val="1027"/>
        <w:numPr>
          <w:ilvl w:val="0"/>
          <w:numId w:val="3"/>
        </w:numPr>
        <w:pBdr/>
        <w:tabs>
          <w:tab w:val="left" w:leader="none" w:pos="993"/>
        </w:tabs>
        <w:spacing w:after="120" w:before="120" w:line="288" w:lineRule="auto"/>
        <w:ind/>
        <w:jc w:val="both"/>
        <w:rPr>
          <w:lang w:val="vi-VN"/>
        </w:rPr>
      </w:pPr>
      <w:r>
        <w:rPr>
          <w:lang w:val="vi-VN"/>
        </w:rPr>
        <w:t xml:space="preserve">Tổ thẩm định giá sử dụng Phương pháp so sánh để xác định giá trị tài sản thẩm định giá trong đó  việc thu thập thông tin </w:t>
      </w:r>
      <w:r>
        <w:t xml:space="preserve">TSSS</w:t>
      </w:r>
      <w:r>
        <w:rPr>
          <w:lang w:val="vi-VN"/>
        </w:rPr>
        <w:t xml:space="preserve"> đã giao dịch thành công còn gặp nhiều hạn chế, vì vậy</w:t>
      </w:r>
      <w:r>
        <w:t xml:space="preserve">,</w:t>
      </w:r>
      <w:r>
        <w:rPr>
          <w:lang w:val="vi-VN"/>
        </w:rPr>
        <w:t xml:space="preserve"> </w:t>
      </w:r>
      <w:r>
        <w:t xml:space="preserve">T</w:t>
      </w:r>
      <w:r>
        <w:rPr>
          <w:lang w:val="vi-VN"/>
        </w:rPr>
        <w:t xml:space="preserve">ổ thẩm định giá sử dụng các </w:t>
      </w:r>
      <w:r>
        <w:t xml:space="preserve">TSSS</w:t>
      </w:r>
      <w:r>
        <w:rPr>
          <w:lang w:val="vi-VN"/>
        </w:rPr>
        <w:t xml:space="preserve"> là các tài sản đang được </w:t>
      </w:r>
      <w:r>
        <w:t xml:space="preserve">r</w:t>
      </w:r>
      <w:r>
        <w:rPr>
          <w:lang w:val="vi-VN"/>
        </w:rPr>
        <w:t xml:space="preserve">ao bán trên thị trường. Kết quả thẩm định </w:t>
      </w:r>
      <w:r>
        <w:rPr>
          <w:lang w:val="vi-VN"/>
        </w:rPr>
        <w:t xml:space="preserve">giá có thể thay đổi khi các </w:t>
      </w:r>
      <w:r>
        <w:t xml:space="preserve">TSSS</w:t>
      </w:r>
      <w:r>
        <w:rPr>
          <w:lang w:val="vi-VN"/>
        </w:rPr>
        <w:t xml:space="preserve"> được giao dịch thành công. Khách hàng và các bên thứ ba khi sử dụng kết quả thẩm định giá cần lưu ý khi sử dụng Chứng thư thẩm định giá.</w:t>
      </w:r>
      <w:r>
        <w:rPr>
          <w:lang w:val="vi-VN"/>
        </w:rPr>
      </w:r>
      <w:r>
        <w:rPr>
          <w:lang w:val="vi-VN"/>
        </w:rPr>
      </w:r>
    </w:p>
    <w:p>
      <w:pPr>
        <w:pStyle w:val="1027"/>
        <w:numPr>
          <w:ilvl w:val="0"/>
          <w:numId w:val="5"/>
        </w:numPr>
        <w:pBdr/>
        <w:tabs>
          <w:tab w:val="left" w:leader="none" w:pos="993"/>
        </w:tabs>
        <w:spacing w:after="120" w:before="120" w:line="288" w:lineRule="auto"/>
        <w:ind w:hanging="357" w:left="357"/>
        <w:jc w:val="both"/>
        <w:rPr>
          <w:bCs/>
          <w:lang w:val="pt-BR"/>
        </w:rPr>
      </w:pPr>
      <w:r>
        <w:rPr>
          <w:bCs/>
          <w:lang w:val="pt-BR"/>
        </w:rPr>
        <w:t xml:space="preserve">Kết quả t</w:t>
      </w:r>
      <w:r>
        <w:rPr>
          <w:bCs/>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bCs/>
          <w:lang w:val="pt-BR"/>
        </w:rPr>
      </w:r>
      <w:r>
        <w:rPr>
          <w:bCs/>
          <w:lang w:val="pt-BR"/>
        </w:rPr>
      </w:r>
    </w:p>
    <w:p>
      <w:pPr>
        <w:pStyle w:val="1027"/>
        <w:numPr>
          <w:ilvl w:val="0"/>
          <w:numId w:val="5"/>
        </w:numPr>
        <w:pBdr/>
        <w:tabs>
          <w:tab w:val="left" w:leader="none" w:pos="993"/>
        </w:tabs>
        <w:spacing w:after="120" w:before="120" w:line="288" w:lineRule="auto"/>
        <w:ind w:hanging="357" w:left="357"/>
        <w:jc w:val="both"/>
        <w:rPr>
          <w:lang w:val="pt-BR"/>
        </w:rPr>
      </w:pPr>
      <w:r/>
      <w:bookmarkStart w:id="4" w:name="_Hlk151374072"/>
      <w:r>
        <w:rPr>
          <w:lang w:val="pt-BR"/>
        </w:rPr>
        <w:t xml:space="preserve">Tổ thẩm định đã gửi các bản dự thảo chứng thư cho các đơn vị sử dụng chứng thư đọc</w:t>
      </w:r>
      <w:r>
        <w:rPr>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4"/>
      <w:r>
        <w:rPr>
          <w:lang w:val="pt-BR"/>
        </w:rPr>
      </w:r>
      <w:r>
        <w:rPr>
          <w:lang w:val="pt-BR"/>
        </w:rPr>
      </w:r>
    </w:p>
    <w:p>
      <w:pPr>
        <w:pBdr/>
        <w:spacing w:after="120" w:before="120" w:line="288" w:lineRule="auto"/>
        <w:ind/>
        <w:rPr>
          <w:b/>
          <w:bCs/>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r>
        <w:rPr>
          <w:b/>
          <w:bCs/>
          <w:lang w:val="pt-BR"/>
        </w:rPr>
      </w:r>
    </w:p>
    <w:p>
      <w:pPr>
        <w:pStyle w:val="1027"/>
        <w:pBdr/>
        <w:tabs>
          <w:tab w:val="left" w:leader="none" w:pos="993"/>
        </w:tabs>
        <w:spacing w:after="120" w:before="120" w:line="288" w:lineRule="auto"/>
        <w:ind w:left="0"/>
        <w:jc w:val="both"/>
        <w:rPr>
          <w:bCs/>
          <w:lang w:val="pt-BR"/>
        </w:rPr>
      </w:pPr>
      <w:r>
        <w:rPr>
          <w:bCs/>
          <w:lang w:val="pt-BR"/>
        </w:rPr>
        <w:t xml:space="preserve">Phụ lục 1: Hình ảnh hiện trạng của tài sản.</w:t>
      </w:r>
      <w:r>
        <w:rPr>
          <w:bCs/>
          <w:lang w:val="pt-BR"/>
        </w:rPr>
      </w:r>
      <w:r>
        <w:rPr>
          <w:bCs/>
          <w:lang w:val="pt-BR"/>
        </w:rPr>
      </w:r>
    </w:p>
    <w:p>
      <w:pPr>
        <w:pStyle w:val="1027"/>
        <w:pBdr/>
        <w:tabs>
          <w:tab w:val="left" w:leader="none" w:pos="993"/>
        </w:tabs>
        <w:spacing w:after="120" w:before="120" w:line="288" w:lineRule="auto"/>
        <w:ind w:left="0"/>
        <w:jc w:val="both"/>
        <w:rPr>
          <w:lang w:val="pt-BR"/>
        </w:rPr>
      </w:pPr>
      <w:r>
        <w:rPr>
          <w:lang w:val="pt-BR"/>
        </w:rPr>
        <w:t xml:space="preserve">Phụ lục 2: Thông tin </w:t>
      </w:r>
      <w:r>
        <w:rPr>
          <w:lang w:val="pt-BR"/>
        </w:rPr>
        <w:t xml:space="preserve">thu thập thị trường</w:t>
      </w:r>
      <w:r>
        <w:rPr>
          <w:lang w:val="pt-BR"/>
        </w:rPr>
        <w:t xml:space="preserve">.</w:t>
      </w:r>
      <w:r>
        <w:rPr>
          <w:lang w:val="pt-BR"/>
        </w:rPr>
      </w:r>
      <w:r>
        <w:rPr>
          <w:lang w:val="pt-BR"/>
        </w:rPr>
      </w:r>
    </w:p>
    <w:p>
      <w:pPr>
        <w:pStyle w:val="1027"/>
        <w:pBdr/>
        <w:tabs>
          <w:tab w:val="left" w:leader="none" w:pos="993"/>
        </w:tabs>
        <w:spacing w:after="120" w:before="120" w:line="288" w:lineRule="auto"/>
        <w:ind w:left="0"/>
        <w:jc w:val="both"/>
        <w:rPr>
          <w:lang w:val="vi-VN"/>
        </w:rPr>
      </w:pP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color w:val="000000" w:themeColor="text1"/>
          <w:lang w:val="vi-VN"/>
        </w:rPr>
        <w:t xml:space="preserve">275/2026/1224/VFI-CT.C01.A</w:t>
      </w:r>
      <w:r>
        <w:rPr>
          <w:color w:val="ff0000"/>
          <w:lang w:val="vi-VN"/>
        </w:rPr>
        <w:t xml:space="preserve"> </w:t>
      </w:r>
      <w:r>
        <w:rPr>
          <w:color w:val="000000" w:themeColor="text1"/>
        </w:rPr>
        <w:t xml:space="preserve">ngày 8 tháng 8 năm 2026</w:t>
      </w:r>
      <w:r>
        <w:rPr>
          <w:color w:val="000000" w:themeColor="text1"/>
        </w:rPr>
        <w:t xml:space="preserve"> </w:t>
      </w:r>
      <w:r>
        <w:rPr>
          <w:lang w:val="vi-VN"/>
        </w:rPr>
        <w:t xml:space="preserve">tại</w:t>
      </w:r>
      <w:r>
        <w:rPr>
          <w:lang w:val="vi-VN"/>
        </w:rPr>
        <w:t xml:space="preserve"> </w:t>
      </w:r>
      <w:r>
        <w:rPr>
          <w:color w:val="000000" w:themeColor="text1"/>
          <w:lang w:val="vi-VN"/>
        </w:rPr>
        <w:t xml:space="preserve">Công ty Cổ phần Thẩm định và Đầu tư Tài chính Hoa Sen</w:t>
      </w:r>
      <w:r>
        <w:rPr>
          <w:lang w:val="vi-VN"/>
        </w:rPr>
        <w:t xml:space="preserve">.</w:t>
      </w:r>
      <w:r>
        <w:rPr>
          <w:lang w:val="vi-VN"/>
        </w:rPr>
      </w:r>
      <w:r>
        <w:rPr>
          <w:lang w:val="vi-VN"/>
        </w:rPr>
      </w:r>
    </w:p>
    <w:p>
      <w:pPr>
        <w:pStyle w:val="1027"/>
        <w:pBdr/>
        <w:tabs>
          <w:tab w:val="left" w:leader="none" w:pos="993"/>
        </w:tabs>
        <w:spacing w:after="120" w:before="120" w:line="288" w:lineRule="auto"/>
        <w:ind w:left="0"/>
        <w:jc w:val="both"/>
        <w:rPr>
          <w:lang w:val="vi-VN"/>
        </w:rPr>
      </w:pPr>
      <w:r>
        <w:rPr>
          <w:lang w:val="vi-VN"/>
        </w:rPr>
      </w:r>
      <w:r>
        <w:rPr>
          <w:lang w:val="vi-VN"/>
        </w:rPr>
      </w:r>
      <w:r>
        <w:rPr>
          <w:lang w:val="vi-VN"/>
        </w:rPr>
      </w:r>
    </w:p>
    <w:p>
      <w:pPr>
        <w:pStyle w:val="1027"/>
        <w:pBdr/>
        <w:tabs>
          <w:tab w:val="left" w:leader="none" w:pos="993"/>
        </w:tabs>
        <w:spacing w:after="120" w:before="120" w:line="288" w:lineRule="auto"/>
        <w:ind w:left="0"/>
        <w:jc w:val="both"/>
        <w:rPr>
          <w:lang w:val="vi-VN"/>
        </w:rPr>
      </w:pPr>
      <w:r>
        <w:rPr>
          <w:lang w:val="vi-VN"/>
        </w:rPr>
      </w:r>
      <w:r>
        <w:rPr>
          <w:lang w:val="vi-VN"/>
        </w:rPr>
      </w:r>
      <w:r>
        <w:rPr>
          <w:lang w:val="vi-VN"/>
        </w:rPr>
      </w:r>
    </w:p>
    <w:p>
      <w:pPr>
        <w:pStyle w:val="1027"/>
        <w:pBdr/>
        <w:tabs>
          <w:tab w:val="left" w:leader="none" w:pos="993"/>
        </w:tabs>
        <w:spacing w:after="120" w:before="120" w:line="288" w:lineRule="auto"/>
        <w:ind w:left="0"/>
        <w:jc w:val="both"/>
        <w:rPr>
          <w:lang w:val="pt-BR"/>
        </w:rPr>
      </w:pPr>
      <w:r>
        <w:rPr>
          <w:lang w:val="pt-BR"/>
        </w:rPr>
      </w:r>
      <w:r>
        <w:rPr>
          <w:lang w:val="pt-BR"/>
        </w:rPr>
      </w:r>
      <w:r>
        <w:rPr>
          <w:lang w:val="pt-BR"/>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r>
              <w:rPr>
                <w:rFonts w:eastAsia="Calibri"/>
                <w:b/>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Lê Thị Thịnh</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VIII13.990</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 </w:t>
            </w:r>
            <w:r>
              <w:rPr>
                <w:rFonts w:eastAsia="Calibri"/>
                <w:lang w:val="pt-BR"/>
              </w:rPr>
              <w:t xml:space="preserve">XII17.1825</w:t>
            </w:r>
            <w:r>
              <w:rPr>
                <w:rFonts w:eastAsia="Calibri"/>
                <w:b/>
                <w:lang w:val="pt-BR"/>
              </w:rPr>
            </w:r>
            <w:r>
              <w:rPr>
                <w:rFonts w:eastAsia="Calibri"/>
                <w:b/>
                <w:lang w:val="pt-BR"/>
              </w:rPr>
            </w:r>
          </w:p>
        </w:tc>
      </w:tr>
    </w:tbl>
    <w:p>
      <w:pPr>
        <w:pBdr/>
        <w:spacing w:after="200" w:line="276" w:lineRule="auto"/>
        <w:ind/>
        <w:jc w:val="center"/>
        <w:rPr>
          <w:b/>
          <w:u w:val="single"/>
          <w:lang w:val="vi-VN"/>
        </w:rPr>
      </w:pPr>
      <w:r>
        <w:rPr>
          <w:b/>
          <w:u w:val="single"/>
          <w:lang w:val="vi-VN"/>
        </w:rPr>
      </w:r>
      <w:r>
        <w:rPr>
          <w:b/>
          <w:u w:val="single"/>
          <w:lang w:val="vi-VN"/>
        </w:rPr>
      </w:r>
      <w:r>
        <w:rPr>
          <w:b/>
          <w:u w:val="singl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Nguyễn Mạnh Tuấn</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pt-BR"/>
              </w:rPr>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Nguyễn Thị Thùy</w:t>
            </w:r>
            <w:r>
              <w:rPr>
                <w:rFonts w:eastAsia="Calibri"/>
                <w:b/>
              </w:rPr>
            </w:r>
            <w:r>
              <w:rPr>
                <w:rFonts w:eastAsia="Calibri"/>
                <w:b/>
              </w:rPr>
            </w:r>
          </w:p>
          <w:p>
            <w:pPr>
              <w:pBdr/>
              <w:spacing w:line="276" w:lineRule="auto"/>
              <w:ind/>
              <w:rPr>
                <w:rFonts w:eastAsia="Calibri"/>
                <w:b/>
                <w:lang w:val="pt-BR"/>
              </w:rPr>
            </w:pPr>
            <w:r>
              <w:rPr>
                <w:rFonts w:eastAsia="Calibri"/>
                <w:b/>
                <w:lang w:val="pt-BR"/>
              </w:rPr>
            </w:r>
            <w:r>
              <w:rPr>
                <w:rFonts w:eastAsia="Calibri"/>
                <w:b/>
                <w:lang w:val="pt-BR"/>
              </w:rPr>
            </w:r>
            <w:r>
              <w:rPr>
                <w:rFonts w:eastAsia="Calibri"/>
                <w:b/>
                <w:lang w:val="pt-BR"/>
              </w:rPr>
            </w:r>
          </w:p>
        </w:tc>
      </w:tr>
    </w:tbl>
    <w:p>
      <w:pPr>
        <w:pBdr/>
        <w:spacing w:after="200" w:line="276" w:lineRule="auto"/>
        <w:ind/>
        <w:rPr>
          <w:b/>
          <w:u w:val="single"/>
          <w:lang w:val="vi-VN"/>
        </w:rPr>
      </w:pPr>
      <w:r>
        <w:rPr>
          <w:b/>
          <w:u w:val="single"/>
          <w:lang w:val="vi-VN"/>
        </w:rPr>
      </w:r>
      <w:r>
        <w:rPr>
          <w:b/>
          <w:u w:val="single"/>
          <w:lang w:val="vi-VN"/>
        </w:rPr>
      </w:r>
      <w:r>
        <w:rPr>
          <w:b/>
          <w:u w:val="single"/>
          <w:lang w:val="vi-VN"/>
        </w:rPr>
      </w:r>
    </w:p>
    <w:p>
      <w:pPr>
        <w:pBdr/>
        <w:spacing w:after="200" w:line="276" w:lineRule="auto"/>
        <w:ind/>
        <w:jc w:val="center"/>
        <w:rPr>
          <w:b/>
          <w:u w:val="single"/>
          <w:lang w:val="vi-VN"/>
        </w:rPr>
      </w:pPr>
      <w:r>
        <w:rPr>
          <w:lang w:val="vi-VN"/>
        </w:rP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u w:val="single"/>
          <w:lang w:val="vi-VN"/>
        </w:rPr>
      </w:r>
      <w:r>
        <w:rPr>
          <w:b/>
          <w:u w:val="single"/>
          <w:lang w:val="vi-VN"/>
        </w:rPr>
      </w:r>
    </w:p>
    <w:p>
      <w:pPr>
        <w:pBdr/>
        <w:spacing/>
        <w:ind/>
        <w:jc w:val="center"/>
        <w:rPr>
          <w:i/>
          <w:lang w:val="pt-BR"/>
        </w:rPr>
      </w:pPr>
      <w:r>
        <w:rPr>
          <w:i/>
          <w:lang w:val="pt-BR"/>
        </w:rPr>
        <w:t xml:space="preserve">(Kèm theo Báo cáo thẩm định số</w:t>
      </w:r>
      <w:r>
        <w:rPr>
          <w:i/>
          <w:lang w:val="pt-BR"/>
        </w:rPr>
        <w:t xml:space="preserve"> </w:t>
      </w:r>
      <w:r>
        <w:rPr>
          <w:i/>
        </w:rPr>
        <w:t xml:space="preserve">275/2026/1224/VFI-BC.C01.A</w:t>
      </w:r>
      <w:r>
        <w:rPr>
          <w:i/>
          <w:lang w:val="pt-BR"/>
        </w:rPr>
        <w:t xml:space="preserve"> </w:t>
      </w:r>
      <w:r>
        <w:rPr>
          <w:i/>
          <w:lang w:val="pt-BR"/>
        </w:rPr>
        <w:t xml:space="preserve">8 tháng 8 năm 2026</w:t>
      </w:r>
      <w:r>
        <w:rPr>
          <w:i/>
          <w:lang w:val="pt-BR"/>
        </w:rPr>
        <w:t xml:space="preserve">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tbl>
      <w:tblPr>
        <w:tblStyle w:val="1031"/>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lang w:val="pt-BR"/>
              </w:rPr>
            </w:pPr>
            <w:r>
              <w:rPr>
                <w:b/>
                <w:bCs/>
                <w:i/>
                <w:lang w:val="pt-BR"/>
              </w:rPr>
              <w:t xml:space="preserve">Hướng</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Tổng quan tài</w:t>
            </w:r>
            <w:r>
              <w:rPr>
                <w:b/>
                <w:bCs/>
                <w:i/>
                <w:lang w:val="pt-BR"/>
              </w:rPr>
              <w:t xml:space="preserve">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1244591" cy="2214048"/>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1526015" name=""/>
                              <pic:cNvPicPr>
                                <a:picLocks noChangeAspect="1"/>
                              </pic:cNvPicPr>
                              <pic:nvPr/>
                            </pic:nvPicPr>
                            <pic:blipFill rotWithShape="1">
                              <a:blip r:embed="rId19"/>
                              <a:stretch/>
                            </pic:blipFill>
                            <pic:spPr bwMode="auto">
                              <a:xfrm flipH="0" flipV="0">
                                <a:off x="0" y="0"/>
                                <a:ext cx="1244590" cy="221404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98.00pt;height:174.33pt;mso-wrap-distance-left:0.00pt;mso-wrap-distance-top:0.00pt;mso-wrap-distance-right:0.00pt;mso-wrap-distance-bottom:0.00pt;z-index:1;" stroked="false">
                      <v:imagedata r:id="rId19"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839638" cy="1280056"/>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1656991" name=""/>
                              <pic:cNvPicPr>
                                <a:picLocks noChangeAspect="1"/>
                              </pic:cNvPicPr>
                              <pic:nvPr/>
                            </pic:nvPicPr>
                            <pic:blipFill rotWithShape="1">
                              <a:blip r:embed="rId20"/>
                              <a:stretch/>
                            </pic:blipFill>
                            <pic:spPr bwMode="auto">
                              <a:xfrm flipH="0" flipV="0">
                                <a:off x="0" y="0"/>
                                <a:ext cx="2839638" cy="128005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223.59pt;height:100.79pt;mso-wrap-distance-left:0.00pt;mso-wrap-distance-top:0.00pt;mso-wrap-distance-right:0.00pt;mso-wrap-distance-bottom:0.00pt;z-index:1;" stroked="false">
                      <v:imagedata r:id="rId20"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Đường trước tài sản</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868508" cy="1611762"/>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9578356" name=""/>
                              <pic:cNvPicPr>
                                <a:picLocks noChangeAspect="1"/>
                              </pic:cNvPicPr>
                              <pic:nvPr/>
                            </pic:nvPicPr>
                            <pic:blipFill rotWithShape="1">
                              <a:blip r:embed="rId21"/>
                              <a:stretch/>
                            </pic:blipFill>
                            <pic:spPr bwMode="auto">
                              <a:xfrm flipH="0" flipV="0">
                                <a:off x="0" y="0"/>
                                <a:ext cx="2868507" cy="161176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25.87pt;height:126.91pt;mso-wrap-distance-left:0.00pt;mso-wrap-distance-top:0.00pt;mso-wrap-distance-right:0.00pt;mso-wrap-distance-bottom:0.00pt;z-index:1;" stroked="false">
                      <v:imagedata r:id="rId21"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764688" cy="1246270"/>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7586708" name=""/>
                              <pic:cNvPicPr>
                                <a:picLocks noChangeAspect="1"/>
                              </pic:cNvPicPr>
                              <pic:nvPr/>
                            </pic:nvPicPr>
                            <pic:blipFill rotWithShape="1">
                              <a:blip r:embed="rId22"/>
                              <a:stretch/>
                            </pic:blipFill>
                            <pic:spPr bwMode="auto">
                              <a:xfrm flipH="0" flipV="0">
                                <a:off x="0" y="0"/>
                                <a:ext cx="2764688" cy="124626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17.69pt;height:98.13pt;mso-wrap-distance-left:0.00pt;mso-wrap-distance-top:0.00pt;mso-wrap-distance-right:0.00pt;mso-wrap-distance-bottom:0.00pt;z-index:1;" stroked="false">
                      <v:imagedata r:id="rId22" o:title=""/>
                      <o:lock v:ext="edit" rotation="t"/>
                    </v:shape>
                  </w:pict>
                </mc:Fallback>
              </mc:AlternateContent>
            </w:r>
            <w:r>
              <w:rPr>
                <w:i/>
                <w:lang w:val="pt-BR"/>
              </w:rPr>
            </w:r>
            <w:r>
              <w:rPr>
                <w:i/>
                <w:lang w:val="pt-BR"/>
              </w:rPr>
            </w:r>
          </w:p>
        </w:tc>
      </w:tr>
    </w:tbl>
    <w:p>
      <w:pPr>
        <w:pBdr/>
        <w:spacing/>
        <w:ind/>
        <w:rPr/>
      </w:pPr>
      <w:r/>
      <w:r/>
    </w:p>
    <w:p>
      <w:pPr>
        <w:pBdr/>
        <w:spacing w:after="200" w:line="276" w:lineRule="auto"/>
        <w:ind/>
        <w:rPr>
          <w:highlight w:val="none"/>
        </w:rPr>
      </w:pPr>
      <w:r>
        <w:br w:type="page" w:clear="all"/>
      </w:r>
      <w:r>
        <w:rPr>
          <w:highlight w:val="none"/>
        </w:rPr>
      </w:r>
      <w:r>
        <w:rPr>
          <w:highlight w:val="none"/>
        </w:rPr>
      </w:r>
    </w:p>
    <w:p>
      <w:pPr>
        <w:pBdr/>
        <w:spacing w:after="200" w:line="276" w:lineRule="auto"/>
        <w:ind/>
        <w:jc w:val="center"/>
        <w:rPr>
          <w:b/>
          <w:bCs/>
          <w:highlight w:val="none"/>
        </w:rPr>
      </w:pPr>
      <w:r>
        <w:rPr>
          <w:b/>
          <w:bCs/>
          <w:highlight w:val="none"/>
        </w:rPr>
        <w:t xml:space="preserve">PHÁP LÝ</w:t>
      </w:r>
      <w:r>
        <w:rPr>
          <w:b/>
          <w:bCs/>
          <w:highlight w:val="none"/>
        </w:rPr>
      </w:r>
      <w:r>
        <w:rPr>
          <w:b/>
          <w:bCs/>
          <w:highlight w:val="none"/>
        </w:rPr>
      </w:r>
    </w:p>
    <w:p>
      <w:pPr>
        <w:pBdr/>
        <w:spacing w:after="200" w:line="276" w:lineRule="auto"/>
        <w:ind/>
        <w:jc w:val="center"/>
        <w:rPr>
          <w:b/>
          <w:bCs/>
          <w:highlight w:val="none"/>
        </w:rPr>
      </w:pPr>
      <w:r>
        <w:rPr>
          <w:b/>
          <w:bCs/>
          <w:highlight w:val="none"/>
        </w:rPr>
      </w:r>
      <w:r>
        <mc:AlternateContent>
          <mc:Choice Requires="wpg">
            <w:drawing>
              <wp:inline xmlns:wp="http://schemas.openxmlformats.org/drawingml/2006/wordprocessingDrawing" distT="0" distB="0" distL="0" distR="0">
                <wp:extent cx="6048375" cy="8064500"/>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6739780" name=""/>
                        <pic:cNvPicPr>
                          <a:picLocks noChangeAspect="1"/>
                        </pic:cNvPicPr>
                        <pic:nvPr/>
                      </pic:nvPicPr>
                      <pic:blipFill rotWithShape="1">
                        <a:blip r:embed="rId23"/>
                        <a:stretch/>
                      </pic:blipFill>
                      <pic:spPr bwMode="auto">
                        <a:xfrm>
                          <a:off x="0" y="0"/>
                          <a:ext cx="6048374" cy="80644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476.25pt;height:635.00pt;mso-wrap-distance-left:0.00pt;mso-wrap-distance-top:0.00pt;mso-wrap-distance-right:0.00pt;mso-wrap-distance-bottom:0.00pt;z-index:1;" stroked="false">
                <v:imagedata r:id="rId23" o:title=""/>
                <o:lock v:ext="edit" rotation="t"/>
              </v:shape>
            </w:pict>
          </mc:Fallback>
        </mc:AlternateContent>
      </w:r>
      <w:r>
        <w:rPr>
          <w:b/>
          <w:bCs/>
          <w:highlight w:val="none"/>
        </w:rPr>
      </w:r>
      <w:r>
        <w:rPr>
          <w:b/>
          <w:bCs/>
          <w:highlight w:val="none"/>
        </w:rPr>
      </w:r>
    </w:p>
    <w:p>
      <w:pPr>
        <w:pBdr/>
        <w:spacing w:after="200" w:line="276" w:lineRule="auto"/>
        <w:ind/>
        <w:jc w:val="center"/>
        <w:rPr>
          <w:b/>
          <w:bCs/>
          <w:highlight w:val="none"/>
        </w:rPr>
      </w:pPr>
      <w:r>
        <w:rPr>
          <w:b/>
          <w:bCs/>
          <w:highlight w:val="none"/>
        </w:rPr>
      </w:r>
      <w:r>
        <mc:AlternateContent>
          <mc:Choice Requires="wpg">
            <w:drawing>
              <wp:inline xmlns:wp="http://schemas.openxmlformats.org/drawingml/2006/wordprocessingDrawing" distT="0" distB="0" distL="0" distR="0">
                <wp:extent cx="6048375" cy="8064500"/>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6643136" name=""/>
                        <pic:cNvPicPr>
                          <a:picLocks noChangeAspect="1"/>
                        </pic:cNvPicPr>
                        <pic:nvPr/>
                      </pic:nvPicPr>
                      <pic:blipFill rotWithShape="1">
                        <a:blip r:embed="rId24"/>
                        <a:stretch/>
                      </pic:blipFill>
                      <pic:spPr bwMode="auto">
                        <a:xfrm>
                          <a:off x="0" y="0"/>
                          <a:ext cx="6048374" cy="80644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476.25pt;height:635.00pt;mso-wrap-distance-left:0.00pt;mso-wrap-distance-top:0.00pt;mso-wrap-distance-right:0.00pt;mso-wrap-distance-bottom:0.00pt;z-index:1;" stroked="false">
                <v:imagedata r:id="rId24" o:title=""/>
                <o:lock v:ext="edit" rotation="t"/>
              </v:shape>
            </w:pict>
          </mc:Fallback>
        </mc:AlternateContent>
      </w:r>
      <w:r>
        <w:rPr>
          <w:b/>
          <w:bCs/>
          <w:highlight w:val="none"/>
        </w:rPr>
      </w:r>
      <w:r>
        <w:rPr>
          <w:b/>
          <w:bCs/>
          <w:highlight w:val="none"/>
        </w:rPr>
      </w:r>
    </w:p>
    <w:p>
      <w:pPr>
        <w:pBdr/>
        <w:spacing w:after="200" w:line="276" w:lineRule="auto"/>
        <w:ind/>
        <w:jc w:val="center"/>
        <w:rPr>
          <w:b/>
          <w:bCs/>
          <w:highlight w:val="none"/>
        </w:rPr>
      </w:pPr>
      <w:r>
        <w:rPr>
          <w:b/>
          <w:bCs/>
          <w:highlight w:val="none"/>
        </w:rPr>
      </w:r>
      <w:r>
        <mc:AlternateContent>
          <mc:Choice Requires="wpg">
            <w:drawing>
              <wp:inline xmlns:wp="http://schemas.openxmlformats.org/drawingml/2006/wordprocessingDrawing" distT="0" distB="0" distL="0" distR="0">
                <wp:extent cx="6048375" cy="8064500"/>
                <wp:effectExtent l="0" t="0" r="0" b="0"/>
                <wp:docPr id="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4359900" name=""/>
                        <pic:cNvPicPr>
                          <a:picLocks noChangeAspect="1"/>
                        </pic:cNvPicPr>
                        <pic:nvPr/>
                      </pic:nvPicPr>
                      <pic:blipFill rotWithShape="1">
                        <a:blip r:embed="rId25"/>
                        <a:stretch/>
                      </pic:blipFill>
                      <pic:spPr bwMode="auto">
                        <a:xfrm>
                          <a:off x="0" y="0"/>
                          <a:ext cx="6048374" cy="80644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476.25pt;height:635.00pt;mso-wrap-distance-left:0.00pt;mso-wrap-distance-top:0.00pt;mso-wrap-distance-right:0.00pt;mso-wrap-distance-bottom:0.00pt;z-index:1;" stroked="false">
                <v:imagedata r:id="rId25" o:title=""/>
                <o:lock v:ext="edit" rotation="t"/>
              </v:shape>
            </w:pict>
          </mc:Fallback>
        </mc:AlternateContent>
      </w:r>
      <w:r>
        <w:rPr>
          <w:b/>
          <w:bCs/>
          <w:highlight w:val="none"/>
        </w:rPr>
      </w:r>
      <w:r>
        <w:rPr>
          <w:b/>
          <w:bCs/>
          <w:highlight w:val="none"/>
        </w:rPr>
      </w:r>
    </w:p>
    <w:p>
      <w:pPr>
        <w:pBdr/>
        <w:spacing w:after="200" w:line="276" w:lineRule="auto"/>
        <w:ind/>
        <w:jc w:val="center"/>
        <w:rPr>
          <w:b/>
          <w:bCs/>
          <w:highlight w:val="none"/>
        </w:rPr>
      </w:pPr>
      <w:r>
        <w:rPr>
          <w:b/>
          <w:bCs/>
          <w:highlight w:val="none"/>
        </w:rPr>
      </w:r>
      <w:r>
        <w:rPr>
          <w:b/>
          <w:bCs/>
          <w:highlight w:val="none"/>
        </w:rPr>
      </w:r>
      <w:r>
        <w:rPr>
          <w:b/>
          <w:bCs/>
          <w:highlight w:val="none"/>
        </w:rPr>
      </w:r>
    </w:p>
    <w:p>
      <w:pPr>
        <w:pBdr/>
        <w:spacing w:after="200" w:line="276" w:lineRule="auto"/>
        <w:ind/>
        <w:jc w:val="center"/>
        <w:rPr>
          <w:b/>
          <w:bCs/>
          <w:highlight w:val="none"/>
        </w:rPr>
      </w:pPr>
      <w:r>
        <w:rPr>
          <w:b/>
          <w:bCs/>
          <w:highlight w:val="none"/>
        </w:rPr>
      </w:r>
      <w:r>
        <w:rPr>
          <w:b/>
          <w:bCs/>
          <w:highlight w:val="none"/>
        </w:rPr>
      </w:r>
      <w:r>
        <w:rPr>
          <w:b/>
          <w:bCs/>
          <w:highlight w:val="none"/>
        </w:rPr>
      </w:r>
    </w:p>
    <w:p>
      <w:pPr>
        <w:pBdr/>
        <w:spacing w:after="200" w:line="276" w:lineRule="auto"/>
        <w:ind/>
        <w:jc w:val="center"/>
        <w:rPr>
          <w:b/>
          <w:bCs/>
          <w:highlight w:val="none"/>
        </w:rPr>
      </w:pPr>
      <w:r>
        <w:rPr>
          <w:b/>
          <w:bCs/>
          <w:highlight w:val="none"/>
        </w:rPr>
      </w:r>
      <w:r>
        <w:rPr>
          <w:b/>
          <w:bCs/>
          <w:highlight w:val="none"/>
        </w:rPr>
      </w:r>
      <w:r>
        <w:rPr>
          <w:b/>
          <w:bCs/>
          <w:highlight w:val="none"/>
        </w:rPr>
      </w:r>
    </w:p>
    <w:p>
      <w:pPr>
        <w:pBdr/>
        <w:spacing w:after="200" w:line="276" w:lineRule="auto"/>
        <w:ind/>
        <w:jc w:val="center"/>
        <w:rPr>
          <w:i/>
          <w:lang w:val="pt-BR"/>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TIN THU THẬP THỊ TRƯỜN</w:t>
      </w:r>
      <w:r>
        <w:rPr>
          <w:b/>
        </w:rPr>
        <w:t xml:space="preserve">G</w:t>
      </w:r>
      <w:r>
        <w:rPr>
          <w:i/>
          <w:lang w:val="pt-BR"/>
        </w:rPr>
      </w:r>
      <w:r>
        <w:rPr>
          <w:i/>
          <w:lang w:val="pt-BR"/>
        </w:rPr>
      </w:r>
    </w:p>
    <w:p>
      <w:pPr>
        <w:pBdr/>
        <w:spacing/>
        <w:ind/>
        <w:jc w:val="center"/>
        <w:rPr>
          <w:i/>
          <w:lang w:val="pt-BR"/>
        </w:rPr>
      </w:pPr>
      <w:r>
        <w:rPr>
          <w:i/>
          <w:lang w:val="pt-BR"/>
        </w:rPr>
        <w:t xml:space="preserve">(Kèm theo Báo cáo thẩm định số </w:t>
      </w:r>
      <w:r>
        <w:rPr>
          <w:i/>
        </w:rPr>
        <w:t xml:space="preserve">275/2026/1224/VFI-BC.C01.A</w:t>
      </w:r>
      <w:r>
        <w:rPr>
          <w:i/>
          <w:lang w:val="pt-BR"/>
        </w:rPr>
        <w:t xml:space="preserve"> </w:t>
      </w:r>
      <w:r>
        <w:rPr>
          <w:i/>
          <w:lang w:val="pt-BR"/>
        </w:rPr>
        <w:t xml:space="preserve">ngày 8 tháng 8 năm 2026</w:t>
      </w:r>
      <w:r>
        <w:rPr>
          <w:i/>
          <w:lang w:val="pt-BR"/>
        </w:rPr>
        <w:t xml:space="preserve">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p>
      <w:pPr>
        <w:pBdr/>
        <w:spacing w:after="120"/>
        <w:ind/>
        <w:jc w:val="center"/>
        <w:rPr>
          <w:b/>
          <w:bCs/>
          <w:iCs/>
          <w:lang w:val="pt-BR"/>
        </w:rPr>
      </w:pPr>
      <w:r>
        <w:rPr>
          <w:b/>
          <w:bCs/>
          <w:iCs/>
          <w:lang w:val="pt-BR"/>
        </w:rPr>
        <w:t xml:space="preserve">TSSS1</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Liên hệ trực tiếp</w:t>
            </w:r>
            <w:r>
              <w:rPr>
                <w:color w:val="000000" w:themeColor="text1"/>
                <w:sz w:val="22"/>
                <w:szCs w:val="22"/>
              </w:rPr>
              <w:br/>
              <w:t xml:space="preserve">0362211688</w:t>
            </w:r>
            <w:r>
              <w:rPr>
                <w:sz w:val="22"/>
                <w:szCs w:val="22"/>
              </w:rPr>
              <w:t xml:space="preserve"> </w:t>
            </w:r>
            <w:r>
              <w:rPr>
                <w:sz w:val="22"/>
                <w:szCs w:val="22"/>
              </w:rPr>
              <w:br/>
              <w:t xml:space="preserve">(Hoàn</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690.000.000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586.500.000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08/2026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nông thôn (80m²), Đất trồng cây lâu năm (27,2m²)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color w:val="000000"/>
                <w:sz w:val="22"/>
                <w:szCs w:val="22"/>
              </w:rPr>
            </w:pPr>
            <w:r>
              <w:rPr>
                <w:color w:val="000000" w:themeColor="text1"/>
                <w:sz w:val="22"/>
                <w:szCs w:val="22"/>
              </w:rPr>
            </w:r>
            <w:r>
              <w:rPr>
                <w:color w:val="000000" w:themeColor="text1"/>
                <w:sz w:val="22"/>
                <w:szCs w:val="22"/>
              </w:rPr>
              <w:t xml:space="preserve">Đất ở nông thôn – Lâu dài, Đất trồng cây lâu năm – Có thời hạn </w:t>
            </w:r>
            <w:r>
              <w:rPr>
                <w:rFonts w:ascii="Times New Roman" w:hAnsi="Times New Roman" w:eastAsia="Times New Roman" w:cs="Times New Roman"/>
                <w:color w:val="000000" w:themeColor="text1"/>
                <w:sz w:val="24"/>
              </w:rPr>
              <w:t xml:space="preserve">(đến </w:t>
            </w:r>
            <w:r>
              <w:rPr>
                <w:rFonts w:ascii="Times New Roman" w:hAnsi="Times New Roman" w:eastAsia="Times New Roman" w:cs="Times New Roman"/>
                <w:color w:val="000000" w:themeColor="text1"/>
                <w:sz w:val="24"/>
              </w:rPr>
              <w:t xml:space="preserve">15/10/2043</w:t>
            </w:r>
            <w:r>
              <w:rPr>
                <w:color w:val="000000" w:themeColor="text1"/>
                <w:sz w:val="22"/>
                <w:szCs w:val="22"/>
              </w:rPr>
              <w:t xml:space="preserve">)</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color w:val="000000"/>
                <w:sz w:val="22"/>
                <w:szCs w:val="22"/>
              </w:rPr>
            </w:pPr>
            <w:r>
              <w:rPr>
                <w:color w:val="000000" w:themeColor="text1"/>
                <w:sz w:val="22"/>
                <w:szCs w:val="22"/>
              </w:rPr>
            </w:r>
            <w:r>
              <w:rPr>
                <w:color w:val="000000" w:themeColor="text1"/>
                <w:sz w:val="22"/>
                <w:szCs w:val="22"/>
              </w:rPr>
              <w:t xml:space="preserve">Tài sản tại Xã Tam Dương, Tỉnh Phú Thọ. Tài sản cách đường Hợp Châu - Đồng Tĩnh </w:t>
            </w:r>
            <w:r>
              <w:rPr>
                <w:color w:val="000000" w:themeColor="text1"/>
                <w:sz w:val="22"/>
                <w:szCs w:val="22"/>
              </w:rPr>
              <w:t xml:space="preserve">180m</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bê tông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107,2</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5,34</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b/>
                <w:bCs/>
                <w:color w:val="000000"/>
                <w:sz w:val="22"/>
                <w:szCs w:val="22"/>
              </w:rPr>
              <w:t xml:space="preserve"> </w:t>
            </w:r>
            <w:r>
              <w:rPr>
                <w:color w:val="000000"/>
                <w:sz w:val="22"/>
                <w:szCs w:val="22"/>
              </w:rPr>
              <w:t xml:space="preserve">Hình ảnh đăng bán: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4506736" cy="3175000"/>
                      <wp:effectExtent l="0" t="0" r="0" b="0"/>
                      <wp:docPr id="14"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6"/>
                              <a:stretch/>
                            </pic:blipFill>
                            <pic:spPr bwMode="auto">
                              <a:xfrm>
                                <a:off x="0" y="0"/>
                                <a:ext cx="4506736"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354.86pt;height:250.00pt;mso-wrap-distance-left:0.00pt;mso-wrap-distance-top:0.00pt;mso-wrap-distance-right:0.00pt;mso-wrap-distance-bottom:0.00pt;z-index:1;" stroked="false">
                      <v:imagedata r:id="rId26"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4428289" cy="3175000"/>
                      <wp:effectExtent l="0" t="0" r="0" b="0"/>
                      <wp:docPr id="1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7"/>
                              <a:stretch/>
                            </pic:blipFill>
                            <pic:spPr bwMode="auto">
                              <a:xfrm>
                                <a:off x="0" y="0"/>
                                <a:ext cx="4428289"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348.68pt;height:250.00pt;mso-wrap-distance-left:0.00pt;mso-wrap-distance-top:0.00pt;mso-wrap-distance-right:0.00pt;mso-wrap-distance-bottom:0.00pt;z-index:1;" stroked="false">
                      <v:imagedata r:id="rId27"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br/>
            </w: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2381250" cy="3175000"/>
                      <wp:effectExtent l="0" t="0" r="0" b="0"/>
                      <wp:docPr id="1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8"/>
                              <a:stretch/>
                            </pic:blipFill>
                            <pic:spPr bwMode="auto">
                              <a:xfrm>
                                <a:off x="0" y="0"/>
                                <a:ext cx="238125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187.50pt;height:250.00pt;mso-wrap-distance-left:0.00pt;mso-wrap-distance-top:0.00pt;mso-wrap-distance-right:0.00pt;mso-wrap-distance-bottom:0.00pt;z-index:1;" stroked="false">
                      <v:imagedata r:id="rId28"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381250" cy="3175000"/>
                      <wp:effectExtent l="0" t="0" r="0" b="0"/>
                      <wp:docPr id="17"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9"/>
                              <a:stretch/>
                            </pic:blipFill>
                            <pic:spPr bwMode="auto">
                              <a:xfrm>
                                <a:off x="0" y="0"/>
                                <a:ext cx="238125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187.50pt;height:250.00pt;mso-wrap-distance-left:0.00pt;mso-wrap-distance-top:0.00pt;mso-wrap-distance-right:0.00pt;mso-wrap-distance-bottom:0.00pt;z-index:1;" stroked="false">
                      <v:imagedata r:id="rId29"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381250" cy="3175000"/>
                      <wp:effectExtent l="0" t="0" r="0" b="0"/>
                      <wp:docPr id="18"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0"/>
                              <a:stretch/>
                            </pic:blipFill>
                            <pic:spPr bwMode="auto">
                              <a:xfrm>
                                <a:off x="0" y="0"/>
                                <a:ext cx="238125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187.50pt;height:250.00pt;mso-wrap-distance-left:0.00pt;mso-wrap-distance-top:0.00pt;mso-wrap-distance-right:0.00pt;mso-wrap-distance-bottom:0.00pt;z-index:1;" stroked="false">
                      <v:imagedata r:id="rId30"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162969" cy="3175000"/>
                      <wp:effectExtent l="0" t="0" r="0" b="0"/>
                      <wp:docPr id="19"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1"/>
                              <a:stretch/>
                            </pic:blipFill>
                            <pic:spPr bwMode="auto">
                              <a:xfrm>
                                <a:off x="0" y="0"/>
                                <a:ext cx="2162969"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170.31pt;height:250.00pt;mso-wrap-distance-left:0.00pt;mso-wrap-distance-top:0.00pt;mso-wrap-distance-right:0.00pt;mso-wrap-distance-bottom:0.00pt;z-index:1;" stroked="false">
                      <v:imagedata r:id="rId31"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212578" cy="3175000"/>
                      <wp:effectExtent l="0" t="0" r="0" b="0"/>
                      <wp:docPr id="20"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2"/>
                              <a:stretch/>
                            </pic:blipFill>
                            <pic:spPr bwMode="auto">
                              <a:xfrm>
                                <a:off x="0" y="0"/>
                                <a:ext cx="2212578"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174.22pt;height:250.00pt;mso-wrap-distance-left:0.00pt;mso-wrap-distance-top:0.00pt;mso-wrap-distance-right:0.00pt;mso-wrap-distance-bottom:0.00pt;z-index:1;" stroked="false">
                      <v:imagedata r:id="rId32" o:title=""/>
                      <o:lock v:ext="edit" rotation="t"/>
                    </v:shape>
                  </w:pict>
                </mc:Fallback>
              </mc:AlternateContent>
            </w:r>
            <w:r>
              <w:rPr>
                <w:color w:val="000000"/>
                <w:sz w:val="22"/>
                <w:szCs w:val="22"/>
              </w:rPr>
              <w:t xml:space="preserve"> </w:t>
            </w:r>
            <w:r>
              <w:rPr>
                <w:color w:val="000000"/>
                <w:sz w:val="22"/>
                <w:szCs w:val="22"/>
              </w:rPr>
            </w:r>
            <w:r>
              <w:rPr>
                <w:color w:val="000000"/>
                <w:sz w:val="22"/>
                <w:szCs w:val="22"/>
              </w:rPr>
            </w:r>
          </w:p>
          <w:p>
            <w:pPr>
              <w:pBdr/>
              <w:spacing/>
              <w:ind/>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p>
        </w:tc>
      </w:tr>
    </w:tbl>
    <w:p>
      <w:pPr>
        <w:pBdr/>
        <w:spacing w:after="120"/>
        <w:ind/>
        <w:jc w:val="center"/>
        <w:rPr>
          <w:i/>
          <w:lang w:val="pt-BR"/>
        </w:rPr>
      </w:pPr>
      <w:r>
        <w:rPr>
          <w:i/>
          <w:lang w:val="pt-BR"/>
        </w:rPr>
      </w:r>
      <w:r>
        <w:rPr>
          <w:i/>
          <w:lang w:val="pt-BR"/>
        </w:rPr>
      </w:r>
      <w:r>
        <w:rPr>
          <w:i/>
          <w:lang w:val="pt-BR"/>
        </w:rPr>
      </w:r>
    </w:p>
    <w:p>
      <w:pPr>
        <w:pBdr/>
        <w:spacing w:after="200" w:line="276" w:lineRule="auto"/>
        <w:ind/>
        <w:jc w:val="center"/>
        <w:rPr>
          <w:i/>
          <w:lang w:val="pt-BR"/>
        </w:rPr>
      </w:pPr>
      <w:r>
        <w:rPr>
          <w:i/>
          <w:lang w:val="pt-BR"/>
        </w:rPr>
      </w:r>
      <w:r>
        <w:rPr>
          <w:i/>
          <w:lang w:val="pt-BR"/>
        </w:rPr>
      </w:r>
      <w:r>
        <w:rPr>
          <w:i/>
          <w:lang w:val="pt-BR"/>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t xml:space="preserve">Người thu thập thông tin</w:t>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tc>
      </w:tr>
      <w:tr>
        <w:trPr>
          <w:trHeight w:val="30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pPr>
            <w:r>
              <w:t xml:space="preserve">Nguyễn Mạnh Tuấn</w:t>
            </w:r>
            <w:r/>
          </w:p>
        </w:tc>
      </w:tr>
      <w:tr>
        <w:trPr>
          <w:trHeight w:val="298"/>
        </w:trPr>
        <w:tc>
          <w:tcPr>
            <w:tcBorders/>
            <w:tcW w:w="4358" w:type="dxa"/>
            <w:vAlign w:val="bottom"/>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r>
            <w:r>
              <w:rPr>
                <w:b/>
                <w:bCs/>
              </w:rPr>
            </w:r>
            <w:r>
              <w:rPr>
                <w:b/>
                <w:bCs/>
              </w:rPr>
            </w:r>
          </w:p>
        </w:tc>
      </w:tr>
    </w:tbl>
    <w:p>
      <w:pPr>
        <w:pBdr/>
        <w:spacing w:after="200" w:line="276" w:lineRule="auto"/>
        <w:ind/>
        <w:jc w:val="center"/>
        <w:rPr>
          <w:b/>
          <w:bCs/>
          <w:iCs/>
          <w:lang w:val="pt-BR"/>
        </w:rPr>
      </w:pPr>
      <w:r>
        <w:rPr>
          <w:b/>
          <w:bCs/>
          <w:iCs/>
          <w:lang w:val="pt-BR"/>
        </w:rPr>
      </w:r>
      <w:r>
        <w:rPr>
          <w:b/>
          <w:bCs/>
          <w:iCs/>
          <w:lang w:val="pt-BR"/>
        </w:rPr>
      </w:r>
      <w:r>
        <w:rPr>
          <w:b/>
          <w:bCs/>
          <w:iCs/>
          <w:lang w:val="pt-BR"/>
        </w:rPr>
      </w:r>
    </w:p>
    <w:p>
      <w:pPr>
        <w:pBdr/>
        <w:spacing w:after="200" w:line="276" w:lineRule="auto"/>
        <w:ind/>
        <w:rPr>
          <w:b/>
          <w:bCs/>
          <w:iCs/>
          <w:lang w:val="pt-BR"/>
        </w:rPr>
      </w:pPr>
      <w:r>
        <w:rPr>
          <w:b/>
          <w:bCs/>
          <w:iCs/>
          <w:lang w:val="pt-BR"/>
        </w:rPr>
        <w:br w:type="page" w:clear="all"/>
      </w:r>
      <w:r>
        <w:rPr>
          <w:b/>
          <w:bCs/>
          <w:iCs/>
          <w:lang w:val="pt-BR"/>
        </w:rPr>
      </w:r>
      <w:r>
        <w:rPr>
          <w:b/>
          <w:bCs/>
          <w:iCs/>
          <w:lang w:val="pt-BR"/>
        </w:rPr>
      </w:r>
    </w:p>
    <w:p>
      <w:pPr>
        <w:pBdr/>
        <w:spacing w:after="200" w:line="276" w:lineRule="auto"/>
        <w:ind/>
        <w:jc w:val="center"/>
        <w:rPr>
          <w:iCs/>
          <w:lang w:val="pt-BR"/>
        </w:rPr>
      </w:pPr>
      <w:r>
        <w:rPr>
          <w:b/>
          <w:bCs/>
          <w:iCs/>
          <w:lang w:val="pt-BR"/>
        </w:rPr>
        <w:t xml:space="preserve">TSSS2</w:t>
      </w:r>
      <w:r>
        <w:rPr>
          <w:iCs/>
          <w:lang w:val="pt-BR"/>
        </w:rPr>
      </w:r>
      <w:r>
        <w:rPr>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Liên hệ trực tiếp</w:t>
            </w:r>
            <w:r>
              <w:rPr>
                <w:color w:val="000000" w:themeColor="text1"/>
                <w:sz w:val="22"/>
                <w:szCs w:val="22"/>
              </w:rPr>
              <w:br/>
              <w:t xml:space="preserve">0865654408</w:t>
            </w:r>
            <w:r>
              <w:rPr>
                <w:sz w:val="22"/>
                <w:szCs w:val="22"/>
              </w:rPr>
              <w:t xml:space="preserve"> </w:t>
            </w:r>
            <w:r>
              <w:rPr>
                <w:sz w:val="22"/>
                <w:szCs w:val="22"/>
              </w:rPr>
              <w:br/>
              <w:t xml:space="preserve">(Huy</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2.700.000.000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2.295.000.000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08/2026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nông thôn (160m²), Đất trồng cây lâu năm (40m²)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nông thôn – Lâu dài, Đất trồng cây lâu năm – Có thời hạn (đến 20/03/2076, 50 năm)</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rPr/>
            </w:pPr>
            <w:r>
              <w:rPr>
                <w:color w:val="000000" w:themeColor="text1"/>
                <w:sz w:val="22"/>
                <w:szCs w:val="22"/>
              </w:rPr>
            </w:r>
            <w:r>
              <w:rPr>
                <w:color w:val="000000" w:themeColor="text1"/>
                <w:sz w:val="22"/>
                <w:szCs w:val="22"/>
              </w:rPr>
              <w:t xml:space="preserve">Tài sản tại Xã Tam Dương, Tỉnh Phú Thọ. Tài sản cách đường Hợp Châu - Đồng Tĩnh </w:t>
            </w:r>
            <w:r>
              <w:rPr>
                <w:color w:val="000000" w:themeColor="text1"/>
                <w:sz w:val="22"/>
                <w:szCs w:val="22"/>
              </w:rPr>
              <w:t xml:space="preserve">450m</w:t>
            </w:r>
            <w:r>
              <w:rPr>
                <w:color w:val="000000"/>
                <w:sz w:val="22"/>
                <w:szCs w:val="22"/>
              </w:rPr>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không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200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b/>
                <w:bCs/>
                <w:color w:val="000000"/>
                <w:sz w:val="22"/>
                <w:szCs w:val="22"/>
              </w:rPr>
              <w:t xml:space="preserve"> </w:t>
            </w:r>
            <w:r>
              <w:rPr>
                <w:color w:val="000000"/>
                <w:sz w:val="22"/>
                <w:szCs w:val="22"/>
              </w:rPr>
              <w:t xml:space="preserve">Hình ảnh đăng bán:</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4486862" cy="3175000"/>
                      <wp:effectExtent l="0" t="0" r="0" b="0"/>
                      <wp:docPr id="21"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3"/>
                              <a:stretch/>
                            </pic:blipFill>
                            <pic:spPr bwMode="auto">
                              <a:xfrm>
                                <a:off x="0" y="0"/>
                                <a:ext cx="4486862"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353.30pt;height:250.00pt;mso-wrap-distance-left:0.00pt;mso-wrap-distance-top:0.00pt;mso-wrap-distance-right:0.00pt;mso-wrap-distance-bottom:0.00pt;z-index:1;" stroked="false">
                      <v:imagedata r:id="rId33"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4502401" cy="3175000"/>
                      <wp:effectExtent l="0" t="0" r="0" b="0"/>
                      <wp:docPr id="22"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4"/>
                              <a:stretch/>
                            </pic:blipFill>
                            <pic:spPr bwMode="auto">
                              <a:xfrm>
                                <a:off x="0" y="0"/>
                                <a:ext cx="4502401"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354.52pt;height:250.00pt;mso-wrap-distance-left:0.00pt;mso-wrap-distance-top:0.00pt;mso-wrap-distance-right:0.00pt;mso-wrap-distance-bottom:0.00pt;z-index:1;" stroked="false">
                      <v:imagedata r:id="rId34" o:title=""/>
                      <o:lock v:ext="edit" rotation="t"/>
                    </v:shape>
                  </w:pict>
                </mc:Fallback>
              </mc:AlternateConten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br/>
            </w: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2381250" cy="3175000"/>
                      <wp:effectExtent l="0" t="0" r="0" b="0"/>
                      <wp:docPr id="23"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5"/>
                              <a:stretch/>
                            </pic:blipFill>
                            <pic:spPr bwMode="auto">
                              <a:xfrm>
                                <a:off x="0" y="0"/>
                                <a:ext cx="238125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2" o:spid="_x0000_s22" type="#_x0000_t75" style="width:187.50pt;height:250.00pt;mso-wrap-distance-left:0.00pt;mso-wrap-distance-top:0.00pt;mso-wrap-distance-right:0.00pt;mso-wrap-distance-bottom:0.00pt;z-index:1;" stroked="false">
                      <v:imagedata r:id="rId35"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381250" cy="3175000"/>
                      <wp:effectExtent l="0" t="0" r="0" b="0"/>
                      <wp:docPr id="24"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6"/>
                              <a:stretch/>
                            </pic:blipFill>
                            <pic:spPr bwMode="auto">
                              <a:xfrm>
                                <a:off x="0" y="0"/>
                                <a:ext cx="238125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3" o:spid="_x0000_s23" type="#_x0000_t75" style="width:187.50pt;height:250.00pt;mso-wrap-distance-left:0.00pt;mso-wrap-distance-top:0.00pt;mso-wrap-distance-right:0.00pt;mso-wrap-distance-bottom:0.00pt;z-index:1;" stroked="false">
                      <v:imagedata r:id="rId36"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6728477" cy="3175000"/>
                      <wp:effectExtent l="0" t="0" r="0" b="0"/>
                      <wp:docPr id="2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7"/>
                              <a:stretch/>
                            </pic:blipFill>
                            <pic:spPr bwMode="auto">
                              <a:xfrm>
                                <a:off x="0" y="0"/>
                                <a:ext cx="6728477"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4" o:spid="_x0000_s24" type="#_x0000_t75" style="width:529.80pt;height:250.00pt;mso-wrap-distance-left:0.00pt;mso-wrap-distance-top:0.00pt;mso-wrap-distance-right:0.00pt;mso-wrap-distance-bottom:0.00pt;z-index:1;" stroked="false">
                      <v:imagedata r:id="rId37"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860989" cy="3175000"/>
                      <wp:effectExtent l="0" t="0" r="0" b="0"/>
                      <wp:docPr id="2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8"/>
                              <a:stretch/>
                            </pic:blipFill>
                            <pic:spPr bwMode="auto">
                              <a:xfrm>
                                <a:off x="0" y="0"/>
                                <a:ext cx="2860989"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5" o:spid="_x0000_s25" type="#_x0000_t75" style="width:225.27pt;height:250.00pt;mso-wrap-distance-left:0.00pt;mso-wrap-distance-top:0.00pt;mso-wrap-distance-right:0.00pt;mso-wrap-distance-bottom:0.00pt;z-index:1;" stroked="false">
                      <v:imagedata r:id="rId38"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5644444" cy="3175000"/>
                      <wp:effectExtent l="0" t="0" r="0" b="0"/>
                      <wp:docPr id="27"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9"/>
                              <a:stretch/>
                            </pic:blipFill>
                            <pic:spPr bwMode="auto">
                              <a:xfrm>
                                <a:off x="0" y="0"/>
                                <a:ext cx="5644444"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6" o:spid="_x0000_s26" type="#_x0000_t75" style="width:444.44pt;height:250.00pt;mso-wrap-distance-left:0.00pt;mso-wrap-distance-top:0.00pt;mso-wrap-distance-right:0.00pt;mso-wrap-distance-bottom:0.00pt;z-index:1;" stroked="false">
                      <v:imagedata r:id="rId39"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3538529" cy="3175000"/>
                      <wp:effectExtent l="0" t="0" r="0" b="0"/>
                      <wp:docPr id="28"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40"/>
                              <a:stretch/>
                            </pic:blipFill>
                            <pic:spPr bwMode="auto">
                              <a:xfrm>
                                <a:off x="0" y="0"/>
                                <a:ext cx="3538529"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7" o:spid="_x0000_s27" type="#_x0000_t75" style="width:278.62pt;height:250.00pt;mso-wrap-distance-left:0.00pt;mso-wrap-distance-top:0.00pt;mso-wrap-distance-right:0.00pt;mso-wrap-distance-bottom:0.00pt;z-index:1;" stroked="false">
                      <v:imagedata r:id="rId40" o:title=""/>
                      <o:lock v:ext="edit" rotation="t"/>
                    </v:shape>
                  </w:pict>
                </mc:Fallback>
              </mc:AlternateContent>
            </w:r>
            <w:r>
              <w:rPr>
                <w:color w:val="000000"/>
                <w:sz w:val="22"/>
                <w:szCs w:val="22"/>
              </w:rPr>
            </w:r>
            <w:r>
              <w:rPr>
                <w:color w:val="000000"/>
                <w:sz w:val="22"/>
                <w:szCs w:val="22"/>
              </w:rPr>
            </w:r>
          </w:p>
          <w:p>
            <w:pPr>
              <w:pBdr/>
              <w:spacing w:line="276" w:lineRule="auto"/>
              <w:ind/>
              <w:rPr>
                <w:b/>
                <w:bCs/>
                <w:sz w:val="22"/>
                <w:szCs w:val="22"/>
              </w:rPr>
            </w:pPr>
            <w:r>
              <w:rPr>
                <w:color w:val="000000"/>
                <w:sz w:val="22"/>
                <w:szCs w:val="22"/>
              </w:rPr>
              <mc:AlternateContent>
                <mc:Choice Requires="wpg">
                  <w:drawing>
                    <wp:inline xmlns:wp="http://schemas.openxmlformats.org/drawingml/2006/wordprocessingDrawing" distT="0" distB="0" distL="0" distR="0">
                      <wp:extent cx="5644444" cy="3175000"/>
                      <wp:effectExtent l="0" t="0" r="0" b="0"/>
                      <wp:docPr id="29"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41"/>
                              <a:stretch/>
                            </pic:blipFill>
                            <pic:spPr bwMode="auto">
                              <a:xfrm>
                                <a:off x="0" y="0"/>
                                <a:ext cx="5644444"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8" o:spid="_x0000_s28" type="#_x0000_t75" style="width:444.44pt;height:250.00pt;mso-wrap-distance-left:0.00pt;mso-wrap-distance-top:0.00pt;mso-wrap-distance-right:0.00pt;mso-wrap-distance-bottom:0.00pt;z-index:1;" stroked="false">
                      <v:imagedata r:id="rId41"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5644444" cy="3175000"/>
                      <wp:effectExtent l="0" t="0" r="0" b="0"/>
                      <wp:docPr id="30"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42"/>
                              <a:stretch/>
                            </pic:blipFill>
                            <pic:spPr bwMode="auto">
                              <a:xfrm>
                                <a:off x="0" y="0"/>
                                <a:ext cx="5644444"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9" o:spid="_x0000_s29" type="#_x0000_t75" style="width:444.44pt;height:250.00pt;mso-wrap-distance-left:0.00pt;mso-wrap-distance-top:0.00pt;mso-wrap-distance-right:0.00pt;mso-wrap-distance-bottom:0.00pt;z-index:1;" stroked="false">
                      <v:imagedata r:id="rId42"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5644444" cy="3175000"/>
                      <wp:effectExtent l="0" t="0" r="0" b="0"/>
                      <wp:docPr id="31"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43"/>
                              <a:stretch/>
                            </pic:blipFill>
                            <pic:spPr bwMode="auto">
                              <a:xfrm>
                                <a:off x="0" y="0"/>
                                <a:ext cx="5644444"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0" o:spid="_x0000_s30" type="#_x0000_t75" style="width:444.44pt;height:250.00pt;mso-wrap-distance-left:0.00pt;mso-wrap-distance-top:0.00pt;mso-wrap-distance-right:0.00pt;mso-wrap-distance-bottom:0.00pt;z-index:1;" stroked="false">
                      <v:imagedata r:id="rId43" o:title=""/>
                      <o:lock v:ext="edit" rotation="t"/>
                    </v:shape>
                  </w:pict>
                </mc:Fallback>
              </mc:AlternateContent>
            </w:r>
            <w:r>
              <w:rPr>
                <w:b/>
                <w:bCs/>
                <w:sz w:val="22"/>
                <w:szCs w:val="22"/>
              </w:rPr>
            </w:r>
            <w:r>
              <w:rPr>
                <w:b/>
                <w:bCs/>
                <w:sz w:val="22"/>
                <w:szCs w:val="22"/>
              </w:rPr>
            </w:r>
          </w:p>
        </w:tc>
      </w:tr>
    </w:tbl>
    <w:p>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 thu thập thông tin</w:t>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rPr>
                <w:b/>
                <w:bCs/>
              </w:rPr>
            </w:pPr>
            <w:r>
              <w:rPr>
                <w:b/>
                <w:bCs/>
              </w:rPr>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t xml:space="preserve">Nguyễn Mạnh Tuấn</w:t>
            </w:r>
            <w:r/>
          </w:p>
          <w:p>
            <w:pPr>
              <w:pBdr/>
              <w:spacing/>
              <w:ind/>
              <w:jc w:val="center"/>
              <w:rPr/>
            </w:pPr>
            <w:r/>
            <w:r/>
          </w:p>
        </w:tc>
      </w:tr>
    </w:tbl>
    <w:p>
      <w:pPr>
        <w:pBdr/>
        <w:spacing w:after="200" w:line="276" w:lineRule="auto"/>
        <w:ind/>
        <w:rPr>
          <w:iCs/>
          <w:lang w:val="pt-BR"/>
        </w:rPr>
      </w:pPr>
      <w:r>
        <w:rPr>
          <w:iCs/>
          <w:lang w:val="pt-BR"/>
        </w:rPr>
      </w:r>
      <w:r>
        <w:rPr>
          <w:iCs/>
          <w:lang w:val="pt-BR"/>
        </w:rPr>
      </w:r>
      <w:r>
        <w:rPr>
          <w:iCs/>
          <w:lang w:val="pt-BR"/>
        </w:rPr>
      </w:r>
    </w:p>
    <w:p>
      <w:pPr>
        <w:pBdr/>
        <w:spacing w:after="200" w:line="276" w:lineRule="auto"/>
        <w:ind/>
        <w:rPr>
          <w:iCs/>
          <w:lang w:val="pt-BR"/>
        </w:rPr>
      </w:pPr>
      <w:r>
        <w:rPr>
          <w:iCs/>
          <w:lang w:val="pt-BR"/>
        </w:rPr>
        <w:br w:type="page" w:clear="all"/>
      </w:r>
      <w:r>
        <w:rPr>
          <w:iCs/>
          <w:lang w:val="pt-BR"/>
        </w:rPr>
      </w:r>
      <w:r>
        <w:rPr>
          <w:iCs/>
          <w:lang w:val="pt-BR"/>
        </w:rPr>
      </w:r>
    </w:p>
    <w:p>
      <w:pPr>
        <w:pBdr/>
        <w:spacing w:after="200" w:line="276" w:lineRule="auto"/>
        <w:ind/>
        <w:jc w:val="center"/>
        <w:rPr>
          <w:b/>
          <w:bCs/>
          <w:iCs/>
          <w:lang w:val="pt-BR"/>
        </w:rPr>
      </w:pPr>
      <w:r>
        <w:rPr>
          <w:b/>
          <w:bCs/>
          <w:iCs/>
          <w:lang w:val="pt-BR"/>
        </w:rPr>
        <w:t xml:space="preserve">TSSS 3</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Liên hệ trực tiếp</w:t>
            </w:r>
            <w:r>
              <w:rPr>
                <w:color w:val="000000" w:themeColor="text1"/>
                <w:sz w:val="22"/>
                <w:szCs w:val="22"/>
              </w:rPr>
              <w:br/>
            </w:r>
            <w:r>
              <w:rPr>
                <w:sz w:val="22"/>
                <w:szCs w:val="22"/>
              </w:rPr>
              <w:t xml:space="preserve">SĐT: </w:t>
            </w:r>
            <w:r>
              <w:rPr>
                <w:color w:val="000000" w:themeColor="text1"/>
                <w:sz w:val="22"/>
                <w:szCs w:val="22"/>
              </w:rPr>
              <w:t xml:space="preserve">0334733455</w:t>
            </w:r>
            <w:r>
              <w:rPr>
                <w:sz w:val="22"/>
                <w:szCs w:val="22"/>
              </w:rPr>
              <w:t xml:space="preserve"> </w:t>
            </w:r>
            <w:r>
              <w:rPr>
                <w:sz w:val="22"/>
                <w:szCs w:val="22"/>
              </w:rPr>
              <w:br/>
              <w:t xml:space="preserve">(Nhật Hường</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770.000.000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654.500.000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08/2026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nông thôn (80m²), Đất trồng cây lâu năm (44,3m²)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nông thôn – Lâu dài, Đất trồng cây lâu năm – Có thời hạn (đến 14/10/2043, 17 năm)</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color w:val="000000"/>
                <w:sz w:val="22"/>
                <w:szCs w:val="22"/>
              </w:rPr>
            </w:pPr>
            <w:r>
              <w:rPr>
                <w:color w:val="000000" w:themeColor="text1"/>
                <w:sz w:val="22"/>
                <w:szCs w:val="22"/>
              </w:rPr>
            </w:r>
            <w:r>
              <w:rPr>
                <w:color w:val="000000" w:themeColor="text1"/>
                <w:sz w:val="22"/>
                <w:szCs w:val="22"/>
              </w:rPr>
              <w:t xml:space="preserve">Tài sản tại Xã Tam Dương, Tỉnh Phú Thọ. Tài sản cách đường Hợp Châu - Đồng Tĩnh </w:t>
            </w:r>
            <w:r>
              <w:rPr>
                <w:color w:val="000000" w:themeColor="text1"/>
                <w:sz w:val="22"/>
                <w:szCs w:val="22"/>
              </w:rPr>
              <w:t xml:space="preserve">150m</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bê tông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124,3</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5,74</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b/>
                <w:bCs/>
                <w:color w:val="000000"/>
                <w:sz w:val="22"/>
                <w:szCs w:val="22"/>
              </w:rPr>
            </w:pPr>
            <w:r>
              <w:rPr>
                <w:b/>
                <w:bCs/>
                <w:color w:val="000000"/>
                <w:sz w:val="22"/>
                <w:szCs w:val="22"/>
              </w:rPr>
              <w:t xml:space="preserve"> </w:t>
            </w:r>
            <w:r>
              <w:rPr>
                <w:b/>
                <w:bCs/>
                <w:color w:val="000000"/>
                <w:sz w:val="22"/>
                <w:szCs w:val="22"/>
              </w:rPr>
              <w:t xml:space="preserve"> </w:t>
            </w:r>
            <w:r>
              <w:rPr>
                <w:color w:val="000000"/>
                <w:sz w:val="22"/>
                <w:szCs w:val="22"/>
              </w:rPr>
              <w:t xml:space="preserve">Hình ảnh đăng bán:</w:t>
            </w:r>
            <w:r>
              <w:rPr>
                <w:b/>
                <w:bCs/>
                <w:color w:val="000000"/>
                <w:sz w:val="22"/>
                <w:szCs w:val="22"/>
              </w:rPr>
            </w:r>
            <w:r>
              <w:rPr>
                <w:b/>
                <w:bCs/>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4513568" cy="3175000"/>
                      <wp:effectExtent l="0" t="0" r="0" b="0"/>
                      <wp:docPr id="32"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44"/>
                              <a:stretch/>
                            </pic:blipFill>
                            <pic:spPr bwMode="auto">
                              <a:xfrm>
                                <a:off x="0" y="0"/>
                                <a:ext cx="4513568"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1" o:spid="_x0000_s31" type="#_x0000_t75" style="width:355.40pt;height:250.00pt;mso-wrap-distance-left:0.00pt;mso-wrap-distance-top:0.00pt;mso-wrap-distance-right:0.00pt;mso-wrap-distance-bottom:0.00pt;z-index:1;" stroked="false">
                      <v:imagedata r:id="rId44"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4525047" cy="3175000"/>
                      <wp:effectExtent l="0" t="0" r="0" b="0"/>
                      <wp:docPr id="33"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45"/>
                              <a:stretch/>
                            </pic:blipFill>
                            <pic:spPr bwMode="auto">
                              <a:xfrm>
                                <a:off x="0" y="0"/>
                                <a:ext cx="4525047"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2" o:spid="_x0000_s32" type="#_x0000_t75" style="width:356.30pt;height:250.00pt;mso-wrap-distance-left:0.00pt;mso-wrap-distance-top:0.00pt;mso-wrap-distance-right:0.00pt;mso-wrap-distance-bottom:0.00pt;z-index:1;" stroked="false">
                      <v:imagedata r:id="rId45" o:title=""/>
                      <o:lock v:ext="edit" rotation="t"/>
                    </v:shape>
                  </w:pict>
                </mc:Fallback>
              </mc:AlternateConten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4232378" cy="3175000"/>
                      <wp:effectExtent l="0" t="0" r="0" b="0"/>
                      <wp:docPr id="34"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46"/>
                              <a:stretch/>
                            </pic:blipFill>
                            <pic:spPr bwMode="auto">
                              <a:xfrm>
                                <a:off x="0" y="0"/>
                                <a:ext cx="4232378"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3" o:spid="_x0000_s33" type="#_x0000_t75" style="width:333.26pt;height:250.00pt;mso-wrap-distance-left:0.00pt;mso-wrap-distance-top:0.00pt;mso-wrap-distance-right:0.00pt;mso-wrap-distance-bottom:0.00pt;z-index:1;" stroked="false">
                      <v:imagedata r:id="rId46"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1466813" cy="3175000"/>
                      <wp:effectExtent l="0" t="0" r="0" b="0"/>
                      <wp:docPr id="3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47"/>
                              <a:stretch/>
                            </pic:blipFill>
                            <pic:spPr bwMode="auto">
                              <a:xfrm>
                                <a:off x="0" y="0"/>
                                <a:ext cx="1466813"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4" o:spid="_x0000_s34" type="#_x0000_t75" style="width:115.50pt;height:250.00pt;mso-wrap-distance-left:0.00pt;mso-wrap-distance-top:0.00pt;mso-wrap-distance-right:0.00pt;mso-wrap-distance-bottom:0.00pt;z-index:1;" stroked="false">
                      <v:imagedata r:id="rId47"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191054" cy="3175000"/>
                      <wp:effectExtent l="0" t="0" r="0" b="0"/>
                      <wp:docPr id="3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48"/>
                              <a:stretch/>
                            </pic:blipFill>
                            <pic:spPr bwMode="auto">
                              <a:xfrm>
                                <a:off x="0" y="0"/>
                                <a:ext cx="2191054"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5" o:spid="_x0000_s35" type="#_x0000_t75" style="width:172.52pt;height:250.00pt;mso-wrap-distance-left:0.00pt;mso-wrap-distance-top:0.00pt;mso-wrap-distance-right:0.00pt;mso-wrap-distance-bottom:0.00pt;z-index:1;" stroked="false">
                      <v:imagedata r:id="rId48"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205145" cy="3175000"/>
                      <wp:effectExtent l="0" t="0" r="0" b="0"/>
                      <wp:docPr id="37"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49"/>
                              <a:stretch/>
                            </pic:blipFill>
                            <pic:spPr bwMode="auto">
                              <a:xfrm>
                                <a:off x="0" y="0"/>
                                <a:ext cx="2205145"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6" o:spid="_x0000_s36" type="#_x0000_t75" style="width:173.63pt;height:250.00pt;mso-wrap-distance-left:0.00pt;mso-wrap-distance-top:0.00pt;mso-wrap-distance-right:0.00pt;mso-wrap-distance-bottom:0.00pt;z-index:1;" stroked="false">
                      <v:imagedata r:id="rId49"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4233333" cy="3175000"/>
                      <wp:effectExtent l="0" t="0" r="0" b="0"/>
                      <wp:docPr id="38"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50"/>
                              <a:stretch/>
                            </pic:blipFill>
                            <pic:spPr bwMode="auto">
                              <a:xfrm>
                                <a:off x="0" y="0"/>
                                <a:ext cx="4233333"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7" o:spid="_x0000_s37" type="#_x0000_t75" style="width:333.33pt;height:250.00pt;mso-wrap-distance-left:0.00pt;mso-wrap-distance-top:0.00pt;mso-wrap-distance-right:0.00pt;mso-wrap-distance-bottom:0.00pt;z-index:1;" stroked="false">
                      <v:imagedata r:id="rId50"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4233333" cy="3175000"/>
                      <wp:effectExtent l="0" t="0" r="0" b="0"/>
                      <wp:docPr id="39"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51"/>
                              <a:stretch/>
                            </pic:blipFill>
                            <pic:spPr bwMode="auto">
                              <a:xfrm>
                                <a:off x="0" y="0"/>
                                <a:ext cx="4233333"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8" o:spid="_x0000_s38" type="#_x0000_t75" style="width:333.33pt;height:250.00pt;mso-wrap-distance-left:0.00pt;mso-wrap-distance-top:0.00pt;mso-wrap-distance-right:0.00pt;mso-wrap-distance-bottom:0.00pt;z-index:1;" stroked="false">
                      <v:imagedata r:id="rId51" o:title=""/>
                      <o:lock v:ext="edit" rotation="t"/>
                    </v:shape>
                  </w:pict>
                </mc:Fallback>
              </mc:AlternateContent>
            </w:r>
            <w:r>
              <w:rPr>
                <w:color w:val="000000"/>
                <w:sz w:val="22"/>
                <w:szCs w:val="22"/>
              </w:rPr>
            </w:r>
            <w:r>
              <w:rPr>
                <w:color w:val="000000"/>
                <w:sz w:val="22"/>
                <w:szCs w:val="22"/>
              </w:rPr>
            </w:r>
          </w:p>
          <w:p>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b/>
                <w:bCs/>
                <w:sz w:val="22"/>
                <w:szCs w:val="22"/>
              </w:rPr>
            </w:r>
            <w:r>
              <w:rPr>
                <w:b/>
                <w:bCs/>
                <w:sz w:val="22"/>
                <w:szCs w:val="22"/>
              </w:rPr>
            </w:r>
          </w:p>
        </w:tc>
      </w:tr>
    </w:tbl>
    <w:p>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 thu thập thông tin</w:t>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t xml:space="preserve">Nguyễn Mạnh Tuấn</w:t>
            </w:r>
            <w:r/>
          </w:p>
          <w:p>
            <w:pPr>
              <w:pBdr/>
              <w:spacing/>
              <w:ind/>
              <w:jc w:val="center"/>
              <w:rPr/>
            </w:pPr>
            <w:r/>
            <w:r/>
          </w:p>
          <w:p>
            <w:pPr>
              <w:pBdr/>
              <w:spacing/>
              <w:ind/>
              <w:rPr/>
            </w:pPr>
            <w:r/>
            <w:r/>
          </w:p>
          <w:p>
            <w:pPr>
              <w:pBdr/>
              <w:spacing/>
              <w:ind/>
              <w:jc w:val="center"/>
              <w:rPr/>
            </w:pPr>
            <w:r/>
            <w:r/>
          </w:p>
          <w:p>
            <w:pPr>
              <w:pBdr/>
              <w:spacing/>
              <w:ind/>
              <w:jc w:val="center"/>
              <w:rPr/>
            </w:pPr>
            <w:r/>
            <w:r/>
          </w:p>
          <w:p>
            <w:pPr>
              <w:pBdr/>
              <w:spacing/>
              <w:ind/>
              <w:jc w:val="center"/>
              <w:rPr/>
            </w:pPr>
            <w:r/>
            <w:r/>
          </w:p>
        </w:tc>
      </w:tr>
      <w:tr>
        <w:trPr>
          <w:trHeight w:val="312"/>
        </w:trPr>
        <w:tc>
          <w:tcPr>
            <w:tcBorders/>
            <w:tcW w:w="4427" w:type="dxa"/>
            <w:vAlign w:val="bottom"/>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r>
            <w:r>
              <w:rPr>
                <w:b/>
                <w:bCs/>
              </w:rPr>
            </w:r>
            <w:r>
              <w:rPr>
                <w:b/>
                <w:bCs/>
              </w:rPr>
            </w:r>
          </w:p>
        </w:tc>
      </w:tr>
    </w:tbl>
    <w:p>
      <w:pPr>
        <w:pBdr/>
        <w:spacing w:after="200" w:line="276" w:lineRule="auto"/>
        <w:ind/>
        <w:rPr>
          <w:lang w:val="pt-BR"/>
        </w:rPr>
      </w:pPr>
      <w:r>
        <w:rPr>
          <w:iCs/>
          <w:lang w:val="pt-BR"/>
        </w:rPr>
      </w:r>
      <w:r>
        <w:rPr>
          <w:iCs/>
          <w:lang w:val="pt-BR"/>
        </w:rPr>
      </w:r>
      <w:r>
        <w:rPr>
          <w:lang w:val="pt-BR"/>
        </w:rPr>
      </w:r>
    </w:p>
    <w:p>
      <w:pPr>
        <w:pBdr/>
        <w:spacing w:after="200" w:line="276" w:lineRule="auto"/>
        <w:ind/>
        <w:rPr>
          <w:lang w:val="pt-BR"/>
        </w:rPr>
      </w:pPr>
      <w:r>
        <w:rPr>
          <w:iCs/>
          <w:lang w:val="pt-BR"/>
        </w:rPr>
      </w:r>
      <w:r>
        <w:rPr>
          <w:iCs/>
          <w:lang w:val="pt-BR"/>
        </w:rPr>
      </w:r>
      <w:r>
        <w:rPr>
          <w:lang w:val="pt-BR"/>
        </w:rPr>
      </w:r>
    </w:p>
    <w:p>
      <w:pPr>
        <w:pBdr/>
        <w:spacing w:after="200" w:line="276" w:lineRule="auto"/>
        <w:ind/>
        <w:rPr>
          <w:lang w:val="pt-BR"/>
        </w:rPr>
      </w:pPr>
      <w:r>
        <w:rPr>
          <w:iCs/>
          <w:lang w:val="pt-BR"/>
        </w:rPr>
      </w:r>
      <w:r>
        <w:rPr>
          <w:iCs/>
          <w:lang w:val="pt-BR"/>
        </w:rPr>
      </w:r>
      <w:r>
        <w:rPr>
          <w:lang w:val="pt-BR"/>
        </w:rPr>
      </w:r>
    </w:p>
    <w:p>
      <w:pPr>
        <w:pBdr/>
        <w:spacing w:after="200" w:line="276" w:lineRule="auto"/>
        <w:ind/>
        <w:jc w:val="center"/>
        <w:rPr>
          <w:b/>
          <w:bCs/>
          <w:iCs/>
          <w:highlight w:val="none"/>
          <w:lang w:val="pt-BR"/>
        </w:rPr>
      </w:pPr>
      <w:r>
        <w:rPr>
          <w:b/>
          <w:bCs/>
          <w:iCs/>
          <w:lang w:val="pt-BR"/>
        </w:rPr>
        <w:t xml:space="preserve">BIÊN BẢN KHẢO SÁT</w:t>
      </w:r>
      <w:r>
        <w:rPr>
          <w:b/>
          <w:bCs/>
          <w:iCs/>
        </w:rPr>
      </w:r>
      <w:r>
        <w:rPr>
          <w:b/>
          <w:bCs/>
          <w:iCs/>
          <w:highlight w:val="none"/>
          <w:lang w:val="pt-BR"/>
        </w:rPr>
      </w:r>
    </w:p>
    <w:p>
      <w:pPr>
        <w:pBdr/>
        <w:spacing w:after="200" w:line="276" w:lineRule="auto"/>
        <w:ind/>
        <w:jc w:val="center"/>
        <w:rPr>
          <w:b/>
          <w:bCs/>
        </w:rPr>
      </w:pPr>
      <w:r>
        <w:rPr>
          <w:b/>
          <w:bCs/>
          <w:iCs/>
          <w:highlight w:val="none"/>
          <w:lang w:val="pt-BR"/>
        </w:rPr>
      </w:r>
      <w:r>
        <mc:AlternateContent>
          <mc:Choice Requires="wpg">
            <w:drawing>
              <wp:inline xmlns:wp="http://schemas.openxmlformats.org/drawingml/2006/wordprocessingDrawing" distT="0" distB="0" distL="0" distR="0">
                <wp:extent cx="3547193" cy="7868991"/>
                <wp:effectExtent l="0" t="0" r="0" b="0"/>
                <wp:docPr id="4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7269071" name=""/>
                        <pic:cNvPicPr>
                          <a:picLocks noChangeAspect="1"/>
                        </pic:cNvPicPr>
                        <pic:nvPr/>
                      </pic:nvPicPr>
                      <pic:blipFill rotWithShape="1">
                        <a:blip r:embed="rId52"/>
                        <a:stretch/>
                      </pic:blipFill>
                      <pic:spPr bwMode="auto">
                        <a:xfrm flipH="0" flipV="0">
                          <a:off x="0" y="0"/>
                          <a:ext cx="3547193" cy="786899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9" o:spid="_x0000_s39" type="#_x0000_t75" style="width:279.31pt;height:619.61pt;mso-wrap-distance-left:0.00pt;mso-wrap-distance-top:0.00pt;mso-wrap-distance-right:0.00pt;mso-wrap-distance-bottom:0.00pt;z-index:1;" stroked="false">
                <v:imagedata r:id="rId52" o:title=""/>
                <o:lock v:ext="edit" rotation="t"/>
              </v:shape>
            </w:pict>
          </mc:Fallback>
        </mc:AlternateContent>
      </w:r>
      <w:r>
        <w:rPr>
          <w:b/>
          <w:bCs/>
          <w:iCs/>
          <w:highlight w:val="none"/>
          <w:lang w:val="pt-BR"/>
        </w:rPr>
      </w:r>
      <w:r>
        <w:rPr>
          <w:b/>
          <w:bCs/>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3"/>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pPr>
      <w:pStyle w:val="1023"/>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3"/>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3"/>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1"/>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abstractNum w:abstractNumId="37">
    <w:nsid w:val="6F9227CC"/>
    <w:lvl w:ilvl="0">
      <w:isLgl w:val="false"/>
      <w:lvlJc w:val="left"/>
      <w:lvlText w:val=""/>
      <w:numFmt w:val="bullet"/>
      <w:pPr>
        <w:pBdr/>
        <w:spacing/>
        <w:ind w:hanging="360" w:left="720"/>
      </w:pPr>
      <w:rPr>
        <w:rFonts w:hint="default"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Wingdings" w:hAnsi="Wingdings" w:eastAsia="Wingdings" w:cs="Wingdings"/>
      </w:rPr>
      <w:start w:val="1"/>
      <w:suff w:val="tab"/>
    </w:lvl>
    <w:lvl w:ilvl="4">
      <w:isLgl w:val="false"/>
      <w:lvlJc w:val="left"/>
      <w:lvlText w:val=""/>
      <w:numFmt w:val="bullet"/>
      <w:pPr>
        <w:pBdr/>
        <w:spacing/>
        <w:ind w:hanging="360" w:left="3600"/>
      </w:pPr>
      <w:rPr>
        <w:rFonts w:hint="default" w:ascii="Wingdings" w:hAnsi="Wingdings" w:eastAsia="Wingdings" w:cs="Wingdings"/>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Wingdings" w:hAnsi="Wingdings" w:eastAsia="Wingdings" w:cs="Wingdings"/>
      </w:rPr>
      <w:start w:val="1"/>
      <w:suff w:val="tab"/>
    </w:lvl>
    <w:lvl w:ilvl="7">
      <w:isLgl w:val="false"/>
      <w:lvlJc w:val="left"/>
      <w:lvlText w:val=""/>
      <w:numFmt w:val="bullet"/>
      <w:pPr>
        <w:pBdr/>
        <w:spacing/>
        <w:ind w:hanging="360" w:left="5760"/>
      </w:pPr>
      <w:rPr>
        <w:rFonts w:hint="default" w:ascii="Wingdings" w:hAnsi="Wingdings" w:eastAsia="Wingdings" w:cs="Wingdings"/>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 w:numId="39">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39">
    <w:name w:val="Table Grid Light"/>
    <w:basedOn w:val="1011"/>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name w:val="Plain Table 1"/>
    <w:basedOn w:val="1011"/>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name w:val="Plain Table 2"/>
    <w:basedOn w:val="1011"/>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Plain Table 3"/>
    <w:basedOn w:val="101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Plain Table 4"/>
    <w:basedOn w:val="101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Plain Table 5"/>
    <w:basedOn w:val="101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Grid Table 1 Light"/>
    <w:basedOn w:val="1011"/>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Grid Table 1 Light - Accent 1"/>
    <w:basedOn w:val="1011"/>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Grid Table 1 Light - Accent 2"/>
    <w:basedOn w:val="1011"/>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Grid Table 1 Light - Accent 3"/>
    <w:basedOn w:val="1011"/>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Grid Table 1 Light - Accent 4"/>
    <w:basedOn w:val="1011"/>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Grid Table 1 Light - Accent 5"/>
    <w:basedOn w:val="1011"/>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1 Light - Accent 6"/>
    <w:basedOn w:val="1011"/>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2"/>
    <w:basedOn w:val="1011"/>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2 - Accent 1"/>
    <w:basedOn w:val="1011"/>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2 - Accent 2"/>
    <w:basedOn w:val="1011"/>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2 - Accent 3"/>
    <w:basedOn w:val="1011"/>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2 - Accent 4"/>
    <w:basedOn w:val="1011"/>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2 - Accent 5"/>
    <w:basedOn w:val="1011"/>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2 - Accent 6"/>
    <w:basedOn w:val="1011"/>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3"/>
    <w:basedOn w:val="1011"/>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3 - Accent 1"/>
    <w:basedOn w:val="1011"/>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3 - Accent 2"/>
    <w:basedOn w:val="1011"/>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3 - Accent 3"/>
    <w:basedOn w:val="1011"/>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3 - Accent 4"/>
    <w:basedOn w:val="1011"/>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3 - Accent 5"/>
    <w:basedOn w:val="1011"/>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3 - Accent 6"/>
    <w:basedOn w:val="1011"/>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4"/>
    <w:basedOn w:val="1011"/>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4 - Accent 1"/>
    <w:basedOn w:val="1011"/>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4 - Accent 2"/>
    <w:basedOn w:val="1011"/>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4 - Accent 3"/>
    <w:basedOn w:val="1011"/>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4 - Accent 4"/>
    <w:basedOn w:val="1011"/>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4 - Accent 5"/>
    <w:basedOn w:val="1011"/>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4 - Accent 6"/>
    <w:basedOn w:val="1011"/>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5 Dark"/>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5 Dark- Accent 1"/>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5 Dark - Accent 2"/>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5 Dark - Accent 3"/>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5 Dark- Accent 4"/>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5 Dark - Accent 5"/>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Grid Table 5 Dark - Accent 6"/>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Grid Table 6 Colorful"/>
    <w:basedOn w:val="1011"/>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81">
    <w:name w:val="Grid Table 6 Colorful - Accent 1"/>
    <w:basedOn w:val="1011"/>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82">
    <w:name w:val="Grid Table 6 Colorful - Accent 2"/>
    <w:basedOn w:val="1011"/>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83">
    <w:name w:val="Grid Table 6 Colorful - Accent 3"/>
    <w:basedOn w:val="1011"/>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84">
    <w:name w:val="Grid Table 6 Colorful - Accent 4"/>
    <w:basedOn w:val="1011"/>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85">
    <w:name w:val="Grid Table 6 Colorful - Accent 5"/>
    <w:basedOn w:val="1011"/>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6">
    <w:name w:val="Grid Table 6 Colorful - Accent 6"/>
    <w:basedOn w:val="1011"/>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7">
    <w:name w:val="Grid Table 7 Colorful"/>
    <w:basedOn w:val="1011"/>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Grid Table 7 Colorful - Accent 1"/>
    <w:basedOn w:val="1011"/>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Grid Table 7 Colorful - Accent 2"/>
    <w:basedOn w:val="1011"/>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Grid Table 7 Colorful - Accent 3"/>
    <w:basedOn w:val="1011"/>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Grid Table 7 Colorful - Accent 4"/>
    <w:basedOn w:val="1011"/>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Grid Table 7 Colorful - Accent 5"/>
    <w:basedOn w:val="1011"/>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Grid Table 7 Colorful - Accent 6"/>
    <w:basedOn w:val="1011"/>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List Table 1 Light"/>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List Table 1 Light - Accent 1"/>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List Table 1 Light - Accent 2"/>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List Table 1 Light - Accent 3"/>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1 Light - Accent 4"/>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1 Light - Accent 5"/>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1 Light - Accent 6"/>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2"/>
    <w:basedOn w:val="1011"/>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2 - Accent 1"/>
    <w:basedOn w:val="1011"/>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2 - Accent 2"/>
    <w:basedOn w:val="1011"/>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2 - Accent 3"/>
    <w:basedOn w:val="1011"/>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2 - Accent 4"/>
    <w:basedOn w:val="1011"/>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2 - Accent 5"/>
    <w:basedOn w:val="1011"/>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2 - Accent 6"/>
    <w:basedOn w:val="1011"/>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3"/>
    <w:basedOn w:val="1011"/>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3 - Accent 1"/>
    <w:basedOn w:val="1011"/>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3 - Accent 2"/>
    <w:basedOn w:val="1011"/>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3 - Accent 3"/>
    <w:basedOn w:val="1011"/>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3 - Accent 4"/>
    <w:basedOn w:val="1011"/>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3 - Accent 5"/>
    <w:basedOn w:val="1011"/>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3 - Accent 6"/>
    <w:basedOn w:val="1011"/>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4"/>
    <w:basedOn w:val="1011"/>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4 - Accent 1"/>
    <w:basedOn w:val="1011"/>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4 - Accent 2"/>
    <w:basedOn w:val="1011"/>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4 - Accent 3"/>
    <w:basedOn w:val="1011"/>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4 - Accent 4"/>
    <w:basedOn w:val="1011"/>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4 - Accent 5"/>
    <w:basedOn w:val="1011"/>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4 - Accent 6"/>
    <w:basedOn w:val="1011"/>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List Table 5 Dark"/>
    <w:basedOn w:val="1011"/>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3">
    <w:name w:val="List Table 5 Dark - Accent 1"/>
    <w:basedOn w:val="1011"/>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4">
    <w:name w:val="List Table 5 Dark - Accent 2"/>
    <w:basedOn w:val="1011"/>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5">
    <w:name w:val="List Table 5 Dark - Accent 3"/>
    <w:basedOn w:val="1011"/>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6">
    <w:name w:val="List Table 5 Dark - Accent 4"/>
    <w:basedOn w:val="1011"/>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7">
    <w:name w:val="List Table 5 Dark - Accent 5"/>
    <w:basedOn w:val="1011"/>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8">
    <w:name w:val="List Table 5 Dark - Accent 6"/>
    <w:basedOn w:val="1011"/>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9">
    <w:name w:val="List Table 6 Colorful"/>
    <w:basedOn w:val="1011"/>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List Table 6 Colorful - Accent 1"/>
    <w:basedOn w:val="1011"/>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name w:val="List Table 6 Colorful - Accent 2"/>
    <w:basedOn w:val="1011"/>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List Table 6 Colorful - Accent 3"/>
    <w:basedOn w:val="1011"/>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List Table 6 Colorful - Accent 4"/>
    <w:basedOn w:val="1011"/>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List Table 6 Colorful - Accent 5"/>
    <w:basedOn w:val="1011"/>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5">
    <w:name w:val="List Table 6 Colorful - Accent 6"/>
    <w:basedOn w:val="1011"/>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6">
    <w:name w:val="List Table 7 Colorful"/>
    <w:basedOn w:val="1011"/>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37">
    <w:name w:val="List Table 7 Colorful - Accent 1"/>
    <w:basedOn w:val="1011"/>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38">
    <w:name w:val="List Table 7 Colorful - Accent 2"/>
    <w:basedOn w:val="1011"/>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39">
    <w:name w:val="List Table 7 Colorful - Accent 3"/>
    <w:basedOn w:val="1011"/>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40">
    <w:name w:val="List Table 7 Colorful - Accent 4"/>
    <w:basedOn w:val="1011"/>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41">
    <w:name w:val="List Table 7 Colorful - Accent 5"/>
    <w:basedOn w:val="1011"/>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42">
    <w:name w:val="List Table 7 Colorful - Accent 6"/>
    <w:basedOn w:val="1011"/>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43">
    <w:name w:val="Lined - Accent"/>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Lined - Accent 1"/>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5">
    <w:name w:val="Lined - Accent 2"/>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Lined - Accent 3"/>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Lined - Accent 4"/>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Lined - Accent 5"/>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name w:val="Lined - Accent 6"/>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Bordered &amp; Lined - Accent"/>
    <w:basedOn w:val="1011"/>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Bordered &amp; Lined - Accent 1"/>
    <w:basedOn w:val="1011"/>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Bordered &amp; Lined - Accent 2"/>
    <w:basedOn w:val="1011"/>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Bordered &amp; Lined - Accent 3"/>
    <w:basedOn w:val="1011"/>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Bordered &amp; Lined - Accent 4"/>
    <w:basedOn w:val="1011"/>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Bordered &amp; Lined - Accent 5"/>
    <w:basedOn w:val="1011"/>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Bordered &amp; Lined - Accent 6"/>
    <w:basedOn w:val="1011"/>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Bordered"/>
    <w:basedOn w:val="1011"/>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Bordered - Accent 1"/>
    <w:basedOn w:val="1011"/>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Bordered - Accent 2"/>
    <w:basedOn w:val="1011"/>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Bordered - Accent 3"/>
    <w:basedOn w:val="1011"/>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Bordered - Accent 4"/>
    <w:basedOn w:val="1011"/>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Bordered - Accent 5"/>
    <w:basedOn w:val="1011"/>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name w:val="Bordered - Accent 6"/>
    <w:basedOn w:val="1011"/>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64">
    <w:name w:val="Heading 5"/>
    <w:basedOn w:val="1005"/>
    <w:next w:val="1005"/>
    <w:link w:val="969"/>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65">
    <w:name w:val="Heading 6"/>
    <w:basedOn w:val="1005"/>
    <w:next w:val="1005"/>
    <w:link w:val="970"/>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66">
    <w:name w:val="Heading 7"/>
    <w:basedOn w:val="1005"/>
    <w:next w:val="1005"/>
    <w:link w:val="971"/>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67">
    <w:name w:val="Heading 8"/>
    <w:basedOn w:val="1005"/>
    <w:next w:val="1005"/>
    <w:link w:val="972"/>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68">
    <w:name w:val="Heading 9"/>
    <w:basedOn w:val="1005"/>
    <w:next w:val="1005"/>
    <w:link w:val="973"/>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69">
    <w:name w:val="Heading 5 Char"/>
    <w:basedOn w:val="1010"/>
    <w:link w:val="964"/>
    <w:uiPriority w:val="9"/>
    <w:pPr>
      <w:pBdr/>
      <w:spacing/>
      <w:ind/>
    </w:pPr>
    <w:rPr>
      <w:rFonts w:ascii="Arial" w:hAnsi="Arial" w:eastAsia="Arial" w:cs="Arial"/>
      <w:color w:val="0f4761" w:themeColor="accent1" w:themeShade="BF"/>
    </w:rPr>
  </w:style>
  <w:style w:type="character" w:styleId="970">
    <w:name w:val="Heading 6 Char"/>
    <w:basedOn w:val="1010"/>
    <w:link w:val="965"/>
    <w:uiPriority w:val="9"/>
    <w:pPr>
      <w:pBdr/>
      <w:spacing/>
      <w:ind/>
    </w:pPr>
    <w:rPr>
      <w:rFonts w:ascii="Arial" w:hAnsi="Arial" w:eastAsia="Arial" w:cs="Arial"/>
      <w:i/>
      <w:iCs/>
      <w:color w:val="595959" w:themeColor="text1" w:themeTint="A6"/>
    </w:rPr>
  </w:style>
  <w:style w:type="character" w:styleId="971">
    <w:name w:val="Heading 7 Char"/>
    <w:basedOn w:val="1010"/>
    <w:link w:val="966"/>
    <w:uiPriority w:val="9"/>
    <w:pPr>
      <w:pBdr/>
      <w:spacing/>
      <w:ind/>
    </w:pPr>
    <w:rPr>
      <w:rFonts w:ascii="Arial" w:hAnsi="Arial" w:eastAsia="Arial" w:cs="Arial"/>
      <w:color w:val="595959" w:themeColor="text1" w:themeTint="A6"/>
    </w:rPr>
  </w:style>
  <w:style w:type="character" w:styleId="972">
    <w:name w:val="Heading 8 Char"/>
    <w:basedOn w:val="1010"/>
    <w:link w:val="967"/>
    <w:uiPriority w:val="9"/>
    <w:pPr>
      <w:pBdr/>
      <w:spacing/>
      <w:ind/>
    </w:pPr>
    <w:rPr>
      <w:rFonts w:ascii="Arial" w:hAnsi="Arial" w:eastAsia="Arial" w:cs="Arial"/>
      <w:i/>
      <w:iCs/>
      <w:color w:val="272727" w:themeColor="text1" w:themeTint="D8"/>
    </w:rPr>
  </w:style>
  <w:style w:type="character" w:styleId="973">
    <w:name w:val="Heading 9 Char"/>
    <w:basedOn w:val="1010"/>
    <w:link w:val="968"/>
    <w:uiPriority w:val="9"/>
    <w:pPr>
      <w:pBdr/>
      <w:spacing/>
      <w:ind/>
    </w:pPr>
    <w:rPr>
      <w:rFonts w:ascii="Arial" w:hAnsi="Arial" w:eastAsia="Arial" w:cs="Arial"/>
      <w:i/>
      <w:iCs/>
      <w:color w:val="272727" w:themeColor="text1" w:themeTint="D8"/>
    </w:rPr>
  </w:style>
  <w:style w:type="paragraph" w:styleId="974">
    <w:name w:val="Subtitle"/>
    <w:basedOn w:val="1005"/>
    <w:next w:val="1005"/>
    <w:link w:val="975"/>
    <w:uiPriority w:val="11"/>
    <w:qFormat/>
    <w:pPr>
      <w:numPr>
        <w:ilvl w:val="1"/>
      </w:numPr>
      <w:pBdr/>
      <w:spacing/>
      <w:ind/>
    </w:pPr>
    <w:rPr>
      <w:color w:val="595959" w:themeColor="text1" w:themeTint="A6"/>
      <w:spacing w:val="15"/>
      <w:sz w:val="28"/>
      <w:szCs w:val="28"/>
    </w:rPr>
  </w:style>
  <w:style w:type="character" w:styleId="975">
    <w:name w:val="Subtitle Char"/>
    <w:basedOn w:val="1010"/>
    <w:link w:val="974"/>
    <w:uiPriority w:val="11"/>
    <w:pPr>
      <w:pBdr/>
      <w:spacing/>
      <w:ind/>
    </w:pPr>
    <w:rPr>
      <w:color w:val="595959" w:themeColor="text1" w:themeTint="A6"/>
      <w:spacing w:val="15"/>
      <w:sz w:val="28"/>
      <w:szCs w:val="28"/>
    </w:rPr>
  </w:style>
  <w:style w:type="paragraph" w:styleId="976">
    <w:name w:val="Quote"/>
    <w:basedOn w:val="1005"/>
    <w:next w:val="1005"/>
    <w:link w:val="977"/>
    <w:uiPriority w:val="29"/>
    <w:qFormat/>
    <w:pPr>
      <w:pBdr/>
      <w:spacing w:before="160"/>
      <w:ind/>
      <w:jc w:val="center"/>
    </w:pPr>
    <w:rPr>
      <w:i/>
      <w:iCs/>
      <w:color w:val="404040" w:themeColor="text1" w:themeTint="BF"/>
    </w:rPr>
  </w:style>
  <w:style w:type="character" w:styleId="977">
    <w:name w:val="Quote Char"/>
    <w:basedOn w:val="1010"/>
    <w:link w:val="976"/>
    <w:uiPriority w:val="29"/>
    <w:pPr>
      <w:pBdr/>
      <w:spacing/>
      <w:ind/>
    </w:pPr>
    <w:rPr>
      <w:i/>
      <w:iCs/>
      <w:color w:val="404040" w:themeColor="text1" w:themeTint="BF"/>
    </w:rPr>
  </w:style>
  <w:style w:type="character" w:styleId="978">
    <w:name w:val="Intense Emphasis"/>
    <w:basedOn w:val="1010"/>
    <w:uiPriority w:val="21"/>
    <w:qFormat/>
    <w:pPr>
      <w:pBdr/>
      <w:spacing/>
      <w:ind/>
    </w:pPr>
    <w:rPr>
      <w:i/>
      <w:iCs/>
      <w:color w:val="0f4761" w:themeColor="accent1" w:themeShade="BF"/>
    </w:rPr>
  </w:style>
  <w:style w:type="paragraph" w:styleId="979">
    <w:name w:val="Intense Quote"/>
    <w:basedOn w:val="1005"/>
    <w:next w:val="1005"/>
    <w:link w:val="980"/>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80">
    <w:name w:val="Intense Quote Char"/>
    <w:basedOn w:val="1010"/>
    <w:link w:val="979"/>
    <w:uiPriority w:val="30"/>
    <w:pPr>
      <w:pBdr/>
      <w:spacing/>
      <w:ind/>
    </w:pPr>
    <w:rPr>
      <w:i/>
      <w:iCs/>
      <w:color w:val="0f4761" w:themeColor="accent1" w:themeShade="BF"/>
    </w:rPr>
  </w:style>
  <w:style w:type="character" w:styleId="981">
    <w:name w:val="Intense Reference"/>
    <w:basedOn w:val="1010"/>
    <w:uiPriority w:val="32"/>
    <w:qFormat/>
    <w:pPr>
      <w:pBdr/>
      <w:spacing/>
      <w:ind/>
    </w:pPr>
    <w:rPr>
      <w:b/>
      <w:bCs/>
      <w:smallCaps/>
      <w:color w:val="0f4761" w:themeColor="accent1" w:themeShade="BF"/>
      <w:spacing w:val="5"/>
    </w:rPr>
  </w:style>
  <w:style w:type="paragraph" w:styleId="982">
    <w:name w:val="No Spacing"/>
    <w:basedOn w:val="1005"/>
    <w:uiPriority w:val="1"/>
    <w:qFormat/>
    <w:pPr>
      <w:pBdr/>
      <w:spacing w:after="0" w:line="240" w:lineRule="auto"/>
      <w:ind/>
    </w:pPr>
  </w:style>
  <w:style w:type="character" w:styleId="983">
    <w:name w:val="Subtle Emphasis"/>
    <w:basedOn w:val="1010"/>
    <w:uiPriority w:val="19"/>
    <w:qFormat/>
    <w:pPr>
      <w:pBdr/>
      <w:spacing/>
      <w:ind/>
    </w:pPr>
    <w:rPr>
      <w:i/>
      <w:iCs/>
      <w:color w:val="404040" w:themeColor="text1" w:themeTint="BF"/>
    </w:rPr>
  </w:style>
  <w:style w:type="character" w:styleId="984">
    <w:name w:val="Subtle Reference"/>
    <w:basedOn w:val="1010"/>
    <w:uiPriority w:val="31"/>
    <w:qFormat/>
    <w:pPr>
      <w:pBdr/>
      <w:spacing/>
      <w:ind/>
    </w:pPr>
    <w:rPr>
      <w:smallCaps/>
      <w:color w:val="5a5a5a" w:themeColor="text1" w:themeTint="A5"/>
    </w:rPr>
  </w:style>
  <w:style w:type="character" w:styleId="985">
    <w:name w:val="Book Title"/>
    <w:basedOn w:val="1010"/>
    <w:uiPriority w:val="33"/>
    <w:qFormat/>
    <w:pPr>
      <w:pBdr/>
      <w:spacing/>
      <w:ind/>
    </w:pPr>
    <w:rPr>
      <w:b/>
      <w:bCs/>
      <w:i/>
      <w:iCs/>
      <w:spacing w:val="5"/>
    </w:rPr>
  </w:style>
  <w:style w:type="paragraph" w:styleId="986">
    <w:name w:val="Caption"/>
    <w:basedOn w:val="1005"/>
    <w:next w:val="1005"/>
    <w:uiPriority w:val="35"/>
    <w:unhideWhenUsed/>
    <w:qFormat/>
    <w:pPr>
      <w:pBdr/>
      <w:spacing w:after="200" w:line="240" w:lineRule="auto"/>
      <w:ind/>
    </w:pPr>
    <w:rPr>
      <w:i/>
      <w:iCs/>
      <w:color w:val="0e2841" w:themeColor="text2"/>
      <w:sz w:val="18"/>
      <w:szCs w:val="18"/>
    </w:rPr>
  </w:style>
  <w:style w:type="paragraph" w:styleId="987">
    <w:name w:val="footnote text"/>
    <w:basedOn w:val="1005"/>
    <w:link w:val="988"/>
    <w:uiPriority w:val="99"/>
    <w:semiHidden/>
    <w:unhideWhenUsed/>
    <w:pPr>
      <w:pBdr/>
      <w:spacing w:after="0" w:line="240" w:lineRule="auto"/>
      <w:ind/>
    </w:pPr>
    <w:rPr>
      <w:sz w:val="20"/>
      <w:szCs w:val="20"/>
    </w:rPr>
  </w:style>
  <w:style w:type="character" w:styleId="988">
    <w:name w:val="Footnote Text Char"/>
    <w:basedOn w:val="1010"/>
    <w:link w:val="987"/>
    <w:uiPriority w:val="99"/>
    <w:semiHidden/>
    <w:pPr>
      <w:pBdr/>
      <w:spacing/>
      <w:ind/>
    </w:pPr>
    <w:rPr>
      <w:sz w:val="20"/>
      <w:szCs w:val="20"/>
    </w:rPr>
  </w:style>
  <w:style w:type="character" w:styleId="989">
    <w:name w:val="footnote reference"/>
    <w:basedOn w:val="1010"/>
    <w:uiPriority w:val="99"/>
    <w:semiHidden/>
    <w:unhideWhenUsed/>
    <w:pPr>
      <w:pBdr/>
      <w:spacing/>
      <w:ind/>
    </w:pPr>
    <w:rPr>
      <w:vertAlign w:val="superscript"/>
    </w:rPr>
  </w:style>
  <w:style w:type="paragraph" w:styleId="990">
    <w:name w:val="endnote text"/>
    <w:basedOn w:val="1005"/>
    <w:link w:val="991"/>
    <w:uiPriority w:val="99"/>
    <w:semiHidden/>
    <w:unhideWhenUsed/>
    <w:pPr>
      <w:pBdr/>
      <w:spacing w:after="0" w:line="240" w:lineRule="auto"/>
      <w:ind/>
    </w:pPr>
    <w:rPr>
      <w:sz w:val="20"/>
      <w:szCs w:val="20"/>
    </w:rPr>
  </w:style>
  <w:style w:type="character" w:styleId="991">
    <w:name w:val="Endnote Text Char"/>
    <w:basedOn w:val="1010"/>
    <w:link w:val="990"/>
    <w:uiPriority w:val="99"/>
    <w:semiHidden/>
    <w:pPr>
      <w:pBdr/>
      <w:spacing/>
      <w:ind/>
    </w:pPr>
    <w:rPr>
      <w:sz w:val="20"/>
      <w:szCs w:val="20"/>
    </w:rPr>
  </w:style>
  <w:style w:type="character" w:styleId="992">
    <w:name w:val="endnote reference"/>
    <w:basedOn w:val="1010"/>
    <w:uiPriority w:val="99"/>
    <w:semiHidden/>
    <w:unhideWhenUsed/>
    <w:pPr>
      <w:pBdr/>
      <w:spacing/>
      <w:ind/>
    </w:pPr>
    <w:rPr>
      <w:vertAlign w:val="superscript"/>
    </w:rPr>
  </w:style>
  <w:style w:type="paragraph" w:styleId="993">
    <w:name w:val="toc 1"/>
    <w:basedOn w:val="1005"/>
    <w:next w:val="1005"/>
    <w:uiPriority w:val="39"/>
    <w:unhideWhenUsed/>
    <w:pPr>
      <w:pBdr/>
      <w:spacing w:after="100"/>
      <w:ind/>
    </w:pPr>
  </w:style>
  <w:style w:type="paragraph" w:styleId="994">
    <w:name w:val="toc 2"/>
    <w:basedOn w:val="1005"/>
    <w:next w:val="1005"/>
    <w:uiPriority w:val="39"/>
    <w:unhideWhenUsed/>
    <w:pPr>
      <w:pBdr/>
      <w:spacing w:after="100"/>
      <w:ind w:left="220"/>
    </w:pPr>
  </w:style>
  <w:style w:type="paragraph" w:styleId="995">
    <w:name w:val="toc 3"/>
    <w:basedOn w:val="1005"/>
    <w:next w:val="1005"/>
    <w:uiPriority w:val="39"/>
    <w:unhideWhenUsed/>
    <w:pPr>
      <w:pBdr/>
      <w:spacing w:after="100"/>
      <w:ind w:left="440"/>
    </w:pPr>
  </w:style>
  <w:style w:type="paragraph" w:styleId="996">
    <w:name w:val="toc 4"/>
    <w:basedOn w:val="1005"/>
    <w:next w:val="1005"/>
    <w:uiPriority w:val="39"/>
    <w:unhideWhenUsed/>
    <w:pPr>
      <w:pBdr/>
      <w:spacing w:after="100"/>
      <w:ind w:left="660"/>
    </w:pPr>
  </w:style>
  <w:style w:type="paragraph" w:styleId="997">
    <w:name w:val="toc 5"/>
    <w:basedOn w:val="1005"/>
    <w:next w:val="1005"/>
    <w:uiPriority w:val="39"/>
    <w:unhideWhenUsed/>
    <w:pPr>
      <w:pBdr/>
      <w:spacing w:after="100"/>
      <w:ind w:left="880"/>
    </w:pPr>
  </w:style>
  <w:style w:type="paragraph" w:styleId="998">
    <w:name w:val="toc 6"/>
    <w:basedOn w:val="1005"/>
    <w:next w:val="1005"/>
    <w:uiPriority w:val="39"/>
    <w:unhideWhenUsed/>
    <w:pPr>
      <w:pBdr/>
      <w:spacing w:after="100"/>
      <w:ind w:left="1100"/>
    </w:pPr>
  </w:style>
  <w:style w:type="paragraph" w:styleId="999">
    <w:name w:val="toc 7"/>
    <w:basedOn w:val="1005"/>
    <w:next w:val="1005"/>
    <w:uiPriority w:val="39"/>
    <w:unhideWhenUsed/>
    <w:pPr>
      <w:pBdr/>
      <w:spacing w:after="100"/>
      <w:ind w:left="1320"/>
    </w:pPr>
  </w:style>
  <w:style w:type="paragraph" w:styleId="1000">
    <w:name w:val="toc 8"/>
    <w:basedOn w:val="1005"/>
    <w:next w:val="1005"/>
    <w:uiPriority w:val="39"/>
    <w:unhideWhenUsed/>
    <w:pPr>
      <w:pBdr/>
      <w:spacing w:after="100"/>
      <w:ind w:left="1540"/>
    </w:pPr>
  </w:style>
  <w:style w:type="paragraph" w:styleId="1001">
    <w:name w:val="toc 9"/>
    <w:basedOn w:val="1005"/>
    <w:next w:val="1005"/>
    <w:uiPriority w:val="39"/>
    <w:unhideWhenUsed/>
    <w:pPr>
      <w:pBdr/>
      <w:spacing w:after="100"/>
      <w:ind w:left="1760"/>
    </w:pPr>
  </w:style>
  <w:style w:type="character" w:styleId="1002">
    <w:name w:val="Placeholder Text"/>
    <w:basedOn w:val="1010"/>
    <w:uiPriority w:val="99"/>
    <w:semiHidden/>
    <w:pPr>
      <w:pBdr/>
      <w:spacing/>
      <w:ind/>
    </w:pPr>
    <w:rPr>
      <w:color w:val="666666"/>
    </w:rPr>
  </w:style>
  <w:style w:type="paragraph" w:styleId="1003">
    <w:name w:val="TOC Heading"/>
    <w:uiPriority w:val="39"/>
    <w:unhideWhenUsed/>
    <w:pPr>
      <w:pBdr/>
      <w:spacing/>
      <w:ind/>
    </w:pPr>
  </w:style>
  <w:style w:type="paragraph" w:styleId="1004">
    <w:name w:val="table of figures"/>
    <w:basedOn w:val="1005"/>
    <w:next w:val="1005"/>
    <w:uiPriority w:val="99"/>
    <w:unhideWhenUsed/>
    <w:pPr>
      <w:pBdr/>
      <w:spacing w:after="0" w:afterAutospacing="0"/>
      <w:ind/>
    </w:pPr>
  </w:style>
  <w:style w:type="paragraph" w:styleId="1005" w:default="1">
    <w:name w:val="Normal"/>
    <w:qFormat/>
    <w:pPr>
      <w:pBdr/>
      <w:spacing w:after="0" w:line="240" w:lineRule="auto"/>
      <w:ind/>
    </w:pPr>
    <w:rPr>
      <w:rFonts w:ascii="Times New Roman" w:hAnsi="Times New Roman" w:eastAsia="Times New Roman" w:cs="Times New Roman"/>
      <w:sz w:val="24"/>
      <w:szCs w:val="24"/>
    </w:rPr>
  </w:style>
  <w:style w:type="paragraph" w:styleId="1006">
    <w:name w:val="Heading 1"/>
    <w:basedOn w:val="1005"/>
    <w:next w:val="1005"/>
    <w:link w:val="1013"/>
    <w:qFormat/>
    <w:pPr>
      <w:keepNext w:val="true"/>
      <w:pBdr/>
      <w:spacing w:after="120" w:before="120"/>
      <w:ind/>
      <w:jc w:val="center"/>
      <w:outlineLvl w:val="0"/>
    </w:pPr>
    <w:rPr>
      <w:b/>
      <w:bCs/>
      <w:sz w:val="27"/>
      <w:szCs w:val="27"/>
    </w:rPr>
  </w:style>
  <w:style w:type="paragraph" w:styleId="1007">
    <w:name w:val="Heading 2"/>
    <w:basedOn w:val="1005"/>
    <w:next w:val="1005"/>
    <w:link w:val="1014"/>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08">
    <w:name w:val="Heading 3"/>
    <w:basedOn w:val="1005"/>
    <w:next w:val="1005"/>
    <w:link w:val="1015"/>
    <w:qFormat/>
    <w:pPr>
      <w:keepNext w:val="true"/>
      <w:pBdr/>
      <w:spacing w:before="60"/>
      <w:ind/>
      <w:outlineLvl w:val="2"/>
    </w:pPr>
    <w:rPr>
      <w:sz w:val="28"/>
      <w:szCs w:val="28"/>
    </w:rPr>
  </w:style>
  <w:style w:type="paragraph" w:styleId="1009">
    <w:name w:val="Heading 4"/>
    <w:basedOn w:val="1005"/>
    <w:next w:val="1005"/>
    <w:link w:val="1016"/>
    <w:qFormat/>
    <w:pPr>
      <w:keepNext w:val="true"/>
      <w:pBdr/>
      <w:spacing/>
      <w:ind/>
      <w:jc w:val="center"/>
      <w:outlineLvl w:val="3"/>
    </w:pPr>
    <w:rPr>
      <w:b/>
      <w:bCs/>
    </w:rPr>
  </w:style>
  <w:style w:type="character" w:styleId="1010" w:default="1">
    <w:name w:val="Default Paragraph Font"/>
    <w:uiPriority w:val="1"/>
    <w:semiHidden/>
    <w:unhideWhenUsed/>
    <w:pPr>
      <w:pBdr/>
      <w:spacing/>
      <w:ind/>
    </w:pPr>
  </w:style>
  <w:style w:type="table" w:styleId="1011"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12" w:default="1">
    <w:name w:val="No List"/>
    <w:uiPriority w:val="99"/>
    <w:semiHidden/>
    <w:unhideWhenUsed/>
    <w:pPr>
      <w:pBdr/>
      <w:spacing/>
      <w:ind/>
    </w:pPr>
  </w:style>
  <w:style w:type="character" w:styleId="1013" w:customStyle="1">
    <w:name w:val="Heading 1 Char"/>
    <w:basedOn w:val="1010"/>
    <w:link w:val="1006"/>
    <w:pPr>
      <w:pBdr/>
      <w:spacing/>
      <w:ind/>
    </w:pPr>
    <w:rPr>
      <w:rFonts w:ascii="Times New Roman" w:hAnsi="Times New Roman" w:eastAsia="Times New Roman" w:cs="Times New Roman"/>
      <w:b/>
      <w:bCs/>
      <w:sz w:val="27"/>
      <w:szCs w:val="27"/>
    </w:rPr>
  </w:style>
  <w:style w:type="character" w:styleId="1014" w:customStyle="1">
    <w:name w:val="Heading 2 Char"/>
    <w:basedOn w:val="1010"/>
    <w:link w:val="1007"/>
    <w:uiPriority w:val="9"/>
    <w:pPr>
      <w:pBdr/>
      <w:spacing/>
      <w:ind/>
    </w:pPr>
    <w:rPr>
      <w:rFonts w:asciiTheme="majorHAnsi" w:hAnsiTheme="majorHAnsi" w:eastAsiaTheme="majorEastAsia" w:cstheme="majorBidi"/>
      <w:color w:val="365f91" w:themeColor="accent1" w:themeShade="BF"/>
      <w:sz w:val="26"/>
      <w:szCs w:val="26"/>
    </w:rPr>
  </w:style>
  <w:style w:type="character" w:styleId="1015" w:customStyle="1">
    <w:name w:val="Heading 3 Char"/>
    <w:basedOn w:val="1010"/>
    <w:link w:val="1008"/>
    <w:pPr>
      <w:pBdr/>
      <w:spacing/>
      <w:ind/>
    </w:pPr>
    <w:rPr>
      <w:rFonts w:ascii="Times New Roman" w:hAnsi="Times New Roman" w:eastAsia="Times New Roman" w:cs="Times New Roman"/>
      <w:sz w:val="28"/>
      <w:szCs w:val="28"/>
    </w:rPr>
  </w:style>
  <w:style w:type="character" w:styleId="1016" w:customStyle="1">
    <w:name w:val="Heading 4 Char"/>
    <w:basedOn w:val="1010"/>
    <w:link w:val="1009"/>
    <w:pPr>
      <w:pBdr/>
      <w:spacing/>
      <w:ind/>
    </w:pPr>
    <w:rPr>
      <w:rFonts w:ascii="Times New Roman" w:hAnsi="Times New Roman" w:eastAsia="Times New Roman" w:cs="Times New Roman"/>
      <w:b/>
      <w:bCs/>
      <w:sz w:val="24"/>
      <w:szCs w:val="24"/>
    </w:rPr>
  </w:style>
  <w:style w:type="character" w:styleId="1017">
    <w:name w:val="Hyperlink"/>
    <w:uiPriority w:val="99"/>
    <w:pPr>
      <w:pBdr/>
      <w:spacing/>
      <w:ind/>
    </w:pPr>
    <w:rPr>
      <w:color w:val="000000"/>
      <w:u w:val="single"/>
    </w:rPr>
  </w:style>
  <w:style w:type="character" w:styleId="1018">
    <w:name w:val="Strong"/>
    <w:uiPriority w:val="22"/>
    <w:qFormat/>
    <w:pPr>
      <w:pBdr/>
      <w:spacing/>
      <w:ind/>
    </w:pPr>
    <w:rPr>
      <w:b/>
      <w:bCs/>
    </w:rPr>
  </w:style>
  <w:style w:type="paragraph" w:styleId="1019">
    <w:name w:val="Balloon Text"/>
    <w:basedOn w:val="1005"/>
    <w:link w:val="1020"/>
    <w:uiPriority w:val="99"/>
    <w:semiHidden/>
    <w:unhideWhenUsed/>
    <w:pPr>
      <w:pBdr/>
      <w:spacing/>
      <w:ind/>
    </w:pPr>
    <w:rPr>
      <w:rFonts w:ascii="Tahoma" w:hAnsi="Tahoma" w:cs="Tahoma"/>
      <w:sz w:val="16"/>
      <w:szCs w:val="16"/>
    </w:rPr>
  </w:style>
  <w:style w:type="character" w:styleId="1020" w:customStyle="1">
    <w:name w:val="Balloon Text Char"/>
    <w:basedOn w:val="1010"/>
    <w:link w:val="1019"/>
    <w:uiPriority w:val="99"/>
    <w:semiHidden/>
    <w:pPr>
      <w:pBdr/>
      <w:spacing/>
      <w:ind/>
    </w:pPr>
    <w:rPr>
      <w:rFonts w:ascii="Tahoma" w:hAnsi="Tahoma" w:eastAsia="Times New Roman" w:cs="Tahoma"/>
      <w:sz w:val="16"/>
      <w:szCs w:val="16"/>
    </w:rPr>
  </w:style>
  <w:style w:type="paragraph" w:styleId="1021">
    <w:name w:val="Header"/>
    <w:basedOn w:val="1005"/>
    <w:link w:val="1022"/>
    <w:unhideWhenUsed/>
    <w:pPr>
      <w:pBdr/>
      <w:tabs>
        <w:tab w:val="center" w:leader="none" w:pos="4680"/>
        <w:tab w:val="right" w:leader="none" w:pos="9360"/>
      </w:tabs>
      <w:spacing/>
      <w:ind/>
    </w:pPr>
  </w:style>
  <w:style w:type="character" w:styleId="1022" w:customStyle="1">
    <w:name w:val="Header Char"/>
    <w:basedOn w:val="1010"/>
    <w:link w:val="1021"/>
    <w:pPr>
      <w:pBdr/>
      <w:spacing/>
      <w:ind/>
    </w:pPr>
    <w:rPr>
      <w:rFonts w:ascii="Times New Roman" w:hAnsi="Times New Roman" w:eastAsia="Times New Roman" w:cs="Times New Roman"/>
      <w:sz w:val="24"/>
      <w:szCs w:val="24"/>
    </w:rPr>
  </w:style>
  <w:style w:type="paragraph" w:styleId="1023">
    <w:name w:val="Footer"/>
    <w:basedOn w:val="1005"/>
    <w:link w:val="1024"/>
    <w:uiPriority w:val="99"/>
    <w:unhideWhenUsed/>
    <w:pPr>
      <w:pBdr/>
      <w:tabs>
        <w:tab w:val="center" w:leader="none" w:pos="4680"/>
        <w:tab w:val="right" w:leader="none" w:pos="9360"/>
      </w:tabs>
      <w:spacing/>
      <w:ind/>
    </w:pPr>
  </w:style>
  <w:style w:type="character" w:styleId="1024" w:customStyle="1">
    <w:name w:val="Footer Char"/>
    <w:basedOn w:val="1010"/>
    <w:link w:val="1023"/>
    <w:uiPriority w:val="99"/>
    <w:pPr>
      <w:pBdr/>
      <w:spacing/>
      <w:ind/>
    </w:pPr>
    <w:rPr>
      <w:rFonts w:ascii="Times New Roman" w:hAnsi="Times New Roman" w:eastAsia="Times New Roman" w:cs="Times New Roman"/>
      <w:sz w:val="24"/>
      <w:szCs w:val="24"/>
    </w:rPr>
  </w:style>
  <w:style w:type="character" w:styleId="1025" w:customStyle="1">
    <w:name w:val="normal-h1"/>
    <w:pPr>
      <w:pBdr/>
      <w:spacing/>
      <w:ind/>
    </w:pPr>
    <w:rPr>
      <w:rFonts w:hint="default" w:ascii=".VnTime" w:hAnsi=".VnTime"/>
      <w:color w:val="0000ff"/>
      <w:sz w:val="24"/>
      <w:szCs w:val="24"/>
    </w:rPr>
  </w:style>
  <w:style w:type="paragraph" w:styleId="1026" w:customStyle="1">
    <w:name w:val="normal-p"/>
    <w:basedOn w:val="1005"/>
    <w:pPr>
      <w:pBdr/>
      <w:spacing/>
      <w:ind/>
      <w:jc w:val="both"/>
    </w:pPr>
    <w:rPr>
      <w:sz w:val="20"/>
      <w:szCs w:val="20"/>
    </w:rPr>
  </w:style>
  <w:style w:type="paragraph" w:styleId="1027">
    <w:name w:val="List Paragraph"/>
    <w:basedOn w:val="1005"/>
    <w:link w:val="1114"/>
    <w:uiPriority w:val="34"/>
    <w:qFormat/>
    <w:pPr>
      <w:pBdr/>
      <w:spacing/>
      <w:ind w:left="720"/>
    </w:pPr>
  </w:style>
  <w:style w:type="paragraph" w:styleId="1028">
    <w:name w:val="Normal (Web)"/>
    <w:basedOn w:val="1005"/>
    <w:uiPriority w:val="99"/>
    <w:pPr>
      <w:pBdr/>
      <w:spacing w:after="100" w:afterAutospacing="1" w:before="100" w:beforeAutospacing="1"/>
      <w:ind/>
    </w:pPr>
  </w:style>
  <w:style w:type="paragraph" w:styleId="1029">
    <w:name w:val="Body Text"/>
    <w:basedOn w:val="1005"/>
    <w:link w:val="1030"/>
    <w:pPr>
      <w:pBdr/>
      <w:spacing w:after="120"/>
      <w:ind/>
      <w:jc w:val="both"/>
    </w:pPr>
  </w:style>
  <w:style w:type="character" w:styleId="1030" w:customStyle="1">
    <w:name w:val="Body Text Char"/>
    <w:basedOn w:val="1010"/>
    <w:link w:val="1029"/>
    <w:pPr>
      <w:pBdr/>
      <w:spacing/>
      <w:ind/>
    </w:pPr>
    <w:rPr>
      <w:rFonts w:ascii="Times New Roman" w:hAnsi="Times New Roman" w:eastAsia="Times New Roman" w:cs="Times New Roman"/>
      <w:sz w:val="24"/>
      <w:szCs w:val="24"/>
    </w:rPr>
  </w:style>
  <w:style w:type="table" w:styleId="1031">
    <w:name w:val="Table Grid"/>
    <w:basedOn w:val="1011"/>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32"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33">
    <w:name w:val="annotation reference"/>
    <w:basedOn w:val="1010"/>
    <w:uiPriority w:val="99"/>
    <w:semiHidden/>
    <w:unhideWhenUsed/>
    <w:pPr>
      <w:pBdr/>
      <w:spacing/>
      <w:ind/>
    </w:pPr>
    <w:rPr>
      <w:sz w:val="16"/>
      <w:szCs w:val="16"/>
    </w:rPr>
  </w:style>
  <w:style w:type="paragraph" w:styleId="1034">
    <w:name w:val="annotation text"/>
    <w:basedOn w:val="1005"/>
    <w:link w:val="1035"/>
    <w:uiPriority w:val="99"/>
    <w:unhideWhenUsed/>
    <w:pPr>
      <w:pBdr/>
      <w:spacing/>
      <w:ind/>
    </w:pPr>
    <w:rPr>
      <w:sz w:val="20"/>
      <w:szCs w:val="20"/>
    </w:rPr>
  </w:style>
  <w:style w:type="character" w:styleId="1035" w:customStyle="1">
    <w:name w:val="Comment Text Char"/>
    <w:basedOn w:val="1010"/>
    <w:link w:val="1034"/>
    <w:uiPriority w:val="99"/>
    <w:pPr>
      <w:pBdr/>
      <w:spacing/>
      <w:ind/>
    </w:pPr>
    <w:rPr>
      <w:rFonts w:ascii="Times New Roman" w:hAnsi="Times New Roman" w:eastAsia="Times New Roman" w:cs="Times New Roman"/>
      <w:sz w:val="20"/>
      <w:szCs w:val="20"/>
    </w:rPr>
  </w:style>
  <w:style w:type="paragraph" w:styleId="1036">
    <w:name w:val="annotation subject"/>
    <w:basedOn w:val="1034"/>
    <w:next w:val="1034"/>
    <w:link w:val="1037"/>
    <w:uiPriority w:val="99"/>
    <w:semiHidden/>
    <w:unhideWhenUsed/>
    <w:pPr>
      <w:pBdr/>
      <w:spacing/>
      <w:ind/>
    </w:pPr>
    <w:rPr>
      <w:b/>
      <w:bCs/>
    </w:rPr>
  </w:style>
  <w:style w:type="character" w:styleId="1037" w:customStyle="1">
    <w:name w:val="Comment Subject Char"/>
    <w:basedOn w:val="1035"/>
    <w:link w:val="1036"/>
    <w:uiPriority w:val="99"/>
    <w:semiHidden/>
    <w:pPr>
      <w:pBdr/>
      <w:spacing/>
      <w:ind/>
    </w:pPr>
    <w:rPr>
      <w:rFonts w:ascii="Times New Roman" w:hAnsi="Times New Roman" w:eastAsia="Times New Roman" w:cs="Times New Roman"/>
      <w:b/>
      <w:bCs/>
      <w:sz w:val="20"/>
      <w:szCs w:val="20"/>
    </w:rPr>
  </w:style>
  <w:style w:type="paragraph" w:styleId="1038" w:customStyle="1">
    <w:name w:val="font5"/>
    <w:basedOn w:val="1005"/>
    <w:pPr>
      <w:pBdr/>
      <w:spacing w:after="100" w:afterAutospacing="1" w:before="100" w:beforeAutospacing="1"/>
      <w:ind/>
    </w:pPr>
    <w:rPr>
      <w:rFonts w:ascii="Tahoma" w:hAnsi="Tahoma" w:cs="Tahoma"/>
      <w:color w:val="000000"/>
      <w:sz w:val="18"/>
      <w:szCs w:val="18"/>
    </w:rPr>
  </w:style>
  <w:style w:type="paragraph" w:styleId="1039" w:customStyle="1">
    <w:name w:val="font6"/>
    <w:basedOn w:val="1005"/>
    <w:pPr>
      <w:pBdr/>
      <w:spacing w:after="100" w:afterAutospacing="1" w:before="100" w:beforeAutospacing="1"/>
      <w:ind/>
    </w:pPr>
    <w:rPr>
      <w:rFonts w:ascii="Tahoma" w:hAnsi="Tahoma" w:cs="Tahoma"/>
      <w:b/>
      <w:bCs/>
      <w:color w:val="000000"/>
      <w:sz w:val="18"/>
      <w:szCs w:val="18"/>
    </w:rPr>
  </w:style>
  <w:style w:type="paragraph" w:styleId="1040" w:customStyle="1">
    <w:name w:val="xl233"/>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41" w:customStyle="1">
    <w:name w:val="xl234"/>
    <w:basedOn w:val="1005"/>
    <w:pPr>
      <w:pBdr/>
      <w:spacing w:after="100" w:afterAutospacing="1" w:before="100" w:beforeAutospacing="1"/>
      <w:ind/>
      <w:jc w:val="center"/>
    </w:pPr>
  </w:style>
  <w:style w:type="paragraph" w:styleId="1042" w:customStyle="1">
    <w:name w:val="xl235"/>
    <w:basedOn w:val="1005"/>
    <w:pPr>
      <w:pBdr/>
      <w:spacing w:after="100" w:afterAutospacing="1" w:before="100" w:beforeAutospacing="1"/>
      <w:ind/>
      <w:jc w:val="center"/>
    </w:pPr>
    <w:rPr>
      <w:b/>
      <w:bCs/>
    </w:rPr>
  </w:style>
  <w:style w:type="paragraph" w:styleId="1043" w:customStyle="1">
    <w:name w:val="xl236"/>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44" w:customStyle="1">
    <w:name w:val="xl237"/>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5" w:customStyle="1">
    <w:name w:val="xl238"/>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46" w:customStyle="1">
    <w:name w:val="xl239"/>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47" w:customStyle="1">
    <w:name w:val="xl240"/>
    <w:basedOn w:val="1005"/>
    <w:pPr>
      <w:pBdr/>
      <w:spacing w:after="100" w:afterAutospacing="1" w:before="100" w:beforeAutospacing="1"/>
      <w:ind/>
    </w:pPr>
  </w:style>
  <w:style w:type="paragraph" w:styleId="1048" w:customStyle="1">
    <w:name w:val="xl241"/>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9" w:customStyle="1">
    <w:name w:val="xl242"/>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0" w:customStyle="1">
    <w:name w:val="xl243"/>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1" w:customStyle="1">
    <w:name w:val="xl244"/>
    <w:basedOn w:val="1005"/>
    <w:pPr>
      <w:pBdr/>
      <w:spacing w:after="100" w:afterAutospacing="1" w:before="100" w:beforeAutospacing="1"/>
      <w:ind/>
    </w:pPr>
    <w:rPr>
      <w:b/>
      <w:bCs/>
    </w:rPr>
  </w:style>
  <w:style w:type="paragraph" w:styleId="1052" w:customStyle="1">
    <w:name w:val="xl245"/>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3" w:customStyle="1">
    <w:name w:val="xl246"/>
    <w:basedOn w:val="1005"/>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54" w:customStyle="1">
    <w:name w:val="xl247"/>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5" w:customStyle="1">
    <w:name w:val="xl248"/>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56" w:customStyle="1">
    <w:name w:val="xl249"/>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57" w:customStyle="1">
    <w:name w:val="xl250"/>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58" w:customStyle="1">
    <w:name w:val="xl251"/>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59" w:customStyle="1">
    <w:name w:val="xl252"/>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0" w:customStyle="1">
    <w:name w:val="xl253"/>
    <w:basedOn w:val="1005"/>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1" w:customStyle="1">
    <w:name w:val="xl254"/>
    <w:basedOn w:val="1005"/>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2" w:customStyle="1">
    <w:name w:val="xl255"/>
    <w:basedOn w:val="1005"/>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63" w:customStyle="1">
    <w:name w:val="xl256"/>
    <w:basedOn w:val="1005"/>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4" w:customStyle="1">
    <w:name w:val="xl257"/>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5" w:customStyle="1">
    <w:name w:val="xl258"/>
    <w:basedOn w:val="1005"/>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6" w:customStyle="1">
    <w:name w:val="xl259"/>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7" w:customStyle="1">
    <w:name w:val="xl260"/>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8" w:customStyle="1">
    <w:name w:val="xl261"/>
    <w:basedOn w:val="1005"/>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69" w:customStyle="1">
    <w:name w:val="xl262"/>
    <w:basedOn w:val="1005"/>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0" w:customStyle="1">
    <w:name w:val="xl263"/>
    <w:basedOn w:val="1005"/>
    <w:pPr>
      <w:pBdr/>
      <w:shd w:val="clear" w:color="000000" w:fill="ffffff"/>
      <w:spacing w:after="100" w:afterAutospacing="1" w:before="100" w:beforeAutospacing="1"/>
      <w:ind/>
    </w:pPr>
  </w:style>
  <w:style w:type="paragraph" w:styleId="1071" w:customStyle="1">
    <w:name w:val="xl264"/>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2" w:customStyle="1">
    <w:name w:val="xl265"/>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73" w:customStyle="1">
    <w:name w:val="xl266"/>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74" w:customStyle="1">
    <w:name w:val="xl267"/>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5" w:customStyle="1">
    <w:name w:val="xl268"/>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6" w:customStyle="1">
    <w:name w:val="xl269"/>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7" w:customStyle="1">
    <w:name w:val="xl270"/>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78" w:customStyle="1">
    <w:name w:val="xl271"/>
    <w:basedOn w:val="1005"/>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79" w:customStyle="1">
    <w:name w:val="xl272"/>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80" w:customStyle="1">
    <w:name w:val="xl273"/>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81" w:customStyle="1">
    <w:name w:val="xl274"/>
    <w:basedOn w:val="1005"/>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2" w:customStyle="1">
    <w:name w:val="xl275"/>
    <w:basedOn w:val="1005"/>
    <w:pPr>
      <w:pBdr/>
      <w:spacing w:after="100" w:afterAutospacing="1" w:before="100" w:beforeAutospacing="1"/>
      <w:ind/>
    </w:pPr>
  </w:style>
  <w:style w:type="paragraph" w:styleId="1083" w:customStyle="1">
    <w:name w:val="xl276"/>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84" w:customStyle="1">
    <w:name w:val="xl277"/>
    <w:basedOn w:val="1005"/>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85" w:customStyle="1">
    <w:name w:val="xl278"/>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6" w:customStyle="1">
    <w:name w:val="xl279"/>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7" w:customStyle="1">
    <w:name w:val="xl280"/>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88" w:customStyle="1">
    <w:name w:val="xl281"/>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9" w:customStyle="1">
    <w:name w:val="xl282"/>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0" w:customStyle="1">
    <w:name w:val="xl283"/>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1" w:customStyle="1">
    <w:name w:val="xl284"/>
    <w:basedOn w:val="1005"/>
    <w:pPr>
      <w:pBdr>
        <w:left w:val="single" w:color="000000" w:sz="4" w:space="0"/>
        <w:bottom w:val="single" w:color="000000" w:sz="4" w:space="0"/>
        <w:right w:val="single" w:color="000000" w:sz="4" w:space="0"/>
      </w:pBdr>
      <w:spacing w:after="100" w:afterAutospacing="1" w:before="100" w:beforeAutospacing="1"/>
      <w:ind/>
    </w:pPr>
  </w:style>
  <w:style w:type="paragraph" w:styleId="1092" w:customStyle="1">
    <w:name w:val="xl285"/>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3" w:customStyle="1">
    <w:name w:val="xl286"/>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4" w:customStyle="1">
    <w:name w:val="xl287"/>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5" w:customStyle="1">
    <w:name w:val="xl288"/>
    <w:basedOn w:val="1005"/>
    <w:pPr>
      <w:pBdr>
        <w:top w:val="single" w:color="000000" w:sz="4" w:space="0"/>
        <w:left w:val="single" w:color="000000" w:sz="4" w:space="0"/>
        <w:right w:val="single" w:color="000000" w:sz="4" w:space="0"/>
      </w:pBdr>
      <w:spacing w:after="100" w:afterAutospacing="1" w:before="100" w:beforeAutospacing="1"/>
      <w:ind/>
    </w:pPr>
  </w:style>
  <w:style w:type="paragraph" w:styleId="1096" w:customStyle="1">
    <w:name w:val="xl289"/>
    <w:basedOn w:val="1005"/>
    <w:pPr>
      <w:pBdr>
        <w:left w:val="single" w:color="000000" w:sz="4" w:space="0"/>
        <w:right w:val="single" w:color="000000" w:sz="4" w:space="0"/>
      </w:pBdr>
      <w:spacing w:after="100" w:afterAutospacing="1" w:before="100" w:beforeAutospacing="1"/>
      <w:ind/>
    </w:pPr>
    <w:rPr>
      <w:b/>
      <w:bCs/>
    </w:rPr>
  </w:style>
  <w:style w:type="paragraph" w:styleId="1097" w:customStyle="1">
    <w:name w:val="xl290"/>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98" w:customStyle="1">
    <w:name w:val="xl291"/>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99" w:customStyle="1">
    <w:name w:val="xl292"/>
    <w:basedOn w:val="1005"/>
    <w:pPr>
      <w:pBdr>
        <w:top w:val="single" w:color="000000" w:sz="4" w:space="0"/>
        <w:left w:val="single" w:color="000000" w:sz="4" w:space="0"/>
        <w:right w:val="single" w:color="000000" w:sz="4" w:space="0"/>
      </w:pBdr>
      <w:spacing w:after="100" w:afterAutospacing="1" w:before="100" w:beforeAutospacing="1"/>
      <w:ind/>
    </w:pPr>
  </w:style>
  <w:style w:type="paragraph" w:styleId="1100" w:customStyle="1">
    <w:name w:val="xl293"/>
    <w:basedOn w:val="1005"/>
    <w:pPr>
      <w:pBdr>
        <w:left w:val="single" w:color="000000" w:sz="4" w:space="0"/>
        <w:bottom w:val="single" w:color="000000" w:sz="4" w:space="0"/>
        <w:right w:val="single" w:color="000000" w:sz="4" w:space="0"/>
      </w:pBdr>
      <w:spacing w:after="100" w:afterAutospacing="1" w:before="100" w:beforeAutospacing="1"/>
      <w:ind/>
    </w:pPr>
  </w:style>
  <w:style w:type="paragraph" w:styleId="1101" w:customStyle="1">
    <w:name w:val="xl294"/>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2">
    <w:name w:val="Title"/>
    <w:basedOn w:val="1005"/>
    <w:link w:val="1103"/>
    <w:qFormat/>
    <w:pPr>
      <w:pBdr/>
      <w:spacing/>
      <w:ind/>
      <w:jc w:val="center"/>
    </w:pPr>
    <w:rPr>
      <w:b/>
      <w:bCs/>
      <w:sz w:val="32"/>
      <w:szCs w:val="26"/>
    </w:rPr>
  </w:style>
  <w:style w:type="character" w:styleId="1103" w:customStyle="1">
    <w:name w:val="Title Char"/>
    <w:basedOn w:val="1010"/>
    <w:link w:val="1102"/>
    <w:pPr>
      <w:pBdr/>
      <w:spacing/>
      <w:ind/>
    </w:pPr>
    <w:rPr>
      <w:rFonts w:ascii="Times New Roman" w:hAnsi="Times New Roman" w:eastAsia="Times New Roman" w:cs="Times New Roman"/>
      <w:b/>
      <w:bCs/>
      <w:sz w:val="32"/>
      <w:szCs w:val="26"/>
    </w:rPr>
  </w:style>
  <w:style w:type="character" w:styleId="1104" w:customStyle="1">
    <w:name w:val="Unresolved Mention1"/>
    <w:basedOn w:val="1010"/>
    <w:uiPriority w:val="99"/>
    <w:semiHidden/>
    <w:unhideWhenUsed/>
    <w:pPr>
      <w:pBdr/>
      <w:spacing/>
      <w:ind/>
    </w:pPr>
    <w:rPr>
      <w:color w:val="605e5c"/>
      <w:shd w:val="clear" w:color="auto" w:fill="e1dfdd"/>
    </w:rPr>
  </w:style>
  <w:style w:type="character" w:styleId="1105" w:customStyle="1">
    <w:name w:val="Body text (3)_"/>
    <w:link w:val="1106"/>
    <w:pPr>
      <w:pBdr/>
      <w:spacing/>
      <w:ind/>
    </w:pPr>
    <w:rPr>
      <w:rFonts w:ascii="Times New Roman" w:hAnsi="Times New Roman" w:cs="Times New Roman"/>
      <w:i/>
      <w:iCs/>
      <w:spacing w:val="4"/>
      <w:shd w:val="clear" w:color="auto" w:fill="ffffff"/>
    </w:rPr>
  </w:style>
  <w:style w:type="paragraph" w:styleId="1106" w:customStyle="1">
    <w:name w:val="Body text (3)1"/>
    <w:basedOn w:val="1005"/>
    <w:link w:val="1105"/>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07" w:customStyle="1">
    <w:name w:val="t-j"/>
    <w:basedOn w:val="1005"/>
    <w:pPr>
      <w:pBdr/>
      <w:spacing w:after="100" w:afterAutospacing="1" w:before="100" w:beforeAutospacing="1"/>
      <w:ind/>
    </w:pPr>
  </w:style>
  <w:style w:type="character" w:styleId="1108" w:customStyle="1">
    <w:name w:val="Unresolved Mention2"/>
    <w:basedOn w:val="1010"/>
    <w:uiPriority w:val="99"/>
    <w:semiHidden/>
    <w:unhideWhenUsed/>
    <w:pPr>
      <w:pBdr/>
      <w:spacing/>
      <w:ind/>
    </w:pPr>
    <w:rPr>
      <w:color w:val="605e5c"/>
      <w:shd w:val="clear" w:color="auto" w:fill="e1dfdd"/>
    </w:rPr>
  </w:style>
  <w:style w:type="character" w:styleId="1109">
    <w:name w:val="FollowedHyperlink"/>
    <w:basedOn w:val="1010"/>
    <w:uiPriority w:val="99"/>
    <w:semiHidden/>
    <w:unhideWhenUsed/>
    <w:pPr>
      <w:pBdr/>
      <w:spacing/>
      <w:ind/>
    </w:pPr>
    <w:rPr>
      <w:color w:val="800080" w:themeColor="followedHyperlink"/>
      <w:u w:val="single"/>
    </w:rPr>
  </w:style>
  <w:style w:type="character" w:styleId="1110" w:customStyle="1">
    <w:name w:val="text"/>
    <w:basedOn w:val="1010"/>
    <w:pPr>
      <w:pBdr/>
      <w:spacing/>
      <w:ind/>
    </w:pPr>
  </w:style>
  <w:style w:type="character" w:styleId="1111" w:customStyle="1">
    <w:name w:val="card-send-time__sendtime"/>
    <w:basedOn w:val="1010"/>
    <w:pPr>
      <w:pBdr/>
      <w:spacing/>
      <w:ind/>
    </w:pPr>
  </w:style>
  <w:style w:type="character" w:styleId="1112" w:customStyle="1">
    <w:name w:val="Đề cập Chưa giải quyết1"/>
    <w:basedOn w:val="1010"/>
    <w:uiPriority w:val="99"/>
    <w:semiHidden/>
    <w:unhideWhenUsed/>
    <w:pPr>
      <w:pBdr/>
      <w:spacing/>
      <w:ind/>
    </w:pPr>
    <w:rPr>
      <w:color w:val="605e5c"/>
      <w:shd w:val="clear" w:color="auto" w:fill="e1dfdd"/>
    </w:rPr>
  </w:style>
  <w:style w:type="paragraph" w:styleId="1113" w:customStyle="1">
    <w:name w:val="nqtitle"/>
    <w:basedOn w:val="1005"/>
    <w:pPr>
      <w:pBdr/>
      <w:spacing w:after="100" w:afterAutospacing="1" w:before="100" w:beforeAutospacing="1"/>
      <w:ind/>
    </w:pPr>
    <w:rPr>
      <w:lang w:val="vi-VN" w:eastAsia="vi-VN"/>
    </w:rPr>
  </w:style>
  <w:style w:type="character" w:styleId="1114" w:customStyle="1">
    <w:name w:val="List Paragraph Char"/>
    <w:link w:val="1027"/>
    <w:uiPriority w:val="34"/>
    <w:qFormat/>
    <w:pPr>
      <w:pBdr/>
      <w:spacing/>
      <w:ind/>
    </w:pPr>
    <w:rPr>
      <w:rFonts w:ascii="Times New Roman" w:hAnsi="Times New Roman" w:eastAsia="Times New Roman" w:cs="Times New Roman"/>
      <w:sz w:val="24"/>
      <w:szCs w:val="24"/>
    </w:rPr>
  </w:style>
  <w:style w:type="character" w:styleId="1115" w:customStyle="1">
    <w:name w:val="Đề cập Chưa giải quyết2"/>
    <w:basedOn w:val="1010"/>
    <w:uiPriority w:val="99"/>
    <w:semiHidden/>
    <w:unhideWhenUsed/>
    <w:pPr>
      <w:pBdr/>
      <w:spacing/>
      <w:ind/>
    </w:pPr>
    <w:rPr>
      <w:color w:val="605e5c"/>
      <w:shd w:val="clear" w:color="auto" w:fill="e1dfdd"/>
    </w:rPr>
  </w:style>
  <w:style w:type="character" w:styleId="1116" w:customStyle="1">
    <w:name w:val="Unresolved Mention3"/>
    <w:basedOn w:val="1010"/>
    <w:uiPriority w:val="99"/>
    <w:semiHidden/>
    <w:unhideWhenUsed/>
    <w:pPr>
      <w:pBdr/>
      <w:spacing/>
      <w:ind/>
    </w:pPr>
    <w:rPr>
      <w:color w:val="605e5c"/>
      <w:shd w:val="clear" w:color="auto" w:fill="e1dfdd"/>
    </w:rPr>
  </w:style>
  <w:style w:type="character" w:styleId="1117" w:customStyle="1">
    <w:name w:val="copy"/>
    <w:basedOn w:val="1010"/>
    <w:pPr>
      <w:pBdr/>
      <w:spacing/>
      <w:ind/>
    </w:pPr>
  </w:style>
  <w:style w:type="paragraph" w:styleId="1118" w:customStyle="1">
    <w:name w:val="align-justify"/>
    <w:basedOn w:val="1005"/>
    <w:pPr>
      <w:pBdr/>
      <w:spacing w:after="100" w:afterAutospacing="1" w:before="100" w:beforeAutospacing="1"/>
      <w:ind/>
    </w:pPr>
  </w:style>
  <w:style w:type="character" w:styleId="1119" w:customStyle="1">
    <w:name w:val="btn"/>
    <w:basedOn w:val="1010"/>
    <w:pPr>
      <w:pBdr/>
      <w:spacing/>
      <w:ind/>
    </w:pPr>
  </w:style>
  <w:style w:type="character" w:styleId="1120" w:customStyle="1">
    <w:name w:val="hide_mobile"/>
    <w:basedOn w:val="1010"/>
    <w:pPr>
      <w:pBdr/>
      <w:spacing/>
      <w:ind/>
    </w:pPr>
  </w:style>
  <w:style w:type="character" w:styleId="1121">
    <w:name w:val="Emphasis"/>
    <w:basedOn w:val="1010"/>
    <w:uiPriority w:val="20"/>
    <w:qFormat/>
    <w:pPr>
      <w:pBdr/>
      <w:spacing/>
      <w:ind/>
    </w:pPr>
    <w:rPr>
      <w:i/>
      <w:iCs/>
    </w:rPr>
  </w:style>
  <w:style w:type="character" w:styleId="1122" w:customStyle="1">
    <w:name w:val="t1"/>
    <w:basedOn w:val="1010"/>
    <w:pPr>
      <w:pBdr/>
      <w:spacing/>
      <w:ind/>
    </w:pPr>
  </w:style>
  <w:style w:type="character" w:styleId="1123" w:customStyle="1">
    <w:name w:val="Unresolved Mention4"/>
    <w:basedOn w:val="1010"/>
    <w:uiPriority w:val="99"/>
    <w:semiHidden/>
    <w:unhideWhenUsed/>
    <w:pPr>
      <w:pBdr/>
      <w:spacing/>
      <w:ind/>
    </w:pPr>
    <w:rPr>
      <w:color w:val="605e5c"/>
      <w:shd w:val="clear" w:color="auto" w:fill="e1dfdd"/>
    </w:rPr>
  </w:style>
  <w:style w:type="character" w:styleId="1124">
    <w:name w:val="Unresolved Mention"/>
    <w:basedOn w:val="1010"/>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image" Target="media/image3.png"/><Relationship Id="rId18" Type="http://schemas.openxmlformats.org/officeDocument/2006/relationships/image" Target="media/image4.png"/><Relationship Id="rId19" Type="http://schemas.openxmlformats.org/officeDocument/2006/relationships/image" Target="media/image5.jpg"/><Relationship Id="rId20" Type="http://schemas.openxmlformats.org/officeDocument/2006/relationships/image" Target="media/image6.jpg"/><Relationship Id="rId21" Type="http://schemas.openxmlformats.org/officeDocument/2006/relationships/image" Target="media/image7.jpg"/><Relationship Id="rId22" Type="http://schemas.openxmlformats.org/officeDocument/2006/relationships/image" Target="media/image8.jpg"/><Relationship Id="rId23" Type="http://schemas.openxmlformats.org/officeDocument/2006/relationships/image" Target="media/image9.jpg"/><Relationship Id="rId24" Type="http://schemas.openxmlformats.org/officeDocument/2006/relationships/image" Target="media/image10.jpg"/><Relationship Id="rId25" Type="http://schemas.openxmlformats.org/officeDocument/2006/relationships/image" Target="media/image11.jpg"/><Relationship Id="rId26" Type="http://schemas.openxmlformats.org/officeDocument/2006/relationships/image" Target="media/image12.png"/><Relationship Id="rId27" Type="http://schemas.openxmlformats.org/officeDocument/2006/relationships/image" Target="media/image13.png"/><Relationship Id="rId28" Type="http://schemas.openxmlformats.org/officeDocument/2006/relationships/image" Target="media/image14.jpg"/><Relationship Id="rId29" Type="http://schemas.openxmlformats.org/officeDocument/2006/relationships/image" Target="media/image15.jpg"/><Relationship Id="rId30" Type="http://schemas.openxmlformats.org/officeDocument/2006/relationships/image" Target="media/image16.jpg"/><Relationship Id="rId31" Type="http://schemas.openxmlformats.org/officeDocument/2006/relationships/image" Target="media/image17.jpg"/><Relationship Id="rId32" Type="http://schemas.openxmlformats.org/officeDocument/2006/relationships/image" Target="media/image18.jpg"/><Relationship Id="rId33" Type="http://schemas.openxmlformats.org/officeDocument/2006/relationships/image" Target="media/image19.png"/><Relationship Id="rId34" Type="http://schemas.openxmlformats.org/officeDocument/2006/relationships/image" Target="media/image20.png"/><Relationship Id="rId35" Type="http://schemas.openxmlformats.org/officeDocument/2006/relationships/image" Target="media/image21.jpg"/><Relationship Id="rId36" Type="http://schemas.openxmlformats.org/officeDocument/2006/relationships/image" Target="media/image22.jpg"/><Relationship Id="rId37" Type="http://schemas.openxmlformats.org/officeDocument/2006/relationships/image" Target="media/image23.jpg"/><Relationship Id="rId38" Type="http://schemas.openxmlformats.org/officeDocument/2006/relationships/image" Target="media/image24.jpg"/><Relationship Id="rId39" Type="http://schemas.openxmlformats.org/officeDocument/2006/relationships/image" Target="media/image25.jpg"/><Relationship Id="rId40" Type="http://schemas.openxmlformats.org/officeDocument/2006/relationships/image" Target="media/image26.jpg"/><Relationship Id="rId41" Type="http://schemas.openxmlformats.org/officeDocument/2006/relationships/image" Target="media/image27.jpg"/><Relationship Id="rId42" Type="http://schemas.openxmlformats.org/officeDocument/2006/relationships/image" Target="media/image28.jpg"/><Relationship Id="rId43" Type="http://schemas.openxmlformats.org/officeDocument/2006/relationships/image" Target="media/image29.jpg"/><Relationship Id="rId44" Type="http://schemas.openxmlformats.org/officeDocument/2006/relationships/image" Target="media/image30.png"/><Relationship Id="rId45" Type="http://schemas.openxmlformats.org/officeDocument/2006/relationships/image" Target="media/image31.png"/><Relationship Id="rId46" Type="http://schemas.openxmlformats.org/officeDocument/2006/relationships/image" Target="media/image32.jpg"/><Relationship Id="rId47" Type="http://schemas.openxmlformats.org/officeDocument/2006/relationships/image" Target="media/image33.jpg"/><Relationship Id="rId48" Type="http://schemas.openxmlformats.org/officeDocument/2006/relationships/image" Target="media/image34.jpg"/><Relationship Id="rId49" Type="http://schemas.openxmlformats.org/officeDocument/2006/relationships/image" Target="media/image35.jpg"/><Relationship Id="rId50" Type="http://schemas.openxmlformats.org/officeDocument/2006/relationships/image" Target="media/image36.jpg"/><Relationship Id="rId51" Type="http://schemas.openxmlformats.org/officeDocument/2006/relationships/image" Target="media/image37.jpg"/><Relationship Id="rId52" Type="http://schemas.openxmlformats.org/officeDocument/2006/relationships/image" Target="media/image38.jp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Nguyễn Mạnh Tuấn</cp:lastModifiedBy>
  <cp:revision>281</cp:revision>
  <dcterms:created xsi:type="dcterms:W3CDTF">2025-09-15T09:58:00Z</dcterms:created>
  <dcterms:modified xsi:type="dcterms:W3CDTF">2026-08-10T02:06:30Z</dcterms:modified>
</cp:coreProperties>
</file>