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highlight w:val="white"/>
        </w:rPr>
      </w:pPr>
      <w:r>
        <w:rPr>
          <w:b/>
          <w:sz w:val="28"/>
          <w:highlight w:val="white"/>
          <w:lang w:val="vi-VN"/>
        </w:rPr>
      </w:r>
      <w:r>
        <w:rPr>
          <w:b/>
          <w:sz w:val="28"/>
          <w:highlight w:val="white"/>
          <w:lang w:val="vi-VN"/>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92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92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275/2026/1271/VFI-CT.44.A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Ngô Thị Thu Hà</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w:t>
                            </w:r>
                            <w:r>
                              <w:rPr>
                                <w:color w:val="000000"/>
                              </w:rPr>
                              <w:t xml:space="preserve">95, tờ bản đồ số: 35, có địa chỉ: Phường Tây Mỗ, thành phố Hà </w:t>
                            </w:r>
                            <w:r>
                              <w:rPr>
                                <w:color w:val="000000"/>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275/2026/1271/VFI-CT.44.A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Ngô Thị Thu Hà</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1</w:t>
                      </w:r>
                      <w:r>
                        <w:rPr>
                          <w:color w:val="000000"/>
                        </w:rPr>
                        <w:t xml:space="preserve">95, tờ bản đồ số: 35, có địa chỉ: Phường Tây Mỗ, thành phố Hà </w:t>
                      </w:r>
                      <w:r>
                        <w:rPr>
                          <w:color w:val="000000"/>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1-3</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yellow"/>
              </w:rPr>
            </w:pPr>
            <w:r>
              <w:rPr>
                <w:b/>
                <w:color w:val="000000" w:themeColor="text1"/>
                <w:highlight w:val="yellow"/>
              </w:rPr>
              <w:t xml:space="preserve">4-22</w:t>
            </w:r>
            <w:r>
              <w:rPr>
                <w:b/>
                <w:highlight w:val="yellow"/>
              </w:rPr>
            </w:r>
            <w:r>
              <w:rPr>
                <w:b/>
                <w:highlight w:val="yellow"/>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yellow"/>
              </w:rPr>
            </w:pPr>
            <w:r>
              <w:rPr>
                <w:b/>
                <w:bCs/>
                <w:highlight w:val="yellow"/>
              </w:rPr>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23</w:t>
            </w:r>
            <w:r>
              <w:rPr>
                <w:b/>
                <w:bCs/>
                <w:highlight w:val="yellow"/>
              </w:rPr>
            </w:r>
            <w:r>
              <w:rPr>
                <w:b/>
                <w:bCs/>
                <w:highlight w:val="yellow"/>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yellow"/>
              </w:rPr>
            </w:pPr>
            <w:r>
              <w:rPr>
                <w:b/>
                <w:bCs/>
                <w:highlight w:val="yellow"/>
              </w:rPr>
              <w:t xml:space="preserve">19-22</w:t>
            </w:r>
            <w:r>
              <w:rPr>
                <w:b/>
                <w:bCs/>
                <w:highlight w:val="yellow"/>
              </w:rPr>
            </w:r>
            <w:r>
              <w:rPr>
                <w:b/>
                <w:bCs/>
                <w:highlight w:val="yellow"/>
              </w:rPr>
            </w:r>
          </w:p>
        </w:tc>
      </w:tr>
    </w:tbl>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rPr>
      </w:r>
    </w:p>
    <w:p>
      <w:pPr>
        <w:pStyle w:val="1036"/>
        <w:pBdr/>
        <w:tabs>
          <w:tab w:val="left" w:leader="none" w:pos="5103"/>
        </w:tabs>
        <w:spacing w:line="360" w:lineRule="auto"/>
        <w:ind/>
        <w:rPr>
          <w:b/>
          <w:sz w:val="22"/>
          <w:szCs w:val="22"/>
          <w:highlight w:val="white"/>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highlight w:val="white"/>
                <w:lang w:eastAsia="zh-CN"/>
              </w:rPr>
            </w:r>
            <w:r>
              <w:rPr>
                <w:i/>
                <w:szCs w:val="26"/>
                <w:highlight w:val="white"/>
              </w:rPr>
            </w:r>
          </w:p>
        </w:tc>
        <w:tc>
          <w:tcPr>
            <w:gridSpan w:val="3"/>
            <w:tcBorders/>
            <w:tcW w:w="8241"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2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vAlign w:val="center"/>
            <w:textDirection w:val="lrTb"/>
            <w:noWrap w:val="false"/>
          </w:tcPr>
          <w:p>
            <w:pPr>
              <w:pStyle w:val="1036"/>
              <w:pBdr/>
              <w:spacing w:after="60"/>
              <w:ind/>
              <w:rPr>
                <w:color w:val="000000" w:themeColor="text1"/>
                <w:sz w:val="24"/>
                <w:szCs w:val="24"/>
                <w:highlight w:val="white"/>
              </w:rPr>
            </w:pPr>
            <w:r>
              <w:rPr>
                <w:rStyle w:val="1035"/>
                <w:rFonts w:ascii="Times New Roman" w:hAnsi="Times New Roman"/>
                <w:color w:val="000000" w:themeColor="text1"/>
                <w:highlight w:val="white"/>
                <w:lang w:val="pt-BR"/>
              </w:rPr>
              <w:t xml:space="preserve">Số: </w:t>
            </w:r>
            <w:r>
              <w:rPr>
                <w:rStyle w:val="1035"/>
                <w:rFonts w:ascii="Times New Roman" w:hAnsi="Times New Roman"/>
                <w:color w:val="000000" w:themeColor="text1"/>
                <w:highlight w:val="white"/>
                <w:lang w:val="pt-BR"/>
              </w:rPr>
              <w:t xml:space="preserve">275/2026/1271/VFI-CT.44.A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536" w:type="dxa"/>
            <w:vAlign w:val="center"/>
            <w:textDirection w:val="lrTb"/>
            <w:noWrap w:val="false"/>
          </w:tcPr>
          <w:p>
            <w:pPr>
              <w:pStyle w:val="1036"/>
              <w:pBdr/>
              <w:spacing w:after="60"/>
              <w:ind w:right="-56"/>
              <w:jc w:val="right"/>
              <w:rPr>
                <w:color w:val="000000" w:themeColor="text1"/>
                <w:sz w:val="24"/>
                <w:szCs w:val="24"/>
                <w:highlight w:val="white"/>
              </w:rPr>
            </w:pPr>
            <w:r>
              <w:rPr>
                <w:rStyle w:val="1035"/>
                <w:rFonts w:ascii="Times New Roman" w:hAnsi="Times New Roman"/>
                <w:i/>
                <w:color w:val="auto"/>
                <w:highlight w:val="white"/>
              </w:rPr>
              <w:t xml:space="preserve">TP. Hà Nội</w:t>
            </w:r>
            <w:r>
              <w:rPr>
                <w:rStyle w:val="1035"/>
                <w:rFonts w:ascii="Times New Roman" w:hAnsi="Times New Roman"/>
                <w:i/>
                <w:color w:val="auto"/>
                <w:highlight w:val="white"/>
                <w:lang w:val="vi-VN"/>
              </w:rPr>
              <w:t xml:space="preserve">, </w:t>
            </w:r>
            <w:r>
              <w:rPr>
                <w:rStyle w:val="1035"/>
                <w:rFonts w:ascii="Times New Roman" w:hAnsi="Times New Roman"/>
                <w:i/>
                <w:color w:val="000000" w:themeColor="text1"/>
                <w:highlight w:val="white"/>
                <w:lang w:val="vi-VN"/>
              </w:rPr>
              <w:t xml:space="preserve">ngày 14 tháng 8 năm 2026</w:t>
            </w:r>
            <w:r>
              <w:rPr>
                <w:color w:val="000000" w:themeColor="text1"/>
                <w:sz w:val="24"/>
                <w:szCs w:val="24"/>
                <w:highlight w:val="white"/>
                <w:lang w:val="vi-VN"/>
              </w:rPr>
            </w:r>
            <w:r>
              <w:rPr>
                <w:color w:val="000000" w:themeColor="text1"/>
                <w:sz w:val="24"/>
                <w:szCs w:val="24"/>
                <w:highlight w:val="white"/>
              </w:rPr>
            </w:r>
          </w:p>
        </w:tc>
      </w:tr>
    </w:tbl>
    <w:p>
      <w:pPr>
        <w:pStyle w:val="1036"/>
        <w:pBdr/>
        <w:spacing w:after="120" w:before="200" w:line="288" w:lineRule="auto"/>
        <w:ind/>
        <w:jc w:val="center"/>
        <w:rPr>
          <w:rStyle w:val="1035"/>
          <w:rFonts w:ascii="Times New Roman" w:hAnsi="Times New Roman"/>
          <w:b/>
          <w:bCs/>
          <w:color w:val="auto"/>
          <w:sz w:val="30"/>
          <w:szCs w:val="30"/>
          <w:highlight w:val="white"/>
        </w:rPr>
      </w:pPr>
      <w:r>
        <w:rPr>
          <w:rStyle w:val="1035"/>
          <w:rFonts w:ascii="Times New Roman" w:hAnsi="Times New Roman"/>
          <w:b/>
          <w:bCs/>
          <w:color w:val="auto"/>
          <w:sz w:val="30"/>
          <w:szCs w:val="30"/>
          <w:highlight w:val="white"/>
          <w:lang w:val="vi-VN"/>
        </w:rPr>
        <w:t xml:space="preserve">CHỨNG THƯ THẨM ĐỊNH GIÁ</w:t>
      </w:r>
      <w:r>
        <w:rPr>
          <w:rStyle w:val="1035"/>
          <w:rFonts w:ascii="Times New Roman" w:hAnsi="Times New Roman"/>
          <w:b/>
          <w:bCs/>
          <w:color w:val="auto"/>
          <w:sz w:val="30"/>
          <w:szCs w:val="30"/>
          <w:highlight w:val="white"/>
          <w:lang w:val="vi-VN"/>
        </w:rPr>
      </w:r>
      <w:r>
        <w:rPr>
          <w:rStyle w:val="1035"/>
          <w:rFonts w:ascii="Times New Roman" w:hAnsi="Times New Roman"/>
          <w:b/>
          <w:bCs/>
          <w:color w:val="auto"/>
          <w:sz w:val="30"/>
          <w:szCs w:val="30"/>
          <w:highlight w:val="white"/>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Bà Ngô Thị Thu Hà</w:t>
      </w:r>
      <w:r>
        <w:rPr>
          <w:rFonts w:ascii="Times New Roman Bold" w:hAnsi="Times New Roman Bold"/>
          <w:b/>
          <w:highlight w:val="white"/>
          <w:lang w:val="pt-BR"/>
        </w:rPr>
      </w:r>
      <w:r>
        <w:rPr>
          <w:rFonts w:ascii="Times New Roman Bold" w:hAnsi="Times New Roman Bold"/>
          <w:b/>
          <w:highlight w:val="white"/>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275/2026/1271/VFI-HĐTĐ.44.A</w:t>
      </w:r>
      <w:r>
        <w:rPr>
          <w:spacing w:val="-4"/>
          <w:highlight w:val="white"/>
          <w:lang w:val="vi-VN"/>
        </w:rPr>
        <w:t xml:space="preserve"> ký ngày </w:t>
      </w:r>
      <w:r>
        <w:rPr>
          <w:color w:val="000000" w:themeColor="text1"/>
          <w:spacing w:val="-4"/>
          <w:highlight w:val="white"/>
        </w:rPr>
        <w:t xml:space="preserve">7 tháng 8 năm 2026</w:t>
      </w:r>
      <w:r>
        <w:rPr>
          <w:spacing w:val="-4"/>
          <w:highlight w:val="white"/>
          <w:lang w:val="vi-VN"/>
        </w:rPr>
        <w:t xml:space="preserve"> </w:t>
      </w:r>
      <w:r>
        <w:rPr>
          <w:spacing w:val="-4"/>
          <w:highlight w:val="white"/>
          <w:lang w:val="vi-VN"/>
        </w:rPr>
        <w:t xml:space="preserve">gi</w:t>
      </w:r>
      <w:r>
        <w:rPr>
          <w:spacing w:val="-4"/>
          <w:highlight w:val="white"/>
          <w:lang w:val="vi-VN"/>
        </w:rPr>
        <w:t xml:space="preserve">ữa </w:t>
      </w:r>
      <w:r>
        <w:rPr>
          <w:spacing w:val="-4"/>
          <w:highlight w:val="white"/>
          <w:lang w:val="vi-VN"/>
        </w:rPr>
        <w:t xml:space="preserve"> </w:t>
      </w:r>
      <w:r>
        <w:rPr>
          <w:spacing w:val="-4"/>
          <w:highlight w:val="white"/>
          <w:lang w:val="vi-VN"/>
        </w:rPr>
        <w:t xml:space="preserve">Bà Ngô Thị Thu Hà</w:t>
      </w:r>
      <w:r>
        <w:rPr>
          <w:spacing w:val="-4"/>
          <w:highlight w:val="white"/>
          <w:lang w:val="vi-VN"/>
        </w:rPr>
        <w:t xml:space="preserve"> </w:t>
      </w:r>
      <w:r>
        <w:rPr>
          <w:spacing w:val="-4"/>
          <w:highlight w:val="white"/>
          <w:lang w:val="vi-VN"/>
        </w:rPr>
        <w:t xml:space="preserve">v</w:t>
      </w:r>
      <w:r>
        <w:rPr>
          <w:spacing w:val="-4"/>
          <w:highlight w:val="white"/>
          <w:lang w:val="vi-VN"/>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275/2026/1271/VFI-BC.44.A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14 tháng 8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4965" w:type="pct"/>
        <w:tblBorders/>
        <w:tblLayout w:type="fixed"/>
        <w:tblLook w:val="04A0" w:firstRow="1" w:lastRow="0" w:firstColumn="1" w:lastColumn="0" w:noHBand="0" w:noVBand="1"/>
      </w:tblPr>
      <w:tblGrid>
        <w:gridCol w:w="2234"/>
        <w:gridCol w:w="283"/>
        <w:gridCol w:w="6940"/>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ind/>
              <w:rPr>
                <w:highlight w:val="white"/>
              </w:rPr>
            </w:pPr>
            <w:r>
              <w:rPr>
                <w:b/>
                <w:bCs/>
                <w:highlight w:val="white"/>
              </w:rPr>
            </w:r>
            <w:r>
              <w:rPr>
                <w:rFonts w:ascii="Times New Roman Bold" w:hAnsi="Times New Roman Bold"/>
                <w:b/>
                <w:color w:val="000000" w:themeColor="text1"/>
                <w:highlight w:val="white"/>
                <w:lang w:val="pt-BR"/>
              </w:rPr>
              <w:t xml:space="preserve">Bà Ngô Thị Thu Hà</w:t>
            </w:r>
            <w:r>
              <w:rPr>
                <w:highlight w:val="white"/>
              </w:rPr>
            </w:r>
            <w:r>
              <w:rPr>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010178000020</w:t>
            </w:r>
            <w:r>
              <w:rPr>
                <w:color w:val="ff0000"/>
                <w:highlight w:val="white"/>
              </w:rPr>
            </w:r>
            <w:r>
              <w:rPr>
                <w:color w:val="ff0000"/>
                <w:highlight w:val="white"/>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Xã Thanh Oai, thành phố Hà Nội</w:t>
            </w:r>
            <w:r>
              <w:rPr>
                <w:color w:val="ff0000"/>
                <w:highlight w:val="white"/>
              </w:rPr>
            </w:r>
            <w:r>
              <w:rPr>
                <w:color w:val="ff0000"/>
                <w:highlight w:val="white"/>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195, tờ bản đồ số: 35, có địa chỉ: Phường Tây Mỗ, thành phố Hà </w:t>
      </w:r>
      <w:r>
        <w:rPr>
          <w:color w:val="000000" w:themeColor="text1"/>
          <w:highlight w:val="white"/>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08/2026</w:t>
      </w:r>
      <w:r>
        <w:rPr>
          <w:highlight w:val="white"/>
          <w:lang w:val="vi-VN"/>
        </w:rPr>
        <w:t xml:space="preserve"> ước tính</w:t>
      </w:r>
      <w:r>
        <w:rPr>
          <w:highlight w:val="white"/>
        </w:rPr>
        <w:t xml:space="preserve"> </w:t>
      </w:r>
      <w:r>
        <w:rPr>
          <w:highlight w:val="white"/>
          <w:lang w:val="vi-VN"/>
        </w:rPr>
        <w:t xml:space="preserve">như sau:</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195, tờ bản đồ số: 35, có địa chỉ: Phường Tây Mỗ, thành phố Hà </w:t>
            </w:r>
            <w:r>
              <w:rPr>
                <w:color w:val="000000"/>
                <w:highlight w:val="white"/>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b/>
                <w:bCs/>
                <w:highlight w:val="white"/>
              </w:rPr>
              <w:t xml:space="preserve">.</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38,6</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127.000.000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4.902.200.000</w:t>
            </w:r>
            <w:r>
              <w:rPr>
                <w:highlight w:val="white"/>
              </w:rPr>
            </w:r>
            <w:r>
              <w:rPr>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highlight w:val="white"/>
              </w:rPr>
              <w:t xml:space="preserve">4.902.200.000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Bốn tỷ chín trăm lẻ hai triệu hai trăm nghìn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r>
        <w:rPr>
          <w:highlight w:val="white"/>
        </w:rPr>
      </w:r>
    </w:p>
    <w:p>
      <w:pPr>
        <w:pBdr/>
        <w:spacing w:after="120" w:before="120" w:line="312" w:lineRule="auto"/>
        <w:ind w:firstLine="360"/>
        <w:rPr>
          <w:rFonts w:eastAsia="Calibri"/>
          <w:b/>
          <w:bCs/>
          <w:spacing w:val="-4"/>
          <w:highlight w:val="white"/>
        </w:rPr>
      </w:pPr>
      <w:r>
        <w:rPr>
          <w:highlight w:val="white"/>
          <w:lang w:val="pt-BR"/>
        </w:rPr>
        <w:t xml:space="preserve">- </w:t>
      </w:r>
      <w:r>
        <w:rPr>
          <w:highlight w:val="white"/>
          <w:lang w:val="pt-BR"/>
        </w:rPr>
        <w:t xml:space="preserve">Chi tiết như Báo cáo kèm theo.</w:t>
      </w:r>
      <w:r>
        <w:rPr>
          <w:rFonts w:eastAsia="Calibri"/>
          <w:b/>
          <w:bCs/>
          <w:spacing w:val="-4"/>
          <w:highlight w:val="white"/>
          <w:lang w:val="pt-BR"/>
        </w:rPr>
      </w:r>
      <w:r>
        <w:rPr>
          <w:rFonts w:eastAsia="Calibri"/>
          <w:b/>
          <w:bCs/>
          <w:spacing w:val="-4"/>
          <w:highlight w:val="white"/>
        </w:rPr>
      </w:r>
    </w:p>
    <w:p>
      <w:pPr>
        <w:pBdr/>
        <w:spacing w:after="120" w:before="120" w:line="312" w:lineRule="auto"/>
        <w:ind w:firstLine="0"/>
        <w:rPr>
          <w:highlight w:val="white"/>
        </w:rPr>
      </w:pP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rPr>
            </w:r>
          </w:p>
        </w:tc>
      </w:tr>
    </w:tbl>
    <w:p>
      <w:pPr>
        <w:pBdr/>
        <w:spacing w:after="200" w:line="276" w:lineRule="auto"/>
        <w:ind/>
        <w:rPr>
          <w:highlight w:val="white"/>
        </w:rPr>
      </w:pPr>
      <w:r>
        <w:rPr>
          <w:highlight w:val="white"/>
        </w:rPr>
        <w:br w:type="page" w:clear="all"/>
      </w:r>
      <w:r>
        <w:rPr>
          <w:highlight w:val="white"/>
        </w:rPr>
      </w:r>
      <w:r>
        <w:rPr>
          <w:highlight w:val="white"/>
        </w:rP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highlight w:val="white"/>
              </w:rPr>
            </w:r>
            <w:r>
              <w:rPr>
                <w:i/>
                <w:szCs w:val="26"/>
                <w:highlight w:val="white"/>
              </w:rPr>
            </w:r>
          </w:p>
        </w:tc>
        <w:tc>
          <w:tcPr>
            <w:gridSpan w:val="3"/>
            <w:tcBorders/>
            <w:tcW w:w="805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rPr>
            </w:r>
            <w:r>
              <w:rPr>
                <w:b/>
                <w:highlight w:val="white"/>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rPr>
            </w:r>
            <w:r>
              <w:rPr>
                <w:highlight w:val="white"/>
              </w:rPr>
            </w:r>
          </w:p>
          <w:p>
            <w:pPr>
              <w:pBdr/>
              <w:spacing w:line="312" w:lineRule="auto"/>
              <w:ind/>
              <w:jc w:val="both"/>
              <w:rPr>
                <w:highlight w:val="white"/>
              </w:rPr>
            </w:pPr>
            <w:r>
              <w:rPr>
                <w:highlight w:val="white"/>
                <w:lang w:val="da-DK"/>
              </w:rPr>
              <w:t xml:space="preserve">Điện thoại:  085 329 3333/ 024 2264 4333</w:t>
            </w:r>
            <w:r>
              <w:rPr>
                <w:highlight w:val="white"/>
              </w:rPr>
            </w:r>
            <w:r>
              <w:rPr>
                <w:highlight w:val="white"/>
              </w:rPr>
            </w:r>
          </w:p>
          <w:p>
            <w:pPr>
              <w:pBdr/>
              <w:spacing w:line="276" w:lineRule="auto"/>
              <w:ind/>
              <w:jc w:val="both"/>
              <w:rPr>
                <w:highlight w:val="white"/>
              </w:rPr>
            </w:pPr>
            <w:r>
              <w:rPr>
                <w:highlight w:val="white"/>
                <w:lang w:val="da-DK"/>
              </w:rPr>
              <w:t xml:space="preserve">Email: </w:t>
            </w:r>
            <w:r>
              <w:rPr>
                <w:highlight w:val="white"/>
                <w:lang w:val="da-DK"/>
              </w:rPr>
              <w:tab/>
            </w:r>
            <w:hyperlink r:id="rId17" w:tooltip="mailto:ilotus.contact@gmail.com" w:history="1">
              <w:r>
                <w:rPr>
                  <w:rStyle w:val="1027"/>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rPr>
            </w:r>
            <w:r>
              <w:rPr>
                <w:highlight w:val="white"/>
              </w:rPr>
            </w:r>
          </w:p>
        </w:tc>
      </w:tr>
      <w:tr>
        <w:trPr>
          <w:gridAfter w:val="1"/>
          <w:gridBefore w:val="1"/>
          <w:trHeight w:val="425"/>
        </w:trPr>
        <w:tc>
          <w:tcPr>
            <w:gridSpan w:val="2"/>
            <w:shd w:val="clear" w:color="auto" w:fill="auto"/>
            <w:tcBorders/>
            <w:tcMar>
              <w:left w:w="108" w:type="dxa"/>
              <w:top w:w="0" w:type="dxa"/>
              <w:right w:w="108" w:type="dxa"/>
              <w:bottom w:w="0" w:type="dxa"/>
            </w:tcMar>
            <w:tcW w:w="3907" w:type="dxa"/>
            <w:vAlign w:val="center"/>
            <w:textDirection w:val="lrTb"/>
            <w:noWrap w:val="false"/>
          </w:tcPr>
          <w:p>
            <w:pPr>
              <w:pStyle w:val="1036"/>
              <w:pBdr/>
              <w:spacing w:after="60"/>
              <w:ind/>
              <w:jc w:val="center"/>
              <w:rPr>
                <w:rFonts w:ascii="Times New Roman" w:hAnsi="Times New Roman" w:cs="Times New Roman"/>
                <w:color w:val="000000" w:themeColor="text1"/>
                <w:sz w:val="24"/>
                <w:szCs w:val="24"/>
                <w:highlight w:val="white"/>
              </w:rPr>
            </w:pPr>
            <w:r>
              <w:rPr>
                <w:rStyle w:val="1035"/>
                <w:rFonts w:ascii="Times New Roman" w:hAnsi="Times New Roman"/>
                <w:color w:val="000000" w:themeColor="text1"/>
                <w:highlight w:val="white"/>
                <w:lang w:val="pt-BR"/>
              </w:rPr>
            </w:r>
            <w:r>
              <w:rPr>
                <w:rFonts w:ascii="Times New Roman" w:hAnsi="Times New Roman" w:eastAsia="Times New Roman" w:cs="Times New Roman"/>
                <w:color w:val="081b3a"/>
                <w:spacing w:val="3"/>
                <w:sz w:val="23"/>
                <w:highlight w:val="white"/>
              </w:rPr>
              <w:t xml:space="preserve">275/2026/1271/VFI-BC.44.A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shd w:val="clear" w:color="auto" w:fill="auto"/>
            <w:tcBorders/>
            <w:tcMar>
              <w:left w:w="108" w:type="dxa"/>
              <w:top w:w="0" w:type="dxa"/>
              <w:right w:w="108" w:type="dxa"/>
              <w:bottom w:w="0" w:type="dxa"/>
            </w:tcMar>
            <w:tcW w:w="5412" w:type="dxa"/>
            <w:vAlign w:val="center"/>
            <w:textDirection w:val="lrTb"/>
            <w:noWrap w:val="false"/>
          </w:tcPr>
          <w:p>
            <w:pPr>
              <w:pStyle w:val="1036"/>
              <w:pBdr/>
              <w:spacing w:after="60"/>
              <w:ind w:right="-56"/>
              <w:jc w:val="center"/>
              <w:rPr>
                <w:color w:val="000000" w:themeColor="text1"/>
                <w:sz w:val="24"/>
                <w:szCs w:val="24"/>
                <w:highlight w:val="white"/>
              </w:rPr>
            </w:pPr>
            <w:r>
              <w:rPr>
                <w:rStyle w:val="1035"/>
                <w:rFonts w:ascii="Times New Roman" w:hAnsi="Times New Roman"/>
                <w:i/>
                <w:color w:val="auto"/>
                <w:highlight w:val="white"/>
              </w:rPr>
              <w:t xml:space="preserve">TP. Hà Nội</w:t>
            </w:r>
            <w:r>
              <w:rPr>
                <w:rStyle w:val="1035"/>
                <w:rFonts w:ascii="Times New Roman" w:hAnsi="Times New Roman"/>
                <w:i/>
                <w:color w:val="auto"/>
                <w:highlight w:val="white"/>
                <w:lang w:val="vi-VN"/>
              </w:rPr>
              <w:t xml:space="preserve">, </w:t>
            </w:r>
            <w:r>
              <w:rPr>
                <w:rStyle w:val="1035"/>
                <w:rFonts w:ascii="Times New Roman" w:hAnsi="Times New Roman"/>
                <w:i/>
                <w:color w:val="000000" w:themeColor="text1"/>
                <w:highlight w:val="white"/>
                <w:lang w:val="vi-VN"/>
              </w:rPr>
              <w:t xml:space="preserve">ngày 14 tháng 8 năm 2026</w:t>
            </w:r>
            <w:r>
              <w:rPr>
                <w:color w:val="000000" w:themeColor="text1"/>
                <w:sz w:val="24"/>
                <w:szCs w:val="24"/>
                <w:highlight w:val="white"/>
              </w:rPr>
            </w:r>
            <w:r>
              <w:rPr>
                <w:color w:val="000000" w:themeColor="text1"/>
                <w:sz w:val="24"/>
                <w:szCs w:val="24"/>
                <w:highlight w:val="white"/>
              </w:rPr>
            </w:r>
          </w:p>
        </w:tc>
      </w:tr>
    </w:tbl>
    <w:p>
      <w:pPr>
        <w:pStyle w:val="1036"/>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rPr>
      </w:r>
    </w:p>
    <w:p>
      <w:pPr>
        <w:pStyle w:val="1016"/>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275/2026/1271/VFI-BC.44.A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14 tháng 8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rPr>
      </w:r>
    </w:p>
    <w:p>
      <w:pPr>
        <w:pStyle w:val="1016"/>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t xml:space="preserve">Chức vụ: </w:t>
            </w:r>
            <w:r>
              <w:rPr>
                <w:b/>
                <w:bCs/>
                <w:highlight w:val="white"/>
              </w:rPr>
              <w:t xml:space="preserve">Chủ tịch HĐQT kiêm Tổng Giám Đốc</w:t>
            </w:r>
            <w:r>
              <w:rPr>
                <w:b/>
                <w:bCs/>
                <w:highlight w:val="white"/>
                <w:lang w:val="vi-VN"/>
              </w:rPr>
            </w:r>
            <w:r>
              <w:rPr>
                <w:b/>
                <w:bCs/>
                <w:highlight w:val="white"/>
              </w:rPr>
            </w:r>
          </w:p>
        </w:tc>
      </w:tr>
    </w:tbl>
    <w:p>
      <w:pPr>
        <w:pStyle w:val="1037"/>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r>
            <w:r>
              <w:rPr>
                <w:rFonts w:ascii="Times New Roman Bold" w:hAnsi="Times New Roman Bold"/>
                <w:b/>
                <w:color w:val="000000" w:themeColor="text1"/>
                <w:highlight w:val="white"/>
                <w:lang w:val="pt-BR"/>
              </w:rPr>
              <w:t xml:space="preserve">Bà Ngô Thị Thu Hà</w:t>
            </w:r>
            <w:r>
              <w:rPr>
                <w:highlight w:val="white"/>
              </w:rPr>
            </w:r>
            <w:r>
              <w:rPr>
                <w:highlight w:val="white"/>
              </w:rPr>
            </w:r>
          </w:p>
        </w:tc>
      </w:tr>
      <w:tr>
        <w:trPr>
          <w:trHeight w:val="422"/>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010178000020</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Xã Thanh Oai, thành phố Hà Nội</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195, tờ bản đồ số: 35, có địa chỉ: Phường Tây Mỗ, thành phố Hà </w:t>
            </w:r>
            <w:r>
              <w:rPr>
                <w:bCs/>
                <w:color w:val="000000" w:themeColor="text1"/>
                <w:highlight w:val="white"/>
                <w:lang w:val="pt-BR"/>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bCs/>
                <w:spacing w:val="2"/>
                <w:highlight w:val="white"/>
              </w:rPr>
              <w:t xml:space="preserve">.</w:t>
            </w:r>
            <w:r>
              <w:rPr>
                <w:b/>
                <w:bCs/>
                <w:spacing w:val="2"/>
                <w:highlight w:val="white"/>
                <w:lang w:val="vi-VN"/>
              </w:rPr>
            </w:r>
            <w:r>
              <w:rPr>
                <w:b/>
                <w:bCs/>
                <w:spacing w:val="2"/>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08/2026</w:t>
            </w:r>
            <w:r>
              <w:rPr>
                <w:highlight w:val="white"/>
                <w:lang w:val="pt-BR"/>
              </w:rPr>
              <w:t xml:space="preserve">.</w:t>
            </w:r>
            <w:r>
              <w:rPr>
                <w:bCs/>
                <w:spacing w:val="-4"/>
                <w:highlight w:val="white"/>
                <w:lang w:val="pt-BR"/>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Phường Tây Mỗ, Thành phố Hà Nội</w:t>
            </w:r>
            <w:r>
              <w:rPr>
                <w:color w:val="ee0000"/>
                <w:highlight w:val="white"/>
                <w:lang w:val="pt-BR"/>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Style w:val="1017"/>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21.004611111111, 105.75258333333</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rPr>
            </w:r>
          </w:p>
        </w:tc>
        <w:tc>
          <w:tcPr>
            <w:tcBorders/>
            <w:tcW w:w="284" w:type="dxa"/>
            <w:vAlign w:val="center"/>
            <w:textDirection w:val="lrTb"/>
            <w:noWrap w:val="false"/>
          </w:tcPr>
          <w:p>
            <w:pPr>
              <w:pStyle w:val="1037"/>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08/08/2026</w:t>
            </w:r>
            <w:r>
              <w:rPr>
                <w:highlight w:val="white"/>
                <w:lang w:val="pt-BR"/>
              </w:rPr>
              <w:t xml:space="preserve">.</w:t>
            </w:r>
            <w:r>
              <w:rPr>
                <w:highlight w:val="white"/>
                <w:lang w:val="pt-BR"/>
              </w:rPr>
            </w:r>
            <w:r>
              <w:rPr>
                <w:highlight w:val="white"/>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rPr>
      </w:r>
    </w:p>
    <w:p>
      <w:pPr>
        <w:pStyle w:val="1037"/>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rPr>
      </w:r>
    </w:p>
    <w:p>
      <w:pPr>
        <w:pStyle w:val="1037"/>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rPr>
      </w:r>
    </w:p>
    <w:p>
      <w:pPr>
        <w:pStyle w:val="1037"/>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rPr>
      </w:r>
    </w:p>
    <w:p>
      <w:pPr>
        <w:pStyle w:val="1037"/>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rPr>
      </w:r>
    </w:p>
    <w:p>
      <w:pPr>
        <w:pStyle w:val="1037"/>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rPr>
      </w:r>
    </w:p>
    <w:p>
      <w:pPr>
        <w:pStyle w:val="103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rPr>
      </w:r>
    </w:p>
    <w:p>
      <w:pPr>
        <w:pStyle w:val="1037"/>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rPr>
      </w:r>
    </w:p>
    <w:p>
      <w:pPr>
        <w:pStyle w:val="1037"/>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rPr>
      </w:r>
    </w:p>
    <w:p>
      <w:pPr>
        <w:pStyle w:val="1037"/>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highlight w:val="white"/>
          <w:lang w:val="pt-BR"/>
        </w:rPr>
      </w:r>
      <w:r>
        <w:rPr>
          <w:bCs/>
          <w:spacing w:val="-4"/>
          <w:highlight w:val="white"/>
        </w:rPr>
      </w:r>
    </w:p>
    <w:p>
      <w:pPr>
        <w:pStyle w:val="1037"/>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rPr>
      </w:r>
    </w:p>
    <w:p>
      <w:pPr>
        <w:pStyle w:val="1037"/>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rPr>
      </w:r>
    </w:p>
    <w:p>
      <w:pPr>
        <w:pStyle w:val="1037"/>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rPr>
      </w:r>
    </w:p>
    <w:p>
      <w:pPr>
        <w:pStyle w:val="1037"/>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rPr>
      </w:r>
    </w:p>
    <w:p>
      <w:pPr>
        <w:pStyle w:val="1037"/>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highlight w:val="white"/>
          <w:lang w:val="pt-BR"/>
        </w:rPr>
        <w:t xml:space="preserve">.</w:t>
      </w:r>
      <w:r>
        <w:rPr>
          <w:i/>
          <w:iCs/>
          <w:highlight w:val="white"/>
          <w:lang w:val="pt-BR"/>
        </w:rPr>
      </w:r>
      <w:r>
        <w:rPr>
          <w:i/>
          <w:iCs/>
          <w:highlight w:val="white"/>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37"/>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275/2026/1271/VFI-HĐTĐ.44.A ngày 07/08/2026 </w:t>
      </w:r>
      <w:r>
        <w:rPr>
          <w:color w:val="000000" w:themeColor="text1"/>
          <w:highlight w:val="white"/>
          <w:lang w:val="pt-BR"/>
        </w:rPr>
        <w:t xml:space="preserve">giữa </w:t>
      </w:r>
      <w:r>
        <w:rPr>
          <w:color w:val="000000" w:themeColor="text1"/>
          <w:highlight w:val="white"/>
          <w:lang w:val="pt-BR"/>
        </w:rPr>
        <w:t xml:space="preserve"> </w:t>
      </w:r>
      <w:r>
        <w:rPr>
          <w:color w:val="000000" w:themeColor="text1"/>
          <w:highlight w:val="white"/>
          <w:lang w:val="pt-BR"/>
        </w:rPr>
        <w:t xml:space="preserve">Bà Ngô Thị Thu H</w:t>
      </w:r>
      <w:r>
        <w:rPr>
          <w:rFonts w:ascii="Times New Roman Bold" w:hAnsi="Times New Roman Bold"/>
          <w:b/>
          <w:color w:val="000000" w:themeColor="text1"/>
          <w:highlight w:val="white"/>
          <w:lang w:val="pt-BR"/>
        </w:rPr>
        <w:t xml:space="preserve">à</w:t>
      </w:r>
      <w:r>
        <w:rPr>
          <w:color w:val="000000" w:themeColor="text1"/>
          <w:highlight w:val="white"/>
          <w:lang w:val="pt-BR"/>
        </w:rPr>
        <w:t xml:space="preserve"> với Công ty Cổ phần Thẩm định và Đầu tư Tài chính Hoa Sen.</w:t>
      </w:r>
      <w:r>
        <w:rPr>
          <w:b/>
          <w:highlight w:val="white"/>
          <w:lang w:val="pt-BR"/>
        </w:rPr>
      </w:r>
      <w:r>
        <w:rPr>
          <w:b/>
          <w:highlight w:val="white"/>
        </w:rPr>
      </w:r>
    </w:p>
    <w:p>
      <w:pPr>
        <w:pStyle w:val="1037"/>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rPr>
      </w:r>
    </w:p>
    <w:p>
      <w:pPr>
        <w:pStyle w:val="1016"/>
        <w:pBdr>
          <w:top w:val="none" w:color="000000" w:sz="4" w:space="0"/>
          <w:left w:val="none" w:color="000000" w:sz="4" w:space="0"/>
          <w:bottom w:val="none" w:color="000000" w:sz="4" w:space="0"/>
          <w:right w:val="none" w:color="000000" w:sz="4" w:space="0"/>
        </w:pBdr>
        <w:spacing/>
        <w:ind w:right="0" w:firstLine="0" w:left="0"/>
        <w:jc w:val="both"/>
        <w:rPr>
          <w:sz w:val="24"/>
          <w:szCs w:val="24"/>
          <w:highlight w:val="white"/>
        </w:rPr>
      </w:pPr>
      <w:r>
        <w:rPr>
          <w:rFonts w:ascii="Times New Roman" w:hAnsi="Times New Roman" w:eastAsia="Times New Roman" w:cs="Times New Roman"/>
          <w:b/>
          <w:color w:val="000000"/>
          <w:sz w:val="24"/>
          <w:szCs w:val="24"/>
          <w:highlight w:val="white"/>
        </w:rPr>
        <w:t xml:space="preserve">Thị trường bất động sản Hà Nội nửa đầu năm 2026 phân hóa rõ nét theo không gian</w:t>
      </w:r>
      <w:r>
        <w:rPr>
          <w:sz w:val="24"/>
          <w:szCs w:val="24"/>
          <w:highlight w:val="white"/>
        </w:rPr>
      </w:r>
      <w:r>
        <w:rPr>
          <w:sz w:val="24"/>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Thị trường bất động sản Hà Nội trong nửa đầu năm 2026 đang bước vào một giai đoạn phát triển mới với những tín hiệu tích cực ở nhiều phân khúc, nhưng đồng thời cũng cho thấy sự phân hóa ngày càng rõ rệt giữa các khu vực. Sau giai đoạn điều chỉnh kéo dài từ</w:t>
      </w:r>
      <w:r>
        <w:rPr>
          <w:rFonts w:ascii="Times New Roman" w:hAnsi="Times New Roman" w:eastAsia="Times New Roman" w:cs="Times New Roman"/>
          <w:color w:val="000000"/>
          <w:sz w:val="24"/>
          <w:szCs w:val="24"/>
          <w:highlight w:val="white"/>
        </w:rPr>
        <w:t xml:space="preserve"> năm 2022 đến 2024 và phục hồi trong năm 2025, thị trường hiện chịu tác động mạnh từ quá trình đầu tư hạ tầng, quy hoạch đô thị, cải cách thể chế và sự dịch chuyển của dòng vốn.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Theo JLL, kinh tế Hà Nội trong 6 tháng đầu năm 2026 tiếp tục duy trì tốc độ tăng trưởng tích cực, với GRDP tăng 8,2% so với cùng kỳ. Thành phố thu hút hơn 3,2 tỷ USD vốn FDI, trong khi chỉ số sản xuất công nghiệp tăng 8,8%. Hoạt động du lịch cũng khởi sắc </w:t>
      </w:r>
      <w:r>
        <w:rPr>
          <w:rFonts w:ascii="Times New Roman" w:hAnsi="Times New Roman" w:eastAsia="Times New Roman" w:cs="Times New Roman"/>
          <w:color w:val="000000"/>
          <w:sz w:val="24"/>
          <w:szCs w:val="24"/>
          <w:highlight w:val="white"/>
        </w:rPr>
        <w:t xml:space="preserve">khi Hà Nội đón khoảng 4,6 triệu lượt khách quốc tế, tăng 26,8% so với cùng kỳ năm trước. Những yếu tố này góp phần thúc đẩy nhu cầu đối với nhà ở, văn phòng, bán lẻ và các loại hình bất động sản thương mại.</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Một trong những động lực quan trọng nhất đối với thị trường hiện nay là quá trình đầu tư hạ tầng quy mô lớn. Các dự án như Vành đai 4, Vành đai 2.5, Vành đai 3.5, tuyến đường sắt số 5 Văn Cao - Ngọc Khánh - Láng - Hòa Lạc, mở rộng Quốc lộ 6 và Quốc lộ 21, </w:t>
      </w:r>
      <w:r>
        <w:rPr>
          <w:rFonts w:ascii="Times New Roman" w:hAnsi="Times New Roman" w:eastAsia="Times New Roman" w:cs="Times New Roman"/>
          <w:color w:val="000000"/>
          <w:sz w:val="24"/>
          <w:szCs w:val="24"/>
          <w:highlight w:val="white"/>
        </w:rPr>
        <w:t xml:space="preserve">cùng chuỗi các cây cầu vượt sông Hồng đang từng bước định hình lại không gian phát triển của Thủ đô.</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Bên cạnh đó, các dự án đô thị quy mô lớn, Khu đô thị thể thao Olympic, trục đại lộ cảnh quan sông Hồng và hệ thống công viên công nghệ, công viên cảnh quan cũng được kỳ vọng tạo thêm động lực cho những khu vực đang phát triển. Xu hướng này khiến giá trị bấ</w:t>
      </w:r>
      <w:r>
        <w:rPr>
          <w:rFonts w:ascii="Times New Roman" w:hAnsi="Times New Roman" w:eastAsia="Times New Roman" w:cs="Times New Roman"/>
          <w:color w:val="000000"/>
          <w:sz w:val="24"/>
          <w:szCs w:val="24"/>
          <w:highlight w:val="white"/>
        </w:rPr>
        <w:t xml:space="preserve">t động sản ngày càng phụ thuộc vào khả năng kết nối hạ tầng, chất lượng quy hoạch và mức độ hưởng lợi trực tiếp từ các dự án đầu tư công.</w:t>
      </w:r>
      <w:r>
        <w:rPr>
          <w:szCs w:val="24"/>
          <w:highlight w:val="white"/>
        </w:rPr>
      </w:r>
      <w:r>
        <w:rPr>
          <w:szCs w:val="24"/>
          <w:highlight w:val="white"/>
        </w:rPr>
      </w:r>
    </w:p>
    <w:p>
      <w:pPr>
        <w:pStyle w:val="1017"/>
        <w:pBdr>
          <w:top w:val="none" w:color="000000" w:sz="4" w:space="0"/>
          <w:left w:val="none" w:color="000000" w:sz="4" w:space="0"/>
          <w:bottom w:val="none" w:color="000000" w:sz="4" w:space="0"/>
          <w:right w:val="none" w:color="000000" w:sz="4" w:space="0"/>
        </w:pBdr>
        <w:spacing/>
        <w:ind w:right="0" w:firstLine="0" w:left="0"/>
        <w:jc w:val="both"/>
        <w:rPr>
          <w:sz w:val="24"/>
          <w:szCs w:val="24"/>
          <w:highlight w:val="white"/>
        </w:rPr>
      </w:pPr>
      <w:r>
        <w:rPr>
          <w:rFonts w:ascii="Times New Roman" w:hAnsi="Times New Roman" w:eastAsia="Times New Roman" w:cs="Times New Roman"/>
          <w:b/>
          <w:color w:val="000000"/>
          <w:sz w:val="24"/>
          <w:szCs w:val="24"/>
          <w:highlight w:val="white"/>
        </w:rPr>
        <w:t xml:space="preserve">Nhà ở: Nguồn cung ổn định nhưng thanh khoản thận trọng</w:t>
      </w:r>
      <w:r>
        <w:rPr>
          <w:sz w:val="24"/>
          <w:szCs w:val="24"/>
          <w:highlight w:val="white"/>
        </w:rPr>
      </w:r>
      <w:r>
        <w:rPr>
          <w:sz w:val="24"/>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Trong nửa đầu năm 2026, nguồn cung căn hộ tại Hà Nội tiếp tục được duy trì tương đối ổn định. Khoảng 8.100 căn hộ được mở bán chính thức, bên cạnh hàng nghìn căn đang trong giai đoạn tiền mở bán. Đáng chú ý, khoảng 65% nguồn cung thuộc phân khúc cao cấp, đ</w:t>
      </w:r>
      <w:r>
        <w:rPr>
          <w:rFonts w:ascii="Times New Roman" w:hAnsi="Times New Roman" w:eastAsia="Times New Roman" w:cs="Times New Roman"/>
          <w:color w:val="000000"/>
          <w:sz w:val="24"/>
          <w:szCs w:val="24"/>
          <w:highlight w:val="white"/>
        </w:rPr>
        <w:t xml:space="preserve">ược phát triển bởi các chủ đầu tư lớn.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Việc nguồn cung cao cấp chiếm tỷ trọng lớn khiến giá bán căn hộ sơ cấp tiếp tục neo ở mức cao. Giá sơ cấp trung bình đạt khoảng 101,5 triệu đồng/m², tăng hơn 32% so với cùng kỳ năm trước.</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Tuy nhiên, thanh khoản lại có dấu hiệu chậm lại. Lượng căn hộ bán được trong quý II/2026 giảm khoảng 50% so với quý I. Điều này cho thấy người mua đang thận trọng hơn trước mặt bằng giá cao và chi phí tài chính gia tăng. Đáng chú ý, nhu cầu thị trường có x</w:t>
      </w:r>
      <w:r>
        <w:rPr>
          <w:rFonts w:ascii="Times New Roman" w:hAnsi="Times New Roman" w:eastAsia="Times New Roman" w:cs="Times New Roman"/>
          <w:color w:val="000000"/>
          <w:sz w:val="24"/>
          <w:szCs w:val="24"/>
          <w:highlight w:val="white"/>
        </w:rPr>
        <w:t xml:space="preserve">u hướng chuyển từ đầu tư ngắn hạn sang mua để ở thực.</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Đối với nhà liền thổ, thanh khoản cũng chịu áp lực, đặc biệt ở những dự án có vị trí kém thuận lợi hoặc mức giá cao. Giao dịch chủ yếu tập trung vào các sản phẩm đã được giới thiệu từ trước, trong đó khu vực phía Tây Hà Nội tiếp tục là một trong những điểm</w:t>
      </w:r>
      <w:r>
        <w:rPr>
          <w:rFonts w:ascii="Times New Roman" w:hAnsi="Times New Roman" w:eastAsia="Times New Roman" w:cs="Times New Roman"/>
          <w:color w:val="000000"/>
          <w:sz w:val="24"/>
          <w:szCs w:val="24"/>
          <w:highlight w:val="white"/>
        </w:rPr>
        <w:t xml:space="preserve"> thu hút sự quan tâm.</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Lãi suất vay mua bất động sản tăng tại một số ngân hàng từ đầu năm 2026 cũng khiến người mua nhạy cảm hơn với tiến độ thanh toán và chi phí tài chính. Những sản phẩm có giá trên 17 tỷ đồng/căn ngày càng khó tiếp cận khách hàng nếu không đi kèm chính sách ư</w:t>
      </w:r>
      <w:r>
        <w:rPr>
          <w:rFonts w:ascii="Times New Roman" w:hAnsi="Times New Roman" w:eastAsia="Times New Roman" w:cs="Times New Roman"/>
          <w:color w:val="000000"/>
          <w:sz w:val="24"/>
          <w:szCs w:val="24"/>
          <w:highlight w:val="white"/>
        </w:rPr>
        <w:t xml:space="preserve">u đãi hấp dẫn từ chủ đầu tư.</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Trong quý II/2026, giá bán sơ cấp nhà liền thổ trung bình giảm xuống khoảng 210 triệu đồng/m² đất, thấp hơn 20% so với cùng kỳ. Mức giảm chủ yếu đến từ việc nguồn cung giá cao của Vinhomes Global Gate giảm tỷ trọng trong giỏ hàng, trong khi nhiều dự án khá</w:t>
      </w:r>
      <w:r>
        <w:rPr>
          <w:rFonts w:ascii="Times New Roman" w:hAnsi="Times New Roman" w:eastAsia="Times New Roman" w:cs="Times New Roman"/>
          <w:color w:val="000000"/>
          <w:sz w:val="24"/>
          <w:szCs w:val="24"/>
          <w:highlight w:val="white"/>
        </w:rPr>
        <w:t xml:space="preserve">c vẫn duy trì mặt bằng giá tương đối ổn định.</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Trong thời gian tới, nguồn cung căn hộ và nhà liền thổ được dự báo tiếp tục tăng với sự tham gia của nhiều chủ đầu tư lớn như Masterise, MIK, Daewoo E&amp;C, Sunshine và Tân Hoàng Minh. Điều này sẽ khiến cạnh tranh giữa các dự án ngày càng gay gắt.</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Đặc biệt, nguồn cung bất động sản tại các thị trường vệ tinh như Bắc Ninh, Hưng Yên và Hải Phòng cũng tạo thêm áp lực cạnh tranh đối với phân khúc nhà liền thổ Hà Nội. Trong bối cảnh giá bán neo cao, lợi thế sẽ thuộc về những dự án có vị trí tốt, kết nối g</w:t>
      </w:r>
      <w:r>
        <w:rPr>
          <w:rFonts w:ascii="Times New Roman" w:hAnsi="Times New Roman" w:eastAsia="Times New Roman" w:cs="Times New Roman"/>
          <w:color w:val="000000"/>
          <w:sz w:val="24"/>
          <w:szCs w:val="24"/>
          <w:highlight w:val="white"/>
        </w:rPr>
        <w:t xml:space="preserve">iao thông thuận tiện, pháp lý rõ ràng và phù hợp với nhu cầu ở thực.</w:t>
      </w:r>
      <w:r>
        <w:rPr>
          <w:szCs w:val="24"/>
          <w:highlight w:val="white"/>
        </w:rPr>
      </w:r>
      <w:r>
        <w:rPr>
          <w:szCs w:val="24"/>
          <w:highlight w:val="white"/>
        </w:rPr>
      </w:r>
    </w:p>
    <w:p>
      <w:pPr>
        <w:pStyle w:val="1017"/>
        <w:pBdr>
          <w:top w:val="none" w:color="000000" w:sz="4" w:space="0"/>
          <w:left w:val="none" w:color="000000" w:sz="4" w:space="0"/>
          <w:bottom w:val="none" w:color="000000" w:sz="4" w:space="0"/>
          <w:right w:val="none" w:color="000000" w:sz="4" w:space="0"/>
        </w:pBdr>
        <w:spacing/>
        <w:ind w:right="0" w:firstLine="0" w:left="0"/>
        <w:jc w:val="both"/>
        <w:rPr>
          <w:sz w:val="24"/>
          <w:szCs w:val="24"/>
          <w:highlight w:val="white"/>
        </w:rPr>
      </w:pPr>
      <w:r>
        <w:rPr>
          <w:rFonts w:ascii="Times New Roman" w:hAnsi="Times New Roman" w:eastAsia="Times New Roman" w:cs="Times New Roman"/>
          <w:b/>
          <w:color w:val="000000"/>
          <w:sz w:val="24"/>
          <w:szCs w:val="24"/>
          <w:highlight w:val="white"/>
        </w:rPr>
        <w:t xml:space="preserve">Văn phòng: Nguồn cung tăng mạnh, cạnh tranh về chất lượng</w:t>
      </w:r>
      <w:r>
        <w:rPr>
          <w:sz w:val="24"/>
          <w:szCs w:val="24"/>
          <w:highlight w:val="white"/>
        </w:rPr>
      </w:r>
      <w:r>
        <w:rPr>
          <w:sz w:val="24"/>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Thị trường văn phòng Hà Nội tiếp tục mở rộng trong nửa đầu năm 2026 với hơn 95.700 m² diện tích sàn mới. Riêng quý II, nguồn cung văn phòng hạng A và B tăng thêm khoảng 60.000 m² nhờ IFC Hanoi tại khu vực Tây Hồ Tây đi vào hoạt động, đưa tổng nguồn cung lê</w:t>
      </w:r>
      <w:r>
        <w:rPr>
          <w:rFonts w:ascii="Times New Roman" w:hAnsi="Times New Roman" w:eastAsia="Times New Roman" w:cs="Times New Roman"/>
          <w:color w:val="000000"/>
          <w:sz w:val="24"/>
          <w:szCs w:val="24"/>
          <w:highlight w:val="white"/>
        </w:rPr>
        <w:t xml:space="preserve">n khoảng 2,2 triệu m².</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Nguồn cung mới gia tăng khiến tỷ lệ trống của văn phòng hạng A tăng lên 26,2%, so với 16,5% vào cuối năm 2025. Khu vực trung tâm chịu áp lực lớn hơn khi một số doanh nghiệp kết thúc chu kỳ thuê và có xu hướng tìm kiếm các lựa chọn mới với diện tích, chất l</w:t>
      </w:r>
      <w:r>
        <w:rPr>
          <w:rFonts w:ascii="Times New Roman" w:hAnsi="Times New Roman" w:eastAsia="Times New Roman" w:cs="Times New Roman"/>
          <w:color w:val="000000"/>
          <w:sz w:val="24"/>
          <w:szCs w:val="24"/>
          <w:highlight w:val="white"/>
        </w:rPr>
        <w:t xml:space="preserve">ượng và chi phí phù hợp hơn.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Dù vậy, nhu cầu thuê vẫn duy trì tích cực, thể hiện qua mức hấp thụ ròng khoảng 3.200 m² trong toàn thị trường. Nhu cầu chủ yếu đến từ các dự án ngoài trung tâm, nơi có nguồn cung mới, chất lượng cao và mức giá cạnh tranh hơn.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Giá thuê văn phòng hạng A trung bình đạt khoảng 36,8 USD/m²/tháng trong quý II/2026, giảm nhẹ so với quý trước và cùng kỳ năm trước. Nguyên nhân chủ yếu là các dự án mới tại khu vực ngoài trung tâm có mức giá cạnh tranh hơn.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Trong giai đoạn tới, khu vực Tây Hồ Tây được dự báo tiếp tục trở thành tâm điểm của thị trường văn phòng. Nguồn cung hạng A tại đây có thể đạt gần 260.000 m² trong giai đoạn 2027-2030, chiếm khoảng 85% nguồn cung mới.</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Điều này vừa mở rộng lựa chọn cho khách thuê, vừa tạo áp lực lớn đối với các tòa nhà hiện hữu. Các chủ đầu tư sẽ phải cạnh tranh bằng chất lượng dịch vụ, tiện ích, chính sách giá, thời gian miễn tiền thuê và các tiêu chuẩn về công trình xanh, tòa nhà thông</w:t>
      </w:r>
      <w:r>
        <w:rPr>
          <w:rFonts w:ascii="Times New Roman" w:hAnsi="Times New Roman" w:eastAsia="Times New Roman" w:cs="Times New Roman"/>
          <w:color w:val="000000"/>
          <w:sz w:val="24"/>
          <w:szCs w:val="24"/>
          <w:highlight w:val="white"/>
        </w:rPr>
        <w:t xml:space="preserve"> minh và sức khỏe người sử dụng.</w:t>
      </w:r>
      <w:r>
        <w:rPr>
          <w:szCs w:val="24"/>
          <w:highlight w:val="white"/>
        </w:rPr>
      </w:r>
      <w:r>
        <w:rPr>
          <w:szCs w:val="24"/>
          <w:highlight w:val="white"/>
        </w:rPr>
      </w:r>
    </w:p>
    <w:p>
      <w:pPr>
        <w:pStyle w:val="1017"/>
        <w:pBdr>
          <w:top w:val="none" w:color="000000" w:sz="4" w:space="0"/>
          <w:left w:val="none" w:color="000000" w:sz="4" w:space="0"/>
          <w:bottom w:val="none" w:color="000000" w:sz="4" w:space="0"/>
          <w:right w:val="none" w:color="000000" w:sz="4" w:space="0"/>
        </w:pBdr>
        <w:spacing/>
        <w:ind w:right="0" w:firstLine="0" w:left="0"/>
        <w:jc w:val="both"/>
        <w:rPr>
          <w:sz w:val="24"/>
          <w:szCs w:val="24"/>
          <w:highlight w:val="white"/>
        </w:rPr>
      </w:pPr>
      <w:r>
        <w:rPr>
          <w:rFonts w:ascii="Times New Roman" w:hAnsi="Times New Roman" w:eastAsia="Times New Roman" w:cs="Times New Roman"/>
          <w:b/>
          <w:color w:val="000000"/>
          <w:sz w:val="24"/>
          <w:szCs w:val="24"/>
          <w:highlight w:val="white"/>
        </w:rPr>
        <w:t xml:space="preserve">Bán lẻ: Sức hấp thụ tích cực, F&amp;B và thời trang dẫn dắt</w:t>
      </w:r>
      <w:r>
        <w:rPr>
          <w:sz w:val="24"/>
          <w:szCs w:val="24"/>
          <w:highlight w:val="white"/>
        </w:rPr>
      </w:r>
      <w:r>
        <w:rPr>
          <w:sz w:val="24"/>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Trái với sự thận trọng của phân khúc nhà ở và áp lực nguồn cung của văn phòng, thị trường bán lẻ Hà Nội đang ghi nhận nhiều tín hiệu tích cực.</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szCs w:val="24"/>
          <w:highlight w:val="white"/>
        </w:rPr>
      </w:pPr>
      <w:r>
        <w:rPr>
          <w:rFonts w:ascii="Times New Roman" w:hAnsi="Times New Roman" w:eastAsia="Times New Roman" w:cs="Times New Roman"/>
          <w:color w:val="000000"/>
          <w:sz w:val="24"/>
          <w:szCs w:val="24"/>
          <w:highlight w:val="white"/>
        </w:rPr>
        <w:t xml:space="preserve">Sự xuất hiện của các trung tâm thương mại mới, trong đó có Hanoi Centre, góp phần thúc đẩy nhu cầu thuê mặt bằng. Trong quý II/2026, khu vực trung tâm ghi nhận mức hấp thụ ròng khoảng 5.000 m², nâng tổng mức hấp thụ trong 6 tháng đầu năm lên khoảng 35.900 </w:t>
      </w:r>
      <w:r>
        <w:rPr>
          <w:rFonts w:ascii="Times New Roman" w:hAnsi="Times New Roman" w:eastAsia="Times New Roman" w:cs="Times New Roman"/>
          <w:color w:val="000000"/>
          <w:sz w:val="24"/>
          <w:szCs w:val="24"/>
          <w:highlight w:val="white"/>
        </w:rPr>
        <w:t xml:space="preserve">m².</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Khu vực ngoài trung tâm cũng ghi nhận mức hấp thụ ròng dương khoảng 3.500 m² trong quý II. Tính chung nửa đầu năm, mức hấp thụ vẫn âm khoảng 1.800 m² do một số hợp đồng thuê hết hạn và các chủ sở hữu tiến hành tái cơ cấu danh mục khách thuê. Tuy nhiên, tỷ </w:t>
      </w:r>
      <w:r>
        <w:rPr>
          <w:rFonts w:ascii="Times New Roman" w:hAnsi="Times New Roman" w:eastAsia="Times New Roman" w:cs="Times New Roman"/>
          <w:color w:val="000000"/>
          <w:sz w:val="24"/>
          <w:szCs w:val="24"/>
          <w:highlight w:val="white"/>
        </w:rPr>
        <w:t xml:space="preserve">lệ trống tại các trung tâm thương mại ngoài trung tâm vẫn giảm gần 1 điểm phần trăm so với cùng kỳ, xuống còn 6,4%.</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Nhu cầu thuê hiện tập trung chủ yếu ở các ngành F&amp;B và thời trang, bên cạnh các mô hình dịch vụ, giải trí và phong cách sống. Việc nhiều thương hiệu quốc tế mở rộng hiện diện tại Hà Nội cho thấy sức hấp dẫn ngày càng lớn của thị trường bán lẻ Thủ đô.</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Giá thuê mặt bằng tầng trệt tại khu trung tâm đạt khoảng 133,1 USD/m²/tháng, tăng nhẹ 0,4% so với cùng kỳ. Trong khi đó, khu vực ngoài trung tâm đạt khoảng 55,4 USD/m²/tháng, tăng 2,1%.</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Triển vọng bán lẻ trong thời gian tới được đánh giá tích cực khi các trung tâm thương mại tiếp tục tập trung vào mô hình trải nghiệm, kết hợp mua sắm với ẩm thực, giải trí và dịch vụ. Đây cũng là xu hướng giúp các dự án mới thu hút khách hàng và cải thiện </w:t>
      </w:r>
      <w:r>
        <w:rPr>
          <w:rFonts w:ascii="Times New Roman" w:hAnsi="Times New Roman" w:eastAsia="Times New Roman" w:cs="Times New Roman"/>
          <w:color w:val="000000"/>
          <w:sz w:val="24"/>
          <w:szCs w:val="24"/>
          <w:highlight w:val="white"/>
        </w:rPr>
        <w:t xml:space="preserve">tỷ lệ lấp đầy.</w:t>
      </w:r>
      <w:r>
        <w:rPr>
          <w:szCs w:val="24"/>
          <w:highlight w:val="white"/>
        </w:rPr>
      </w:r>
      <w:r>
        <w:rPr>
          <w:szCs w:val="24"/>
          <w:highlight w:val="white"/>
        </w:rPr>
      </w:r>
    </w:p>
    <w:p>
      <w:pPr>
        <w:pStyle w:val="1017"/>
        <w:pBdr>
          <w:top w:val="none" w:color="000000" w:sz="4" w:space="0"/>
          <w:left w:val="none" w:color="000000" w:sz="4" w:space="0"/>
          <w:bottom w:val="none" w:color="000000" w:sz="4" w:space="0"/>
          <w:right w:val="none" w:color="000000" w:sz="4" w:space="0"/>
        </w:pBdr>
        <w:spacing/>
        <w:ind w:right="0" w:firstLine="0" w:left="0"/>
        <w:jc w:val="both"/>
        <w:rPr>
          <w:sz w:val="24"/>
          <w:szCs w:val="24"/>
          <w:highlight w:val="white"/>
        </w:rPr>
      </w:pPr>
      <w:r>
        <w:rPr>
          <w:rFonts w:ascii="Times New Roman" w:hAnsi="Times New Roman" w:eastAsia="Times New Roman" w:cs="Times New Roman"/>
          <w:b/>
          <w:color w:val="000000"/>
          <w:sz w:val="24"/>
          <w:szCs w:val="24"/>
          <w:highlight w:val="white"/>
        </w:rPr>
        <w:t xml:space="preserve">Thị trường Hà Nội ngày càng phân hóa theo không gian</w:t>
      </w:r>
      <w:r>
        <w:rPr>
          <w:sz w:val="24"/>
          <w:szCs w:val="24"/>
          <w:highlight w:val="white"/>
        </w:rPr>
      </w:r>
      <w:r>
        <w:rPr>
          <w:sz w:val="24"/>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Điểm đáng chú ý nhất của thị trường bất động sản Hà Nội nửa đầu năm 2026 là sự phân hóa ngày càng rõ giữa các khu vực. Dòng vốn và nhu cầu không còn phân bổ đồng đều mà tập trung nhiều hơn vào những địa bàn có hạ tầng mới, quy hoạch bài bản và khả năng kết</w:t>
      </w:r>
      <w:r>
        <w:rPr>
          <w:rFonts w:ascii="Times New Roman" w:hAnsi="Times New Roman" w:eastAsia="Times New Roman" w:cs="Times New Roman"/>
          <w:color w:val="000000"/>
          <w:sz w:val="24"/>
          <w:szCs w:val="24"/>
          <w:highlight w:val="white"/>
        </w:rPr>
        <w:t xml:space="preserve"> nối thuận tiện.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Phía Tây Hà Nội, đặc biệt khu vực Tây Hồ Tây, tiếp tục nổi lên nhờ sự phát triển của văn phòng, thương mại và các khu đô thị mới. Trong khi đó, các khu vực hưởng lợi từ Vành đai 4, các tuyến đường vành đai, cầu vượt sông Hồng và hệ thống giao thông công cộ</w:t>
      </w:r>
      <w:r>
        <w:rPr>
          <w:rFonts w:ascii="Times New Roman" w:hAnsi="Times New Roman" w:eastAsia="Times New Roman" w:cs="Times New Roman"/>
          <w:color w:val="000000"/>
          <w:sz w:val="24"/>
          <w:szCs w:val="24"/>
          <w:highlight w:val="white"/>
        </w:rPr>
        <w:t xml:space="preserve">ng được kỳ vọng trở thành những cực tăng trưởng mới.</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Ở chiều ngược lại, những dự án có vị trí xa, kết nối hạn chế, giá bán cao hoặc thiếu tiện ích sẽ phải đối mặt với áp lực cạnh tranh lớn hơn.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szCs w:val="24"/>
          <w:highlight w:val="white"/>
        </w:rPr>
      </w:pPr>
      <w:r>
        <w:rPr>
          <w:rFonts w:ascii="Times New Roman" w:hAnsi="Times New Roman" w:eastAsia="Times New Roman" w:cs="Times New Roman"/>
          <w:color w:val="000000"/>
          <w:sz w:val="24"/>
          <w:szCs w:val="24"/>
          <w:highlight w:val="white"/>
        </w:rPr>
        <w:t xml:space="preserve">Nhìn chung, thị trường bất động sản Hà Nội đang chuyển từ giai đoạn phục hồi diện rộng sang giai đoạn tăng trưởng có chọn lọc. Nhà đầu tư và người mua ngày càng quan tâm đến giá trị sử dụng thực tế, khả năng khai thác cho thuê, chất lượng dự án và mức độ h</w:t>
      </w:r>
      <w:r>
        <w:rPr>
          <w:rFonts w:ascii="Times New Roman" w:hAnsi="Times New Roman" w:eastAsia="Times New Roman" w:cs="Times New Roman"/>
          <w:color w:val="000000"/>
          <w:sz w:val="24"/>
          <w:szCs w:val="24"/>
          <w:highlight w:val="white"/>
        </w:rPr>
        <w:t xml:space="preserve">ưởng lợi từ hạ tầng thay vì chỉ kỳ vọng vào tăng giá trong ngắn hạn.</w:t>
      </w:r>
      <w:r>
        <w:rPr>
          <w:szCs w:val="24"/>
          <w:highlight w:val="white"/>
        </w:rPr>
      </w:r>
      <w:r>
        <w:rPr>
          <w:szCs w:val="24"/>
          <w:highlight w:val="white"/>
        </w:rPr>
      </w:r>
    </w:p>
    <w:p>
      <w:pPr>
        <w:pBdr>
          <w:top w:val="none" w:color="000000" w:sz="4" w:space="0"/>
          <w:left w:val="none" w:color="000000" w:sz="4" w:space="0"/>
          <w:bottom w:val="none" w:color="000000" w:sz="4" w:space="0"/>
          <w:right w:val="none" w:color="000000" w:sz="4" w:space="0"/>
        </w:pBdr>
        <w:spacing/>
        <w:ind w:right="0" w:firstLine="72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Trong 6-12 tháng tới, nguồn cung mới được dự báo tiếp tục gia tăng ở cả nhà ở, văn phòng và bán lẻ. Điều này sẽ tạo ra một thị trường cạnh tranh hơn, trong đó những dự án có vị trí tốt, pháp lý rõ ràng, sản phẩm phù hợp nhu cầu thực và được hưởng lợi trực </w:t>
      </w:r>
      <w:r>
        <w:rPr>
          <w:rFonts w:ascii="Times New Roman" w:hAnsi="Times New Roman" w:eastAsia="Times New Roman" w:cs="Times New Roman"/>
          <w:color w:val="000000"/>
          <w:sz w:val="24"/>
          <w:szCs w:val="24"/>
          <w:highlight w:val="white"/>
        </w:rPr>
        <w:t xml:space="preserve">tiếp từ hạ tầng sẽ có lợi thế rõ rệt hơn.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t xml:space="preserve">(Nguồn:</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hyperlink r:id="rId18" w:tooltip="https://nhandan.vn/nua-dau-nam-2026-thi-truong-bat-dong-san-ha-noi-phan-hoa-ro-net-ve-khong-gian-vung-post975957.html)" w:history="1">
        <w:r>
          <w:rPr>
            <w:rStyle w:val="1027"/>
            <w:rFonts w:ascii="Times New Roman" w:hAnsi="Times New Roman" w:eastAsia="Times New Roman" w:cs="Times New Roman"/>
            <w:sz w:val="24"/>
            <w:szCs w:val="24"/>
            <w:highlight w:val="white"/>
          </w:rPr>
          <w:t xml:space="preserve">https://nhandan.vn/nua-dau-nam-2026-thi-truong-bat-dong-san-ha-noi-phan-hoa-ro-net-ve-khong-gian-vung-post975957.html</w:t>
        </w:r>
        <w:r>
          <w:rPr>
            <w:rStyle w:val="1027"/>
            <w:rFonts w:ascii="Times New Roman" w:hAnsi="Times New Roman" w:eastAsia="Times New Roman" w:cs="Times New Roman"/>
            <w:sz w:val="24"/>
            <w:szCs w:val="24"/>
            <w:highlight w:val="white"/>
          </w:rPr>
          <w:t xml:space="preserve">)</w:t>
        </w:r>
        <w:r>
          <w:rPr>
            <w:rStyle w:val="1027"/>
            <w:rFonts w:ascii="Times New Roman" w:hAnsi="Times New Roman" w:eastAsia="Times New Roman" w:cs="Times New Roman"/>
            <w:sz w:val="24"/>
            <w:szCs w:val="24"/>
            <w:highlight w:val="white"/>
          </w:rPr>
        </w:r>
        <w:r>
          <w:rPr>
            <w:rStyle w:val="1027"/>
            <w:rFonts w:ascii="Times New Roman" w:hAnsi="Times New Roman" w:eastAsia="Times New Roman" w:cs="Times New Roman"/>
            <w:sz w:val="24"/>
            <w:szCs w:val="24"/>
            <w:highlight w:val="white"/>
          </w:rPr>
        </w:r>
      </w:hyperlink>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Style w:val="1037"/>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rPr>
      </w:r>
    </w:p>
    <w:tbl>
      <w:tblPr>
        <w:tblStyle w:val="104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1"/>
        <w:gridCol w:w="2795"/>
      </w:tblGrid>
      <w:tr>
        <w:trPr>
          <w:trHeight w:val="1547"/>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b/>
                <w:color w:val="000000"/>
                <w:sz w:val="24"/>
                <w:highlight w:val="white"/>
              </w:rPr>
              <w:t xml:space="preserve"> Quyền sử dụng đất tại thửa đất số: 195, tờ bản đồ số: 35, có địa chỉ: Phường Tây Mỗ, thành phố Hà Nội theo Giấy chứng nhận quyền sử dụng đất, quyền sở hữu tài sản gắn liền với đất số: AA 07546351, Số vào sổ cấp GCN: CN 4626 do Chi nhánh văn phòng đăng ký </w:t>
            </w:r>
            <w:r>
              <w:rPr>
                <w:rFonts w:ascii="Times New Roman" w:hAnsi="Times New Roman" w:eastAsia="Times New Roman" w:cs="Times New Roman"/>
                <w:b/>
                <w:color w:val="000000"/>
                <w:sz w:val="24"/>
                <w:highlight w:val="white"/>
              </w:rPr>
              <w:t xml:space="preserve">đất đai Nam Từ Liêm cấp ngày 08/07/2026; chủ sử dụng đất là Ông Đặng Việt Đức và Bà Ngô Thị Thu Nga</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Thửa đất: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Thửa đất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195</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Tờ bản đồ số:</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35</w:t>
            </w:r>
            <w:r>
              <w:rPr>
                <w:highlight w:val="white"/>
              </w:rPr>
            </w:r>
            <w:r>
              <w:rPr>
                <w:highlight w:val="white"/>
              </w:rPr>
            </w:r>
          </w:p>
        </w:tc>
      </w:tr>
      <w:tr>
        <w:trPr>
          <w:trHeight w:val="55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Phường Tây Mỗ, thành phố Hà Nội</w:t>
            </w:r>
            <w:r>
              <w:rPr>
                <w:highlight w:val="white"/>
              </w:rPr>
            </w:r>
            <w:r>
              <w:rPr>
                <w:highlight w:val="white"/>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38,6</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Sử dụng chung của vợ và chồng</w:t>
            </w:r>
            <w:r>
              <w:rPr>
                <w:highlight w:val="white"/>
              </w:rPr>
            </w:r>
            <w:r>
              <w:rPr>
                <w:highlight w:val="white"/>
              </w:rP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Đất ở tại đô thị</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52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1.2</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Ghi chú:</w:t>
            </w:r>
            <w:r>
              <w:rPr>
                <w:highlight w:val="white"/>
              </w:rPr>
            </w:r>
            <w:r>
              <w:rPr>
                <w:highlight w:val="white"/>
              </w:rPr>
            </w:r>
          </w:p>
        </w:tc>
      </w:tr>
      <w:tr>
        <w:trPr>
          <w:trHeight w:val="94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Giấy chứng nhận này được cấp đổi từ Giấy chứng nhận số AA 04476704, số vào sổ cấp GCN:</w:t>
              <w:br/>
              <w:t xml:space="preserve">CN2587 do Chi nhánhVăn phòng đăng ký đất đai Nam Từ Liêm cấp ngày 10/12/2025 do nhận</w:t>
              <w:br/>
              <w:t xml:space="preserve">chuyển nhượng.</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tờ, số thửa được xác định theo bản đồ địa chính đo đạc dự án tổng thể 2 cấp.</w:t>
            </w:r>
            <w:r>
              <w:rPr>
                <w:highlight w:val="white"/>
              </w:rPr>
            </w:r>
            <w:r>
              <w:rPr>
                <w:highlight w:val="white"/>
              </w:rPr>
            </w:r>
          </w:p>
        </w:tc>
      </w:tr>
      <w:tr>
        <w:trPr>
          <w:trHeight w:val="67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Bản đồ năm 1994: Một phần thửa đất số 12, tờ bản đồ số 35 thuộc phường Tây Mỗ, quận Nam Từ Liêm, thành phố Hà Nội cũ</w:t>
            </w:r>
            <w:r>
              <w:rPr>
                <w:highlight w:val="white"/>
              </w:rPr>
            </w:r>
            <w:r>
              <w:rPr>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1.3.</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Thông tin quy hoạch:</w:t>
            </w:r>
            <w:r>
              <w:rPr>
                <w:highlight w:val="white"/>
              </w:rPr>
            </w:r>
            <w:r>
              <w:rPr>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highlight w:val="white"/>
              </w:rPr>
            </w:pP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before="0" w:line="240" w:lineRule="auto"/>
              <w:ind/>
              <w:jc w:val="both"/>
              <w:rPr>
                <w:rFonts w:ascii="Times New Roman" w:hAnsi="Times New Roman" w:eastAsia="Times New Roman" w:cs="Times New Roman"/>
                <w:color w:val="000000"/>
                <w:sz w:val="24"/>
                <w:szCs w:val="24"/>
                <w:highlight w:val="white"/>
                <w14:ligatures w14:val="none"/>
              </w:rPr>
            </w:pPr>
            <w:r>
              <w:rPr>
                <w:rFonts w:ascii="Times New Roman" w:hAnsi="Times New Roman" w:eastAsia="Times New Roman" w:cs="Times New Roman"/>
                <w:color w:val="000000"/>
                <w:sz w:val="24"/>
                <w:szCs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szCs w:val="24"/>
                <w:highlight w:val="white"/>
              </w:rPr>
              <w:t xml:space="preserve">định vị trí tài sản thuộc quy hoạch đất ở. </w:t>
            </w:r>
            <w:r>
              <w:rPr>
                <w:rFonts w:ascii="Times New Roman" w:hAnsi="Times New Roman" w:eastAsia="Times New Roman" w:cs="Times New Roman"/>
                <w:color w:val="000000"/>
                <w:sz w:val="24"/>
                <w:szCs w:val="24"/>
                <w:highlight w:val="white"/>
                <w14:ligatures w14:val="none"/>
              </w:rPr>
            </w:r>
            <w:r>
              <w:rPr>
                <w:rFonts w:ascii="Times New Roman" w:hAnsi="Times New Roman" w:eastAsia="Times New Roman" w:cs="Times New Roman"/>
                <w:color w:val="000000"/>
                <w:sz w:val="24"/>
                <w:szCs w:val="24"/>
                <w:highlight w:val="white"/>
                <w14:ligatures w14:val="non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highlight w:val="white"/>
              </w:rPr>
            </w:pP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r>
              <w:rPr>
                <w:rFonts w:ascii="Times New Roman" w:hAnsi="Times New Roman" w:eastAsia="Times New Roman" w:cs="Times New Roman"/>
                <w:b/>
                <w:color w:val="000000"/>
                <w:sz w:val="24"/>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Calibri" w:hAnsi="Calibri" w:eastAsia="Calibri" w:cs="Calibri"/>
                <w:color w:val="ee0000"/>
                <w:sz w:val="24"/>
                <w:highlight w:val="white"/>
              </w:rPr>
            </w:pPr>
            <w:r>
              <w:rPr>
                <w:rFonts w:ascii="Calibri" w:hAnsi="Calibri" w:eastAsia="Calibri" w:cs="Calibri"/>
                <w:color w:val="ee0000"/>
                <w:sz w:val="24"/>
                <w:highlight w:val="white"/>
              </w:rPr>
            </w:r>
            <w:r>
              <w:rPr>
                <w:highlight w:val="white"/>
              </w:rPr>
              <mc:AlternateContent>
                <mc:Choice Requires="wpg">
                  <w:drawing>
                    <wp:inline xmlns:wp="http://schemas.openxmlformats.org/drawingml/2006/wordprocessingDrawing" distT="0" distB="0" distL="0" distR="0">
                      <wp:extent cx="6048375" cy="31640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888" name=""/>
                              <pic:cNvPicPr>
                                <a:picLocks noChangeAspect="1"/>
                              </pic:cNvPicPr>
                              <pic:nvPr/>
                            </pic:nvPicPr>
                            <pic:blipFill rotWithShape="1">
                              <a:blip r:embed="rId19"/>
                              <a:stretch/>
                            </pic:blipFill>
                            <pic:spPr bwMode="auto">
                              <a:xfrm>
                                <a:off x="0" y="0"/>
                                <a:ext cx="6048374" cy="3164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49.14pt;mso-wrap-distance-left:0.00pt;mso-wrap-distance-top:0.00pt;mso-wrap-distance-right:0.00pt;mso-wrap-distance-bottom:0.00pt;z-index:1;" stroked="false">
                      <v:imagedata r:id="rId19" o:title=""/>
                      <o:lock v:ext="edit" rotation="t"/>
                    </v:shape>
                  </w:pict>
                </mc:Fallback>
              </mc:AlternateContent>
            </w:r>
            <w:r>
              <w:rPr>
                <w:rFonts w:ascii="Calibri" w:hAnsi="Calibri" w:eastAsia="Calibri" w:cs="Calibri"/>
                <w:color w:val="ee0000"/>
                <w:sz w:val="24"/>
                <w:highlight w:val="white"/>
              </w:rPr>
            </w:r>
            <w:r>
              <w:rPr>
                <w:rFonts w:ascii="Calibri" w:hAnsi="Calibri" w:eastAsia="Calibri" w:cs="Calibri"/>
                <w:color w:val="ee0000"/>
                <w:sz w:val="24"/>
                <w:highlight w:val="white"/>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Về đất: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Vị trí; Giao thông;</w:t>
            </w:r>
            <w:r>
              <w:rPr>
                <w:highlight w:val="white"/>
              </w:rPr>
            </w:r>
            <w:r>
              <w:rPr>
                <w:highlight w:val="white"/>
              </w:rP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9 hẻm 27/9/5019 phường Tây Mỗ, thành phố Hà Nội</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Đường tiếp giáp chính:</w:t>
            </w:r>
            <w:r>
              <w:rPr>
                <w:highlight w:val="white"/>
              </w:rPr>
            </w:r>
            <w:r>
              <w:rPr>
                <w:highlight w:val="white"/>
              </w:rP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Đường nội khu</w:t>
            </w:r>
            <w:r>
              <w:rPr>
                <w:highlight w:val="white"/>
              </w:rPr>
            </w:r>
            <w:r>
              <w:rPr>
                <w:highlight w:val="white"/>
              </w:rPr>
            </w:r>
          </w:p>
        </w:tc>
        <w:tc>
          <w:tcPr>
            <w:tcBorders>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mặt tiền:</w:t>
            </w:r>
            <w:r>
              <w:rPr>
                <w:highlight w:val="white"/>
              </w:rPr>
            </w:r>
            <w:r>
              <w:rPr>
                <w:highlight w:val="white"/>
              </w:rP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 mặt tiền</w:t>
            </w:r>
            <w:r>
              <w:rPr>
                <w:highlight w:val="white"/>
              </w:rPr>
            </w:r>
            <w:r>
              <w:rPr>
                <w:highlight w:val="white"/>
              </w:rPr>
            </w:r>
          </w:p>
        </w:tc>
      </w:tr>
      <w:tr>
        <w:trPr>
          <w:trHeight w:val="1470"/>
        </w:trPr>
        <w:tc>
          <w:tcPr>
            <w:tcBorders>
              <w:left w:val="single" w:color="000000" w:sz="6" w:space="0"/>
              <w:bottom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nhỏ nhất từ đường chính dẫn đến tài sản thẩm định giá:</w:t>
            </w:r>
            <w:r>
              <w:rPr>
                <w:highlight w:val="white"/>
              </w:rPr>
            </w:r>
            <w:r>
              <w:rPr>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2,5</w:t>
            </w:r>
            <w:r>
              <w:rPr>
                <w:highlight w:val="white"/>
              </w:rPr>
            </w:r>
            <w:r>
              <w:rPr>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Mặt cắt đường/ngõ trước mặt tài sản thẩm định giá:</w:t>
            </w:r>
            <w:r>
              <w:rPr>
                <w:highlight w:val="white"/>
              </w:rPr>
            </w:r>
            <w:r>
              <w:rPr>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2,5</w:t>
            </w:r>
            <w:r>
              <w:rPr>
                <w:highlight w:val="white"/>
              </w:rPr>
            </w:r>
            <w:r>
              <w:rPr>
                <w:highlight w:val="white"/>
              </w:rPr>
            </w:r>
          </w:p>
        </w:tc>
      </w:tr>
      <w:tr>
        <w:trPr>
          <w:trHeight w:val="68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r>
              <w:rPr>
                <w:highlight w:val="white"/>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jc w:val="left"/>
              <w:rPr>
                <w:highlight w:val="white"/>
              </w:rPr>
            </w:pPr>
            <w:r>
              <w:rPr>
                <w:rFonts w:ascii="Times New Roman" w:hAnsi="Times New Roman" w:eastAsia="Times New Roman" w:cs="Times New Roman"/>
                <w:color w:val="000000"/>
                <w:sz w:val="24"/>
                <w:highlight w:val="white"/>
              </w:rPr>
              <w:t xml:space="preserve">Cách đường DT70 khoảng 300m</w:t>
            </w:r>
            <w:r>
              <w:rPr>
                <w:highlight w:val="white"/>
              </w:rPr>
            </w:r>
            <w:r>
              <w:rPr>
                <w:highlight w:val="white"/>
              </w:rPr>
            </w:r>
          </w:p>
        </w:tc>
      </w:tr>
      <w:tr>
        <w:trPr>
          <w:trHeight w:val="951"/>
        </w:trPr>
        <w:tc>
          <w:tcPr>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shd w:val="clear" w:color="ffffff" w:fill="ffffff"/>
            <w:tcBorders>
              <w:top w:val="single" w:color="000000" w:sz="4"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đông nam tiếp giáp đường giao thông 2,5m;</w:t>
              <w:br/>
              <w:t xml:space="preserve">Hướng đông bắc tiếp giáp đường giao thông 1,8m;</w:t>
              <w:br/>
              <w:t xml:space="preserve">Các hướng còn lại tiếp giáp thửa đất khác.</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 trên bản đồ vệ tinh: </w:t>
            </w:r>
            <w:r>
              <w:rPr>
                <w:highlight w:val="white"/>
              </w:rPr>
            </w:r>
            <w:r>
              <w:rPr>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w:t>
            </w:r>
            <w:r>
              <w:rPr>
                <w:color w:val="000000"/>
                <w:highlight w:val="white"/>
              </w:rPr>
              <mc:AlternateContent>
                <mc:Choice Requires="wpg">
                  <w:drawing>
                    <wp:inline xmlns:wp="http://schemas.openxmlformats.org/drawingml/2006/wordprocessingDrawing" distT="0" distB="0" distL="0" distR="0">
                      <wp:extent cx="547552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830224355" name="" descr=""/>
                              <pic:cNvPicPr/>
                              <pic:nvPr/>
                            </pic:nvPicPr>
                            <pic:blipFill rotWithShape="1">
                              <a:blip r:embed="rId20"/>
                              <a:stretch/>
                            </pic:blipFill>
                            <pic:spPr bwMode="auto">
                              <a:xfrm flipH="0" flipV="0">
                                <a:off x="0" y="0"/>
                                <a:ext cx="5475527"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14pt;height:200.00pt;mso-wrap-distance-left:0.00pt;mso-wrap-distance-top:0.00pt;mso-wrap-distance-right:0.00pt;mso-wrap-distance-bottom:0.00pt;z-index:1;" stroked="false">
                      <v:imagedata r:id="rId20" o:title=""/>
                      <o:lock v:ext="edit" rotation="t"/>
                    </v:shape>
                  </w:pict>
                </mc:Fallback>
              </mc:AlternateContent>
            </w:r>
            <w:r>
              <w:rPr>
                <w:highlight w:val="white"/>
              </w:rPr>
            </w:r>
            <w:r>
              <w:rPr>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2.2.</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Diện tích; Kích thước; Hình dáng</w:t>
            </w:r>
            <w:r>
              <w:rPr>
                <w:highlight w:val="white"/>
              </w:rPr>
            </w:r>
            <w:r>
              <w:rPr>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riêng thực tế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38,6</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chung thực tế (m²):</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0.00</w:t>
            </w:r>
            <w:r>
              <w:rPr>
                <w:highlight w:val="white"/>
              </w:rPr>
            </w:r>
            <w:r>
              <w:rPr>
                <w:highlight w:val="white"/>
              </w:rP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KT mặt tiền (m):</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3,28</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Chiều sâu (m): </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11,27</w:t>
            </w:r>
            <w:r>
              <w:rPr>
                <w:highlight w:val="white"/>
              </w:rPr>
            </w:r>
            <w:r>
              <w:rPr>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dáng</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Chữ nhật</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chính</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nam</w:t>
            </w:r>
            <w:r>
              <w:rPr>
                <w:highlight w:val="white"/>
              </w:rPr>
            </w:r>
            <w:r>
              <w:rPr>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2.3.</w:t>
            </w:r>
            <w:r>
              <w:rPr>
                <w:highlight w:val="white"/>
              </w:rPr>
            </w:r>
            <w:r>
              <w:rPr>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Phù hợp để ở</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w:t>
            </w:r>
            <w:r>
              <w:rPr>
                <w:highlight w:val="white"/>
              </w:rPr>
            </w:r>
            <w:r>
              <w:rPr>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cơ sở hạ tầng kỹ thuật:</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Hạ tầng khu dân cư thông thường: hệ thống cấp điện, cấp thoát nước đầy đủ</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1"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Điều kiện môi trường an ninh:</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 Tài sản gắn liền với đất: </w:t>
            </w:r>
            <w:r>
              <w:rPr>
                <w:highlight w:val="white"/>
              </w:rPr>
            </w:r>
            <w:r>
              <w:rPr>
                <w:highlight w:val="white"/>
              </w:rPr>
            </w:r>
          </w:p>
        </w:tc>
      </w:tr>
      <w:tr>
        <w:trPr>
          <w:trHeight w:val="96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5 tầng, diện tích xây dựng khoảng 38,6m2, diện tích sàn xây dựng khoảng 193m2, sửa lại năm 2024. Công trình chưa được công nhận trên GCN QSDĐ số: AA 07546351</w:t>
            </w:r>
            <w:r>
              <w:rPr>
                <w:highlight w:val="white"/>
              </w:rPr>
            </w:r>
            <w:r>
              <w:rPr>
                <w:highlight w:val="white"/>
              </w:rPr>
            </w:r>
          </w:p>
        </w:tc>
      </w:tr>
    </w:tbl>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rPr>
            </w:r>
          </w:p>
        </w:tc>
      </w:tr>
    </w:tbl>
    <w:p>
      <w:pPr>
        <w:pStyle w:val="1037"/>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rPr>
      </w:r>
    </w:p>
    <w:p>
      <w:pPr>
        <w:pStyle w:val="1037"/>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rPr>
      </w:r>
    </w:p>
    <w:p>
      <w:pPr>
        <w:pStyle w:val="1037"/>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sz w:val="24"/>
          <w:szCs w:val="24"/>
          <w:highlight w:val="white"/>
        </w:rPr>
      </w:pPr>
      <w:r>
        <w:rPr>
          <w:spacing w:val="-2"/>
          <w:highlight w:val="white"/>
          <w:lang w:val="pt-BR"/>
        </w:rPr>
      </w: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5 tầng, diện tích xây dựng khoảng 38,6m2, diện tích sàn xây dựng khoảng 193m2, sửa lại năm 2024. Công trình chưa được công nhận trên GCN QSDĐ số: AA 07546351. Đồng thời, Tổ thẩ</w:t>
      </w:r>
      <w:r>
        <w:rPr>
          <w:rFonts w:ascii="Times New Roman" w:hAnsi="Times New Roman" w:eastAsia="Times New Roman" w:cs="Times New Roman"/>
          <w:color w:val="000000"/>
          <w:sz w:val="24"/>
          <w:highlight w:val="white"/>
        </w:rPr>
        <w:t xml:space="preserve">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w:t>
      </w:r>
      <w:r>
        <w:rPr>
          <w:rFonts w:ascii="Times New Roman" w:hAnsi="Times New Roman" w:eastAsia="Times New Roman" w:cs="Times New Roman"/>
          <w:color w:val="000000"/>
          <w:sz w:val="24"/>
          <w:highlight w:val="white"/>
        </w:rPr>
        <w:t xml:space="preserve">n thẩm định. Kính đề nghị đơn vị sử dụng kết quả lưu ý.</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Style w:val="1037"/>
        <w:numPr>
          <w:ilvl w:val="0"/>
          <w:numId w:val="3"/>
        </w:numPr>
        <w:pBdr/>
        <w:tabs>
          <w:tab w:val="left" w:leader="none" w:pos="993"/>
        </w:tabs>
        <w:spacing w:after="120" w:before="120" w:line="264" w:lineRule="auto"/>
        <w:ind/>
        <w:jc w:val="both"/>
        <w:rPr>
          <w:rFonts w:ascii="Times New Roman" w:hAnsi="Times New Roman" w:cs="Times New Roman"/>
          <w:spacing w:val="-2"/>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ee0000"/>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cs="Times New Roman"/>
          <w:spacing w:val="-2"/>
          <w:highlight w:val="white"/>
        </w:rPr>
      </w:r>
      <w:r>
        <w:rPr>
          <w:rFonts w:ascii="Times New Roman" w:hAnsi="Times New Roman" w:cs="Times New Roman"/>
          <w:spacing w:val="-2"/>
          <w:highlight w:val="white"/>
        </w:rPr>
      </w:r>
    </w:p>
    <w:p>
      <w:pPr>
        <w:pStyle w:val="1037"/>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rPr>
      </w:r>
    </w:p>
    <w:p>
      <w:pPr>
        <w:pStyle w:val="1037"/>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rPr>
      </w:r>
    </w:p>
    <w:p>
      <w:pPr>
        <w:pStyle w:val="1037"/>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rPr>
      </w:r>
    </w:p>
    <w:p>
      <w:pPr>
        <w:pStyle w:val="103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rPr>
      </w:r>
    </w:p>
    <w:p>
      <w:pPr>
        <w:pStyle w:val="1037"/>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rPr>
      </w:r>
    </w:p>
    <w:p>
      <w:pPr>
        <w:pStyle w:val="1037"/>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rPr>
      </w:r>
    </w:p>
    <w:p>
      <w:pPr>
        <w:pStyle w:val="1037"/>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rPr>
      </w:r>
    </w:p>
    <w:p>
      <w:pPr>
        <w:pStyle w:val="1037"/>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rPr>
      </w:r>
    </w:p>
    <w:p>
      <w:pPr>
        <w:pStyle w:val="1037"/>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rPr>
      </w:r>
    </w:p>
    <w:p>
      <w:pPr>
        <w:pStyle w:val="1037"/>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rPr>
      </w:r>
    </w:p>
    <w:p>
      <w:pPr>
        <w:pStyle w:val="1037"/>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25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Mỗ,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Phường Tây Mỗ,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Phường Tây Mỗ,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Phường Tây Mỗ, Thành phố Hà Nội</w:t>
            </w:r>
            <w:r>
              <w:rPr>
                <w:highlight w:val="white"/>
              </w:rPr>
            </w:r>
            <w:r>
              <w:rPr>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https://alonhadat.com.vn/ban-can-dong-tien-ccmn-hon-500-trieu-nam-thoang-full-noi-that-duoi-10-ty--15406938.html</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0949075662</w:t>
            </w:r>
            <w:r>
              <w:rPr>
                <w:sz w:val="22"/>
                <w:szCs w:val="22"/>
                <w:highlight w:val="white"/>
              </w:rPr>
              <w:t xml:space="preserve"> </w:t>
            </w:r>
            <w:r>
              <w:rPr>
                <w:sz w:val="22"/>
                <w:szCs w:val="22"/>
                <w:highlight w:val="white"/>
              </w:rPr>
              <w:br/>
              <w:t xml:space="preserve">(</w:t>
            </w:r>
            <w:r>
              <w:rPr>
                <w:sz w:val="22"/>
                <w:szCs w:val="22"/>
                <w:highlight w:val="white"/>
              </w:rPr>
              <w:t xml:space="preserve">Hoàng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0964234476</w:t>
            </w:r>
            <w:r>
              <w:rPr>
                <w:sz w:val="22"/>
                <w:szCs w:val="22"/>
                <w:highlight w:val="white"/>
              </w:rPr>
              <w:br/>
            </w:r>
            <w:r>
              <w:rPr>
                <w:sz w:val="22"/>
                <w:szCs w:val="22"/>
                <w:highlight w:val="white"/>
              </w:rPr>
              <w:t xml:space="preserve">(</w:t>
            </w:r>
            <w:r>
              <w:rPr>
                <w:sz w:val="22"/>
                <w:szCs w:val="22"/>
                <w:highlight w:val="white"/>
              </w:rPr>
              <w:t xml:space="preserve">Tùng</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0972078667</w:t>
            </w:r>
            <w:r>
              <w:rPr>
                <w:sz w:val="22"/>
                <w:szCs w:val="22"/>
                <w:highlight w:val="white"/>
              </w:rPr>
              <w:br/>
            </w:r>
            <w:r>
              <w:rPr>
                <w:sz w:val="22"/>
                <w:szCs w:val="22"/>
                <w:highlight w:val="white"/>
              </w:rPr>
              <w:t xml:space="preserve">(</w:t>
            </w:r>
            <w:r>
              <w:rPr>
                <w:sz w:val="22"/>
                <w:szCs w:val="22"/>
                <w:highlight w:val="white"/>
              </w:rPr>
              <w:t xml:space="preserve">Thế</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themeColor="text1"/>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highlight w:val="white"/>
              </w:rPr>
            </w:pPr>
            <w:r>
              <w:rPr>
                <w:color w:val="000000"/>
                <w:sz w:val="22"/>
                <w:szCs w:val="22"/>
                <w:highlight w:val="white"/>
              </w:rPr>
              <w:t xml:space="preserve"> </w:t>
            </w:r>
            <w:r>
              <w:rPr>
                <w:color w:val="000000" w:themeColor="text1"/>
                <w:sz w:val="22"/>
                <w:szCs w:val="22"/>
                <w:highlight w:val="white"/>
              </w:rPr>
              <w:t xml:space="preserve">Tháng 08/2026</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highlight w:val="white"/>
              </w:rPr>
            </w:pPr>
            <w:r>
              <w:rPr>
                <w:color w:val="000000"/>
                <w:sz w:val="22"/>
                <w:szCs w:val="22"/>
                <w:highlight w:val="white"/>
              </w:rPr>
              <w:t xml:space="preserve"> </w:t>
            </w:r>
            <w:r>
              <w:rPr>
                <w:color w:val="000000" w:themeColor="text1"/>
                <w:sz w:val="22"/>
                <w:szCs w:val="22"/>
                <w:highlight w:val="white"/>
              </w:rPr>
              <w:t xml:space="preserve">Tháng 08/2026</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38,6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3,28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Khả năng chuyển nhượng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Tốt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Tốt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Tốt</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color w:val="000000" w:themeColor="text1"/>
                <w:sz w:val="22"/>
                <w:szCs w:val="22"/>
                <w:highlight w:val="white"/>
              </w:rPr>
              <w:t xml:space="preserve">Tốt</w:t>
            </w:r>
            <w:r>
              <w:rPr>
                <w:highlight w:val="white"/>
              </w:rPr>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CTXD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Nhà 2 tầng đã cũ, giá trị không đáng kể</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Nhà 1 tầng đã cũ, giá trị không đáng kể</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Nhà 06 tầng. Tổng diện tích sàn khoảng 300m2</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13.800.000.000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8.600.000.000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9.900.000.000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11.730.000.000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7.740.000.000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8.910.000.000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
                <w:bCs/>
                <w:color w:val="000000"/>
                <w:sz w:val="22"/>
                <w:szCs w:val="22"/>
                <w:highlight w:val="white"/>
              </w:rPr>
            </w:pPr>
            <w:r>
              <w:rPr>
                <w:b/>
                <w:bCs/>
                <w:color w:val="000000"/>
                <w:sz w:val="22"/>
                <w:szCs w:val="22"/>
                <w:highlight w:val="white"/>
              </w:rPr>
              <w:t xml:space="preserve">Giá trị tài sản trên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rFonts w:ascii="Times New Roman" w:hAnsi="Times New Roman" w:eastAsia="Times New Roman" w:cs="Times New Roman"/>
                <w:color w:val="000000"/>
                <w:sz w:val="22"/>
                <w:szCs w:val="22"/>
                <w:highlight w:val="white"/>
                <w14:ligatures w14:val="none"/>
              </w:rPr>
            </w:pPr>
            <w:r>
              <w:rPr>
                <w:rFonts w:ascii="Times New Roman" w:hAnsi="Times New Roman" w:eastAsia="Times New Roman" w:cs="Times New Roman"/>
                <w:color w:val="000000"/>
                <w:sz w:val="22"/>
                <w:szCs w:val="22"/>
                <w:highlight w:val="white"/>
              </w:rPr>
            </w:r>
            <w:r>
              <w:rPr>
                <w:rFonts w:ascii="Times New Roman" w:hAnsi="Times New Roman" w:eastAsia="Times New Roman" w:cs="Times New Roman"/>
                <w:color w:val="000000"/>
                <w:sz w:val="22"/>
                <w:szCs w:val="22"/>
                <w:highlight w:val="white"/>
              </w:rPr>
              <w:t xml:space="preserve">2.013.583.785</w:t>
            </w:r>
            <w:r>
              <w:rPr>
                <w:rFonts w:ascii="Times New Roman" w:hAnsi="Times New Roman" w:eastAsia="Times New Roman" w:cs="Times New Roman"/>
                <w:color w:val="000000"/>
                <w:sz w:val="22"/>
                <w:szCs w:val="22"/>
                <w:highlight w:val="white"/>
                <w14:ligatures w14:val="none"/>
              </w:rPr>
            </w:r>
            <w:r>
              <w:rPr>
                <w:rFonts w:ascii="Times New Roman" w:hAnsi="Times New Roman" w:eastAsia="Times New Roman" w:cs="Times New Roman"/>
                <w:color w:val="000000"/>
                <w:sz w:val="22"/>
                <w:szCs w:val="22"/>
                <w:highlight w:val="white"/>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left"/>
              <w:rPr>
                <w:b/>
                <w:bCs/>
                <w:color w:val="000000"/>
                <w:sz w:val="22"/>
                <w:szCs w:val="22"/>
                <w:highlight w:val="white"/>
              </w:rPr>
            </w:pPr>
            <w:r>
              <w:rPr>
                <w:b/>
                <w:bCs/>
                <w:color w:val="000000"/>
                <w:sz w:val="22"/>
                <w:szCs w:val="22"/>
                <w:highlight w:val="white"/>
              </w:rPr>
            </w:r>
            <w:r>
              <w:rPr>
                <w:rFonts w:ascii="Arial" w:hAnsi="Arial" w:eastAsia="Arial" w:cs="Arial"/>
                <w:color w:val="666666"/>
                <w:sz w:val="20"/>
                <w:highlight w:val="white"/>
              </w:rPr>
              <w:t xml:space="preserve">Đơn giá xây dựng theo Quyết định số 425/QĐ-BXD ngày 30/3/2026 của Bộ Xây Dựng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2"/>
                <w:highlight w:val="white"/>
              </w:rPr>
              <w:t xml:space="preserve">                           8.686.048 </w:t>
            </w:r>
            <w:r>
              <w:rPr>
                <w:highlight w:val="white"/>
              </w:rPr>
            </w:r>
            <w:r>
              <w:rPr>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jc w:val="both"/>
              <w:rPr>
                <w:highlight w:val="white"/>
              </w:rPr>
            </w:pPr>
            <w:r>
              <w:rPr>
                <w:rFonts w:ascii="Times New Roman" w:hAnsi="Times New Roman" w:eastAsia="Times New Roman" w:cs="Times New Roman"/>
                <w:i/>
                <w:color w:val="000000"/>
                <w:sz w:val="22"/>
                <w:highlight w:val="white"/>
              </w:rPr>
              <w:t xml:space="preserve">Tỷ lệ hao mòn</w:t>
            </w:r>
            <w:r>
              <w:rPr>
                <w:highlight w:val="white"/>
              </w:rPr>
            </w:r>
            <w:r>
              <w:rPr>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t xml:space="preserve">15%</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
                <w:bCs/>
                <w:color w:val="000000"/>
                <w:sz w:val="22"/>
                <w:szCs w:val="22"/>
                <w:highlight w:val="white"/>
              </w:rPr>
            </w:pPr>
            <w:r>
              <w:rPr>
                <w:b/>
                <w:bCs/>
                <w:color w:val="000000"/>
                <w:sz w:val="22"/>
                <w:szCs w:val="22"/>
                <w:highlight w:val="white"/>
              </w:rPr>
              <w:t xml:space="preserve">Giá trị đất (đồng)</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11.730.000.000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7.740.000.000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6.896.416.215</w:t>
            </w:r>
            <w:r>
              <w:rPr>
                <w:color w:val="000000" w:themeColor="text1"/>
                <w:sz w:val="22"/>
                <w:szCs w:val="22"/>
                <w:highlight w:val="white"/>
                <w14:ligatures w14:val="none"/>
              </w:rPr>
            </w:r>
            <w:r>
              <w:rPr>
                <w:color w:val="000000" w:themeColor="text1"/>
                <w:sz w:val="22"/>
                <w:szCs w:val="22"/>
                <w:highlight w:val="white"/>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
                <w:bCs/>
                <w:color w:val="000000"/>
                <w:sz w:val="22"/>
                <w:szCs w:val="22"/>
                <w:highlight w:val="white"/>
              </w:rPr>
            </w:pPr>
            <w:r>
              <w:rPr>
                <w:b/>
                <w:bCs/>
                <w:color w:val="000000"/>
                <w:sz w:val="22"/>
                <w:szCs w:val="22"/>
                <w:highlight w:val="white"/>
              </w:rPr>
              <w:t xml:space="preserve">Đơn giá QSDĐ (đồng/m²)</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Bất lợi thương mại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Các thông tin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rFonts w:ascii="Times New Roman" w:hAnsi="Times New Roman" w:eastAsia="Times New Roman" w:cs="Times New Roman"/>
                <w:color w:val="000000"/>
                <w:sz w:val="22"/>
                <w:highlight w:val="white"/>
              </w:rPr>
              <w:t xml:space="preserve">Tương đồng</w:t>
            </w:r>
            <w:r>
              <w:rPr>
                <w:highlight w:val="white"/>
              </w:rPr>
            </w:r>
            <w:r>
              <w:rPr>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rPr>
      </w:r>
    </w:p>
    <w:p>
      <w:pPr>
        <w:pStyle w:val="1037"/>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667"/>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Giá trị QSDĐ thị trường (Ước tính sau thương lượng)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11.730.000.000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7.740.000.000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6.896.416.215</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Đơn giá đất ước tính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shd w:val="clear" w:color="000000" w:fill="ffffff"/>
            <w:tcBorders/>
            <w:tcW w:w="1667"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Giấy chứng nhận quyền sử dụng đất</w:t>
            </w:r>
            <w:r>
              <w:rPr>
                <w:highlight w:val="white"/>
              </w:rPr>
            </w:r>
            <w:r>
              <w:rPr>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Mục đích sử dụng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Đất ở tại đô thị</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Thời hạn sử dụng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Lâu dài</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Lâu dài</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shd w:val="clear" w:color="000000" w:fill="ffffff"/>
            <w:tcBorders/>
            <w:tcW w:w="1667"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c>
          <w:tcPr>
            <w:shd w:val="clear" w:color="000000" w:fill="ffffff"/>
            <w:tcBorders/>
            <w:tcW w:w="1522" w:type="dxa"/>
            <w:vAlign w:val="center"/>
            <w:textDirection w:val="lrTb"/>
            <w:noWrap w:val="false"/>
          </w:tcPr>
          <w:p>
            <w:pPr>
              <w:pBdr/>
              <w:spacing/>
              <w:ind/>
              <w:jc w:val="center"/>
              <w:rPr>
                <w:highlight w:val="white"/>
              </w:rPr>
            </w:pPr>
            <w:r>
              <w:rPr>
                <w:color w:val="000000" w:themeColor="text1"/>
                <w:sz w:val="22"/>
                <w:szCs w:val="22"/>
                <w:highlight w:val="white"/>
              </w:rPr>
              <w:t xml:space="preserve">Tiếp giáp ngõ giao thông, Phường Tây Mỗ, Thành phố Hà Nội</w:t>
            </w:r>
            <w:r>
              <w:rPr>
                <w:highlight w:val="white"/>
              </w:rPr>
            </w:r>
            <w:r>
              <w:rPr>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127.500.000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Giao thông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nhựa không có vỉa hè</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Đường bê tông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-6.750.000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-5.691.176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128.250.000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113.823.529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137.928.324</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Độ rộng đường trước tài sản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2,5</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3.825.000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3.414.706</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-20.689.249</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124.575.000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rPr>
            </w:r>
            <w:r>
              <w:rPr>
                <w:color w:val="000000" w:themeColor="text1"/>
                <w:sz w:val="22"/>
                <w:szCs w:val="22"/>
                <w:highlight w:val="white"/>
              </w:rPr>
              <w:t xml:space="preserve">117.238.235</w:t>
            </w:r>
            <w:r>
              <w:rPr>
                <w:color w:val="000000" w:themeColor="text1"/>
                <w:sz w:val="22"/>
                <w:szCs w:val="22"/>
                <w:highlight w:val="white"/>
                <w14:ligatures w14:val="none"/>
              </w:rPr>
            </w:r>
            <w:r>
              <w:rPr>
                <w:color w:val="000000" w:themeColor="text1"/>
                <w:sz w:val="22"/>
                <w:szCs w:val="22"/>
                <w:highlight w:val="white"/>
                <w14:ligatures w14:val="non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117.239.075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38,6</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68</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50</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6%</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13.500.000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9.105.882</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6.896.416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138.075.000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126.344.117</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124.135.491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Tỷ lệ mặt tiền/ tổng diện tích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3,28</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4,8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4</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-1%</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-2.700.000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-1.138.235</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-2.758.566</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135.375.000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125.205.882</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121.376.925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tiếp giáp</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2 mặt ngõ</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1 mặt tiền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Tiếp giáp 1 mặt tiền</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Tiếp giáp 2 mặt ngõ</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0%</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0</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135.375.000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125.205.882</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121.376.925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Hình dáng thửa đất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Hình chữ nhật</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Hình chữ nhật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0%</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rPr>
              <w:t xml:space="preserve">0</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135.375.000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14:ligatures w14:val="none"/>
              </w:rPr>
            </w:pPr>
            <w:r>
              <w:rPr>
                <w:color w:val="000000" w:themeColor="text1"/>
                <w:sz w:val="22"/>
                <w:szCs w:val="22"/>
                <w:highlight w:val="white"/>
                <w:lang w:val="undefined" w:bidi="undefined"/>
              </w:rPr>
            </w:r>
            <w:r>
              <w:rPr>
                <w:color w:val="000000" w:themeColor="text1"/>
                <w:sz w:val="22"/>
                <w:szCs w:val="22"/>
                <w:highlight w:val="white"/>
                <w:lang w:val="undefined"/>
              </w:rPr>
              <w:t xml:space="preserve">125.205.882</w:t>
            </w:r>
            <w:r>
              <w:rPr>
                <w:color w:val="000000" w:themeColor="text1"/>
                <w:sz w:val="22"/>
                <w:szCs w:val="22"/>
                <w:highlight w:val="white"/>
                <w:lang w:val="undefined" w:bidi="undefined"/>
              </w:rPr>
            </w:r>
            <w:r>
              <w:rPr>
                <w:color w:val="000000" w:themeColor="text1"/>
                <w:sz w:val="22"/>
                <w:szCs w:val="22"/>
                <w:highlight w:val="white"/>
                <w:lang w:val="undefined"/>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121.376.925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135.375.000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125.205.882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121.376.925</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711"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127.319.269</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6,33%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-1,66%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-4,67%</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26.775.000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22.764.705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30.344.231</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 - 10%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 - 7%</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 - 15%</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7.875.000</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11.382.353</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16.551.399</w:t>
            </w:r>
            <w:r>
              <w:rPr>
                <w:sz w:val="22"/>
                <w:szCs w:val="22"/>
                <w:highlight w:val="white"/>
              </w:rPr>
            </w:r>
            <w:r>
              <w:rPr>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 -4,67</w:t>
      </w:r>
      <w:r>
        <w:rPr>
          <w:highlight w:val="white"/>
        </w:rPr>
        <w:t xml:space="preserve">% đến</w:t>
      </w:r>
      <w:r>
        <w:rPr>
          <w:highlight w:val="white"/>
        </w:rPr>
        <w:t xml:space="preserve"> </w:t>
      </w:r>
      <w:r>
        <w:rPr>
          <w:highlight w:val="white"/>
        </w:rPr>
        <w:t xml:space="preserve"> </w:t>
      </w:r>
      <w:r>
        <w:rPr>
          <w:highlight w:val="white"/>
        </w:rPr>
        <w:t xml:space="preserve">6,33%</w:t>
      </w:r>
      <w:r>
        <w:rPr>
          <w:highlight w:val="white"/>
        </w:rPr>
        <w:t xml:space="preserve">,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135.375.000</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45.134.025</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125.205.882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41.731.120</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121.376.925</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40.454.929</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127.320.074</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127.000.000</w:t>
            </w:r>
            <w:r>
              <w:rPr>
                <w:b/>
                <w:bCs/>
                <w:color w:val="000000"/>
                <w:highlight w:val="white"/>
              </w:rPr>
            </w:r>
            <w:r>
              <w:rPr>
                <w:b/>
                <w:bCs/>
                <w:color w:val="000000"/>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127.000.000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37"/>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rPr>
      </w:r>
    </w:p>
    <w:p>
      <w:pPr>
        <w:pStyle w:val="1037"/>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08/2026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97"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81"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89"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467" w:type="pct"/>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195, tờ bản đồ số: 35, có địa chỉ: Phường Tây Mỗ, thành phố Hà </w:t>
            </w:r>
            <w:r>
              <w:rPr>
                <w:color w:val="000000"/>
                <w:highlight w:val="white"/>
              </w:rPr>
              <w:t xml:space="preserve">Nội theo Giấy chứng nhận quyền sử dụng đất, quyền sở hữu tài sản gắn liền với đất số: AA 07546351, Số vào sổ cấp GCN: CN 4626 do Chi nhánh văn phòng đăng ký đất đai Nam Từ Liêm cấp ngày 08/07/2026; chủ sử dụng đất là Ông Đặng Việt Đức và Bà Ngô Thị Thu Nga</w:t>
            </w:r>
            <w:r>
              <w:rPr>
                <w:b/>
                <w:bCs/>
                <w:highlight w:val="white"/>
              </w:rPr>
              <w:t xml:space="preserve">.</w:t>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38,6</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127.000.000</w:t>
            </w:r>
            <w:r>
              <w:rPr>
                <w:highlight w:val="white"/>
              </w:rPr>
            </w:r>
            <w:r>
              <w:rPr>
                <w:highlight w:val="white"/>
              </w:rPr>
            </w:r>
          </w:p>
        </w:tc>
        <w:tc>
          <w:tcPr>
            <w:shd w:val="clear" w:color="000000" w:fill="ffffff"/>
            <w:tcBorders/>
            <w:tcW w:w="1170"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4.902.200.000</w:t>
            </w:r>
            <w:r>
              <w:rPr>
                <w:highlight w:val="white"/>
              </w:rPr>
            </w:r>
            <w:r>
              <w:rPr>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70" w:type="pct"/>
            <w:vAlign w:val="center"/>
            <w:textDirection w:val="lrTb"/>
            <w:noWrap/>
          </w:tcPr>
          <w:p>
            <w:pPr>
              <w:pBdr/>
              <w:spacing w:after="40" w:before="40" w:line="288" w:lineRule="auto"/>
              <w:ind/>
              <w:jc w:val="center"/>
              <w:rPr>
                <w:b/>
                <w:bCs/>
                <w:color w:val="000000"/>
                <w:highlight w:val="white"/>
              </w:rPr>
            </w:pPr>
            <w:r>
              <w:rPr>
                <w:b/>
                <w:bCs/>
                <w:highlight w:val="white"/>
              </w:rPr>
              <w:t xml:space="preserve">4.902.200.000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Bốn tỷ chín trăm lẻ hai triệu hai trăm nghìn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37"/>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rPr>
      </w:r>
    </w:p>
    <w:p>
      <w:pPr>
        <w:pStyle w:val="1037"/>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rPr>
      </w:r>
    </w:p>
    <w:p>
      <w:pPr>
        <w:pStyle w:val="1037"/>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rPr>
      </w:r>
    </w:p>
    <w:p>
      <w:pPr>
        <w:pStyle w:val="1037"/>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rPr>
      </w:r>
    </w:p>
    <w:p>
      <w:pPr>
        <w:pStyle w:val="1037"/>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rPr>
      </w:r>
    </w:p>
    <w:p>
      <w:pPr>
        <w:pStyle w:val="1037"/>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rPr>
      </w:r>
    </w:p>
    <w:p>
      <w:pPr>
        <w:pStyle w:val="1037"/>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rPr>
      </w:r>
    </w:p>
    <w:p>
      <w:pPr>
        <w:pStyle w:val="1037"/>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rPr>
      </w:r>
    </w:p>
    <w:p>
      <w:pPr>
        <w:pStyle w:val="1037"/>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rPr>
      </w:r>
    </w:p>
    <w:p>
      <w:pPr>
        <w:pStyle w:val="1037"/>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rPr>
      </w:r>
    </w:p>
    <w:p>
      <w:pPr>
        <w:pStyle w:val="1037"/>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rPr>
      </w:r>
    </w:p>
    <w:p>
      <w:pPr>
        <w:pStyle w:val="103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rPr>
      </w:r>
    </w:p>
    <w:p>
      <w:pPr>
        <w:pStyle w:val="103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rPr>
      </w:r>
    </w:p>
    <w:p>
      <w:pPr>
        <w:pStyle w:val="1037"/>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rPr>
      </w:r>
    </w:p>
    <w:p>
      <w:pPr>
        <w:pStyle w:val="1037"/>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rPr>
      </w:r>
    </w:p>
    <w:p>
      <w:pPr>
        <w:pStyle w:val="1037"/>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rPr>
      </w:r>
    </w:p>
    <w:p>
      <w:pPr>
        <w:pStyle w:val="1037"/>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rPr>
      </w:r>
    </w:p>
    <w:p>
      <w:pPr>
        <w:pStyle w:val="1037"/>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rPr>
      </w:r>
    </w:p>
    <w:p>
      <w:pPr>
        <w:pStyle w:val="1037"/>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rPr>
      </w:r>
    </w:p>
    <w:p>
      <w:pPr>
        <w:pStyle w:val="1037"/>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rPr>
      </w:r>
    </w:p>
    <w:p>
      <w:pPr>
        <w:pStyle w:val="1037"/>
        <w:numPr>
          <w:ilvl w:val="0"/>
          <w:numId w:val="5"/>
        </w:numPr>
        <w:pBdr/>
        <w:spacing w:after="120" w:before="120" w:line="288" w:lineRule="auto"/>
        <w:ind/>
        <w:jc w:val="both"/>
        <w:rPr>
          <w:highlight w:val="white"/>
        </w:rPr>
      </w:pPr>
      <w:r>
        <w:rPr>
          <w:highlight w:val="white"/>
          <w:lang w:val="vi-VN" w:bidi="vi-VN"/>
        </w:rPr>
      </w:r>
      <w:r>
        <w:rPr>
          <w:rFonts w:ascii="Times New Roman" w:hAnsi="Times New Roman" w:eastAsia="Times New Roman" w:cs="Times New Roman"/>
          <w:color w:val="000000"/>
          <w:sz w:val="24"/>
          <w:highlight w:val="white"/>
        </w:rPr>
        <w:t xml:space="preserve">Tại thời điểm khảo sát, dưới sự hướng dẫn của chủ tài sản, trên đất có CTXD Nhà 5 tầng, diện tích xây dựng khoảng 38,6m2, diện tích sàn xây dựng khoảng 193m2, sửa lại năm 2024. Công trình chưa được công nhận trên GCN QSDĐ số: AA 07546351. Đồng thời, Tổ thẩ</w:t>
      </w:r>
      <w:r>
        <w:rPr>
          <w:rFonts w:ascii="Times New Roman" w:hAnsi="Times New Roman" w:eastAsia="Times New Roman" w:cs="Times New Roman"/>
          <w:color w:val="000000"/>
          <w:sz w:val="24"/>
          <w:highlight w:val="white"/>
        </w:rPr>
        <w:t xml:space="preserve">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của tài sả</w:t>
      </w:r>
      <w:r>
        <w:rPr>
          <w:rFonts w:ascii="Times New Roman" w:hAnsi="Times New Roman" w:eastAsia="Times New Roman" w:cs="Times New Roman"/>
          <w:color w:val="000000"/>
          <w:sz w:val="24"/>
          <w:highlight w:val="white"/>
        </w:rPr>
        <w:t xml:space="preserve">n thẩm định. Kính đề nghị đơn vị sử dụng kết quả lưu ý</w:t>
      </w:r>
      <w:r>
        <w:rPr>
          <w:highlight w:val="white"/>
        </w:rPr>
      </w:r>
      <w:r>
        <w:rPr>
          <w:highlight w:val="white"/>
        </w:rPr>
      </w:r>
    </w:p>
    <w:p>
      <w:pPr>
        <w:pStyle w:val="1037"/>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rPr>
      </w:r>
    </w:p>
    <w:p>
      <w:pPr>
        <w:pStyle w:val="1037"/>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rPr>
      </w:r>
    </w:p>
    <w:p>
      <w:pPr>
        <w:pStyle w:val="1037"/>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rPr>
      </w:r>
    </w:p>
    <w:p>
      <w:pPr>
        <w:pStyle w:val="1037"/>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rPr>
      </w:r>
    </w:p>
    <w:p>
      <w:pPr>
        <w:pStyle w:val="1037"/>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rPr>
      </w:r>
    </w:p>
    <w:p>
      <w:pPr>
        <w:pStyle w:val="1037"/>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275/2026/1271/VFI-CT.44.A</w:t>
      </w:r>
      <w:r>
        <w:rPr>
          <w:color w:val="ff0000"/>
          <w:highlight w:val="white"/>
          <w:lang w:val="vi-VN"/>
        </w:rPr>
        <w:t xml:space="preserve"> </w:t>
      </w:r>
      <w:r>
        <w:rPr>
          <w:color w:val="000000" w:themeColor="text1"/>
          <w:highlight w:val="white"/>
        </w:rPr>
        <w:t xml:space="preserve">ngày 14 tháng 8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275/2026/1271/VFI-BC.44.A</w:t>
      </w:r>
      <w:r>
        <w:rPr>
          <w:i/>
          <w:highlight w:val="white"/>
          <w:lang w:val="pt-BR"/>
        </w:rPr>
        <w:t xml:space="preserve"> ngày </w:t>
      </w:r>
      <w:r>
        <w:rPr>
          <w:i/>
          <w:highlight w:val="white"/>
          <w:lang w:val="pt-BR"/>
        </w:rPr>
        <w:t xml:space="preserve">14 tháng 8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1192468" cy="258368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2461" name=""/>
                              <pic:cNvPicPr>
                                <a:picLocks noChangeAspect="1"/>
                              </pic:cNvPicPr>
                              <pic:nvPr/>
                            </pic:nvPicPr>
                            <pic:blipFill rotWithShape="1">
                              <a:blip r:embed="rId21"/>
                              <a:stretch/>
                            </pic:blipFill>
                            <pic:spPr bwMode="auto">
                              <a:xfrm flipH="0" flipV="0">
                                <a:off x="0" y="0"/>
                                <a:ext cx="1192468" cy="25836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3.90pt;height:203.44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57344" cy="2140769"/>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28556" name=""/>
                              <pic:cNvPicPr>
                                <a:picLocks noChangeAspect="1"/>
                              </pic:cNvPicPr>
                              <pic:nvPr/>
                            </pic:nvPicPr>
                            <pic:blipFill rotWithShape="1">
                              <a:blip r:embed="rId22"/>
                              <a:stretch/>
                            </pic:blipFill>
                            <pic:spPr bwMode="auto">
                              <a:xfrm flipH="0" flipV="0">
                                <a:off x="0" y="0"/>
                                <a:ext cx="2857344" cy="21407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4.99pt;height:168.56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70192" cy="207764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36262" name=""/>
                              <pic:cNvPicPr>
                                <a:picLocks noChangeAspect="1"/>
                              </pic:cNvPicPr>
                              <pic:nvPr/>
                            </pic:nvPicPr>
                            <pic:blipFill rotWithShape="1">
                              <a:blip r:embed="rId23"/>
                              <a:stretch/>
                            </pic:blipFill>
                            <pic:spPr bwMode="auto">
                              <a:xfrm flipH="0" flipV="0">
                                <a:off x="0" y="0"/>
                                <a:ext cx="2770191" cy="20776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8.13pt;height:163.59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01941" cy="210145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884230" name=""/>
                              <pic:cNvPicPr>
                                <a:picLocks noChangeAspect="1"/>
                              </pic:cNvPicPr>
                              <pic:nvPr/>
                            </pic:nvPicPr>
                            <pic:blipFill rotWithShape="1">
                              <a:blip r:embed="rId24"/>
                              <a:stretch/>
                            </pic:blipFill>
                            <pic:spPr bwMode="auto">
                              <a:xfrm flipH="0" flipV="0">
                                <a:off x="0" y="0"/>
                                <a:ext cx="2801940" cy="21014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63pt;height:165.47pt;mso-wrap-distance-left:0.00pt;mso-wrap-distance-top:0.00pt;mso-wrap-distance-right:0.00pt;mso-wrap-distance-bottom:0.00pt;z-index:1;" stroked="false">
                      <v:imagedata r:id="rId24" o:title=""/>
                      <o:lock v:ext="edit" rotation="t"/>
                    </v:shape>
                  </w:pict>
                </mc:Fallback>
              </mc:AlternateContent>
            </w:r>
            <w:r>
              <w:rPr>
                <w:i/>
                <w:highlight w:val="white"/>
                <w:lang w:val="pt-BR"/>
              </w:rPr>
            </w:r>
            <w:r>
              <w:rPr>
                <w:i/>
                <w:highlight w:val="white"/>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31774" cy="212383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28356" name=""/>
                              <pic:cNvPicPr>
                                <a:picLocks noChangeAspect="1"/>
                              </pic:cNvPicPr>
                              <pic:nvPr/>
                            </pic:nvPicPr>
                            <pic:blipFill rotWithShape="1">
                              <a:blip r:embed="rId25"/>
                              <a:stretch/>
                            </pic:blipFill>
                            <pic:spPr bwMode="auto">
                              <a:xfrm flipH="0" flipV="0">
                                <a:off x="0" y="0"/>
                                <a:ext cx="2831774" cy="21238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97pt;height:167.23pt;mso-wrap-distance-left:0.00pt;mso-wrap-distance-top:0.00pt;mso-wrap-distance-right:0.00pt;mso-wrap-distance-bottom:0.00pt;z-index:1;" stroked="false">
                      <v:imagedata r:id="rId25" o:title=""/>
                      <o:lock v:ext="edit" rotation="t"/>
                    </v:shape>
                  </w:pict>
                </mc:Fallback>
              </mc:AlternateContent>
            </w:r>
            <w:r>
              <w:rPr>
                <w:i/>
                <w:highlight w:val="white"/>
                <w:lang w:val="pt-BR"/>
              </w:rPr>
            </w:r>
            <w:r>
              <w:rPr>
                <w:i/>
                <w:highlight w:val="white"/>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61006" cy="214575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88085" name=""/>
                              <pic:cNvPicPr>
                                <a:picLocks noChangeAspect="1"/>
                              </pic:cNvPicPr>
                              <pic:nvPr/>
                            </pic:nvPicPr>
                            <pic:blipFill rotWithShape="1">
                              <a:blip r:embed="rId26"/>
                              <a:stretch/>
                            </pic:blipFill>
                            <pic:spPr bwMode="auto">
                              <a:xfrm flipH="0" flipV="0">
                                <a:off x="0" y="0"/>
                                <a:ext cx="2861006" cy="21457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5.28pt;height:168.96pt;mso-wrap-distance-left:0.00pt;mso-wrap-distance-top:0.00pt;mso-wrap-distance-right:0.00pt;mso-wrap-distance-bottom:0.00pt;z-index:1;" stroked="false">
                      <v:imagedata r:id="rId26" o:title=""/>
                      <o:lock v:ext="edit" rotation="t"/>
                    </v:shape>
                  </w:pict>
                </mc:Fallback>
              </mc:AlternateContent>
            </w:r>
            <w:r>
              <w:rPr>
                <w:b/>
                <w:bCs/>
                <w:i/>
                <w:highlight w:val="white"/>
                <w:lang w:val="pt-BR"/>
              </w:rPr>
            </w:r>
            <w:r>
              <w:rPr>
                <w:b/>
                <w:bCs/>
                <w:i/>
                <w:highlight w:val="white"/>
              </w:rPr>
            </w:r>
          </w:p>
        </w:tc>
      </w:tr>
    </w:tbl>
    <w:p>
      <w:pPr>
        <w:pBdr/>
        <w:spacing/>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br w:type="page" w:clear="all"/>
      </w:r>
      <w:r>
        <w:rPr>
          <w:highlight w:val="white"/>
        </w:rPr>
      </w:r>
      <w:r>
        <w:rPr>
          <w:highlight w:val="white"/>
        </w:rPr>
      </w:r>
    </w:p>
    <w:p>
      <w:pPr>
        <w:pBdr/>
        <w:spacing w:after="200" w:line="276" w:lineRule="auto"/>
        <w:ind/>
        <w:jc w:val="center"/>
        <w:rPr>
          <w:b/>
          <w:bCs/>
          <w:highlight w:val="white"/>
          <w:u w:val="single"/>
        </w:rPr>
      </w:pPr>
      <w:r>
        <w:rPr>
          <w:b/>
          <w:highlight w:val="white"/>
          <w:u w:val="single"/>
          <w:lang w:val="vi-VN"/>
        </w:rPr>
      </w:r>
      <w:r>
        <w:rPr>
          <w:highlight w:val="white"/>
        </w:rPr>
        <mc:AlternateContent>
          <mc:Choice Requires="wpg">
            <w:drawing>
              <wp:inline xmlns:wp="http://schemas.openxmlformats.org/drawingml/2006/wordprocessingDrawing" distT="0" distB="0" distL="0" distR="0">
                <wp:extent cx="6048375" cy="789321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45795" name=""/>
                        <pic:cNvPicPr>
                          <a:picLocks noChangeAspect="1"/>
                        </pic:cNvPicPr>
                        <pic:nvPr/>
                      </pic:nvPicPr>
                      <pic:blipFill rotWithShape="1">
                        <a:blip r:embed="rId27"/>
                        <a:stretch/>
                      </pic:blipFill>
                      <pic:spPr bwMode="auto">
                        <a:xfrm>
                          <a:off x="0" y="0"/>
                          <a:ext cx="6048374" cy="78932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21.51pt;mso-wrap-distance-left:0.00pt;mso-wrap-distance-top:0.00pt;mso-wrap-distance-right:0.00pt;mso-wrap-distance-bottom:0.00pt;z-index:1;" stroked="false">
                <v:imagedata r:id="rId27" o:title=""/>
                <o:lock v:ext="edit" rotation="t"/>
              </v:shape>
            </w:pict>
          </mc:Fallback>
        </mc:AlternateContent>
      </w:r>
      <w:r>
        <w:rPr>
          <w:highlight w:val="white"/>
        </w:rPr>
        <mc:AlternateContent>
          <mc:Choice Requires="wpg">
            <w:drawing>
              <wp:inline xmlns:wp="http://schemas.openxmlformats.org/drawingml/2006/wordprocessingDrawing" distT="0" distB="0" distL="0" distR="0">
                <wp:extent cx="6048375" cy="787869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14461" name=""/>
                        <pic:cNvPicPr>
                          <a:picLocks noChangeAspect="1"/>
                        </pic:cNvPicPr>
                        <pic:nvPr/>
                      </pic:nvPicPr>
                      <pic:blipFill rotWithShape="1">
                        <a:blip r:embed="rId28"/>
                        <a:stretch/>
                      </pic:blipFill>
                      <pic:spPr bwMode="auto">
                        <a:xfrm>
                          <a:off x="0" y="0"/>
                          <a:ext cx="6048374" cy="78786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20.37pt;mso-wrap-distance-left:0.00pt;mso-wrap-distance-top:0.00pt;mso-wrap-distance-right:0.00pt;mso-wrap-distance-bottom:0.00pt;z-index:1;" stroked="false">
                <v:imagedata r:id="rId28" o:title=""/>
                <o:lock v:ext="edit" rotation="t"/>
              </v:shape>
            </w:pict>
          </mc:Fallback>
        </mc:AlternateContent>
      </w:r>
      <w:r>
        <w:rPr>
          <w:highlight w:val="white"/>
        </w:rPr>
        <mc:AlternateContent>
          <mc:Choice Requires="wpg">
            <w:drawing>
              <wp:inline xmlns:wp="http://schemas.openxmlformats.org/drawingml/2006/wordprocessingDrawing" distT="0" distB="0" distL="0" distR="0">
                <wp:extent cx="6048375" cy="799093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737344" name=""/>
                        <pic:cNvPicPr>
                          <a:picLocks noChangeAspect="1"/>
                        </pic:cNvPicPr>
                        <pic:nvPr/>
                      </pic:nvPicPr>
                      <pic:blipFill rotWithShape="1">
                        <a:blip r:embed="rId29"/>
                        <a:srcRect l="0" t="0" r="0" b="912"/>
                        <a:stretch/>
                      </pic:blipFill>
                      <pic:spPr bwMode="auto">
                        <a:xfrm flipH="0" flipV="0">
                          <a:off x="0" y="0"/>
                          <a:ext cx="6048374" cy="7990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29.21pt;mso-wrap-distance-left:0.00pt;mso-wrap-distance-top:0.00pt;mso-wrap-distance-right:0.00pt;mso-wrap-distance-bottom:0.00pt;z-index:1;" stroked="false">
                <v:imagedata r:id="rId29" o:title="" croptop="0f" cropleft="0f" cropbottom="598f" cropright="0f"/>
                <o:lock v:ext="edit" rotation="t"/>
              </v:shape>
            </w:pict>
          </mc:Fallback>
        </mc:AlternateContent>
      </w:r>
      <w:r>
        <w:rPr>
          <w:b/>
          <w:bCs/>
          <w:highlight w:val="white"/>
          <w:u w:val="single"/>
          <w:lang w:val="vi-VN"/>
        </w:rPr>
      </w:r>
      <w:r>
        <w:rPr>
          <w:b/>
          <w:bCs/>
          <w:highlight w:val="white"/>
          <w:u w:val="single"/>
        </w:rPr>
      </w:r>
    </w:p>
    <w:p>
      <w:pPr>
        <w:pBdr/>
        <w:spacing w:after="200" w:line="276" w:lineRule="auto"/>
        <w:ind/>
        <w:jc w:val="center"/>
        <w:rPr>
          <w:bCs/>
          <w:i/>
          <w:highlight w:val="white"/>
        </w:rPr>
      </w:pPr>
      <w:r>
        <w:rPr>
          <w:b/>
          <w:highlight w:val="white"/>
        </w:rPr>
      </w:r>
      <w:r>
        <w:rPr>
          <w:bCs/>
          <w:i/>
          <w:highlight w:val="white"/>
          <w:lang w:val="pt-BR"/>
        </w:rPr>
      </w:r>
      <w:r>
        <w:rPr>
          <w:bCs/>
          <w:i/>
          <w:highlight w:val="white"/>
        </w:rPr>
      </w:r>
    </w:p>
    <w:p>
      <w:pPr>
        <w:pBdr/>
        <w:spacing w:after="200" w:line="276" w:lineRule="auto"/>
        <w:ind/>
        <w:jc w:val="center"/>
        <w:rPr>
          <w:b/>
          <w:bCs/>
          <w:highlight w:val="white"/>
        </w:rPr>
      </w:pPr>
      <w:r>
        <w:rPr>
          <w:b/>
          <w:highlight w:val="white"/>
        </w:rPr>
      </w:r>
      <w:r>
        <w:rPr>
          <w:b/>
          <w:bCs/>
          <w:highlight w:val="white"/>
        </w:rPr>
      </w:r>
      <w:r>
        <w:rPr>
          <w:b/>
          <w:bCs/>
          <w:highlight w:val="white"/>
        </w:rPr>
      </w:r>
    </w:p>
    <w:p>
      <w:pPr>
        <w:pBdr/>
        <w:spacing w:after="200" w:line="276" w:lineRule="auto"/>
        <w:ind/>
        <w:jc w:val="center"/>
        <w:rPr>
          <w:b/>
          <w:bCs/>
          <w:highlight w:val="white"/>
        </w:rPr>
      </w:pPr>
      <w:r>
        <w:rPr>
          <w:b/>
          <w:highlight w:val="white"/>
        </w:rPr>
      </w:r>
      <w:r>
        <w:rPr>
          <w:b/>
          <w:bCs/>
          <w:highlight w:val="white"/>
        </w:rPr>
      </w:r>
      <w:r>
        <w:rPr>
          <w:b/>
          <w:bCs/>
          <w:highlight w:val="white"/>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w:t>
      </w:r>
      <w:r>
        <w:rPr>
          <w:b/>
          <w:highlight w:val="white"/>
          <w:lang w:val="vi-VN"/>
        </w:rPr>
        <w:t xml:space="preserve">U THẬP THỊ</w:t>
      </w:r>
      <w:r>
        <w:rPr>
          <w:b/>
          <w:highlight w:val="white"/>
          <w:lang w:val="vi-VN"/>
        </w:rPr>
        <w:t xml:space="preserve"> TRƯỜN</w:t>
      </w:r>
      <w:r>
        <w:rPr>
          <w:b/>
          <w:highlight w:val="white"/>
        </w:rPr>
        <w:t xml:space="preserve">G</w:t>
      </w:r>
      <w:r>
        <w:rPr>
          <w:b/>
          <w:bCs/>
          <w:highlight w:val="white"/>
        </w:rPr>
      </w:r>
      <w:r>
        <w:rPr>
          <w:b/>
          <w:bCs/>
          <w:highlight w:val="white"/>
        </w:rPr>
      </w:r>
    </w:p>
    <w:p>
      <w:pPr>
        <w:pBdr/>
        <w:spacing/>
        <w:ind/>
        <w:jc w:val="center"/>
        <w:rPr>
          <w:i/>
          <w:highlight w:val="white"/>
        </w:rPr>
      </w:pPr>
      <w:r>
        <w:rPr>
          <w:i/>
          <w:highlight w:val="white"/>
          <w:lang w:val="pt-BR"/>
        </w:rPr>
        <w:t xml:space="preserve">(Kèm theo Báo cáo thẩm định số </w:t>
      </w:r>
      <w:r>
        <w:rPr>
          <w:i/>
          <w:highlight w:val="white"/>
        </w:rPr>
        <w:t xml:space="preserve">275/2026/1271/VFI-BC.44.A</w:t>
      </w:r>
      <w:r>
        <w:rPr>
          <w:i/>
          <w:highlight w:val="white"/>
          <w:lang w:val="pt-BR"/>
        </w:rPr>
        <w:t xml:space="preserve"> </w:t>
      </w:r>
      <w:r>
        <w:rPr>
          <w:i/>
          <w:highlight w:val="white"/>
          <w:lang w:val="pt-BR"/>
        </w:rPr>
        <w:t xml:space="preserve">ngày 14 tháng 8 năm 2026</w:t>
      </w:r>
      <w:r>
        <w:rPr>
          <w:i/>
          <w:highlight w:val="white"/>
          <w:lang w:val="pt-BR"/>
        </w:rPr>
        <w:t xml:space="preserve"> </w:t>
      </w:r>
      <w:r>
        <w:rPr>
          <w:i/>
          <w:highlight w:val="white"/>
          <w:lang w:val="pt-BR"/>
        </w:rPr>
        <w:t xml:space="preserve">của </w:t>
      </w:r>
      <w:r>
        <w:rPr>
          <w:i/>
          <w:highlight w:val="white"/>
          <w:lang w:val="pt-BR"/>
        </w:rPr>
      </w:r>
      <w:r>
        <w:rPr>
          <w:i/>
          <w:highlight w:val="white"/>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0949075662</w:t>
            </w:r>
            <w:r>
              <w:rPr>
                <w:sz w:val="22"/>
                <w:szCs w:val="22"/>
                <w:highlight w:val="white"/>
              </w:rPr>
              <w:t xml:space="preserve"> </w:t>
            </w:r>
            <w:r>
              <w:rPr>
                <w:sz w:val="22"/>
                <w:szCs w:val="22"/>
                <w:highlight w:val="white"/>
              </w:rPr>
              <w:br/>
              <w:t xml:space="preserve">(Hoàng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13.800.000.000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11.730.000.000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(92m²)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w:t>
            </w:r>
            <w:r>
              <w:rPr>
                <w:color w:val="000000" w:themeColor="text1"/>
                <w:sz w:val="22"/>
                <w:szCs w:val="22"/>
                <w:highlight w:val="white"/>
              </w:rPr>
              <w:t xml:space="preserve"> Nghách của ngõ 121 đường Tây Mỗ, Xã Đại Mỗ, Quận Nam Từ Liêm, Thành phố Hà Nội, độ rộng đường trước mặt tài sản 2m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92</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Các</w:t>
            </w:r>
            <w:r>
              <w:rPr>
                <w:color w:val="000000"/>
                <w:sz w:val="22"/>
                <w:szCs w:val="22"/>
                <w:highlight w:val="white"/>
              </w:rPr>
              <w:t xml:space="preserve"> bất lợi thương mại </w:t>
            </w:r>
            <w:r>
              <w:rPr>
                <w:color w:val="000000"/>
                <w:sz w:val="22"/>
                <w:szCs w:val="22"/>
                <w:highlight w:val="white"/>
              </w:rPr>
              <w:t xml:space="preserve">của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Không có bất lợi thương mại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abs>
                <w:tab w:val="center" w:leader="none" w:pos="2139"/>
              </w:tabs>
              <w:spacing w:line="276" w:lineRule="auto"/>
              <w:ind/>
              <w:jc w:val="center"/>
              <w:rPr>
                <w:sz w:val="22"/>
                <w:szCs w:val="22"/>
                <w:highlight w:val="white"/>
              </w:rPr>
            </w:pPr>
            <w:r>
              <w:rPr>
                <w:sz w:val="22"/>
                <w:szCs w:val="22"/>
                <w:highlight w:val="white"/>
              </w:rPr>
            </w:r>
            <w:r>
              <w:rPr>
                <w:sz w:val="22"/>
                <w:szCs w:val="22"/>
                <w:highlight w:val="white"/>
              </w:rPr>
              <w:t xml:space="preserve">Nhà đã cũ, giá trị không đáng kể</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776263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776263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611.2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mc:AlternateContent>
                <mc:Choice Requires="wpg">
                  <w:drawing>
                    <wp:inline xmlns:wp="http://schemas.openxmlformats.org/drawingml/2006/wordprocessingDrawing" distT="0" distB="0" distL="0" distR="0">
                      <wp:extent cx="4109063" cy="308179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80982" name=""/>
                              <pic:cNvPicPr>
                                <a:picLocks noChangeAspect="1"/>
                              </pic:cNvPicPr>
                              <pic:nvPr/>
                            </pic:nvPicPr>
                            <pic:blipFill rotWithShape="1">
                              <a:blip r:embed="rId32"/>
                              <a:stretch/>
                            </pic:blipFill>
                            <pic:spPr bwMode="auto">
                              <a:xfrm flipH="0" flipV="0">
                                <a:off x="0" y="0"/>
                                <a:ext cx="4109063" cy="30817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23.55pt;height:242.66pt;mso-wrap-distance-left:0.00pt;mso-wrap-distance-top:0.00pt;mso-wrap-distance-right:0.00pt;mso-wrap-distance-bottom:0.00pt;z-index:1;" stroked="false">
                      <v:imagedata r:id="rId32" o:title=""/>
                      <o:lock v:ext="edit" rotation="t"/>
                    </v:shape>
                  </w:pict>
                </mc:Fallback>
              </mc:AlternateContent>
            </w:r>
            <w:r>
              <w:rPr>
                <w:highlight w:val="white"/>
              </w:rPr>
              <mc:AlternateContent>
                <mc:Choice Requires="wpg">
                  <w:drawing>
                    <wp:inline xmlns:wp="http://schemas.openxmlformats.org/drawingml/2006/wordprocessingDrawing" distT="0" distB="0" distL="0" distR="0">
                      <wp:extent cx="6048375" cy="15562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83769" name=""/>
                              <pic:cNvPicPr>
                                <a:picLocks noChangeAspect="1"/>
                              </pic:cNvPicPr>
                              <pic:nvPr/>
                            </pic:nvPicPr>
                            <pic:blipFill rotWithShape="1">
                              <a:blip r:embed="rId33"/>
                              <a:stretch/>
                            </pic:blipFill>
                            <pic:spPr bwMode="auto">
                              <a:xfrm>
                                <a:off x="0" y="0"/>
                                <a:ext cx="6048374" cy="15562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122.54pt;mso-wrap-distance-left:0.00pt;mso-wrap-distance-top:0.00pt;mso-wrap-distance-right:0.00pt;mso-wrap-distance-bottom:0.00pt;z-index:1;" stroked="false">
                      <v:imagedata r:id="rId33" o:title=""/>
                      <o:lock v:ext="edit" rotation="t"/>
                    </v:shape>
                  </w:pict>
                </mc:Fallback>
              </mc:AlternateContent>
            </w:r>
            <w:r>
              <w:rPr>
                <w:color w:val="000000"/>
                <w:sz w:val="22"/>
                <w:szCs w:val="22"/>
                <w:highlight w:val="white"/>
              </w:rPr>
            </w:r>
            <w:r>
              <w:rPr>
                <w:color w:val="000000"/>
                <w:sz w:val="22"/>
                <w:szCs w:val="22"/>
                <w:highlight w:val="white"/>
              </w:rPr>
            </w:r>
          </w:p>
          <w:p>
            <w:pPr>
              <w:pBdr/>
              <w:spacing/>
              <w:ind/>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w:r>
            <w:r>
              <w:rPr>
                <w:highlight w:val="white"/>
              </w:rPr>
            </w:r>
          </w:p>
        </w:tc>
      </w:tr>
    </w:tbl>
    <w:p>
      <w:pPr>
        <w:pBdr/>
        <w:spacing w:after="200" w:line="276" w:lineRule="auto"/>
        <w:ind/>
        <w:jc w:val="left"/>
        <w:rPr>
          <w:b/>
          <w:bCs/>
          <w:iCs/>
          <w:highlight w:val="white"/>
        </w:rPr>
      </w:pPr>
      <w:r>
        <w:rPr>
          <w:b/>
          <w:bCs/>
          <w:iCs/>
          <w:highlight w:val="white"/>
          <w:lang w:val="pt-BR"/>
        </w:rPr>
      </w:r>
      <w:r>
        <w:rPr>
          <w:b/>
          <w:bCs/>
          <w:iCs/>
          <w:highlight w:val="white"/>
          <w:lang w:val="pt-BR"/>
        </w:rPr>
      </w:r>
      <w:r>
        <w:rPr>
          <w:b/>
          <w:bCs/>
          <w:iCs/>
          <w:highlight w:val="white"/>
        </w:rPr>
      </w:r>
    </w:p>
    <w:p>
      <w:pPr>
        <w:pBdr/>
        <w:shd w:val="nil" w:color="auto"/>
        <w:spacing/>
        <w:ind/>
        <w:rPr>
          <w:b/>
          <w:bCs/>
          <w:highlight w:val="white"/>
        </w:rPr>
      </w:pPr>
      <w:r>
        <w:rPr>
          <w:b/>
          <w:bCs/>
          <w:iCs/>
          <w:highlight w:val="white"/>
          <w:lang w:val="pt-BR"/>
        </w:rPr>
        <w:br w:type="page" w:clear="all"/>
      </w:r>
      <w:r>
        <w:rPr>
          <w:b/>
          <w:bCs/>
          <w:iCs/>
          <w:highlight w:val="white"/>
          <w:lang w:val="pt-BR"/>
        </w:rPr>
      </w:r>
      <w:r>
        <w:rPr>
          <w:b/>
          <w:bCs/>
          <w:highlight w:val="white"/>
        </w:rPr>
      </w:r>
    </w:p>
    <w:p>
      <w:pPr>
        <w:pBdr/>
        <w:spacing w:after="200" w:line="276" w:lineRule="auto"/>
        <w:ind/>
        <w:jc w:val="center"/>
        <w:rPr>
          <w:b/>
          <w:bCs/>
          <w:iCs/>
          <w:highlight w:val="white"/>
        </w:rPr>
      </w:pPr>
      <w:r>
        <w:rPr>
          <w:b/>
          <w:bCs/>
          <w:iCs/>
          <w:highlight w:val="white"/>
          <w:lang w:val="pt-BR"/>
        </w:rPr>
      </w:r>
      <w:r>
        <w:rPr>
          <w:b/>
          <w:bCs/>
          <w:iCs/>
          <w:highlight w:val="white"/>
          <w:lang w:val="pt-BR"/>
        </w:rPr>
        <w:t xml:space="preserve">TSSS2</w:t>
      </w:r>
      <w:r>
        <w:rPr>
          <w:b/>
          <w:bCs/>
          <w:iCs/>
          <w:highlight w:val="white"/>
          <w:lang w:val="pt-BR"/>
        </w:rPr>
      </w:r>
      <w:r>
        <w:rPr>
          <w:b/>
          <w:bCs/>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0964234476</w:t>
            </w:r>
            <w:r>
              <w:rPr>
                <w:sz w:val="22"/>
                <w:szCs w:val="22"/>
                <w:highlight w:val="white"/>
              </w:rPr>
              <w:t xml:space="preserve"> </w:t>
            </w:r>
            <w:r>
              <w:rPr>
                <w:sz w:val="22"/>
                <w:szCs w:val="22"/>
                <w:highlight w:val="white"/>
              </w:rPr>
              <w:br/>
              <w:t xml:space="preserve">(Tùng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8.600.000.000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7.740.000.000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(68m²)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w:t>
            </w:r>
            <w:r>
              <w:rPr>
                <w:color w:val="000000" w:themeColor="text1"/>
                <w:sz w:val="22"/>
                <w:szCs w:val="22"/>
                <w:highlight w:val="white"/>
              </w:rPr>
              <w:t xml:space="preserve">i: Ngách của ngõ 121 đường Tây Mỗ, Xã Đại Mỗ, Quận Nam Từ Liêm, Thành phố Hà Nội, Độ rộng đường trước mặt tài sản 2m.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nhựa không có vỉa hè</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68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1 mặt tiền</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Các </w:t>
            </w:r>
            <w:r>
              <w:rPr>
                <w:color w:val="000000"/>
                <w:sz w:val="22"/>
                <w:szCs w:val="22"/>
                <w:highlight w:val="white"/>
              </w:rPr>
              <w:t xml:space="preserve">bất lợi thương mại </w:t>
            </w:r>
            <w:r>
              <w:rPr>
                <w:color w:val="000000"/>
                <w:sz w:val="22"/>
                <w:szCs w:val="22"/>
                <w:highlight w:val="white"/>
              </w:rPr>
              <w:t xml:space="preserve">của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Ngõ cụt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Nhà đã cũ, giá trị không đáng kể</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806890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806890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635.35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br/>
            </w: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highlight w:val="white"/>
              </w:rPr>
              <mc:AlternateContent>
                <mc:Choice Requires="wpg">
                  <w:drawing>
                    <wp:inline xmlns:wp="http://schemas.openxmlformats.org/drawingml/2006/wordprocessingDrawing" distT="0" distB="0" distL="0" distR="0">
                      <wp:extent cx="5495925" cy="53244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53571" name=""/>
                              <pic:cNvPicPr>
                                <a:picLocks noChangeAspect="1"/>
                              </pic:cNvPicPr>
                              <pic:nvPr/>
                            </pic:nvPicPr>
                            <pic:blipFill rotWithShape="1">
                              <a:blip r:embed="rId36"/>
                              <a:stretch/>
                            </pic:blipFill>
                            <pic:spPr bwMode="auto">
                              <a:xfrm>
                                <a:off x="0" y="0"/>
                                <a:ext cx="5495924" cy="53244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32.75pt;height:419.25pt;mso-wrap-distance-left:0.00pt;mso-wrap-distance-top:0.00pt;mso-wrap-distance-right:0.00pt;mso-wrap-distance-bottom:0.00pt;z-index:1;" stroked="false">
                      <v:imagedata r:id="rId36"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left"/>
        <w:rPr>
          <w:iCs/>
          <w:highlight w:val="white"/>
        </w:rPr>
      </w:pPr>
      <w:r>
        <w:rPr>
          <w:iCs/>
          <w:highlight w:val="white"/>
          <w:lang w:val="pt-BR"/>
        </w:rPr>
      </w:r>
      <w:r>
        <w:rPr>
          <w:iCs/>
          <w:highlight w:val="white"/>
          <w:lang w:val="pt-BR"/>
        </w:rPr>
      </w:r>
      <w:r>
        <w:rPr>
          <w:iCs/>
          <w:highlight w:val="white"/>
        </w:rPr>
      </w:r>
    </w:p>
    <w:p>
      <w:pPr>
        <w:pBdr/>
        <w:spacing w:after="200" w:line="276" w:lineRule="auto"/>
        <w:ind/>
        <w:rPr>
          <w:iCs/>
          <w:highlight w:val="white"/>
        </w:rPr>
      </w:pPr>
      <w:r>
        <w:rPr>
          <w:iCs/>
          <w:highlight w:val="white"/>
          <w:lang w:val="pt-BR"/>
        </w:rPr>
      </w:r>
      <w:r>
        <w:rPr>
          <w:iCs/>
          <w:highlight w:val="white"/>
          <w:lang w:val="pt-BR"/>
        </w:rPr>
      </w:r>
      <w:r>
        <w:rPr>
          <w:iCs/>
          <w:highlight w:val="white"/>
        </w:rPr>
      </w:r>
    </w:p>
    <w:p>
      <w:pPr>
        <w:pBdr/>
        <w:spacing w:after="200" w:line="276" w:lineRule="auto"/>
        <w:ind/>
        <w:jc w:val="center"/>
        <w:rPr>
          <w:iCs/>
          <w:highlight w:val="white"/>
        </w:rPr>
      </w:pPr>
      <w:r>
        <w:rPr>
          <w:iCs/>
          <w:highlight w:val="white"/>
          <w:lang w:val="pt-BR"/>
        </w:rPr>
      </w:r>
      <w:r>
        <w:rPr>
          <w:b/>
          <w:bCs/>
          <w:iCs/>
          <w:highlight w:val="white"/>
          <w:lang w:val="pt-BR"/>
        </w:rPr>
        <w:t xml:space="preserve">TSSS 3</w:t>
      </w:r>
      <w:r>
        <w:rPr>
          <w:iCs/>
          <w:highlight w:val="white"/>
          <w:lang w:val="pt-BR"/>
        </w:rPr>
      </w:r>
      <w:r>
        <w:rPr>
          <w:iCs/>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https://alonhadat.com.vn/ban-can-dong-tien-ccmn-hon-500-trieu-nam-thoang-full-noi-that-duoi-10-ty--15406938.html</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0972078667</w:t>
            </w:r>
            <w:r>
              <w:rPr>
                <w:sz w:val="22"/>
                <w:szCs w:val="22"/>
                <w:highlight w:val="white"/>
              </w:rPr>
              <w:t xml:space="preserve"> </w:t>
            </w:r>
            <w:r>
              <w:rPr>
                <w:sz w:val="22"/>
                <w:szCs w:val="22"/>
                <w:highlight w:val="white"/>
              </w:rPr>
              <w:br/>
              <w:t xml:space="preserve">(Thế</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9.900.000.000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8.910.000.000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08/2026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Mục đích sử dụng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Đất ở tại đô thị (50m²)</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Đất ở tại đô thị – Lâu dài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Tài sản tại: Phường Đại Mỗ, Thành phố Hà Nội, độ rộng đường trước mặt tài sản 4m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Giao thông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Đường bê tông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Mặt tiền (m)</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Tiếp giáp 2 mặt ngõ</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Hình dáng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Hình chữ nhật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Các </w:t>
            </w:r>
            <w:r>
              <w:rPr>
                <w:color w:val="000000"/>
                <w:sz w:val="22"/>
                <w:szCs w:val="22"/>
                <w:highlight w:val="white"/>
              </w:rPr>
              <w:t xml:space="preserve">bất lợi thương mại </w:t>
            </w:r>
            <w:r>
              <w:rPr>
                <w:color w:val="000000"/>
                <w:sz w:val="22"/>
                <w:szCs w:val="22"/>
                <w:highlight w:val="white"/>
              </w:rPr>
              <w:t xml:space="preserve">của thửa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Không có bất lợi thương mại</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CTXD trên đất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Đất trống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653075"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6530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66.38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t xml:space="preserve">Hình ảnh</w:t>
            </w:r>
            <w:r>
              <w:rPr>
                <w:color w:val="000000"/>
                <w:sz w:val="22"/>
                <w:szCs w:val="22"/>
                <w:highlight w:val="white"/>
              </w:rPr>
              <w:t xml:space="preserve"> tổng quan tài sản</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2399559"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23995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8.94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Lê Đình Duy</w:t>
            </w:r>
            <w:r>
              <w:rPr>
                <w:b/>
                <w:bCs/>
                <w:highlight w:val="white"/>
              </w:rPr>
            </w:r>
            <w:r>
              <w:rPr>
                <w:b/>
                <w:bCs/>
                <w:highlight w:val="white"/>
              </w:rPr>
            </w:r>
          </w:p>
        </w:tc>
      </w:tr>
    </w:tbl>
    <w:p>
      <w:pPr>
        <w:pBdr/>
        <w:spacing w:after="200" w:line="276" w:lineRule="auto"/>
        <w:ind/>
        <w:rPr>
          <w:iCs/>
          <w:highlight w:val="white"/>
        </w:rPr>
      </w:pPr>
      <w:r>
        <w:rPr>
          <w:iCs/>
          <w:highlight w:val="white"/>
          <w:lang w:val="pt-BR"/>
        </w:rPr>
      </w:r>
      <w:r>
        <w:rPr>
          <w:iCs/>
          <w:highlight w:val="white"/>
          <w:lang w:val="pt-BR"/>
        </w:rPr>
      </w:r>
      <w:r>
        <w:rPr>
          <w:iCs/>
          <w:highlight w:val="white"/>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hyperlink" Target="https://nhandan.vn/nua-dau-nam-2026-thi-truong-bat-dong-san-ha-noi-phan-hoa-ro-net-ve-khong-gian-vung-post975957.html)"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png"/><Relationship Id="rId29" Type="http://schemas.openxmlformats.org/officeDocument/2006/relationships/image" Target="media/image13.png"/><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image" Target="media/image16.jpg"/><Relationship Id="rId33" Type="http://schemas.openxmlformats.org/officeDocument/2006/relationships/image" Target="media/image17.jpg"/><Relationship Id="rId34" Type="http://schemas.openxmlformats.org/officeDocument/2006/relationships/image" Target="media/image18.jpg"/><Relationship Id="rId35" Type="http://schemas.openxmlformats.org/officeDocument/2006/relationships/image" Target="media/image19.jpg"/><Relationship Id="rId36" Type="http://schemas.openxmlformats.org/officeDocument/2006/relationships/image" Target="media/image20.jpg"/><Relationship Id="rId37" Type="http://schemas.openxmlformats.org/officeDocument/2006/relationships/image" Target="media/image21.png"/><Relationship Id="rId38"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287</cp:revision>
  <dcterms:created xsi:type="dcterms:W3CDTF">2025-09-15T09:58:00Z</dcterms:created>
  <dcterms:modified xsi:type="dcterms:W3CDTF">2026-08-26T08:08:36Z</dcterms:modified>
</cp:coreProperties>
</file>