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left"/>
        <w:rPr>
          <w:b/>
          <w:sz w:val="28"/>
          <w:lang w:val="vi-VN"/>
        </w:rPr>
      </w:pPr>
      <w:r>
        <w:rPr>
          <w:b/>
          <w:sz w:val="28"/>
          <w:lang w:val="vi-VN"/>
        </w:rPr>
      </w:r>
      <w:r>
        <w:rPr>
          <w:b/>
          <w:sz w:val="28"/>
          <w:lang w:val="vi-VN"/>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3334974"/>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3334974"/>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 </w:t>
                            </w:r>
                            <w:r>
                              <w:rPr>
                                <w:b/>
                                <w:color w:val="000000" w:themeColor="text1"/>
                              </w:rPr>
                              <w:t xml:space="preserve">275/2026/1257/VFI-CT.C01.A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Ông Nguyễn Văn Cầu</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 sản thẩm </w:t>
                            </w:r>
                            <w:r>
                              <w:rPr>
                                <w:b/>
                              </w:rPr>
                              <w:t xml:space="preserve">định: </w:t>
                            </w:r>
                            <w:r>
                              <w:rPr>
                                <w:color w:val="000000"/>
                              </w:rPr>
                              <w:t xml:space="preserve">Quyền sử dụng đất tại Thửa đất số 100, tờ bản đồ số: 26, địa chỉ: Thôn Du Đồng, xã Đại Hùng, huyện Ứng Hòa, thành phố Hà Nội</w:t>
                            </w:r>
                            <w:r>
                              <w:rPr>
                                <w:i/>
                                <w:iCs/>
                                <w:color w:val="000000"/>
                              </w:rPr>
                              <w:t xml:space="preserve"> (nay là xã Ứng Hòa,</w:t>
                            </w:r>
                            <w:r>
                              <w:rPr>
                                <w:i/>
                                <w:iCs/>
                                <w:color w:val="000000"/>
                              </w:rPr>
                              <w:t xml:space="preserve"> thành phố Hà Nội)</w:t>
                            </w:r>
                            <w:r>
                              <w:rPr>
                                <w:color w:val="000000"/>
                              </w:rPr>
                              <w:t xml:space="preserve">, theo Giấy chứng nhận quyền sử dụng đất, quyền sở hữu nhà ở và tài sản gắn liền với đất số: BO 371789; Số vào sổ cấp GCN: CH00779 do UBND huyện Ứng Hòa cấp ngày 26/11/2013. Chủ sử dụng đất là ông Nguyễn Văn Cầu </w:t>
                            </w:r>
                            <w:r>
                              <w:rPr>
                                <w:i/>
                                <w:iCs/>
                                <w:color w:val="000000"/>
                              </w:rPr>
                              <w:t xml:space="preserve">(Cập nhật ngày 15/11/2017)</w:t>
                            </w:r>
                            <w:r>
                              <w:rPr>
                                <w:bCs/>
                                <w:i/>
                                <w:iCs/>
                              </w:rPr>
                              <w:t xml:space="preserve">.</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08/2026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262.60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 </w:t>
                      </w:r>
                      <w:r>
                        <w:rPr>
                          <w:b/>
                          <w:color w:val="000000" w:themeColor="text1"/>
                        </w:rPr>
                        <w:t xml:space="preserve">275/2026/1257/VFI-CT.C01.A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Ông Nguyễn Văn Cầu</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 sản thẩm </w:t>
                      </w:r>
                      <w:r>
                        <w:rPr>
                          <w:b/>
                        </w:rPr>
                        <w:t xml:space="preserve">định: </w:t>
                      </w:r>
                      <w:r>
                        <w:rPr>
                          <w:color w:val="000000"/>
                        </w:rPr>
                        <w:t xml:space="preserve">Quyền sử dụng đất tại Thửa đất số 100, tờ bản đồ số: 26, địa chỉ: Thôn Du Đồng, xã Đại Hùng, huyện Ứng Hòa, thành phố Hà Nội</w:t>
                      </w:r>
                      <w:r>
                        <w:rPr>
                          <w:i/>
                          <w:iCs/>
                          <w:color w:val="000000"/>
                        </w:rPr>
                        <w:t xml:space="preserve"> (nay là xã Ứng Hòa,</w:t>
                      </w:r>
                      <w:r>
                        <w:rPr>
                          <w:i/>
                          <w:iCs/>
                          <w:color w:val="000000"/>
                        </w:rPr>
                        <w:t xml:space="preserve"> thành phố Hà Nội)</w:t>
                      </w:r>
                      <w:r>
                        <w:rPr>
                          <w:color w:val="000000"/>
                        </w:rPr>
                        <w:t xml:space="preserve">, theo Giấy chứng nhận quyền sử dụng đất, quyền sở hữu nhà ở và tài sản gắn liền với đất số: BO 371789; Số vào sổ cấp GCN: CH00779 do UBND huyện Ứng Hòa cấp ngày 26/11/2013. Chủ sử dụng đất là ông Nguyễn Văn Cầu </w:t>
                      </w:r>
                      <w:r>
                        <w:rPr>
                          <w:i/>
                          <w:iCs/>
                          <w:color w:val="000000"/>
                        </w:rPr>
                        <w:t xml:space="preserve">(Cập nhật ngày 15/11/2017)</w:t>
                      </w:r>
                      <w:r>
                        <w:rPr>
                          <w:bCs/>
                          <w:i/>
                          <w:iCs/>
                        </w:rPr>
                        <w:t xml:space="preserve">.</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08/2026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pPr>
        <w:pBdr/>
        <w:spacing/>
        <w:ind w:right="-1"/>
        <w:jc w:val="center"/>
        <w:rPr>
          <w:sz w:val="28"/>
        </w:rPr>
      </w:pPr>
      <w:r>
        <w:rPr>
          <w:b/>
          <w:sz w:val="28"/>
        </w:rPr>
        <w:t xml:space="preserve">MỤC LỤC</w:t>
      </w:r>
      <w:r>
        <w:rPr>
          <w:sz w:val="28"/>
        </w:rPr>
      </w:r>
      <w:r>
        <w:rPr>
          <w:sz w:val="28"/>
        </w:rPr>
      </w:r>
    </w:p>
    <w:p>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u w:val="single"/>
              </w:rPr>
            </w:pPr>
            <w:r>
              <w:rPr>
                <w:rFonts w:eastAsia="Calibri"/>
                <w:b/>
                <w:u w:val="single"/>
              </w:rPr>
              <w:t xml:space="preserve">NỘI DUNG</w:t>
            </w:r>
            <w:r>
              <w:rPr>
                <w:rFonts w:eastAsia="Calibri"/>
                <w:b/>
                <w:u w:val="single"/>
              </w:rPr>
            </w:r>
            <w:r>
              <w:rPr>
                <w:rFonts w:eastAsia="Calibri"/>
                <w:b/>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u w:val="single"/>
              </w:rPr>
            </w:pPr>
            <w:r>
              <w:rPr>
                <w:b/>
                <w:u w:val="single"/>
              </w:rPr>
              <w:t xml:space="preserve">TRANG</w:t>
            </w:r>
            <w:r>
              <w:rPr>
                <w:b/>
                <w:u w:val="single"/>
              </w:rPr>
            </w:r>
            <w:r>
              <w:rPr>
                <w:b/>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rPr>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Chứng thư thẩm định 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color w:val="000000" w:themeColor="text1"/>
              </w:rPr>
              <w:t xml:space="preserve">1-3</w:t>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Báo cáo thẩm định 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lang w:val="vi-VN"/>
              </w:rPr>
            </w:pPr>
            <w:r>
              <w:rPr>
                <w:b/>
                <w:color w:val="000000" w:themeColor="text1"/>
              </w:rPr>
              <w:t xml:space="preserve">4-21</w:t>
            </w:r>
            <w:r>
              <w:rPr>
                <w:b/>
                <w:lang w:val="vi-VN"/>
              </w:rPr>
            </w:r>
            <w:r>
              <w:rPr>
                <w:b/>
                <w:lang w:val="vi-VN"/>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Các phụ lục chi tiết kèm theo</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rPr>
            </w:pPr>
            <w:r>
              <w:rPr>
                <w:b/>
                <w:bCs/>
              </w:rPr>
            </w:r>
            <w:r>
              <w:rPr>
                <w:b/>
                <w:bCs/>
              </w:rPr>
            </w:r>
            <w:r>
              <w:rPr>
                <w:b/>
                <w:bCs/>
              </w:rPr>
            </w:r>
          </w:p>
        </w:tc>
      </w:tr>
      <w:tr>
        <w:trPr/>
        <w:tc>
          <w:tcPr>
            <w:tcBorders/>
            <w:tcMar>
              <w:left w:w="108" w:type="dxa"/>
              <w:right w:w="108" w:type="dxa"/>
            </w:tcMar>
            <w:tcW w:w="7280" w:type="dxa"/>
            <w:vAlign w:val="center"/>
            <w:textDirection w:val="lrTb"/>
            <w:noWrap w:val="false"/>
          </w:tcPr>
          <w:p>
            <w:pPr>
              <w:pStyle w:val="1027"/>
              <w:pBdr/>
              <w:tabs>
                <w:tab w:val="left" w:leader="none" w:pos="993"/>
              </w:tabs>
              <w:spacing w:after="120" w:before="120" w:line="288" w:lineRule="auto"/>
              <w:ind w:left="0"/>
              <w:jc w:val="both"/>
              <w:rPr>
                <w:bCs/>
                <w:lang w:val="pt-BR"/>
              </w:rPr>
            </w:pPr>
            <w:r>
              <w:rPr>
                <w:bCs/>
                <w:lang w:val="pt-BR"/>
              </w:rPr>
              <w:t xml:space="preserve">Phụ lục 1: Thông tin hiện trạng + Pháp lý</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22-24</w:t>
            </w:r>
            <w:r>
              <w:rPr>
                <w:b/>
                <w:bCs/>
              </w:rPr>
            </w:r>
            <w:r>
              <w:rPr>
                <w:b/>
                <w:bCs/>
              </w:rPr>
            </w:r>
          </w:p>
        </w:tc>
      </w:tr>
      <w:tr>
        <w:trPr/>
        <w:tc>
          <w:tcPr>
            <w:tcBorders/>
            <w:tcMar>
              <w:left w:w="108" w:type="dxa"/>
              <w:right w:w="108" w:type="dxa"/>
            </w:tcMar>
            <w:tcW w:w="7280" w:type="dxa"/>
            <w:vAlign w:val="center"/>
            <w:textDirection w:val="lrTb"/>
            <w:noWrap w:val="false"/>
          </w:tcPr>
          <w:p>
            <w:pPr>
              <w:pStyle w:val="1027"/>
              <w:pBdr/>
              <w:tabs>
                <w:tab w:val="left" w:leader="none" w:pos="993"/>
              </w:tabs>
              <w:spacing w:after="120" w:before="120" w:line="288" w:lineRule="auto"/>
              <w:ind w:left="0"/>
              <w:jc w:val="both"/>
              <w:rPr>
                <w:bCs/>
                <w:lang w:val="pt-BR"/>
              </w:rPr>
            </w:pPr>
            <w:r>
              <w:rPr>
                <w:bCs/>
                <w:lang w:val="pt-BR"/>
              </w:rPr>
              <w:t xml:space="preserve">Phụ lục 2: Thông tin thu thập thị trường + BBKS</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25-33</w:t>
            </w:r>
            <w:r>
              <w:rPr>
                <w:b/>
                <w:bCs/>
              </w:rPr>
            </w:r>
            <w:r>
              <w:rPr>
                <w:b/>
                <w:bCs/>
              </w:rPr>
            </w:r>
          </w:p>
        </w:tc>
      </w:tr>
    </w:tbl>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284" w:type="dxa"/>
        <w:tblW w:w="14414" w:type="dxa"/>
        <w:tblBorders/>
        <w:tblLayout w:type="fixed"/>
        <w:tblLook w:val="04A0" w:firstRow="1" w:lastRow="0" w:firstColumn="1" w:lastColumn="0" w:noHBand="0" w:noVBand="1"/>
      </w:tblPr>
      <w:tblGrid>
        <w:gridCol w:w="29"/>
        <w:gridCol w:w="1559"/>
        <w:gridCol w:w="12826"/>
      </w:tblGrid>
      <w:tr>
        <w:trPr>
          <w:trHeight w:val="1152"/>
        </w:trPr>
        <w:tc>
          <w:tcPr>
            <w:gridSpan w:val="2"/>
            <w:tcBorders/>
            <w:tcW w:w="1588"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tcBorders/>
            <w:tcW w:w="12826"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5" w:tooltip="mailto:ilotus.contact@gmail.com" w:history="1">
              <w:r>
                <w:rPr>
                  <w:rStyle w:val="1017"/>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Before w:val="1"/>
          <w:trHeight w:val="482"/>
        </w:trPr>
        <w:tc>
          <w:tcPr>
            <w:gridSpan w:val="2"/>
            <w:shd w:val="clear" w:color="auto" w:fill="auto"/>
            <w:tcBorders/>
            <w:tcMar>
              <w:left w:w="108" w:type="dxa"/>
              <w:top w:w="0" w:type="dxa"/>
              <w:right w:w="108" w:type="dxa"/>
              <w:bottom w:w="0" w:type="dxa"/>
            </w:tcMar>
            <w:tcW w:w="14385" w:type="dxa"/>
            <w:textDirection w:val="lrTb"/>
            <w:noWrap w:val="false"/>
          </w:tcPr>
          <w:p>
            <w:pPr>
              <w:pStyle w:val="1026"/>
              <w:pBdr/>
              <w:spacing w:after="60"/>
              <w:ind/>
              <w:rPr>
                <w:color w:val="000000" w:themeColor="text1"/>
                <w:sz w:val="24"/>
                <w:szCs w:val="24"/>
              </w:rPr>
            </w:pPr>
            <w:r>
              <w:rPr>
                <w:rStyle w:val="1025"/>
                <w:rFonts w:ascii="Times New Roman" w:hAnsi="Times New Roman"/>
                <w:color w:val="000000" w:themeColor="text1"/>
                <w:lang w:val="pt-BR"/>
              </w:rPr>
              <w:t xml:space="preserve">Số: </w:t>
            </w:r>
            <w:r>
              <w:rPr>
                <w:rStyle w:val="1025"/>
                <w:rFonts w:ascii="Times New Roman" w:hAnsi="Times New Roman"/>
                <w:color w:val="000000" w:themeColor="text1"/>
                <w:lang w:val="pt-BR"/>
              </w:rPr>
              <w:t xml:space="preserve">275/2026/1257/VFI-CT.C01.A                                           </w:t>
            </w:r>
            <w:r>
              <w:rPr>
                <w:rStyle w:val="1025"/>
                <w:rFonts w:ascii="Times New Roman" w:hAnsi="Times New Roman"/>
                <w:i/>
                <w:color w:val="auto"/>
              </w:rPr>
              <w:t xml:space="preserve">TP. Hà Nội</w:t>
            </w:r>
            <w:r>
              <w:rPr>
                <w:rStyle w:val="1025"/>
                <w:rFonts w:ascii="Times New Roman" w:hAnsi="Times New Roman"/>
                <w:i/>
                <w:color w:val="auto"/>
                <w:lang w:val="vi-VN"/>
              </w:rPr>
              <w:t xml:space="preserve">, </w:t>
            </w:r>
            <w:r>
              <w:rPr>
                <w:rStyle w:val="1025"/>
                <w:rFonts w:ascii="Times New Roman" w:hAnsi="Times New Roman"/>
                <w:i/>
                <w:color w:val="000000" w:themeColor="text1"/>
                <w:lang w:val="vi-VN"/>
              </w:rPr>
              <w:t xml:space="preserve">ngày 13 tháng 8 năm 2026</w:t>
            </w:r>
            <w:r>
              <w:rPr>
                <w:color w:val="000000" w:themeColor="text1"/>
                <w:sz w:val="24"/>
                <w:szCs w:val="24"/>
              </w:rPr>
            </w:r>
            <w:r>
              <w:rPr>
                <w:color w:val="000000" w:themeColor="text1"/>
                <w:sz w:val="24"/>
                <w:szCs w:val="24"/>
              </w:rPr>
            </w:r>
          </w:p>
        </w:tc>
      </w:tr>
    </w:tbl>
    <w:p>
      <w:pPr>
        <w:pStyle w:val="1026"/>
        <w:pBdr/>
        <w:spacing w:after="120" w:before="200" w:line="288" w:lineRule="auto"/>
        <w:ind/>
        <w:jc w:val="center"/>
        <w:rPr>
          <w:rStyle w:val="1025"/>
          <w:rFonts w:ascii="Times New Roman" w:hAnsi="Times New Roman"/>
          <w:b/>
          <w:bCs/>
          <w:color w:val="auto"/>
          <w:sz w:val="30"/>
          <w:szCs w:val="30"/>
          <w:lang w:val="vi-VN"/>
        </w:rPr>
      </w:pPr>
      <w:r>
        <w:rPr>
          <w:rStyle w:val="1025"/>
          <w:rFonts w:ascii="Times New Roman" w:hAnsi="Times New Roman"/>
          <w:b/>
          <w:bCs/>
          <w:color w:val="auto"/>
          <w:sz w:val="30"/>
          <w:szCs w:val="30"/>
          <w:lang w:val="vi-VN"/>
        </w:rPr>
        <w:t xml:space="preserve">CHỨNG THƯ THẨM ĐỊNH GIÁ</w:t>
      </w:r>
      <w:r>
        <w:rPr>
          <w:rStyle w:val="1025"/>
          <w:rFonts w:ascii="Times New Roman" w:hAnsi="Times New Roman"/>
          <w:b/>
          <w:bCs/>
          <w:color w:val="auto"/>
          <w:sz w:val="30"/>
          <w:szCs w:val="30"/>
          <w:lang w:val="vi-VN"/>
        </w:rPr>
      </w:r>
      <w:r>
        <w:rPr>
          <w:rStyle w:val="1025"/>
          <w:rFonts w:ascii="Times New Roman" w:hAnsi="Times New Roman"/>
          <w:b/>
          <w:bCs/>
          <w:color w:val="auto"/>
          <w:sz w:val="30"/>
          <w:szCs w:val="30"/>
          <w:lang w:val="vi-VN"/>
        </w:rPr>
      </w:r>
    </w:p>
    <w:p>
      <w:pPr>
        <w:pBdr/>
        <w:spacing w:line="276" w:lineRule="auto"/>
        <w:ind/>
        <w:jc w:val="center"/>
        <w:rPr>
          <w:rFonts w:ascii="Times New Roman Bold" w:hAnsi="Times New Roman Bold"/>
          <w:b/>
          <w:lang w:val="pt-BR"/>
        </w:rPr>
      </w:pPr>
      <w:r>
        <w:rPr>
          <w:b/>
          <w:u w:val="single"/>
          <w:lang w:val="pt-BR"/>
        </w:rPr>
        <w:t xml:space="preserve">Kính gửi</w:t>
      </w:r>
      <w:r>
        <w:rPr>
          <w:b/>
          <w:lang w:val="pt-BR"/>
        </w:rPr>
        <w:t xml:space="preserve">:</w:t>
      </w:r>
      <w:r>
        <w:rPr>
          <w:b/>
          <w:lang w:val="pt-BR"/>
        </w:rPr>
        <w:t xml:space="preserve"> </w:t>
      </w:r>
      <w:r>
        <w:rPr>
          <w:rFonts w:ascii="Times New Roman Bold" w:hAnsi="Times New Roman Bold"/>
          <w:b/>
          <w:color w:val="000000" w:themeColor="text1"/>
          <w:lang w:val="pt-BR"/>
        </w:rPr>
        <w:t xml:space="preserve">Ông Nguyễn Văn Cầu</w:t>
      </w:r>
      <w:r>
        <w:rPr>
          <w:rFonts w:ascii="Times New Roman Bold" w:hAnsi="Times New Roman Bold"/>
          <w:b/>
          <w:lang w:val="pt-BR"/>
        </w:rPr>
      </w:r>
      <w:r>
        <w:rPr>
          <w:rFonts w:ascii="Times New Roman Bold" w:hAnsi="Times New Roman Bold"/>
          <w:b/>
          <w:lang w:val="pt-BR"/>
        </w:rPr>
      </w:r>
    </w:p>
    <w:p>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dịch 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275/2026/1257/VFI-HĐTĐ.C01.A</w:t>
      </w:r>
      <w:r>
        <w:rPr>
          <w:spacing w:val="-4"/>
          <w:lang w:val="vi-VN"/>
        </w:rPr>
        <w:t xml:space="preserve"> ký ngày </w:t>
      </w:r>
      <w:r>
        <w:rPr>
          <w:color w:val="000000" w:themeColor="text1"/>
          <w:spacing w:val="-4"/>
        </w:rPr>
        <w:t xml:space="preserve">11 tháng 8 năm 2026</w:t>
      </w:r>
      <w:r>
        <w:rPr>
          <w:spacing w:val="-4"/>
          <w:lang w:val="vi-VN"/>
        </w:rPr>
        <w:t xml:space="preserve"> </w:t>
      </w:r>
      <w:r>
        <w:rPr>
          <w:spacing w:val="-4"/>
          <w:lang w:val="vi-VN"/>
        </w:rPr>
        <w:t xml:space="preserve">giữa </w:t>
      </w:r>
      <w:r>
        <w:rPr>
          <w:color w:val="000000" w:themeColor="text1"/>
          <w:spacing w:val="-4"/>
        </w:rPr>
        <w:t xml:space="preserve">Ông Nguyễn Văn Cầu</w:t>
      </w:r>
      <w:r>
        <w:rPr>
          <w:bCs/>
        </w:rPr>
        <w:t xml:space="preserve"> </w:t>
      </w:r>
      <w:r>
        <w:rPr>
          <w:spacing w:val="-6"/>
        </w:rPr>
        <w:t xml:space="preserve">v</w:t>
      </w:r>
      <w:r>
        <w:rPr>
          <w:spacing w:val="-6"/>
        </w:rPr>
        <w:t xml:space="preserve">ới</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r>
        <w:rPr>
          <w:spacing w:val="-4"/>
        </w:rPr>
      </w:r>
    </w:p>
    <w:p>
      <w:pPr>
        <w:pBdr/>
        <w:spacing w:after="120" w:before="120" w:line="288" w:lineRule="auto"/>
        <w:ind w:firstLine="432"/>
        <w:jc w:val="both"/>
        <w:rPr>
          <w:spacing w:val="-2"/>
        </w:rPr>
      </w:pPr>
      <w:r>
        <w:rPr>
          <w:spacing w:val="-2"/>
          <w:lang w:val="pt-BR"/>
        </w:rPr>
        <w:t xml:space="preserve">Căn cứ Báo cáo thẩm định giá số</w:t>
      </w:r>
      <w:r>
        <w:rPr>
          <w:spacing w:val="-2"/>
          <w:lang w:val="vi-VN"/>
        </w:rPr>
        <w:t xml:space="preserve"> </w:t>
      </w:r>
      <w:r>
        <w:rPr>
          <w:color w:val="000000" w:themeColor="text1"/>
          <w:spacing w:val="-2"/>
          <w:lang w:val="pt-BR"/>
        </w:rPr>
        <w:t xml:space="preserve">275/2026/1257/VFI-BC.C01.A</w:t>
      </w:r>
      <w:r>
        <w:rPr>
          <w:spacing w:val="-2"/>
          <w:lang w:val="pt-BR"/>
        </w:rPr>
        <w:t xml:space="preserve"> </w:t>
      </w:r>
      <w:r>
        <w:rPr>
          <w:spacing w:val="-2"/>
          <w:lang w:val="pt-BR"/>
        </w:rPr>
        <w:t xml:space="preserve">ngày</w:t>
      </w:r>
      <w:r>
        <w:rPr>
          <w:spacing w:val="-2"/>
          <w:lang w:val="vi-VN"/>
        </w:rPr>
        <w:t xml:space="preserve"> </w:t>
      </w:r>
      <w:r>
        <w:rPr>
          <w:color w:val="000000" w:themeColor="text1"/>
          <w:spacing w:val="-2"/>
        </w:rPr>
        <w:t xml:space="preserve">13 tháng 8 năm 2026</w:t>
      </w:r>
      <w:r>
        <w:rPr>
          <w:spacing w:val="-2"/>
          <w:lang w:val="vi-VN"/>
        </w:rPr>
        <w:t xml:space="preserve"> </w:t>
      </w:r>
      <w:r>
        <w:rPr>
          <w:spacing w:val="-2"/>
          <w:lang w:val="pt-BR"/>
        </w:rPr>
        <w:t xml:space="preserve">của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r>
        <w:rPr>
          <w:spacing w:val="-2"/>
        </w:rPr>
      </w:r>
    </w:p>
    <w:p>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 cấp Chứng thư thẩm định giá tài sản với nội dung sau:</w:t>
      </w:r>
      <w:r/>
    </w:p>
    <w:p>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r>
        <w:rPr>
          <w:b/>
          <w:bCs/>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ind/>
              <w:rPr/>
            </w:pPr>
            <w:r>
              <w:rPr>
                <w:b/>
                <w:bCs/>
              </w:rPr>
              <w:t xml:space="preserve">Ông Nguyễn Văn Cầu</w:t>
            </w: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MST/CMTND/CCCD:</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001078027648</w:t>
            </w:r>
            <w:r>
              <w:rPr>
                <w:color w:val="ff0000"/>
                <w:lang w:val="pt-BR"/>
              </w:rPr>
            </w:r>
            <w:r>
              <w:rPr>
                <w:color w:val="ff0000"/>
                <w:lang w:val="pt-BR"/>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Năm sinh:</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1978</w:t>
            </w:r>
            <w:r>
              <w:rPr>
                <w:color w:val="ff0000"/>
                <w:lang w:val="pt-BR"/>
              </w:rPr>
            </w:r>
            <w:r>
              <w:rPr>
                <w:color w:val="ff0000"/>
                <w:lang w:val="pt-BR"/>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Địa chỉ</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Xã Ứng Hòa, thành phố Hà Nội</w:t>
            </w:r>
            <w:r>
              <w:rPr>
                <w:color w:val="ff0000"/>
                <w:lang w:val="pt-BR"/>
              </w:rPr>
            </w:r>
            <w:r>
              <w:rPr>
                <w:color w:val="ff0000"/>
                <w:lang w:val="pt-BR"/>
              </w:rPr>
            </w:r>
          </w:p>
        </w:tc>
      </w:tr>
    </w:tbl>
    <w:p>
      <w:pPr>
        <w:pBdr/>
        <w:spacing w:after="120" w:before="120" w:line="276" w:lineRule="auto"/>
        <w:ind/>
        <w:jc w:val="both"/>
        <w:rPr>
          <w:b/>
          <w:bCs/>
        </w:rPr>
      </w:pPr>
      <w:r>
        <w:rPr>
          <w:b/>
          <w:bCs/>
        </w:rPr>
        <w:t xml:space="preserve">2. </w:t>
      </w:r>
      <w:r>
        <w:rPr>
          <w:b/>
          <w:bCs/>
        </w:rPr>
        <w:t xml:space="preserve">Thông tin về doanh nghiệp thẩm định giá:</w:t>
      </w:r>
      <w:r>
        <w:rPr>
          <w:b/>
          <w:bCs/>
        </w:rPr>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 </w:t>
            </w:r>
            <w:r>
              <w:rPr>
                <w:bCs/>
                <w:lang w:val="pt-BR"/>
              </w:rPr>
            </w:r>
            <w:r>
              <w:rPr>
                <w:bCs/>
                <w:lang w:val="pt-BR"/>
              </w:rPr>
            </w:r>
          </w:p>
        </w:tc>
        <w:tc>
          <w:tcPr>
            <w:tcBorders/>
            <w:tcW w:w="7115" w:type="dxa"/>
            <w:vAlign w:val="center"/>
            <w:textDirection w:val="lrTb"/>
            <w:noWrap w:val="false"/>
          </w:tcPr>
          <w:p>
            <w:pPr>
              <w:pBdr/>
              <w:tabs>
                <w:tab w:val="left" w:leader="none" w:pos="3382"/>
              </w:tabs>
              <w:spacing w:after="40" w:before="40" w:line="276" w:lineRule="auto"/>
              <w:ind/>
              <w:rPr>
                <w:iCs/>
              </w:rPr>
            </w:pPr>
            <w:r>
              <w:rPr>
                <w:iCs/>
                <w:color w:val="000000" w:themeColor="text1"/>
              </w:rPr>
              <w:t xml:space="preserve">024 2264 4333</w:t>
            </w:r>
            <w:r>
              <w:rPr>
                <w:iCs/>
              </w:rPr>
            </w:r>
            <w:r>
              <w:rPr>
                <w:iCs/>
              </w:rPr>
            </w:r>
          </w:p>
        </w:tc>
      </w:tr>
      <w:tr>
        <w:trPr>
          <w:trHeight w:val="20"/>
        </w:trPr>
        <w:tc>
          <w:tcPr>
            <w:tcBorders/>
            <w:tcW w:w="2269" w:type="dxa"/>
            <w:vAlign w:val="center"/>
            <w:textDirection w:val="lrTb"/>
            <w:noWrap w:val="false"/>
          </w:tcPr>
          <w:p>
            <w:pPr>
              <w:pBdr/>
              <w:spacing w:after="40" w:before="40" w:line="276" w:lineRule="auto"/>
              <w:ind/>
              <w:rPr>
                <w:bCs/>
              </w:rPr>
            </w:pPr>
            <w:r>
              <w:t xml:space="preserve">Mã số thuế</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color w:val="000000" w:themeColor="text1"/>
              </w:rPr>
              <w:t xml:space="preserve">0102708994</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GCN</w:t>
            </w:r>
            <w:r>
              <w:t xml:space="preserve"> đủ điều kiện hành nghề</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rPr>
              <w:t xml:space="preserve">275/TĐG</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Thông báo</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jc w:val="both"/>
              <w:rPr>
                <w:bCs/>
              </w:rPr>
            </w:pPr>
            <w:r>
              <w:rPr>
                <w:color w:val="292a2e"/>
              </w:rPr>
              <w:t xml:space="preserve">Số 1294/TB-BTC ngày 25/12/2025</w:t>
            </w:r>
            <w:r>
              <w:rPr>
                <w:rFonts w:ascii="Segoe UI" w:hAnsi="Segoe UI" w:cs="Segoe UI"/>
                <w:color w:val="292a2e"/>
                <w:sz w:val="21"/>
                <w:szCs w:val="21"/>
              </w:rPr>
              <w:t xml:space="preserve"> </w:t>
            </w:r>
            <w:r>
              <w:rPr>
                <w:bCs/>
              </w:rPr>
              <w:t xml:space="preserve">về việc doanh nghiệp đủ điều kiện kinh doanh Dịch vụ thẩm định giá.</w:t>
            </w:r>
            <w:r>
              <w:rPr>
                <w:bCs/>
              </w:rPr>
            </w:r>
            <w:r>
              <w:rPr>
                <w:bCs/>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b/>
                <w:bCs/>
                <w:lang w:val="vi-VN"/>
              </w:rPr>
            </w:pPr>
            <w:r>
              <w:rPr>
                <w:b/>
                <w:bCs/>
                <w:lang w:val="vi-VN"/>
              </w:rPr>
              <w:t xml:space="preserve">Ông</w:t>
            </w:r>
            <w:r>
              <w:rPr>
                <w:b/>
                <w:bCs/>
              </w:rPr>
              <w:t xml:space="preserve"> Vũ Văn Quân</w:t>
            </w:r>
            <w:r>
              <w:rPr>
                <w:b/>
                <w:bCs/>
                <w:lang w:val="vi-VN"/>
              </w:rPr>
              <w:tab/>
            </w:r>
            <w:r>
              <w:rPr>
                <w:b/>
                <w:bCs/>
              </w:rPr>
              <w:t xml:space="preserve">        </w:t>
            </w:r>
            <w:r>
              <w:rPr>
                <w:b/>
                <w:bCs/>
                <w:lang w:val="vi-VN"/>
              </w:rPr>
              <w:t xml:space="preserve">Chức vụ: </w:t>
            </w:r>
            <w:r>
              <w:rPr>
                <w:b/>
                <w:bCs/>
              </w:rPr>
              <w:t xml:space="preserve">Chủ tịch HĐQT kiêm Tổng Giám Đốc</w:t>
            </w:r>
            <w:r>
              <w:rPr>
                <w:b/>
                <w:bCs/>
                <w:lang w:val="vi-VN"/>
              </w:rPr>
            </w:r>
            <w:r>
              <w:rPr>
                <w:b/>
                <w:bCs/>
                <w:lang w:val="vi-VN"/>
              </w:rPr>
            </w:r>
          </w:p>
        </w:tc>
      </w:tr>
    </w:tbl>
    <w:p>
      <w:pPr>
        <w:pBdr/>
        <w:spacing w:after="120" w:before="120" w:line="312" w:lineRule="auto"/>
        <w:ind/>
        <w:jc w:val="both"/>
        <w:rPr>
          <w:b/>
          <w:bCs/>
        </w:rPr>
      </w:pPr>
      <w:r>
        <w:rPr>
          <w:b/>
          <w:bCs/>
        </w:rPr>
        <w:t xml:space="preserve">3</w:t>
      </w:r>
      <w:r>
        <w:rPr>
          <w:b/>
          <w:bCs/>
          <w:lang w:val="vi-VN"/>
        </w:rPr>
        <w:t xml:space="preserve">. </w:t>
      </w:r>
      <w:r>
        <w:rPr>
          <w:b/>
          <w:bCs/>
        </w:rPr>
        <w:t xml:space="preserve">Tài sản thẩm định</w:t>
      </w:r>
      <w:r>
        <w:rPr>
          <w:b/>
          <w:bCs/>
          <w:lang w:val="vi-VN"/>
        </w:rPr>
        <w:t xml:space="preserve">:</w:t>
      </w:r>
      <w:r>
        <w:rPr>
          <w:color w:val="000000" w:themeColor="text1"/>
        </w:rPr>
        <w:t xml:space="preserve"> </w:t>
      </w:r>
      <w:r>
        <w:rPr>
          <w:color w:val="000000" w:themeColor="text1"/>
        </w:rPr>
        <w:t xml:space="preserve">Quyền sử dụng đất tại Thửa đất số 100, tờ bản đồ số: 26, địa chỉ: Thôn Du Đồng, xã Đại Hùng, huyện Ứng Hòa, thành phố Hà Nội </w:t>
      </w:r>
      <w:r>
        <w:rPr>
          <w:i/>
          <w:iCs/>
          <w:color w:val="000000" w:themeColor="text1"/>
        </w:rPr>
        <w:t xml:space="preserve">(nay là xã Ứng Hòa,</w:t>
      </w:r>
      <w:r>
        <w:rPr>
          <w:i/>
          <w:iCs/>
          <w:color w:val="000000" w:themeColor="text1"/>
        </w:rPr>
        <w:t xml:space="preserve"> thành phố Hà Nội)</w:t>
      </w:r>
      <w:r>
        <w:rPr>
          <w:color w:val="000000" w:themeColor="text1"/>
        </w:rPr>
        <w:t xml:space="preserve">, theo Giấy chứng nhận quyền sử dụng đất, quyền sở hữu nhà ở và tài sản gắn liền với đất số: BO 371789; Số vào sổ cấp GCN: CH00779 do UBND huyện Ứng Hòa cấp ngày 26/11/2013. Chủ sử dụng đất là ông Nguyễn Văn Cầu </w:t>
      </w:r>
      <w:r>
        <w:rPr>
          <w:i/>
          <w:iCs/>
          <w:color w:val="000000" w:themeColor="text1"/>
        </w:rPr>
        <w:t xml:space="preserve">(Cập nhật ngày 15/11/2017)</w:t>
      </w:r>
      <w:r>
        <w:rPr>
          <w:i/>
          <w:iCs/>
        </w:rPr>
        <w:t xml:space="preserve">.</w:t>
      </w:r>
      <w:r>
        <w:rPr>
          <w:b/>
          <w:bCs/>
        </w:rPr>
      </w:r>
      <w:r>
        <w:rPr>
          <w:b/>
          <w:bCs/>
        </w:rPr>
      </w:r>
    </w:p>
    <w:p>
      <w:pPr>
        <w:pBdr/>
        <w:spacing w:after="120" w:before="120" w:line="312" w:lineRule="auto"/>
        <w:ind/>
        <w:jc w:val="both"/>
        <w:rPr>
          <w:b/>
          <w:bCs/>
        </w:rPr>
      </w:pPr>
      <w:r>
        <w:rPr>
          <w:b/>
          <w:bCs/>
          <w:lang w:val="nl-NL"/>
        </w:rPr>
        <w:t xml:space="preserve">4</w:t>
      </w:r>
      <w:r>
        <w:rPr>
          <w:b/>
          <w:bCs/>
          <w:lang w:val="nl-NL"/>
        </w:rPr>
        <w:t xml:space="preserve">. Thời điểm thẩm định giá:</w:t>
      </w:r>
      <w:r>
        <w:rPr>
          <w:bCs/>
          <w:color w:val="000000" w:themeColor="text1"/>
          <w:lang w:val="nl-NL"/>
        </w:rPr>
        <w:t xml:space="preserve"> </w:t>
      </w:r>
      <w:r>
        <w:rPr>
          <w:bCs/>
          <w:color w:val="000000" w:themeColor="text1"/>
          <w:lang w:val="nl-NL"/>
        </w:rPr>
        <w:t xml:space="preserve">Tháng 08/2026</w:t>
      </w:r>
      <w:r>
        <w:rPr>
          <w:bCs/>
          <w:lang w:val="nl-NL"/>
        </w:rPr>
        <w:t xml:space="preserve">.</w:t>
      </w:r>
      <w:r>
        <w:rPr>
          <w:b/>
          <w:bCs/>
        </w:rPr>
      </w:r>
      <w:r>
        <w:rPr>
          <w:b/>
          <w:bCs/>
        </w:rPr>
      </w:r>
    </w:p>
    <w:p>
      <w:pPr>
        <w:pBdr/>
        <w:tabs>
          <w:tab w:val="left" w:leader="none" w:pos="851"/>
        </w:tabs>
        <w:spacing w:after="120" w:before="120" w:line="312"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r>
        <w:rPr>
          <w:bCs/>
        </w:rPr>
      </w:r>
    </w:p>
    <w:p>
      <w:pPr>
        <w:pBdr/>
        <w:tabs>
          <w:tab w:val="left" w:leader="none" w:pos="851"/>
        </w:tabs>
        <w:spacing w:after="120" w:before="120" w:line="312" w:lineRule="auto"/>
        <w:ind/>
        <w:jc w:val="both"/>
        <w:rPr>
          <w:b/>
          <w:lang w:val="vi-VN"/>
        </w:rPr>
      </w:pPr>
      <w:r>
        <w:rPr>
          <w:b/>
        </w:rPr>
        <w:t xml:space="preserve">6</w:t>
      </w:r>
      <w:r>
        <w:rPr>
          <w:b/>
          <w:lang w:val="pt-BR"/>
        </w:rPr>
        <w:t xml:space="preserve">. </w:t>
      </w:r>
      <w:r>
        <w:rPr>
          <w:b/>
          <w:lang w:val="pt-BR"/>
        </w:rPr>
        <w:t xml:space="preserve">Cơ sở giá trị của tài sản thẩm định giá</w:t>
      </w:r>
      <w:r>
        <w:rPr>
          <w:b/>
          <w:lang w:val="pt-BR"/>
        </w:rPr>
        <w:t xml:space="preserve">:</w:t>
      </w:r>
      <w:r>
        <w:rPr>
          <w:b/>
          <w:lang w:val="vi-VN"/>
        </w:rPr>
      </w:r>
      <w:r>
        <w:rPr>
          <w:b/>
          <w:lang w:val="vi-VN"/>
        </w:rPr>
      </w:r>
    </w:p>
    <w:p>
      <w:pPr>
        <w:pBdr/>
        <w:tabs>
          <w:tab w:val="left" w:leader="none" w:pos="5202"/>
        </w:tabs>
        <w:spacing w:after="120" w:before="120" w:line="312" w:lineRule="auto"/>
        <w:ind w:firstLine="432"/>
        <w:jc w:val="both"/>
        <w:rPr>
          <w:lang w:val="pt-BR"/>
        </w:rPr>
      </w:pPr>
      <w:r>
        <w:rPr>
          <w:bCs/>
          <w:i/>
          <w:lang w:val="pt-BR"/>
        </w:rPr>
        <w:t xml:space="preserve">Chi tiết như Báo cáo kèm theo</w:t>
      </w:r>
      <w:r>
        <w:rPr>
          <w:bCs/>
          <w:i/>
          <w:lang w:val="pt-BR"/>
        </w:rPr>
        <w:t xml:space="preserve"> </w:t>
      </w:r>
      <w:r>
        <w:rPr>
          <w:lang w:val="pt-BR"/>
        </w:rPr>
      </w:r>
      <w:r>
        <w:rPr>
          <w:lang w:val="pt-BR"/>
        </w:rPr>
      </w:r>
    </w:p>
    <w:p>
      <w:pPr>
        <w:pBdr/>
        <w:tabs>
          <w:tab w:val="left" w:leader="none" w:pos="2430"/>
          <w:tab w:val="left" w:leader="none" w:pos="5130"/>
        </w:tabs>
        <w:spacing w:after="120" w:before="120" w:line="312" w:lineRule="auto"/>
        <w:ind/>
        <w:jc w:val="both"/>
        <w:rPr>
          <w:b/>
          <w:bCs/>
          <w:lang w:val="pt-BR"/>
        </w:rPr>
      </w:pPr>
      <w:r>
        <w:rPr>
          <w:b/>
          <w:bCs/>
        </w:rPr>
        <w:t xml:space="preserve">7</w:t>
      </w:r>
      <w:r>
        <w:rPr>
          <w:b/>
          <w:bCs/>
          <w:lang w:val="pt-BR"/>
        </w:rPr>
        <w:t xml:space="preserve">. </w:t>
      </w:r>
      <w:r>
        <w:rPr>
          <w:b/>
          <w:bCs/>
          <w:lang w:val="pt-BR"/>
        </w:rPr>
        <w:t xml:space="preserve">Giả thiết và giả thiết đặc biệt</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rPr>
        <w:t xml:space="preserve">8</w:t>
      </w:r>
      <w:r>
        <w:rPr>
          <w:b/>
          <w:lang w:val="pt-BR"/>
        </w:rPr>
        <w:t xml:space="preserve">. </w:t>
      </w:r>
      <w:r>
        <w:rPr>
          <w:b/>
          <w:lang w:val="pt-BR"/>
        </w:rPr>
        <w:t xml:space="preserve">Cách tiếp cận và phương pháp thẩm định giá</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lang w:val="pt-BR"/>
        </w:rPr>
        <w:t xml:space="preserve">9</w:t>
      </w:r>
      <w:r>
        <w:rPr>
          <w:b/>
          <w:lang w:val="pt-BR"/>
        </w:rPr>
        <w:t xml:space="preserve">. </w:t>
      </w:r>
      <w:r>
        <w:rPr>
          <w:b/>
        </w:rPr>
        <w:t xml:space="preserve">Giá trị tài sản thẩm định giá</w:t>
      </w:r>
      <w:r>
        <w:rPr>
          <w:b/>
          <w:bCs/>
          <w:lang w:val="pt-BR"/>
        </w:rPr>
        <w:t xml:space="preserve">:</w:t>
      </w:r>
      <w:bookmarkEnd w:id="0"/>
      <w:r/>
      <w:bookmarkEnd w:id="1"/>
      <w:r/>
      <w:bookmarkEnd w:id="2"/>
      <w:r>
        <w:rPr>
          <w:b/>
          <w:bCs/>
          <w:lang w:val="pt-BR"/>
        </w:rPr>
      </w:r>
      <w:r>
        <w:rPr>
          <w:b/>
          <w:bCs/>
          <w:lang w:val="pt-BR"/>
        </w:rPr>
      </w:r>
    </w:p>
    <w:p>
      <w:pPr>
        <w:pBdr/>
        <w:spacing w:after="120" w:before="120" w:line="312" w:lineRule="auto"/>
        <w:ind/>
        <w:jc w:val="both"/>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 trị </w:t>
      </w:r>
      <w:r>
        <w:rPr>
          <w:lang w:val="de-DE"/>
        </w:rPr>
        <w:t xml:space="preserve">tài sản chưa bao gồm các loại thuế, phí và lệ phí liên quan đến việc chuyển nhượng tài sản của </w:t>
      </w:r>
      <w:r>
        <w:rPr>
          <w:lang w:val="vi-VN"/>
        </w:rPr>
        <w:t xml:space="preserve">Quý</w:t>
      </w:r>
      <w:r>
        <w:rPr>
          <w:lang w:val="vi-VN"/>
        </w:rPr>
        <w:t xml:space="preserve"> khách hàng tại thời điểm </w:t>
      </w:r>
      <w:r>
        <w:rPr>
          <w:bCs/>
          <w:color w:val="000000" w:themeColor="text1"/>
          <w:lang w:val="nl-NL"/>
        </w:rPr>
        <w:t xml:space="preserve">Tháng 08/2026</w:t>
      </w:r>
      <w:r>
        <w:rPr>
          <w:lang w:val="vi-VN"/>
        </w:rPr>
        <w:t xml:space="preserve"> ước tính</w:t>
      </w:r>
      <w:r>
        <w:t xml:space="preserve"> </w:t>
      </w:r>
      <w:r>
        <w:rPr>
          <w:lang w:val="vi-VN"/>
        </w:rPr>
        <w:t xml:space="preserve">như sau:</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0"/>
        <w:gridCol w:w="2579"/>
        <w:gridCol w:w="2162"/>
      </w:tblGrid>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1063" w:type="pct"/>
            <w:vAlign w:val="center"/>
            <w:textDirection w:val="lrTb"/>
            <w:noWrap w:val="false"/>
          </w:tcPr>
          <w:p>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946" w:type="pct"/>
            <w:vAlign w:val="center"/>
            <w:textDirection w:val="lrTb"/>
            <w:noWrap w:val="false"/>
          </w:tcPr>
          <w:p>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1355" w:type="pct"/>
            <w:vAlign w:val="center"/>
            <w:textDirection w:val="lrTb"/>
            <w:noWrap w:val="false"/>
          </w:tcPr>
          <w:p>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1136" w:type="pct"/>
            <w:vAlign w:val="center"/>
            <w:textDirection w:val="lrTb"/>
            <w:noWrap w:val="false"/>
          </w:tcPr>
          <w:p>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3364" w:type="pct"/>
            <w:vAlign w:val="center"/>
            <w:textDirection w:val="lrTb"/>
            <w:noWrap w:val="false"/>
          </w:tcPr>
          <w:p>
            <w:pPr>
              <w:pBdr/>
              <w:spacing w:after="40" w:before="40" w:line="288" w:lineRule="auto"/>
              <w:ind/>
              <w:jc w:val="both"/>
              <w:rPr>
                <w:b/>
                <w:bCs/>
              </w:rPr>
            </w:pPr>
            <w:r>
              <w:rPr>
                <w:color w:val="000000"/>
              </w:rPr>
              <w:t xml:space="preserve">Quyền sử dụng đất tại Thửa đất số 100, tờ bản đồ số: 26, địa chỉ: Thôn Du Đồng, xã Đại Hùng, huyện Ứng Hòa, thành phố Hà Nội </w:t>
            </w:r>
            <w:r>
              <w:rPr>
                <w:i/>
                <w:iCs/>
                <w:color w:val="000000"/>
              </w:rPr>
              <w:t xml:space="preserve">(nay là xã Ứng Hòa,</w:t>
            </w:r>
            <w:r>
              <w:rPr>
                <w:i/>
                <w:iCs/>
                <w:color w:val="000000"/>
              </w:rPr>
              <w:t xml:space="preserve"> thành phố Hà Nội)</w:t>
            </w:r>
            <w:r>
              <w:rPr>
                <w:color w:val="000000"/>
              </w:rPr>
              <w:t xml:space="preserve">, theo Giấy chứng nhận quyền sử dụng đất, quyền sở hữu nhà ở và tài sản gắn liền với đất số: BO 371789; Số vào sổ cấp GCN: CH00779 do UBND huyện Ứng Hòa cấp ngày 26/11/2013. Chủ sử dụng đất là ông Nguyễn Văn Cầu </w:t>
            </w:r>
            <w:r>
              <w:rPr>
                <w:i/>
                <w:iCs/>
                <w:color w:val="000000"/>
              </w:rPr>
              <w:t xml:space="preserve">(Cập nhật ngày 15/11/2017)</w:t>
            </w:r>
            <w:r>
              <w:rPr>
                <w:b/>
                <w:bCs/>
              </w:rPr>
              <w:t xml:space="preserve">.</w:t>
            </w:r>
            <w:r>
              <w:rPr>
                <w:b/>
                <w:bCs/>
              </w:rPr>
            </w:r>
            <w:r>
              <w:rPr>
                <w:b/>
                <w:bCs/>
              </w:rPr>
            </w:r>
          </w:p>
        </w:tc>
        <w:tc>
          <w:tcPr>
            <w:shd w:val="clear" w:color="000000" w:fill="ffffff"/>
            <w:tcBorders/>
            <w:tcW w:w="1136" w:type="pct"/>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pPr>
            <w:r>
              <w:rPr>
                <w:b/>
                <w:bCs/>
              </w:rPr>
              <w:t xml:space="preserve">1</w:t>
            </w:r>
            <w:r/>
          </w:p>
        </w:tc>
        <w:tc>
          <w:tcPr>
            <w:shd w:val="clear" w:color="000000" w:fill="ffffff"/>
            <w:tcBorders/>
            <w:tcW w:w="1063" w:type="pct"/>
            <w:vAlign w:val="center"/>
            <w:textDirection w:val="lrTb"/>
            <w:noWrap w:val="false"/>
          </w:tcPr>
          <w:p>
            <w:pPr>
              <w:pBdr/>
              <w:spacing w:after="40" w:before="40" w:line="288" w:lineRule="auto"/>
              <w:ind/>
              <w:rPr/>
            </w:pPr>
            <w:r>
              <w:rPr>
                <w:b/>
                <w:bCs/>
              </w:rPr>
              <w:t xml:space="preserve">Đất ở nông thôn</w:t>
            </w:r>
            <w:r/>
          </w:p>
        </w:tc>
        <w:tc>
          <w:tcPr>
            <w:tcBorders/>
            <w:tcW w:w="946" w:type="pct"/>
            <w:vAlign w:val="center"/>
            <w:textDirection w:val="lrTb"/>
            <w:noWrap/>
          </w:tcPr>
          <w:p>
            <w:pPr>
              <w:pBdr/>
              <w:spacing w:after="40" w:before="40" w:line="288" w:lineRule="auto"/>
              <w:ind/>
              <w:jc w:val="center"/>
              <w:rPr>
                <w:color w:val="000000"/>
              </w:rPr>
            </w:pPr>
            <w:r>
              <w:rPr>
                <w:color w:val="000000" w:themeColor="text1"/>
              </w:rPr>
              <w:t xml:space="preserve">677.3</w:t>
            </w:r>
            <w:r>
              <w:rPr>
                <w:color w:val="000000"/>
              </w:rPr>
            </w:r>
            <w:r>
              <w:rPr>
                <w:color w:val="000000"/>
              </w:rPr>
            </w:r>
          </w:p>
        </w:tc>
        <w:tc>
          <w:tcPr>
            <w:shd w:val="clear" w:color="000000" w:fill="ffffff"/>
            <w:tcBorders/>
            <w:tcW w:w="1355" w:type="pct"/>
            <w:vAlign w:val="center"/>
            <w:textDirection w:val="lrTb"/>
            <w:noWrap w:val="false"/>
          </w:tcPr>
          <w:p>
            <w:pPr>
              <w:pBdr/>
              <w:spacing w:after="40" w:before="40" w:line="288" w:lineRule="auto"/>
              <w:ind/>
              <w:jc w:val="center"/>
              <w:rPr/>
            </w:pPr>
            <w:r>
              <w:rPr>
                <w:color w:val="000000" w:themeColor="text1"/>
              </w:rPr>
              <w:t xml:space="preserve">14.700.000</w:t>
            </w:r>
            <w:r/>
          </w:p>
        </w:tc>
        <w:tc>
          <w:tcPr>
            <w:shd w:val="clear" w:color="000000" w:fill="ffffff"/>
            <w:tcBorders/>
            <w:tcW w:w="1136" w:type="pct"/>
            <w:vAlign w:val="center"/>
            <w:textDirection w:val="lrTb"/>
            <w:noWrap w:val="false"/>
          </w:tcPr>
          <w:p>
            <w:pPr>
              <w:pBdr/>
              <w:spacing w:after="40" w:before="40" w:line="288" w:lineRule="auto"/>
              <w:ind/>
              <w:jc w:val="center"/>
              <w:rPr/>
            </w:pPr>
            <w:r>
              <w:rPr>
                <w:color w:val="000000" w:themeColor="text1"/>
              </w:rPr>
              <w:t xml:space="preserve">9.956.310.000</w:t>
            </w:r>
            <w:r/>
          </w:p>
        </w:tc>
      </w:tr>
      <w:tr>
        <w:trPr>
          <w:trHeight w:val="20"/>
        </w:trPr>
        <w:tc>
          <w:tcPr>
            <w:gridSpan w:val="4"/>
            <w:tcBorders/>
            <w:tcW w:w="3864" w:type="pct"/>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1136" w:type="pct"/>
            <w:vAlign w:val="center"/>
            <w:textDirection w:val="lrTb"/>
            <w:noWrap/>
          </w:tcPr>
          <w:p>
            <w:pPr>
              <w:pBdr/>
              <w:spacing w:after="40" w:before="40" w:line="288" w:lineRule="auto"/>
              <w:ind/>
              <w:jc w:val="center"/>
              <w:rPr>
                <w:b/>
                <w:bCs/>
                <w:color w:val="000000"/>
              </w:rPr>
            </w:pPr>
            <w:r>
              <w:t xml:space="preserve">9.956.310.000</w:t>
            </w:r>
            <w:r>
              <w:rPr>
                <w:b/>
                <w:bCs/>
                <w:color w:val="000000"/>
              </w:rPr>
            </w:r>
            <w:r>
              <w:rPr>
                <w:b/>
                <w:bCs/>
                <w:color w:val="000000"/>
              </w:rPr>
            </w:r>
          </w:p>
        </w:tc>
      </w:tr>
      <w:tr>
        <w:trPr>
          <w:trHeight w:val="20"/>
        </w:trPr>
        <w:tc>
          <w:tcPr>
            <w:gridSpan w:val="4"/>
            <w:tcBorders/>
            <w:tcW w:w="3864" w:type="pct"/>
            <w:vAlign w:val="center"/>
            <w:textDirection w:val="lrTb"/>
            <w:noWrap/>
          </w:tcPr>
          <w:p>
            <w:pPr>
              <w:pBdr/>
              <w:spacing w:after="40" w:before="40" w:line="288" w:lineRule="auto"/>
              <w:ind/>
              <w:jc w:val="center"/>
              <w:rPr>
                <w:b/>
                <w:bCs/>
                <w:color w:val="000000"/>
              </w:rPr>
            </w:pPr>
            <w:r>
              <w:rPr>
                <w:b/>
                <w:bCs/>
                <w:color w:val="000000"/>
              </w:rPr>
              <w:t xml:space="preserve">LÀM TRÒN</w:t>
            </w:r>
            <w:r>
              <w:rPr>
                <w:b/>
                <w:bCs/>
                <w:color w:val="000000"/>
              </w:rPr>
            </w:r>
            <w:r>
              <w:rPr>
                <w:b/>
                <w:bCs/>
                <w:color w:val="000000"/>
              </w:rPr>
            </w:r>
          </w:p>
        </w:tc>
        <w:tc>
          <w:tcPr>
            <w:tcBorders/>
            <w:tcW w:w="1136" w:type="pct"/>
            <w:vAlign w:val="center"/>
            <w:textDirection w:val="lrTb"/>
            <w:noWrap/>
          </w:tcPr>
          <w:p>
            <w:pPr>
              <w:pBdr/>
              <w:spacing w:after="40" w:before="40" w:line="288" w:lineRule="auto"/>
              <w:ind/>
              <w:jc w:val="center"/>
              <w:rPr>
                <w:b/>
                <w:bCs/>
                <w:color w:val="000000"/>
              </w:rPr>
            </w:pPr>
            <w:r>
              <w:rPr>
                <w:b/>
                <w:bCs/>
                <w:color w:val="000000"/>
              </w:rPr>
              <w:t xml:space="preserve">9.956.300.000</w:t>
            </w:r>
            <w:r>
              <w:rPr>
                <w:b/>
                <w:bCs/>
                <w:color w:val="000000"/>
              </w:rPr>
            </w:r>
            <w:r>
              <w:rPr>
                <w:b/>
                <w:bCs/>
                <w:color w:val="000000"/>
              </w:rPr>
            </w:r>
          </w:p>
        </w:tc>
      </w:tr>
      <w:tr>
        <w:trPr>
          <w:trHeight w:val="20"/>
        </w:trPr>
        <w:tc>
          <w:tcPr>
            <w:gridSpan w:val="5"/>
            <w:tcBorders/>
            <w:tcW w:w="5000" w:type="pct"/>
            <w:vAlign w:val="center"/>
            <w:textDirection w:val="lrTb"/>
            <w:noWrap w:val="false"/>
          </w:tcPr>
          <w:p>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Chín tỷ chín trăm năm mươi sáu triệu ba trăm nghìn đồng</w:t>
            </w:r>
            <w:r>
              <w:rPr>
                <w:b/>
                <w:bCs/>
                <w:i/>
                <w:iCs/>
                <w:color w:val="000000"/>
              </w:rPr>
              <w:t xml:space="preserve">./.)</w:t>
            </w:r>
            <w:r>
              <w:rPr>
                <w:b/>
                <w:bCs/>
                <w:i/>
                <w:iCs/>
                <w:color w:val="000000"/>
              </w:rPr>
            </w:r>
            <w:r>
              <w:rPr>
                <w:b/>
                <w:bCs/>
                <w:i/>
                <w:iCs/>
                <w:color w:val="000000"/>
              </w:rPr>
            </w:r>
          </w:p>
        </w:tc>
      </w:tr>
    </w:tbl>
    <w:p>
      <w:pPr>
        <w:pBdr/>
        <w:spacing w:after="120" w:before="120" w:line="312" w:lineRule="auto"/>
        <w:ind/>
        <w:jc w:val="both"/>
        <w:rPr>
          <w:b/>
          <w:bCs/>
        </w:rPr>
      </w:pPr>
      <w:r>
        <w:rPr>
          <w:b/>
          <w:bCs/>
          <w:lang w:val="vi-VN"/>
        </w:rPr>
        <w:t xml:space="preserve">10. Thời hạn hiệu lực của kết quả thẩm định giá:</w:t>
      </w:r>
      <w:r>
        <w:rPr>
          <w:b/>
          <w:bCs/>
        </w:rPr>
      </w:r>
      <w:r>
        <w:rPr>
          <w:b/>
          <w:bCs/>
        </w:rPr>
      </w:r>
    </w:p>
    <w:p>
      <w:pPr>
        <w:pBdr/>
        <w:spacing w:after="120" w:before="120" w:line="312" w:lineRule="auto"/>
        <w:ind w:firstLine="360"/>
        <w:jc w:val="both"/>
        <w:rPr>
          <w:lang w:val="pt-BR"/>
        </w:rPr>
      </w:pPr>
      <w:r>
        <w:rPr>
          <w:lang w:val="pt-BR"/>
        </w:rPr>
        <w:t xml:space="preserve">- Tối đa 06 (sáu) tháng tính từ ngày ký đối với tài sản là Bất động sản.</w:t>
      </w:r>
      <w:r>
        <w:rPr>
          <w:lang w:val="pt-BR"/>
        </w:rPr>
      </w:r>
      <w:r>
        <w:rPr>
          <w:lang w:val="pt-BR"/>
        </w:rPr>
      </w:r>
    </w:p>
    <w:p>
      <w:pPr>
        <w:pBdr/>
        <w:spacing w:after="120" w:before="120" w:line="312" w:lineRule="auto"/>
        <w:ind/>
        <w:rPr/>
      </w:pPr>
      <w:r>
        <w:rPr>
          <w:b/>
          <w:bCs/>
          <w:lang w:val="vi-VN"/>
        </w:rPr>
        <w:t xml:space="preserve">11. Những điều khoản loại trừ và hạn chế của kết quả thẩm định giá:</w:t>
      </w:r>
      <w:r/>
    </w:p>
    <w:p>
      <w:pPr>
        <w:pBdr/>
        <w:spacing w:after="120" w:before="120" w:line="312" w:lineRule="auto"/>
        <w:ind w:firstLine="360"/>
        <w:rPr>
          <w:lang w:val="pt-BR"/>
        </w:rPr>
      </w:pPr>
      <w:r>
        <w:rPr>
          <w:lang w:val="pt-BR"/>
        </w:rPr>
        <w:t xml:space="preserve">- </w:t>
      </w:r>
      <w:r>
        <w:rPr>
          <w:lang w:val="pt-BR"/>
        </w:rPr>
        <w:t xml:space="preserve">Chi tiết như Báo cáo kèm theo.</w:t>
      </w:r>
      <w:r>
        <w:rPr>
          <w:rFonts w:eastAsia="Calibri"/>
          <w:b/>
          <w:spacing w:val="-4"/>
          <w:lang w:val="pt-BR"/>
        </w:rPr>
        <w:br w:type="page" w:clear="all"/>
      </w:r>
      <w:r>
        <w:rPr>
          <w:rFonts w:eastAsia="Calibri"/>
          <w:b/>
          <w:spacing w:val="-4"/>
          <w:lang w:val="pt-BR"/>
        </w:rPr>
        <w:t xml:space="preserve">12</w:t>
      </w:r>
      <w:r>
        <w:rPr>
          <w:rFonts w:eastAsia="Calibri"/>
          <w:b/>
          <w:spacing w:val="-4"/>
          <w:lang w:val="vi-VN"/>
        </w:rPr>
        <w:t xml:space="preserve">. Các tài liệu kèm theo:</w:t>
      </w:r>
      <w:r>
        <w:rPr>
          <w:lang w:val="pt-BR"/>
        </w:rPr>
      </w:r>
      <w:r>
        <w:rPr>
          <w:lang w:val="pt-BR"/>
        </w:rPr>
      </w:r>
    </w:p>
    <w:p>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bCs/>
                <w:lang w:val="vi-VN"/>
              </w:rPr>
            </w:pPr>
            <w:r>
              <w:rPr>
                <w:rFonts w:eastAsia="Calibri"/>
                <w:b/>
                <w:bCs/>
                <w:color w:val="000000" w:themeColor="text1"/>
                <w:lang w:val="pt-BR"/>
              </w:rPr>
              <w:t xml:space="preserve">Đỗ Thanh Thảo</w:t>
            </w:r>
            <w:r>
              <w:rPr>
                <w:rFonts w:eastAsia="Calibri"/>
                <w:b/>
                <w:bCs/>
                <w:lang w:val="vi-VN"/>
              </w:rPr>
            </w:r>
            <w:r>
              <w:rPr>
                <w:rFonts w:eastAsia="Calibri"/>
                <w:b/>
                <w:bCs/>
                <w:lang w:val="vi-VN"/>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XV23.2485</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w:t>
            </w:r>
            <w:r>
              <w:rPr>
                <w:rFonts w:eastAsia="Calibri"/>
                <w:lang w:val="pt-BR"/>
              </w:rPr>
              <w:t xml:space="preserve"> XII17.1825</w:t>
            </w:r>
            <w:r>
              <w:rPr>
                <w:rFonts w:eastAsia="Calibri"/>
                <w:b/>
                <w:lang w:val="pt-BR"/>
              </w:rPr>
            </w:r>
            <w:r>
              <w:rPr>
                <w:rFonts w:eastAsia="Calibri"/>
                <w:b/>
                <w:lang w:val="pt-BR"/>
              </w:rPr>
            </w:r>
          </w:p>
        </w:tc>
      </w:tr>
    </w:tbl>
    <w:p>
      <w:pPr>
        <w:pBdr/>
        <w:spacing w:after="200" w:line="276" w:lineRule="auto"/>
        <w:ind/>
        <w:rPr/>
      </w:pPr>
      <w:r>
        <w:br w:type="page" w:clear="all"/>
      </w:r>
      <w:r/>
    </w:p>
    <w:tbl>
      <w:tblPr>
        <w:tblInd w:w="-284" w:type="dxa"/>
        <w:tblW w:w="14417" w:type="dxa"/>
        <w:tblBorders/>
        <w:tblLayout w:type="fixed"/>
        <w:tblLook w:val="04A0" w:firstRow="1" w:lastRow="0" w:firstColumn="1" w:lastColumn="0" w:noHBand="0" w:noVBand="1"/>
      </w:tblPr>
      <w:tblGrid>
        <w:gridCol w:w="29"/>
        <w:gridCol w:w="1701"/>
        <w:gridCol w:w="12688"/>
      </w:tblGrid>
      <w:tr>
        <w:trPr>
          <w:trHeight w:val="1843"/>
        </w:trPr>
        <w:tc>
          <w:tcPr>
            <w:gridSpan w:val="2"/>
            <w:tcBorders/>
            <w:tcW w:w="1729"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tcBorders/>
            <w:tcW w:w="12688"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6" w:tooltip="mailto:ilotus.contact@gmail.com" w:history="1">
              <w:r>
                <w:rPr>
                  <w:rStyle w:val="1017"/>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Before w:val="1"/>
          <w:trHeight w:val="84"/>
        </w:trPr>
        <w:tc>
          <w:tcPr>
            <w:gridSpan w:val="2"/>
            <w:shd w:val="clear" w:color="auto" w:fill="auto"/>
            <w:tcBorders/>
            <w:tcMar>
              <w:left w:w="108" w:type="dxa"/>
              <w:top w:w="0" w:type="dxa"/>
              <w:right w:w="108" w:type="dxa"/>
              <w:bottom w:w="0" w:type="dxa"/>
            </w:tcMar>
            <w:tcW w:w="14389" w:type="dxa"/>
            <w:textDirection w:val="lrTb"/>
            <w:noWrap w:val="false"/>
          </w:tcPr>
          <w:p>
            <w:pPr>
              <w:pStyle w:val="1026"/>
              <w:pBdr/>
              <w:spacing w:after="60"/>
              <w:ind/>
              <w:rPr>
                <w:color w:val="000000" w:themeColor="text1"/>
                <w:sz w:val="24"/>
                <w:szCs w:val="24"/>
              </w:rPr>
            </w:pPr>
            <w:r>
              <w:rPr>
                <w:rStyle w:val="1025"/>
                <w:rFonts w:ascii="Times New Roman" w:hAnsi="Times New Roman"/>
                <w:color w:val="000000" w:themeColor="text1"/>
                <w:lang w:val="pt-BR"/>
              </w:rPr>
              <w:t xml:space="preserve">Số: </w:t>
            </w:r>
            <w:r>
              <w:rPr>
                <w:rStyle w:val="1025"/>
                <w:rFonts w:ascii="Times New Roman" w:hAnsi="Times New Roman"/>
                <w:color w:val="000000" w:themeColor="text1"/>
                <w:lang w:val="pt-BR"/>
              </w:rPr>
              <w:t xml:space="preserve">275/2026/1257/VFI-CT.C01.A                                              </w:t>
            </w:r>
            <w:r>
              <w:rPr>
                <w:rStyle w:val="1025"/>
                <w:rFonts w:ascii="Times New Roman" w:hAnsi="Times New Roman"/>
                <w:i/>
                <w:color w:val="auto"/>
              </w:rPr>
              <w:t xml:space="preserve">TP. Hà Nội</w:t>
            </w:r>
            <w:r>
              <w:rPr>
                <w:rStyle w:val="1025"/>
                <w:rFonts w:ascii="Times New Roman" w:hAnsi="Times New Roman"/>
                <w:i/>
                <w:color w:val="auto"/>
                <w:lang w:val="vi-VN"/>
              </w:rPr>
              <w:t xml:space="preserve">, </w:t>
            </w:r>
            <w:r>
              <w:rPr>
                <w:rStyle w:val="1025"/>
                <w:rFonts w:ascii="Times New Roman" w:hAnsi="Times New Roman"/>
                <w:i/>
                <w:color w:val="000000" w:themeColor="text1"/>
                <w:lang w:val="vi-VN"/>
              </w:rPr>
              <w:t xml:space="preserve">ngày 13 tháng 8 năm 2026</w:t>
            </w:r>
            <w:r>
              <w:rPr>
                <w:color w:val="000000" w:themeColor="text1"/>
                <w:sz w:val="24"/>
                <w:szCs w:val="24"/>
              </w:rPr>
            </w:r>
            <w:r>
              <w:rPr>
                <w:color w:val="000000" w:themeColor="text1"/>
                <w:sz w:val="24"/>
                <w:szCs w:val="24"/>
              </w:rPr>
            </w:r>
          </w:p>
        </w:tc>
      </w:tr>
      <w:tr>
        <w:trPr>
          <w:gridBefore w:val="1"/>
          <w:trHeight w:val="84"/>
        </w:trPr>
        <w:tc>
          <w:tcPr>
            <w:shd w:val="clear" w:color="auto" w:fill="auto"/>
            <w:tcBorders/>
            <w:tcMar>
              <w:left w:w="108" w:type="dxa"/>
              <w:top w:w="0" w:type="dxa"/>
              <w:right w:w="108" w:type="dxa"/>
              <w:bottom w:w="0" w:type="dxa"/>
            </w:tcMar>
            <w:tcW w:w="1701" w:type="dxa"/>
            <w:textDirection w:val="lrTb"/>
            <w:noWrap w:val="false"/>
          </w:tcPr>
          <w:p>
            <w:pPr>
              <w:pStyle w:val="1026"/>
              <w:pBdr/>
              <w:spacing w:after="60"/>
              <w:ind/>
              <w:rPr>
                <w:rStyle w:val="1025"/>
                <w:rFonts w:ascii="Times New Roman" w:hAnsi="Times New Roman"/>
                <w:color w:val="000000" w:themeColor="text1"/>
                <w:lang w:val="pt-BR"/>
              </w:rPr>
            </w:pPr>
            <w:r>
              <w:rPr>
                <w:rStyle w:val="1025"/>
                <w:rFonts w:ascii="Times New Roman" w:hAnsi="Times New Roman"/>
                <w:color w:val="000000" w:themeColor="text1"/>
                <w:lang w:val="pt-BR"/>
              </w:rPr>
            </w:r>
            <w:r>
              <w:rPr>
                <w:rStyle w:val="1025"/>
                <w:rFonts w:ascii="Times New Roman" w:hAnsi="Times New Roman"/>
                <w:color w:val="000000" w:themeColor="text1"/>
                <w:lang w:val="pt-BR"/>
              </w:rPr>
            </w:r>
            <w:r>
              <w:rPr>
                <w:rStyle w:val="1025"/>
                <w:rFonts w:ascii="Times New Roman" w:hAnsi="Times New Roman"/>
                <w:color w:val="000000" w:themeColor="text1"/>
                <w:lang w:val="pt-BR"/>
              </w:rPr>
            </w:r>
          </w:p>
        </w:tc>
        <w:tc>
          <w:tcPr>
            <w:shd w:val="clear" w:color="auto" w:fill="auto"/>
            <w:tcBorders/>
            <w:tcMar>
              <w:left w:w="108" w:type="dxa"/>
              <w:top w:w="0" w:type="dxa"/>
              <w:right w:w="108" w:type="dxa"/>
              <w:bottom w:w="0" w:type="dxa"/>
            </w:tcMar>
            <w:tcW w:w="12688" w:type="dxa"/>
            <w:textDirection w:val="lrTb"/>
            <w:noWrap w:val="false"/>
          </w:tcPr>
          <w:p>
            <w:pPr>
              <w:pStyle w:val="1026"/>
              <w:pBdr/>
              <w:spacing w:after="60"/>
              <w:ind w:right="-56"/>
              <w:rPr>
                <w:rStyle w:val="1025"/>
                <w:rFonts w:ascii="Times New Roman" w:hAnsi="Times New Roman"/>
                <w:i/>
                <w:color w:val="auto"/>
              </w:rPr>
            </w:pPr>
            <w:r>
              <w:rPr>
                <w:rFonts w:ascii="Times New Roman" w:hAnsi="Times New Roman"/>
                <w:i/>
                <w:color w:val="auto"/>
              </w:rPr>
            </w:r>
            <w:r>
              <w:rPr>
                <w:rStyle w:val="1025"/>
                <w:rFonts w:ascii="Times New Roman" w:hAnsi="Times New Roman"/>
                <w:i/>
                <w:color w:val="auto"/>
              </w:rPr>
            </w:r>
            <w:r>
              <w:rPr>
                <w:rStyle w:val="1025"/>
                <w:rFonts w:ascii="Times New Roman" w:hAnsi="Times New Roman"/>
                <w:i/>
                <w:color w:val="auto"/>
              </w:rPr>
            </w:r>
          </w:p>
        </w:tc>
      </w:tr>
    </w:tbl>
    <w:p>
      <w:pPr>
        <w:pStyle w:val="1026"/>
        <w:pBdr/>
        <w:tabs>
          <w:tab w:val="left" w:leader="none" w:pos="5103"/>
        </w:tabs>
        <w:spacing w:before="200" w:line="340" w:lineRule="atLeast"/>
        <w:ind/>
        <w:jc w:val="center"/>
        <w:rPr>
          <w:i/>
          <w:iCs/>
          <w:sz w:val="30"/>
          <w:szCs w:val="30"/>
          <w:lang w:val="pt-BR"/>
        </w:rPr>
      </w:pPr>
      <w:r>
        <w:rPr>
          <w:b/>
          <w:sz w:val="30"/>
          <w:szCs w:val="30"/>
          <w:lang w:val="pt-BR"/>
        </w:rPr>
        <w:t xml:space="preserve">BÁO CÁO KẾT QUẢ THẨM ĐỊNH GIÁ</w:t>
      </w:r>
      <w:r>
        <w:rPr>
          <w:i/>
          <w:iCs/>
          <w:sz w:val="30"/>
          <w:szCs w:val="30"/>
          <w:lang w:val="pt-BR"/>
        </w:rPr>
      </w:r>
      <w:r>
        <w:rPr>
          <w:i/>
          <w:iCs/>
          <w:sz w:val="30"/>
          <w:szCs w:val="30"/>
          <w:lang w:val="pt-BR"/>
        </w:rPr>
      </w:r>
    </w:p>
    <w:p>
      <w:pPr>
        <w:pStyle w:val="1006"/>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(Kèm t</w:t>
      </w:r>
      <w:r>
        <w:rPr>
          <w:b w:val="0"/>
          <w:i/>
          <w:spacing w:val="-6"/>
          <w:sz w:val="24"/>
          <w:szCs w:val="24"/>
          <w:lang w:val="pt-BR"/>
        </w:rPr>
        <w:t xml:space="preserve">heo Chứng thư thẩm định giá số:</w:t>
      </w:r>
      <w:r>
        <w:rPr>
          <w:b w:val="0"/>
          <w:i/>
          <w:spacing w:val="-6"/>
          <w:sz w:val="24"/>
          <w:szCs w:val="24"/>
          <w:lang w:val="pt-BR"/>
        </w:rPr>
        <w:t xml:space="preserve"> </w:t>
      </w:r>
      <w:r>
        <w:rPr>
          <w:b w:val="0"/>
          <w:i/>
          <w:color w:val="000000" w:themeColor="text1"/>
          <w:spacing w:val="-6"/>
          <w:sz w:val="24"/>
          <w:szCs w:val="24"/>
          <w:lang w:val="pt-BR"/>
        </w:rPr>
        <w:t xml:space="preserve">275/2026/1257/VFI-CT.C01.A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13 tháng 8 năm 2026</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pPr>
        <w:pStyle w:val="1006"/>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r>
              <w:rPr>
                <w:b/>
                <w:bCs/>
                <w:spacing w:val="-4"/>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 </w:t>
            </w:r>
            <w:r>
              <w:rPr>
                <w:bCs/>
                <w:lang w:val="pt-BR"/>
              </w:rPr>
            </w:r>
            <w:r>
              <w:rPr>
                <w:bCs/>
                <w:lang w:val="pt-BR"/>
              </w:rPr>
            </w:r>
          </w:p>
        </w:tc>
        <w:tc>
          <w:tcPr>
            <w:tcBorders/>
            <w:tcW w:w="6940" w:type="dxa"/>
            <w:vAlign w:val="center"/>
            <w:textDirection w:val="lrTb"/>
            <w:noWrap w:val="false"/>
          </w:tcPr>
          <w:p>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trHeight w:val="20"/>
        </w:trPr>
        <w:tc>
          <w:tcPr>
            <w:tcBorders/>
            <w:tcW w:w="2552" w:type="dxa"/>
            <w:vAlign w:val="center"/>
            <w:textDirection w:val="lrTb"/>
            <w:noWrap w:val="false"/>
          </w:tcPr>
          <w:p>
            <w:pPr>
              <w:pBdr/>
              <w:spacing w:after="60" w:before="60" w:line="276" w:lineRule="auto"/>
              <w:ind/>
              <w:rPr>
                <w:bCs/>
              </w:rPr>
            </w:pPr>
            <w:r>
              <w:t xml:space="preserve">Mã số thuế</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color w:val="000000" w:themeColor="text1"/>
              </w:rPr>
              <w:t xml:space="preserve">0102708994</w:t>
            </w:r>
            <w:r>
              <w:rPr>
                <w:bCs/>
              </w:rPr>
            </w:r>
            <w:r>
              <w:rPr>
                <w:bCs/>
              </w:rPr>
            </w:r>
          </w:p>
        </w:tc>
      </w:tr>
      <w:tr>
        <w:trPr>
          <w:trHeight w:val="20"/>
        </w:trPr>
        <w:tc>
          <w:tcPr>
            <w:tcBorders/>
            <w:tcW w:w="2552" w:type="dxa"/>
            <w:vAlign w:val="center"/>
            <w:textDirection w:val="lrTb"/>
            <w:noWrap w:val="false"/>
          </w:tcPr>
          <w:p>
            <w:pPr>
              <w:pBdr/>
              <w:spacing w:after="60" w:before="60" w:line="276" w:lineRule="auto"/>
              <w:ind/>
              <w:rPr/>
            </w:pPr>
            <w:r>
              <w:t xml:space="preserve">GCN</w:t>
            </w:r>
            <w:r>
              <w:t xml:space="preserve"> đủ điều kiện hành nghề</w:t>
            </w: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rPr>
              <w:t xml:space="preserve">275/TĐG</w:t>
            </w:r>
            <w:r>
              <w:rPr>
                <w:bCs/>
              </w:rPr>
            </w:r>
            <w:r>
              <w:rPr>
                <w:bCs/>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b/>
                <w:bCs/>
                <w:lang w:val="vi-VN"/>
              </w:rPr>
            </w:pPr>
            <w:r>
              <w:rPr>
                <w:b/>
                <w:bCs/>
                <w:lang w:val="vi-VN"/>
              </w:rPr>
              <w:t xml:space="preserve">Ông</w:t>
            </w:r>
            <w:r>
              <w:rPr>
                <w:b/>
                <w:bCs/>
              </w:rPr>
              <w:t xml:space="preserve"> Vũ Văn Quân </w:t>
            </w:r>
            <w:r>
              <w:rPr>
                <w:b/>
                <w:bCs/>
                <w:lang w:val="vi-VN"/>
              </w:rPr>
              <w:tab/>
              <w:t xml:space="preserve">Chức vụ: </w:t>
            </w:r>
            <w:r>
              <w:rPr>
                <w:b/>
                <w:bCs/>
              </w:rPr>
              <w:t xml:space="preserve">Chủ tịch HĐQT kiêm Tổng Giám Đốc</w:t>
            </w:r>
            <w:r>
              <w:rPr>
                <w:b/>
                <w:bCs/>
                <w:lang w:val="vi-VN"/>
              </w:rPr>
            </w:r>
            <w:r>
              <w:rPr>
                <w:b/>
                <w:bCs/>
                <w:lang w:val="vi-VN"/>
              </w:rPr>
            </w:r>
          </w:p>
        </w:tc>
      </w:tr>
    </w:tbl>
    <w:p>
      <w:pPr>
        <w:pStyle w:val="1027"/>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Thông tin cơ bản về cuộc thẩm định giá:</w:t>
      </w:r>
      <w:r>
        <w:rPr>
          <w:b/>
          <w:bCs/>
          <w:lang w:val="pt-BR"/>
        </w:rPr>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Tên khách hàng</w:t>
            </w:r>
            <w:r>
              <w:rPr>
                <w:bCs/>
                <w:lang w:val="pt-BR"/>
              </w:rPr>
            </w:r>
            <w:r>
              <w:rPr>
                <w:bCs/>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line="299" w:lineRule="atLeast"/>
              <w:ind w:right="0" w:firstLine="0" w:left="0"/>
              <w:rPr/>
            </w:pPr>
            <w:r>
              <w:rPr>
                <w:rFonts w:ascii="Times New Roman" w:hAnsi="Times New Roman" w:eastAsia="Times New Roman" w:cs="Times New Roman"/>
                <w:b/>
                <w:color w:val="000000"/>
                <w:sz w:val="24"/>
              </w:rPr>
              <w:t xml:space="preserve">Ông Nguyễn Văn Cầu</w:t>
            </w: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MST/CMTND/CCCD:</w:t>
            </w:r>
            <w:r>
              <w:rPr>
                <w:bCs/>
                <w:lang w:val="pt-BR"/>
              </w:rPr>
            </w:r>
            <w:r>
              <w:rPr>
                <w:bCs/>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line="299" w:lineRule="atLeast"/>
              <w:ind w:right="0" w:firstLine="0" w:left="0"/>
              <w:rPr/>
            </w:pPr>
            <w:r>
              <w:rPr>
                <w:rFonts w:ascii="Times New Roman" w:hAnsi="Times New Roman" w:eastAsia="Times New Roman" w:cs="Times New Roman"/>
                <w:color w:val="000000"/>
                <w:sz w:val="24"/>
              </w:rPr>
              <w:t xml:space="preserve">001078027648</w:t>
            </w: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Năm sinh:</w:t>
            </w:r>
            <w:r>
              <w:rPr>
                <w:bCs/>
                <w:lang w:val="pt-BR"/>
              </w:rPr>
            </w:r>
            <w:r>
              <w:rPr>
                <w:bCs/>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line="299" w:lineRule="atLeast"/>
              <w:ind w:right="0" w:firstLine="0" w:left="0"/>
              <w:rPr/>
            </w:pPr>
            <w:r>
              <w:rPr>
                <w:rFonts w:ascii="Times New Roman" w:hAnsi="Times New Roman" w:eastAsia="Times New Roman" w:cs="Times New Roman"/>
                <w:color w:val="000000"/>
                <w:sz w:val="24"/>
              </w:rPr>
              <w:t xml:space="preserve">1978</w:t>
            </w: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Địa chỉ</w:t>
            </w:r>
            <w:r>
              <w:rPr>
                <w:bCs/>
                <w:lang w:val="pt-BR"/>
              </w:rPr>
            </w:r>
            <w:r>
              <w:rPr>
                <w:bCs/>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line="299" w:lineRule="atLeast"/>
              <w:ind w:right="0" w:firstLine="0" w:left="0"/>
              <w:rPr/>
            </w:pPr>
            <w:r>
              <w:rPr>
                <w:rFonts w:ascii="Times New Roman" w:hAnsi="Times New Roman" w:eastAsia="Times New Roman" w:cs="Times New Roman"/>
                <w:color w:val="000000"/>
                <w:sz w:val="24"/>
              </w:rPr>
              <w:t xml:space="preserve">Xã Ứng Hòa, thành phố Hà Nội</w:t>
            </w: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Tài sản thẩm định giá</w:t>
            </w:r>
            <w:r>
              <w:rPr>
                <w:bCs/>
                <w:lang w:val="pt-BR"/>
              </w:rPr>
            </w:r>
            <w:r>
              <w:rPr>
                <w:bCs/>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
                <w:bCs/>
                <w:spacing w:val="2"/>
                <w:lang w:val="vi-VN"/>
              </w:rPr>
            </w:pPr>
            <w:r>
              <w:rPr>
                <w:bCs/>
                <w:color w:val="000000" w:themeColor="text1"/>
                <w:lang w:val="pt-BR"/>
              </w:rPr>
              <w:t xml:space="preserve">Quyền sử dụng đất tại Thửa đất số 100, tờ bản đồ số: 26, địa chỉ: Thôn Du Đồng, xã Đại Hùng, huyện Ứng Hòa, thành phố Hà Nội </w:t>
            </w:r>
            <w:r>
              <w:rPr>
                <w:bCs/>
                <w:i/>
                <w:iCs/>
                <w:color w:val="000000" w:themeColor="text1"/>
                <w:lang w:val="pt-BR"/>
              </w:rPr>
              <w:t xml:space="preserve">(nay là xã Ứng Hòa,</w:t>
            </w:r>
            <w:r>
              <w:rPr>
                <w:bCs/>
                <w:i/>
                <w:iCs/>
                <w:color w:val="000000" w:themeColor="text1"/>
                <w:lang w:val="pt-BR"/>
              </w:rPr>
              <w:t xml:space="preserve"> thành phố Hà Nội)</w:t>
            </w:r>
            <w:r>
              <w:rPr>
                <w:bCs/>
                <w:color w:val="000000" w:themeColor="text1"/>
                <w:lang w:val="pt-BR"/>
              </w:rPr>
              <w:t xml:space="preserve">, theo Giấy chứng nhận quyền sử dụng đất, quyền sở hữu nhà ở và tài sản gắn liền với đất số: BO 371789; Số vào sổ cấp GCN: CH00779 do UBND huyện Ứng Hòa cấp ngày 26/11/2013. Chủ sử dụng đất là ông Nguyễn Văn Cầu </w:t>
            </w:r>
            <w:r>
              <w:rPr>
                <w:bCs/>
                <w:i/>
                <w:iCs/>
                <w:color w:val="000000" w:themeColor="text1"/>
                <w:lang w:val="pt-BR"/>
              </w:rPr>
              <w:t xml:space="preserve">(Cập nhật ngày 15/11/2017)</w:t>
            </w:r>
            <w:r>
              <w:rPr>
                <w:bCs/>
                <w:spacing w:val="2"/>
              </w:rPr>
              <w:t xml:space="preserve">.</w:t>
            </w:r>
            <w:r>
              <w:rPr>
                <w:b/>
                <w:bCs/>
                <w:spacing w:val="2"/>
                <w:lang w:val="vi-VN"/>
              </w:rPr>
            </w:r>
            <w:r>
              <w:rPr>
                <w:b/>
                <w:bCs/>
                <w:spacing w:val="2"/>
                <w:lang w:val="vi-VN"/>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Mục đích thẩm định giá</w:t>
            </w:r>
            <w:r>
              <w:rPr>
                <w:bCs/>
                <w:lang w:val="pt-BR"/>
              </w:rPr>
            </w:r>
            <w:r>
              <w:rPr>
                <w:bCs/>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12"/>
                <w:lang w:val="pt-BR"/>
              </w:rPr>
            </w:pPr>
            <w:r>
              <w:rPr>
                <w:bCs/>
                <w:spacing w:val="-12"/>
                <w:lang w:val="pt-BR"/>
              </w:rPr>
              <w:t xml:space="preserve">Cơ sở giá trị thẩm định giá</w:t>
            </w:r>
            <w:r>
              <w:rPr>
                <w:bCs/>
                <w:spacing w:val="-12"/>
                <w:lang w:val="pt-BR"/>
              </w:rPr>
            </w:r>
            <w:r>
              <w:rPr>
                <w:bCs/>
                <w:spacing w:val="-12"/>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thẩm định giá</w:t>
            </w:r>
            <w:r>
              <w:rPr>
                <w:bCs/>
                <w:spacing w:val="-6"/>
                <w:lang w:val="pt-BR"/>
              </w:rPr>
            </w:r>
            <w:r>
              <w:rPr>
                <w:bCs/>
                <w:spacing w:val="-6"/>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Cs/>
                <w:spacing w:val="-4"/>
                <w:lang w:val="pt-BR"/>
              </w:rPr>
            </w:pPr>
            <w:r>
              <w:rPr>
                <w:color w:val="000000" w:themeColor="text1"/>
                <w:lang w:val="pt-BR"/>
              </w:rPr>
              <w:t xml:space="preserve">Tháng 08/2026</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Địa điểm thẩm định giá</w:t>
            </w:r>
            <w:r>
              <w:rPr>
                <w:bCs/>
                <w:spacing w:val="-6"/>
                <w:lang w:val="pt-BR"/>
              </w:rPr>
            </w:r>
            <w:r>
              <w:rPr>
                <w:bCs/>
                <w:spacing w:val="-6"/>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color w:val="ee0000"/>
                <w:lang w:val="pt-BR"/>
              </w:rPr>
            </w:pPr>
            <w:r>
              <w:rPr>
                <w:color w:val="000000" w:themeColor="text1"/>
                <w:lang w:val="pt-BR"/>
              </w:rPr>
              <w:t xml:space="preserve">Xã Ứng Hòa, Thành phố Hà Nội</w:t>
            </w:r>
            <w:r>
              <w:rPr>
                <w:color w:val="ee0000"/>
                <w:lang w:val="pt-BR"/>
              </w:rPr>
            </w:r>
            <w:r>
              <w:rPr>
                <w:color w:val="ee0000"/>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Vị trí tài sản thẩm định </w:t>
            </w:r>
            <w:r>
              <w:rPr>
                <w:bCs/>
                <w:spacing w:val="-6"/>
                <w:lang w:val="pt-BR"/>
              </w:rPr>
            </w:r>
            <w:r>
              <w:rPr>
                <w:bCs/>
                <w:spacing w:val="-6"/>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Style w:val="1007"/>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w:t>
            </w:r>
            <w:r>
              <w:rPr>
                <w:rFonts w:ascii="Times New Roman" w:hAnsi="Times New Roman" w:cs="Times New Roman"/>
                <w:color w:val="000000"/>
                <w:sz w:val="24"/>
                <w:szCs w:val="24"/>
              </w:rPr>
              <w:t xml:space="preserve">20.663222222222, 105.84586111111</w:t>
            </w:r>
            <w:r>
              <w:rPr>
                <w:rFonts w:ascii="Times New Roman" w:hAnsi="Times New Roman" w:cs="Times New Roman"/>
                <w:color w:val="auto"/>
                <w:sz w:val="24"/>
                <w:szCs w:val="24"/>
              </w:rPr>
              <w:t xml:space="preserve">)</w:t>
            </w:r>
            <w:r>
              <w:rPr>
                <w:rFonts w:ascii="Times New Roman" w:hAnsi="Times New Roman" w:cs="Times New Roman"/>
                <w:color w:val="auto"/>
                <w:sz w:val="24"/>
                <w:szCs w:val="24"/>
              </w:rPr>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khảo sát</w:t>
            </w:r>
            <w:r>
              <w:rPr>
                <w:bCs/>
                <w:spacing w:val="-6"/>
                <w:lang w:val="pt-BR"/>
              </w:rPr>
            </w:r>
            <w:r>
              <w:rPr>
                <w:bCs/>
                <w:spacing w:val="-6"/>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lang w:val="pt-BR"/>
              </w:rPr>
            </w:pPr>
            <w:r>
              <w:rPr>
                <w:lang w:val="pt-BR"/>
              </w:rPr>
              <w:t xml:space="preserve">11/08/2026</w:t>
            </w:r>
            <w:r>
              <w:rPr>
                <w:lang w:val="pt-BR"/>
              </w:rPr>
              <w:t xml:space="preserve">.</w:t>
            </w:r>
            <w:r>
              <w:rPr>
                <w:lang w:val="pt-BR"/>
              </w:rPr>
            </w:r>
            <w:r>
              <w:rPr>
                <w:lang w:val="pt-BR"/>
              </w:rPr>
            </w:r>
          </w:p>
        </w:tc>
      </w:tr>
    </w:tbl>
    <w:p>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 nguồn thông tin được sử dụng trong quá trình thẩm định giá</w:t>
      </w:r>
      <w:r>
        <w:rPr>
          <w:b/>
          <w:bCs/>
          <w:spacing w:val="-6"/>
          <w:lang w:val="pt-BR"/>
        </w:rPr>
        <w:t xml:space="preserve"> và xem xét đánh giá</w:t>
      </w:r>
      <w:r>
        <w:rPr>
          <w:b/>
          <w:bCs/>
          <w:spacing w:val="-6"/>
          <w:lang w:val="pt-BR"/>
        </w:rPr>
        <w:t xml:space="preserve"> các thông tin thu thập</w:t>
      </w:r>
      <w:r>
        <w:rPr>
          <w:b/>
          <w:bCs/>
          <w:spacing w:val="-6"/>
          <w:lang w:val="pt-BR"/>
        </w:rPr>
      </w:r>
      <w:r>
        <w:rPr>
          <w:b/>
          <w:bCs/>
          <w:spacing w:val="-6"/>
          <w:lang w:val="pt-BR"/>
        </w:rPr>
      </w:r>
    </w:p>
    <w:p>
      <w:pPr>
        <w:pStyle w:val="1027"/>
        <w:numPr>
          <w:ilvl w:val="0"/>
          <w:numId w:val="1"/>
        </w:numPr>
        <w:pBdr/>
        <w:tabs>
          <w:tab w:val="left" w:leader="none" w:pos="993"/>
        </w:tabs>
        <w:spacing w:after="120" w:before="120" w:line="276" w:lineRule="auto"/>
        <w:ind/>
        <w:jc w:val="both"/>
        <w:rPr>
          <w:lang w:val="pt-BR"/>
        </w:rPr>
      </w:pPr>
      <w:r>
        <w:rPr>
          <w:spacing w:val="-6"/>
          <w:lang w:val="pt-BR"/>
        </w:rPr>
        <w:t xml:space="preserve">Tham khảo nguồn thông tin từ các trang giao bán bất động sản qua mạng Internet</w:t>
      </w:r>
      <w:r>
        <w:rPr>
          <w:spacing w:val="-6"/>
          <w:lang w:val="pt-BR"/>
        </w:rPr>
        <w:t xml:space="preserve">, gọi điện trực tiếp</w:t>
      </w:r>
      <w:r>
        <w:rPr>
          <w:lang w:val="pt-BR"/>
        </w:rPr>
        <w:t xml:space="preserve">.</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Tham khảo nguồn thông tin trực tiếp từ </w:t>
      </w:r>
      <w:r>
        <w:rPr>
          <w:lang w:val="pt-BR"/>
        </w:rPr>
        <w:t xml:space="preserve">những</w:t>
      </w:r>
      <w:r>
        <w:rPr>
          <w:lang w:val="vi-VN"/>
        </w:rPr>
        <w:t xml:space="preserve"> người </w:t>
      </w:r>
      <w:r>
        <w:rPr>
          <w:lang w:val="pt-BR"/>
        </w:rPr>
        <w:t xml:space="preserve">dân </w:t>
      </w:r>
      <w:r>
        <w:rPr>
          <w:lang w:val="pt-BR"/>
        </w:rPr>
        <w:t xml:space="preserve">sinh</w:t>
      </w:r>
      <w:r>
        <w:rPr>
          <w:lang w:val="vi-VN"/>
        </w:rPr>
        <w:t xml:space="preserve"> s</w:t>
      </w:r>
      <w:r>
        <w:rPr>
          <w:lang w:val="pt-BR"/>
        </w:rPr>
        <w:t xml:space="preserve">ống </w:t>
      </w:r>
      <w:r>
        <w:rPr>
          <w:lang w:val="pt-BR"/>
        </w:rPr>
        <w:t xml:space="preserve">xung quanh </w:t>
      </w:r>
      <w:r>
        <w:rPr>
          <w:lang w:val="pt-BR"/>
        </w:rPr>
        <w:t xml:space="preserve">trên địa bàn.</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Đánh giá nguồn thông tin thu thập: Nguồn thông tin thu thập khách quan</w:t>
      </w:r>
      <w:r>
        <w:rPr>
          <w:lang w:val="pt-BR"/>
        </w:rPr>
        <w:t xml:space="preserve"> và phổ biến trên thị trường.</w:t>
      </w:r>
      <w:r>
        <w:rPr>
          <w:lang w:val="pt-BR"/>
        </w:rPr>
      </w:r>
      <w:r>
        <w:rPr>
          <w:lang w:val="pt-BR"/>
        </w:rPr>
      </w:r>
    </w:p>
    <w:p>
      <w:pPr>
        <w:pStyle w:val="1027"/>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 cứ pháp lý</w:t>
      </w:r>
      <w:r>
        <w:rPr>
          <w:b/>
          <w:bCs/>
          <w:lang w:val="vi-VN"/>
        </w:rPr>
      </w:r>
      <w:r>
        <w:rPr>
          <w:b/>
          <w:bCs/>
          <w:lang w:val="vi-VN"/>
        </w:rPr>
      </w:r>
    </w:p>
    <w:p>
      <w:pPr>
        <w:pStyle w:val="1027"/>
        <w:pBdr/>
        <w:tabs>
          <w:tab w:val="left" w:leader="none" w:pos="993"/>
        </w:tabs>
        <w:spacing w:after="120" w:before="120" w:line="276" w:lineRule="auto"/>
        <w:ind w:left="0"/>
        <w:jc w:val="both"/>
        <w:rPr>
          <w:b/>
          <w:lang w:val="pt-BR"/>
        </w:rPr>
      </w:pPr>
      <w:r>
        <w:rPr>
          <w:b/>
          <w:lang w:val="pt-BR"/>
        </w:rPr>
        <w:t xml:space="preserve">3.1</w:t>
      </w:r>
      <w:r>
        <w:rPr>
          <w:b/>
          <w:lang w:val="pt-BR"/>
        </w:rPr>
        <w:t xml:space="preserve">. Văn bản </w:t>
      </w:r>
      <w:r>
        <w:rPr>
          <w:b/>
          <w:lang w:val="pt-BR"/>
        </w:rPr>
        <w:t xml:space="preserve">quy phạm pháp luật</w:t>
      </w:r>
      <w:r>
        <w:rPr>
          <w:b/>
          <w:lang w:val="pt-BR"/>
        </w:rPr>
        <w:t xml:space="preserve">:</w:t>
      </w:r>
      <w:r>
        <w:rPr>
          <w:b/>
          <w:lang w:val="pt-BR"/>
        </w:rPr>
      </w:r>
      <w:r>
        <w:rPr>
          <w:b/>
          <w:lang w:val="pt-BR"/>
        </w:rPr>
      </w:r>
    </w:p>
    <w:p>
      <w:pPr>
        <w:pStyle w:val="1027"/>
        <w:pBdr/>
        <w:tabs>
          <w:tab w:val="left" w:leader="none" w:pos="993"/>
        </w:tabs>
        <w:spacing w:after="120" w:before="120" w:line="276" w:lineRule="auto"/>
        <w:ind w:left="0"/>
        <w:jc w:val="both"/>
        <w:rPr>
          <w:lang w:val="pt-BR"/>
        </w:rPr>
      </w:pPr>
      <w:r>
        <w:rPr>
          <w:bCs/>
          <w:color w:val="000000" w:themeColor="text1"/>
          <w:lang w:val="pt-BR"/>
        </w:rPr>
        <w:t xml:space="preserve">- </w:t>
      </w:r>
      <w:r>
        <w:rPr>
          <w:bCs/>
          <w:color w:val="000000" w:themeColor="text1"/>
          <w:lang w:val="pt-BR"/>
        </w:rPr>
        <w:t xml:space="preserve">   </w:t>
      </w:r>
      <w:r>
        <w:rPr>
          <w:lang w:val="pt-BR"/>
        </w:rPr>
        <w:t xml:space="preserve">Luật Giá số 16/2023/QH15 ngày 19/6/2023;</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Luật Đất đai số 31/2024/QH15 đã được Quốc hội nước Cộng hòa xã hội chủ nghĩa Việt Nam khóa XV, kỳ họp bất thường lần thứ 5 thông qua ngày 18 tháng 01 năm 2024;</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Luật Xây dựng số 50/2014/QH13 đã được Quốc hội nước Cộng hòa xã hội chủ nghĩa Việt Nam khóa XIII, kỳ họp thứ 7 thông qua ngày 18 tháng 6 năm 2014;</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lang w:val="pt-BR"/>
        </w:rPr>
        <w:t xml:space="preserve">d</w:t>
      </w:r>
      <w:r>
        <w:rPr>
          <w:lang w:val="pt-BR"/>
        </w:rPr>
        <w:t xml:space="preserve">ựng;</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Luật Nhà ở số 27/2023/QH15 đã được Quốc hội nước Cộng hòa xã hội chủ nghĩa Việt Nam khóa XV, kỳ họp thứ 6 thông qua ngày 27 tháng 11 năm 2023;</w:t>
      </w:r>
      <w:r>
        <w:rPr>
          <w:lang w:val="pt-BR"/>
        </w:rPr>
      </w:r>
      <w:r>
        <w:rPr>
          <w:lang w:val="pt-BR"/>
        </w:rPr>
      </w:r>
    </w:p>
    <w:p>
      <w:pPr>
        <w:pStyle w:val="1027"/>
        <w:numPr>
          <w:ilvl w:val="0"/>
          <w:numId w:val="1"/>
        </w:numPr>
        <w:pBdr/>
        <w:spacing w:after="120" w:before="120" w:line="276" w:lineRule="auto"/>
        <w:ind/>
        <w:rPr>
          <w:lang w:val="pt-BR"/>
        </w:rPr>
      </w:pPr>
      <w:r>
        <w:rPr>
          <w:lang w:val="pt-BR"/>
        </w:rPr>
        <w:t xml:space="preserve">Nghị định số 71/2024/NĐ-CP ngày 27/6/2024 của Chính phủ Quy định về giá đất.</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Nghị định số 103/2024/NĐ-CP ngày 30/7/2024 của Chính phủ quy định về thu tiền sử dụng đất, tiền thuê đất;</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Thông tư số 28/2024/TT-BTC ngày 16/5/2024 của Bộ Tài </w:t>
      </w:r>
      <w:r>
        <w:rPr>
          <w:lang w:val="pt-BR"/>
        </w:rPr>
        <w:t xml:space="preserve">c</w:t>
      </w:r>
      <w:r>
        <w:rPr>
          <w:lang w:val="pt-BR"/>
        </w:rPr>
        <w:t xml:space="preserve">hính Quy định về trình tự, thủ tục kiểm tra việc chấp hành pháp luật về giá, thẩm định giá do Bộ trưởng Bộ Tài chính ban hành;</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Thông tư số 30/2024/TT-BTC ngày 16/5/2024 </w:t>
      </w:r>
      <w:r>
        <w:rPr>
          <w:lang w:val="pt-BR"/>
        </w:rPr>
        <w:t xml:space="preserve">của Bộ Tài chính </w:t>
      </w:r>
      <w:r>
        <w:rPr>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Thông tư số 31/2024/TT-BTC ngày 16/5/2024 </w:t>
      </w:r>
      <w:r>
        <w:rPr>
          <w:lang w:val="pt-BR"/>
        </w:rPr>
        <w:t xml:space="preserve">của Bộ Tài chính </w:t>
      </w:r>
      <w:r>
        <w:rPr>
          <w:lang w:val="pt-BR"/>
        </w:rPr>
        <w:t xml:space="preserve">ban hành chuẩn mực thẩm định giá Việt Nam về thu thập và phân tích thông tin về tài sản thẩm định giá;</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Thông tư số 32/2024/TT-BTC ngày 16/5/2024 </w:t>
      </w:r>
      <w:r>
        <w:rPr>
          <w:lang w:val="pt-BR"/>
        </w:rPr>
        <w:t xml:space="preserve">của Bộ Tài chính </w:t>
      </w:r>
      <w:r>
        <w:rPr>
          <w:lang w:val="pt-BR"/>
        </w:rPr>
        <w:t xml:space="preserve">ban hành</w:t>
      </w:r>
      <w:r>
        <w:t xml:space="preserve"> </w:t>
      </w:r>
      <w:r>
        <w:rPr>
          <w:lang w:val="pt-BR"/>
        </w:rPr>
        <w:t xml:space="preserve">các chuẩn mực thẩm định giá Việt Nam về cách tiếp cận từ thị trường, cách tiếp cận từ chi phí, cách tiếp cận từ thu nhập;</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Thông tư số 36/2024/TT-BTC ngày 16/5/2024</w:t>
      </w:r>
      <w:r>
        <w:rPr>
          <w:lang w:val="pt-BR"/>
        </w:rPr>
        <w:t xml:space="preserve"> của Bộ Tài chính</w:t>
      </w:r>
      <w:r>
        <w:rPr>
          <w:lang w:val="pt-BR"/>
        </w:rPr>
        <w:t xml:space="preserve"> ban hành chuẩn mực thẩm định giá Việt Nam về thẩm định giá doanh nghiệp;</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Thông tư số 37/2024/TT-BTC ngày 16/5/2024 </w:t>
      </w:r>
      <w:r>
        <w:rPr>
          <w:lang w:val="pt-BR"/>
        </w:rPr>
        <w:t xml:space="preserve">của Bộ Tài chính </w:t>
      </w:r>
      <w:r>
        <w:rPr>
          <w:lang w:val="pt-BR"/>
        </w:rPr>
        <w:t xml:space="preserve">ban hành chuẩn mực thẩm định giá Việt Nam về thẩm định giá tài sản vô hình;</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Thông tư số 42/2024/TT-BTC ngày 20/6/2024 </w:t>
      </w:r>
      <w:r>
        <w:rPr>
          <w:lang w:val="pt-BR"/>
        </w:rPr>
        <w:t xml:space="preserve">của Bộ Tài chính </w:t>
      </w:r>
      <w:r>
        <w:rPr>
          <w:lang w:val="pt-BR"/>
        </w:rPr>
        <w:t xml:space="preserve">ban hành chuẩn mực thẩm định giá Việt Nam về thẩm định giá bất động sản</w:t>
      </w:r>
      <w:r>
        <w:rPr>
          <w:lang w:val="pt-BR"/>
        </w:rPr>
        <w:t xml:space="preserve">;</w:t>
      </w:r>
      <w:r>
        <w:rPr>
          <w:lang w:val="pt-BR"/>
        </w:rPr>
      </w:r>
      <w:r>
        <w:rPr>
          <w:lang w:val="pt-BR"/>
        </w:rPr>
      </w:r>
    </w:p>
    <w:p>
      <w:pPr>
        <w:pStyle w:val="1027"/>
        <w:numPr>
          <w:ilvl w:val="0"/>
          <w:numId w:val="1"/>
        </w:numPr>
        <w:pBdr/>
        <w:tabs>
          <w:tab w:val="left" w:leader="none" w:pos="993"/>
        </w:tabs>
        <w:spacing w:after="120" w:before="120" w:line="276" w:lineRule="auto"/>
        <w:ind/>
        <w:jc w:val="both"/>
        <w:rPr>
          <w:b/>
          <w:lang w:val="pt-BR"/>
        </w:rPr>
      </w:pPr>
      <w:r>
        <w:rPr>
          <w:lang w:val="pt-BR"/>
        </w:rPr>
        <w:t xml:space="preserve">Thông tư số 45/2013/TT-BTC ngày 24/5/2013 của Bộ Tài chính về việc hướng dẫn chế độ quản lý, sử dụng và trích khấu hao tài sản cố định;</w:t>
      </w:r>
      <w:r>
        <w:rPr>
          <w:b/>
          <w:lang w:val="pt-BR"/>
        </w:rPr>
      </w:r>
      <w:r>
        <w:rPr>
          <w:b/>
          <w:lang w:val="pt-BR"/>
        </w:rPr>
      </w:r>
    </w:p>
    <w:p>
      <w:pPr>
        <w:pStyle w:val="1027"/>
        <w:numPr>
          <w:ilvl w:val="0"/>
          <w:numId w:val="1"/>
        </w:numPr>
        <w:pBdr/>
        <w:tabs>
          <w:tab w:val="left" w:leader="none" w:pos="993"/>
        </w:tabs>
        <w:spacing w:after="120" w:before="120" w:line="276" w:lineRule="auto"/>
        <w:ind/>
        <w:jc w:val="both"/>
        <w:rPr>
          <w:b/>
          <w:lang w:val="pt-BR"/>
        </w:rPr>
      </w:pPr>
      <w:r>
        <w:rPr>
          <w:lang w:val="pt-BR"/>
        </w:rPr>
        <w:t xml:space="preserve">Thông tư 147/2016/TT-BTC ngày 13 tháng 10 năm 2016 sửa đổi bổ sung một số điều của Thông tư số 45/2013/TT-BTC ngày 25/4/2013 của Bộ Tài chính hướng dẫn chế độ quản lý, sử dụng và trích khấu hao tài sản cố định;</w:t>
      </w:r>
      <w:r>
        <w:rPr>
          <w:b/>
          <w:lang w:val="pt-BR"/>
        </w:rPr>
      </w:r>
      <w:r>
        <w:rPr>
          <w:b/>
          <w:lang w:val="pt-BR"/>
        </w:rPr>
      </w:r>
    </w:p>
    <w:p>
      <w:pPr>
        <w:pStyle w:val="1027"/>
        <w:numPr>
          <w:ilvl w:val="0"/>
          <w:numId w:val="1"/>
        </w:numPr>
        <w:pBdr/>
        <w:tabs>
          <w:tab w:val="left" w:leader="none" w:pos="993"/>
        </w:tabs>
        <w:spacing w:after="120" w:before="120" w:line="276" w:lineRule="auto"/>
        <w:ind/>
        <w:jc w:val="both"/>
        <w:rPr>
          <w:spacing w:val="-4"/>
          <w:lang w:val="pt-BR"/>
        </w:rPr>
      </w:pPr>
      <w:r>
        <w:rPr>
          <w:spacing w:val="-4"/>
          <w:lang w:val="pt-BR"/>
        </w:rPr>
        <w:t xml:space="preserve">Thông tư số 28/</w:t>
      </w:r>
      <w:r>
        <w:rPr>
          <w:spacing w:val="-4"/>
          <w:lang w:val="pt-BR"/>
        </w:rPr>
        <w:t xml:space="preserve">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r>
        <w:rPr>
          <w:spacing w:val="-4"/>
          <w:lang w:val="pt-BR"/>
        </w:rPr>
      </w:r>
      <w:r>
        <w:rPr>
          <w:spacing w:val="-4"/>
          <w:lang w:val="pt-BR"/>
        </w:rPr>
      </w:r>
    </w:p>
    <w:p>
      <w:pPr>
        <w:pStyle w:val="1027"/>
        <w:numPr>
          <w:ilvl w:val="0"/>
          <w:numId w:val="1"/>
        </w:numPr>
        <w:pBdr/>
        <w:spacing w:after="120" w:before="120" w:line="276" w:lineRule="auto"/>
        <w:ind/>
        <w:jc w:val="both"/>
        <w:rPr>
          <w:bCs/>
          <w:spacing w:val="-4"/>
          <w:lang w:val="pt-BR"/>
        </w:rPr>
      </w:pPr>
      <w:r>
        <w:rPr>
          <w:bCs/>
          <w:spacing w:val="-4"/>
          <w:lang w:val="pt-BR"/>
        </w:rPr>
        <w:t xml:space="preserve">Quyết định số 409/QĐ-BXD ngày 11/4/2025 của Bộ Xây dựng về việc Công bố suất vốn đầu tư xây dựng công trình và giá xây dựng tổng hợp bộ phận kết cấu công trình năm 2024;</w:t>
      </w:r>
      <w:r>
        <w:rPr>
          <w:bCs/>
          <w:spacing w:val="-4"/>
          <w:lang w:val="pt-BR"/>
        </w:rPr>
      </w:r>
      <w:r>
        <w:rPr>
          <w:bCs/>
          <w:spacing w:val="-4"/>
          <w:lang w:val="pt-BR"/>
        </w:rPr>
      </w:r>
    </w:p>
    <w:p>
      <w:pPr>
        <w:pStyle w:val="1027"/>
        <w:numPr>
          <w:ilvl w:val="0"/>
          <w:numId w:val="1"/>
        </w:numPr>
        <w:pBdr/>
        <w:spacing w:after="120" w:before="120" w:line="276" w:lineRule="auto"/>
        <w:ind/>
        <w:jc w:val="both"/>
        <w:rPr>
          <w:spacing w:val="-4"/>
          <w:lang w:val="pt-BR"/>
        </w:rPr>
      </w:pPr>
      <w:r>
        <w:rPr>
          <w:bCs/>
          <w:spacing w:val="-4"/>
          <w:highlight w:val="none"/>
          <w:lang w:val="pt-BR" w:bidi="pt-BR"/>
        </w:rPr>
      </w:r>
      <w:r>
        <w:rPr>
          <w:rFonts w:ascii="Times New Roman" w:hAnsi="Times New Roman" w:eastAsia="Times New Roman" w:cs="Times New Roman"/>
          <w:color w:val="000000"/>
          <w:sz w:val="24"/>
        </w:rPr>
        <w:t xml:space="preserve">Quyết định số 425/QĐ-BXD ngày 30/3/2026 của Bộ Xây dựng về việc công bố suất vốn đầu tư xây dựng công trình và giá xây dựng tổng hợp bộ phận kết cấu công trình năm 2025</w:t>
      </w:r>
      <w:r>
        <w:rPr>
          <w:spacing w:val="-4"/>
          <w:lang w:val="pt-BR"/>
        </w:rPr>
      </w:r>
      <w:r>
        <w:rPr>
          <w:spacing w:val="-4"/>
          <w:lang w:val="pt-BR"/>
        </w:rPr>
      </w:r>
    </w:p>
    <w:p>
      <w:pPr>
        <w:pStyle w:val="1027"/>
        <w:numPr>
          <w:ilvl w:val="0"/>
          <w:numId w:val="1"/>
        </w:numPr>
        <w:pBdr/>
        <w:tabs>
          <w:tab w:val="left" w:leader="none" w:pos="993"/>
        </w:tabs>
        <w:spacing w:after="120" w:before="120" w:line="276" w:lineRule="auto"/>
        <w:ind/>
        <w:jc w:val="both"/>
        <w:rPr>
          <w:b/>
          <w:lang w:val="pt-BR"/>
        </w:rPr>
      </w:pPr>
      <w:r>
        <w:rPr>
          <w:lang w:val="pt-BR"/>
        </w:rPr>
        <w:t xml:space="preserve">Công văn số 1326/BXD-QLN của Bộ Xây dựng ban hành ngày 08/8/2011 về việc hướng dẫn kiểm kê, đánh giá lại giá trị tài sản cố định là nhà, vật kiến trúc;</w:t>
      </w:r>
      <w:r>
        <w:rPr>
          <w:b/>
          <w:lang w:val="pt-BR"/>
        </w:rPr>
      </w:r>
      <w:r>
        <w:rPr>
          <w:b/>
          <w:lang w:val="pt-BR"/>
        </w:rPr>
      </w:r>
    </w:p>
    <w:p>
      <w:pPr>
        <w:pStyle w:val="1027"/>
        <w:numPr>
          <w:ilvl w:val="0"/>
          <w:numId w:val="9"/>
        </w:numPr>
        <w:pBdr/>
        <w:tabs>
          <w:tab w:val="left" w:leader="none" w:pos="993"/>
        </w:tabs>
        <w:spacing w:after="120" w:before="120" w:line="276" w:lineRule="auto"/>
        <w:ind/>
        <w:jc w:val="both"/>
        <w:rPr>
          <w:b/>
          <w:lang w:val="pt-BR"/>
        </w:rPr>
      </w:pPr>
      <w:r>
        <w:rPr>
          <w:lang w:val="pt-BR"/>
        </w:rPr>
        <w:t xml:space="preserve">Và các văn bản pháp luật có liên quan khác.</w:t>
      </w:r>
      <w:r>
        <w:rPr>
          <w:b/>
          <w:lang w:val="pt-BR"/>
        </w:rPr>
      </w:r>
      <w:r>
        <w:rPr>
          <w:b/>
          <w:lang w:val="pt-BR"/>
        </w:rPr>
      </w:r>
    </w:p>
    <w:p>
      <w:pPr>
        <w:pStyle w:val="1027"/>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Các văn bản liên quan khác:</w:t>
      </w:r>
      <w:r>
        <w:rPr>
          <w:b/>
          <w:lang w:val="pt-BR"/>
        </w:rPr>
      </w:r>
      <w:r>
        <w:rPr>
          <w:b/>
          <w:lang w:val="pt-BR"/>
        </w:rPr>
      </w:r>
    </w:p>
    <w:p>
      <w:pPr>
        <w:pStyle w:val="1027"/>
        <w:pBdr/>
        <w:tabs>
          <w:tab w:val="left" w:leader="none" w:pos="993"/>
        </w:tabs>
        <w:spacing w:after="120" w:before="120" w:line="276" w:lineRule="auto"/>
        <w:ind w:left="0"/>
        <w:jc w:val="both"/>
        <w:rPr>
          <w:b/>
          <w:lang w:val="pt-BR"/>
        </w:rPr>
      </w:pPr>
      <w:r>
        <w:rPr>
          <w:b/>
          <w:lang w:val="pt-BR"/>
        </w:rPr>
        <w:t xml:space="preserve">a. </w:t>
      </w:r>
      <w:r>
        <w:rPr>
          <w:b/>
          <w:lang w:val="pt-BR"/>
        </w:rPr>
        <w:t xml:space="preserve">Hồ sơ pháp lý của tài sản</w:t>
      </w:r>
      <w:r>
        <w:rPr>
          <w:b/>
          <w:lang w:val="pt-BR"/>
        </w:rPr>
        <w:t xml:space="preserve">: </w:t>
      </w:r>
      <w:r>
        <w:rPr>
          <w:b/>
          <w:lang w:val="pt-BR"/>
        </w:rPr>
      </w:r>
      <w:r>
        <w:rPr>
          <w:b/>
          <w:lang w:val="pt-BR"/>
        </w:rPr>
      </w:r>
    </w:p>
    <w:p>
      <w:pPr>
        <w:pStyle w:val="1027"/>
        <w:numPr>
          <w:ilvl w:val="0"/>
          <w:numId w:val="2"/>
        </w:numPr>
        <w:pBdr/>
        <w:tabs>
          <w:tab w:val="left" w:leader="none" w:pos="993"/>
        </w:tabs>
        <w:spacing w:after="120" w:before="120" w:line="276" w:lineRule="auto"/>
        <w:ind/>
        <w:jc w:val="both"/>
        <w:rPr>
          <w:i/>
          <w:iCs/>
          <w:lang w:val="pt-BR"/>
        </w:rPr>
      </w:pPr>
      <w:r>
        <w:rPr>
          <w:bCs/>
          <w:color w:val="000000" w:themeColor="text1"/>
          <w:lang w:val="pt-BR"/>
        </w:rPr>
        <w:t xml:space="preserve">Giấy chứng nhận quyền sử dụng đất, quyền sở hữu nhà ở và tài sản gắn liền với đất số: BO 371789; Số vào sổ cấp GCN: CH00779 do UBND huyện Ứng Hòa cấp ngày 26/11/2013. Chủ sử dụng đất là ông Nguyễn Văn Cầu </w:t>
      </w:r>
      <w:r>
        <w:rPr>
          <w:bCs/>
          <w:i/>
          <w:iCs/>
          <w:color w:val="000000" w:themeColor="text1"/>
          <w:lang w:val="pt-BR"/>
        </w:rPr>
        <w:t xml:space="preserve">(Cập nhật ngày 15/11/2017)</w:t>
      </w:r>
      <w:r>
        <w:rPr>
          <w:lang w:val="pt-BR"/>
        </w:rPr>
        <w:t xml:space="preserve">.</w:t>
      </w:r>
      <w:r>
        <w:rPr>
          <w:i/>
          <w:iCs/>
          <w:lang w:val="pt-BR"/>
        </w:rPr>
      </w:r>
      <w:r>
        <w:rPr>
          <w:i/>
          <w:iCs/>
          <w:lang w:val="pt-BR"/>
        </w:rPr>
      </w:r>
    </w:p>
    <w:p>
      <w:pPr>
        <w:pBdr/>
        <w:spacing w:after="120" w:before="120" w:line="276" w:lineRule="auto"/>
        <w:ind/>
        <w:jc w:val="both"/>
        <w:rPr>
          <w:b/>
        </w:rPr>
      </w:pPr>
      <w:r>
        <w:rPr>
          <w:b/>
          <w:lang w:val="pt-BR"/>
        </w:rPr>
        <w:t xml:space="preserve">b. Hồ sơ khác</w:t>
      </w:r>
      <w:r>
        <w:rPr>
          <w:b/>
          <w:lang w:val="vi-VN"/>
        </w:rPr>
        <w:t xml:space="preserve">:</w:t>
      </w:r>
      <w:r>
        <w:rPr>
          <w:b/>
        </w:rPr>
      </w:r>
      <w:r>
        <w:rPr>
          <w:b/>
        </w:rPr>
      </w:r>
    </w:p>
    <w:p>
      <w:pPr>
        <w:pStyle w:val="1027"/>
        <w:numPr>
          <w:ilvl w:val="0"/>
          <w:numId w:val="2"/>
        </w:numPr>
        <w:pBdr/>
        <w:tabs>
          <w:tab w:val="left" w:leader="none" w:pos="993"/>
        </w:tabs>
        <w:spacing w:after="120" w:before="120" w:line="276" w:lineRule="auto"/>
        <w:ind/>
        <w:jc w:val="both"/>
        <w:rPr>
          <w:b/>
          <w:lang w:val="pt-BR"/>
        </w:rPr>
      </w:pPr>
      <w:r>
        <w:rPr>
          <w:color w:val="000000" w:themeColor="text1"/>
          <w:lang w:val="pt-BR"/>
        </w:rPr>
        <w:t xml:space="preserve">Hợp đồng số 275/2026/1257/VFI-HĐTĐ.C01.A ngày 13/08/2026 giữa Ông Nguyễn Văn Cầu với Công ty Cổ phần Thẩm định và Đầu tư Tài chính Hoa Sen.</w:t>
      </w:r>
      <w:r>
        <w:rPr>
          <w:b/>
          <w:lang w:val="pt-BR"/>
        </w:rPr>
      </w:r>
      <w:r>
        <w:rPr>
          <w:b/>
          <w:lang w:val="pt-BR"/>
        </w:rPr>
      </w:r>
    </w:p>
    <w:p>
      <w:pPr>
        <w:pStyle w:val="1027"/>
        <w:numPr>
          <w:ilvl w:val="0"/>
          <w:numId w:val="2"/>
        </w:numPr>
        <w:pBdr/>
        <w:tabs>
          <w:tab w:val="left" w:leader="none" w:pos="993"/>
        </w:tabs>
        <w:spacing w:after="120" w:before="120" w:line="276" w:lineRule="auto"/>
        <w:ind/>
        <w:jc w:val="both"/>
        <w:rPr>
          <w:b/>
          <w:lang w:val="pt-BR"/>
        </w:rPr>
      </w:pPr>
      <w:r>
        <w:rPr>
          <w:lang w:val="pt-BR"/>
        </w:rPr>
        <w:t xml:space="preserve">Hồ sơ, tài liệu, chứng từ liên quan đến tài sản thẩm định giá.</w:t>
      </w:r>
      <w:r>
        <w:rPr>
          <w:b/>
          <w:lang w:val="pt-BR"/>
        </w:rPr>
      </w:r>
      <w:r>
        <w:rPr>
          <w:b/>
          <w:lang w:val="pt-BR"/>
        </w:rPr>
      </w:r>
    </w:p>
    <w:p>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r>
        <w:rPr>
          <w:b/>
          <w:bCs/>
          <w:lang w:val="pt-BR"/>
        </w:rPr>
      </w:r>
    </w:p>
    <w:p>
      <w:pPr>
        <w:pBdr/>
        <w:tabs>
          <w:tab w:val="left" w:leader="none" w:pos="426"/>
        </w:tabs>
        <w:spacing w:after="120" w:before="120" w:line="360" w:lineRule="auto"/>
        <w:ind/>
        <w:rPr>
          <w:iCs/>
        </w:rPr>
      </w:pPr>
      <w:r>
        <w:rPr>
          <w:lang w:val="pt-BR"/>
        </w:rPr>
        <w:tab/>
      </w:r>
      <w:r>
        <w:rPr>
          <w:b/>
          <w:bCs/>
          <w:shd w:val="clear" w:color="auto" w:fill="ffffff"/>
        </w:rPr>
        <w:t xml:space="preserve">Bức tranh thị</w:t>
      </w:r>
      <w:r>
        <w:rPr>
          <w:b/>
          <w:bCs/>
          <w:shd w:val="clear" w:color="auto" w:fill="ffffff"/>
        </w:rPr>
        <w:t xml:space="preserve"> trường bất động sản Hà Nội năm 2026: Hạ tầng dẫn dắt, thị trường bước vào chu kỳ tăng trưởng mới</w:t>
      </w:r>
      <w:r>
        <w:rPr>
          <w:shd w:val="clear" w:color="auto" w:fill="ffffff"/>
        </w:rPr>
        <w:br/>
        <w:t xml:space="preserve">Bước sang năm 2026, thị trường bất động sản Hà Nội được kỳ vọng bước vào chu kỳ tăng trưởng mới với nền tảng hạ tầng, pháp lý và chính sách ngày càng rõ nét. </w:t>
      </w:r>
      <w:r>
        <w:rPr>
          <w:shd w:val="clear" w:color="auto" w:fill="ffffff"/>
        </w:rPr>
        <w:t xml:space="preserve">Thay vì những cơn “sốt nóng”, thị trường vận động theo hướng chọn lọc, phân hóa mạnh, lấy nhu cầu ở thực, chất lượng dự án và năng lực doanh nghiệp làm trụ cột phát triển bền vững.</w:t>
        <w:br/>
      </w:r>
      <w:r>
        <w:rPr>
          <w:b/>
          <w:bCs/>
          <w:shd w:val="clear" w:color="auto" w:fill="ffffff"/>
        </w:rPr>
        <w:t xml:space="preserve">Hạ tầng - "xương sống" mở không gian phát triển mới</w:t>
      </w:r>
      <w:r>
        <w:rPr>
          <w:shd w:val="clear" w:color="auto" w:fill="ffffff"/>
        </w:rPr>
        <w:br/>
        <w:t xml:space="preserve">Trong nhiều năm qua, hạ</w:t>
      </w:r>
      <w:r>
        <w:rPr>
          <w:shd w:val="clear" w:color="auto" w:fill="ffffff"/>
        </w:rPr>
        <w:t xml:space="preserve"> tầng giao thông luôn là yếu tố then chốt định hình không gian phát triển đô thị Hà Nội. Đến năm 2026, vai trò này càng trở nên rõ rệt khi hàng loạt dự án trọng điểm được triển khai đồng bộ, tạo lực đẩy dài hạn cho thị trường bất động sản.</w:t>
        <w:br/>
        <w:t xml:space="preserve">Dự án đường Vành</w:t>
      </w:r>
      <w:r>
        <w:rPr>
          <w:shd w:val="clear" w:color="auto" w:fill="ffffff"/>
        </w:rPr>
        <w:t xml:space="preserve"> đai 4 – Vùng Thủ đô, với quy mô hơn 85.000 tỷ đồng, được coi là "đòn bẩy chiến lược" mở rộng không gian phát triển về các hướng Bắc, Tây và Nam. Khi tuyến đường này từng bước thành hình, các khu vực vốn nằm ngoài trung tâm truyền thống sẽ có điều kiện kết</w:t>
      </w:r>
      <w:r>
        <w:rPr>
          <w:shd w:val="clear" w:color="auto" w:fill="ffffff"/>
        </w:rPr>
        <w:t xml:space="preserve"> nối thuận lợi hơn, qua đó gia tăng sức hấp dẫn với các dự án đô thị, khu nhà ở và dịch vụ.</w:t>
        <w:br/>
        <w:t xml:space="preserve">Cùng với đó, hệ thống các tuyến vành đai, trục hướng tâm, các cây cầu vượt sông Hồng và mạng lưới đường sắt đô thị đang dần hoàn thiện, tạo nên cấu trúc giao thông </w:t>
      </w:r>
      <w:r>
        <w:rPr>
          <w:shd w:val="clear" w:color="auto" w:fill="ffffff"/>
        </w:rPr>
        <w:t xml:space="preserve">đa lớp cho Thủ đô. PGS.TS Trần Đình Thiên, nguyên Viện trưởng Viện Kinh tế Việt Nam cho rằng, hạ tầng giao thông không chỉ đóng vai trò hỗ trợ mà còn mang tính quyết định đối với việc Hà Nội chuyển sang mô hình đô thị đa trung tâm. Khi giao thông đi trước,</w:t>
      </w:r>
      <w:r>
        <w:rPr>
          <w:shd w:val="clear" w:color="auto" w:fill="ffffff"/>
        </w:rPr>
        <w:t xml:space="preserve"> dòng vốn đầu tư, dân cư và các hoạt động kinh tế sẽ dịch chuyển theo, tạo nền tảng cho tăng trưởng bất động sản dài hạn.</w:t>
        <w:br/>
        <w:t xml:space="preserve">Thực tế thị trường cho thấy, các khu vực hưởng lợi trực tiếp từ hạ tầng đều ghi nhận sự cải thiện rõ rệt về giá trị và thanh khoản. Tâ</w:t>
      </w:r>
      <w:r>
        <w:rPr>
          <w:shd w:val="clear" w:color="auto" w:fill="ffffff"/>
        </w:rPr>
        <w:t xml:space="preserve">y Hà Nội, với trục Đại lộ Thăng Long, các tuyến Vành đai 3, 3,5 và định hướng tuyến metro số 5 (Văn Cao – Hòa Lạc), đang nổi lên như một cực phát triển mới. Ở phía Đông, hệ thống cầu vượt sông Hồng, cùng quy hoạch chỉnh trang đô thị ven sông, tiếp tục mở r</w:t>
      </w:r>
      <w:r>
        <w:rPr>
          <w:shd w:val="clear" w:color="auto" w:fill="ffffff"/>
        </w:rPr>
        <w:t xml:space="preserve">a dư địa cho các dự án nhà ở và đô thị sinh thái.</w:t>
        <w:br/>
      </w:r>
      <w:r>
        <w:rPr>
          <w:b/>
          <w:bCs/>
          <w:shd w:val="clear" w:color="auto" w:fill="ffffff"/>
        </w:rPr>
        <w:t xml:space="preserve">Thị trường chuyển từ "tăng nóng" sang tăng trưởng chọn lọc</w:t>
      </w:r>
      <w:r>
        <w:rPr>
          <w:shd w:val="clear" w:color="auto" w:fill="ffffff"/>
        </w:rPr>
        <w:br/>
        <w:t xml:space="preserve">Nếu như giai đoạn trước, thị trường bất động sản Hà Nội từng chứng kiến những đợt tăng giá nhanh ở một số phân khúc, thì bước sang năm 2026, xu hướ</w:t>
      </w:r>
      <w:r>
        <w:rPr>
          <w:shd w:val="clear" w:color="auto" w:fill="ffffff"/>
        </w:rPr>
        <w:t xml:space="preserve">ng chủ đạo là tăng trưởng có chọn lọc. Dòng tiền không còn chạy theo "sóng ngắn" mà ưu tiên những khu vực có quy hoạch rõ ràng, hạ tầng đồng bộ và nhu cầu ở thực ổn định.</w:t>
        <w:br/>
        <w:t xml:space="preserve">Theo ông Nguyễn Văn Đính, Chủ tịch Hội Môi giới Bất động sản Việt Nam (VARS), thị trư</w:t>
      </w:r>
      <w:r>
        <w:rPr>
          <w:shd w:val="clear" w:color="auto" w:fill="ffffff"/>
        </w:rPr>
        <w:t xml:space="preserve">ờng bất động sản Hà Nội sẽ không tăng trưởng theo kiểu nóng mà dựa trên nền tảng hạ tầng và nhu cầu thật. Những dự án gắn với các tuyến giao thông lớn, pháp lý minh bạch và được triển khai bài bản sẽ trở thành động lực chính của thị trường trong năm 2026.</w:t>
        <w:br/>
      </w:r>
      <w:r>
        <w:rPr>
          <w:b/>
          <w:bCs/>
          <w:shd w:val="clear" w:color="auto" w:fill="ffffff"/>
        </w:rPr>
        <w:t xml:space="preserve">Nguồn cung lớn, thị trường phân hóa rõ nét</w:t>
        <w:br/>
      </w:r>
      <w:r>
        <w:rPr>
          <w:shd w:val="clear" w:color="auto" w:fill="ffffff"/>
        </w:rPr>
        <w:t xml:space="preserve">Một đặc điểm nổi bật của thị trường năm 2026 là sự gia tăng mạnh mẽ của nguồn cung, đặc biệt ở phân khúc căn hộ. Dự báo cho thấy, Hà Nội sẽ đón nhận lượng lớn sản phẩm mới từ hàng chục dự án được tháo gỡ vướng mắc</w:t>
      </w:r>
      <w:r>
        <w:rPr>
          <w:shd w:val="clear" w:color="auto" w:fill="ffffff"/>
        </w:rPr>
        <w:t xml:space="preserve"> pháp lý và tái khởi động. Điều này vừa tạo cơ hội cho người mua, vừa đặt ra thách thức cho doanh nghiệp phát triển dự án.</w:t>
        <w:br/>
      </w:r>
      <w:r>
        <w:rPr>
          <w:b/>
          <w:bCs/>
          <w:shd w:val="clear" w:color="auto" w:fill="ffffff"/>
        </w:rPr>
        <w:t xml:space="preserve">Chính sách và pháp lý - điểm tựa cho chu kỳ mới</w:t>
      </w:r>
      <w:r>
        <w:rPr>
          <w:shd w:val="clear" w:color="auto" w:fill="ffffff"/>
        </w:rPr>
        <w:br/>
        <w:t xml:space="preserve">Năm 2026 được xem là thời điểm các chính sách pháp luật về đất đai, nhà ở và kinh doa</w:t>
      </w:r>
      <w:r>
        <w:rPr>
          <w:shd w:val="clear" w:color="auto" w:fill="ffffff"/>
        </w:rPr>
        <w:t xml:space="preserve">nh bất động sản phát huy hiệu quả rõ nét hơn. Việc tháo gỡ vướng mắc cho hàng nghìn dự án tồn đọng không chỉ giúp giải phóng nguồn lực lớn cho nền kinh tế mà còn bổ sung nguồn cung đáng kể cho thị trường.</w:t>
        <w:br/>
        <w:t xml:space="preserve">Các cơ chế mới liên quan đến định giá đất, thu hồi </w:t>
      </w:r>
      <w:r>
        <w:rPr>
          <w:shd w:val="clear" w:color="auto" w:fill="ffffff"/>
        </w:rPr>
        <w:t xml:space="preserve">đất và mở rộng khả năng tiếp cận quỹ đất được kỳ vọng sẽ rút ngắn thời gian chuẩn bị dự án, giảm chi phí và tăng tính minh bạch. Điều này giúp thị trường vận hành lành mạnh hơn, hạn chế tình trạng "treo" dự án kéo dài, đồng thời tạo niềm tin cho nhà đầu tư</w:t>
      </w:r>
      <w:r>
        <w:rPr>
          <w:shd w:val="clear" w:color="auto" w:fill="ffffff"/>
        </w:rPr>
        <w:t xml:space="preserve"> và người mua nhà.</w:t>
        <w:br/>
      </w:r>
      <w:r>
        <w:rPr>
          <w:b/>
          <w:bCs/>
          <w:shd w:val="clear" w:color="auto" w:fill="ffffff"/>
        </w:rPr>
        <w:t xml:space="preserve">Triển vọng 2026: tăng trưởng bền vững trên nền tảng mới</w:t>
      </w:r>
      <w:r>
        <w:rPr>
          <w:shd w:val="clear" w:color="auto" w:fill="ffffff"/>
        </w:rPr>
        <w:br/>
        <w:t xml:space="preserve">Với nguồn cung tăng mạnh và người mua ngày càng kỹ tính, năm 2026 được xem là giai đoạn sàng lọc rõ nét đối với các doanh nghiệp bất động sản. Những chủ đầu tư có quỹ đất sạch, năng</w:t>
      </w:r>
      <w:r>
        <w:rPr>
          <w:shd w:val="clear" w:color="auto" w:fill="ffffff"/>
        </w:rPr>
        <w:t xml:space="preserve"> lực tài chính lành mạnh và chiến lược phát triển sản phẩm phù hợp sẽ có cơ hội bứt phá. Ngược lại, các doanh nghiệp yếu về pháp lý, phụ thuộc nhiều vào đòn bẩy tài chính hoặc chạy theo đầu cơ ngắn hạn có thể tiếp tục bị đào thải.</w:t>
        <w:br/>
        <w:t xml:space="preserve">Cuộc cạnh tranh không chỉ</w:t>
      </w:r>
      <w:r>
        <w:rPr>
          <w:shd w:val="clear" w:color="auto" w:fill="ffffff"/>
        </w:rPr>
        <w:t xml:space="preserve"> dừng ở giá bán mà còn mở rộng sang tiến độ thi công, chất lượng xây dựng, dịch vụ hậu mãi và cam kết vận hành. Trong bối cảnh đó, niềm tin của người mua trở thành tài sản quan trọng nhất mà doanh nghiệp phải gìn giữ.</w:t>
        <w:br/>
        <w:t xml:space="preserve">Nhìn tổng thể, bức tranh thị trường bấ</w:t>
      </w:r>
      <w:r>
        <w:rPr>
          <w:shd w:val="clear" w:color="auto" w:fill="ffffff"/>
        </w:rPr>
        <w:t xml:space="preserve">t động sản Hà Nội năm 2026 mang gam màu tích cực nhưng không kém phần thận trọng. Hạ tầng tiếp tục đóng vai trò "dẫn lối", chính sách và pháp lý tạo điểm tựa, trong khi nhu cầu ở thực giữ vai trò chủ đạo. Thị trường không còn chỗ cho những cơn sốt ảo, mà h</w:t>
      </w:r>
      <w:r>
        <w:rPr>
          <w:shd w:val="clear" w:color="auto" w:fill="ffffff"/>
        </w:rPr>
        <w:t xml:space="preserve">ướng tới tăng trưởng ổn định, gắn với chất lượng đô thị và chất lượng sống.</w:t>
      </w:r>
      <w:r>
        <w:rPr>
          <w:iCs/>
        </w:rPr>
      </w:r>
      <w:r>
        <w:rPr>
          <w:iCs/>
        </w:rPr>
      </w:r>
    </w:p>
    <w:p>
      <w:pPr>
        <w:pBdr/>
        <w:tabs>
          <w:tab w:val="left" w:leader="none" w:pos="426"/>
        </w:tabs>
        <w:spacing w:after="120" w:before="120" w:line="360" w:lineRule="auto"/>
        <w:ind/>
        <w:jc w:val="center"/>
        <w:rPr>
          <w:bCs/>
          <w:i/>
        </w:rPr>
      </w:pPr>
      <w:r>
        <w:rPr>
          <w:shd w:val="clear" w:color="auto" w:fill="ffffff"/>
        </w:rPr>
      </w:r>
      <w:r>
        <w:rPr>
          <w:i/>
          <w:iCs/>
          <w:shd w:val="clear" w:color="auto" w:fill="ffffff"/>
        </w:rPr>
        <w:t xml:space="preserve">(Nguồn tham khảo: https://thanglong.chinhphu.vn/buc-tranh-thi-truong-bat-dong-san-ha-noi-nam-2026-ha-tang-dan-dat-thi-truong-buoc-vao-chu-ky-tang-truong-moi-103260101181315972.htm)</w:t>
      </w:r>
      <w:r>
        <w:rPr>
          <w:bCs/>
          <w:i/>
        </w:rPr>
      </w:r>
      <w:r>
        <w:rPr>
          <w:bCs/>
          <w:i/>
        </w:rPr>
      </w:r>
    </w:p>
    <w:p>
      <w:pPr>
        <w:pStyle w:val="1027"/>
        <w:pBdr/>
        <w:tabs>
          <w:tab w:val="left" w:leader="none" w:pos="993"/>
        </w:tabs>
        <w:spacing w:after="120" w:before="120" w:line="276" w:lineRule="auto"/>
        <w:ind w:left="0"/>
        <w:jc w:val="both"/>
        <w:rPr>
          <w:b/>
          <w:bCs/>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r>
        <w:rPr>
          <w:b/>
          <w:bCs/>
          <w:lang w:val="pt-BR"/>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2522"/>
        <w:gridCol w:w="2126"/>
        <w:gridCol w:w="2126"/>
        <w:gridCol w:w="2007"/>
      </w:tblGrid>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Tên tài sản</w:t>
            </w:r>
            <w:r>
              <w:rPr>
                <w:b/>
                <w:bCs/>
                <w:color w:val="000000"/>
              </w:rPr>
            </w:r>
            <w:r>
              <w:rPr>
                <w:b/>
                <w:bCs/>
                <w:color w:val="000000"/>
              </w:rPr>
            </w:r>
          </w:p>
        </w:tc>
        <w:tc>
          <w:tcPr>
            <w:gridSpan w:val="4"/>
            <w:tcBorders/>
            <w:tcW w:w="8781" w:type="dxa"/>
            <w:vAlign w:val="center"/>
            <w:textDirection w:val="lrTb"/>
            <w:noWrap w:val="false"/>
          </w:tcPr>
          <w:p>
            <w:pPr>
              <w:pBdr/>
              <w:spacing/>
              <w:ind/>
              <w:jc w:val="both"/>
              <w:rPr>
                <w:b/>
                <w:bCs/>
                <w:color w:val="000000"/>
              </w:rPr>
            </w:pPr>
            <w:r>
              <w:rPr>
                <w:b/>
                <w:bCs/>
                <w:color w:val="000000"/>
              </w:rPr>
              <w:t xml:space="preserve">Quyền sử dụng đất tại Thửa đất số 100, tờ bản đồ số: 26, địa chỉ: Thôn Du Đồng, xã Đại Hùng, huyện Ứng Hòa, thành phố Hà Nội</w:t>
            </w:r>
            <w:r>
              <w:rPr>
                <w:b/>
                <w:bCs/>
                <w:i/>
                <w:iCs/>
                <w:color w:val="000000"/>
              </w:rPr>
              <w:t xml:space="preserve"> (nay là xã Ứng Hòa,</w:t>
            </w:r>
            <w:r>
              <w:rPr>
                <w:b/>
                <w:bCs/>
                <w:i/>
                <w:iCs/>
                <w:color w:val="000000"/>
              </w:rPr>
              <w:t xml:space="preserve"> thành phố Hà Nội)</w:t>
            </w:r>
            <w:r>
              <w:rPr>
                <w:b/>
                <w:bCs/>
                <w:color w:val="000000"/>
              </w:rPr>
              <w:t xml:space="preserve">, theo Giấy chứng nhận quyền sử dụng đất, quyền sở hữu nhà ở và tài sản gắn liền với đất số: BO 371789; Số vào sổ cấp GCN: CH00779 do UBND huyện Ứng Hòa cấp ngày 26/11/2013. Chủ sử dụng đất là ông Nguyễn Văn Cầu </w:t>
            </w:r>
            <w:r>
              <w:rPr>
                <w:b/>
                <w:bCs/>
                <w:i/>
                <w:iCs/>
                <w:color w:val="000000"/>
              </w:rPr>
              <w:t xml:space="preserve">(Cập nhật ngày 15/11/2017)</w:t>
            </w:r>
            <w:r>
              <w:rPr>
                <w:b/>
                <w:bCs/>
                <w:i/>
                <w:iCs/>
                <w:color w:val="000000"/>
              </w:rPr>
              <w:t xml:space="preserve">.</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Nội dung Thửa đất theo Hồ sơ pháp lý</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Thửa đất số:</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100</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Tờ bản đồ số:</w:t>
            </w:r>
            <w:r>
              <w:rPr>
                <w:color w:val="000000"/>
              </w:rPr>
            </w:r>
            <w:r>
              <w:rPr>
                <w:color w:val="000000"/>
              </w:rPr>
            </w:r>
          </w:p>
        </w:tc>
        <w:tc>
          <w:tcPr>
            <w:tcBorders/>
            <w:tcW w:w="2007" w:type="dxa"/>
            <w:vAlign w:val="center"/>
            <w:textDirection w:val="lrTb"/>
            <w:noWrap w:val="false"/>
          </w:tcPr>
          <w:p>
            <w:pPr>
              <w:pBdr/>
              <w:spacing/>
              <w:ind/>
              <w:jc w:val="center"/>
              <w:rPr>
                <w:color w:val="ee0000"/>
              </w:rPr>
            </w:pPr>
            <w:r>
              <w:rPr>
                <w:color w:val="000000" w:themeColor="text1"/>
              </w:rPr>
              <w:t xml:space="preserve">26</w:t>
            </w:r>
            <w:r>
              <w:rPr>
                <w:color w:val="ee0000"/>
              </w:rPr>
            </w:r>
            <w:r>
              <w:rPr>
                <w:color w:val="ee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Địa chỉ:</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rPr>
              <w:t xml:space="preserve">Xã Ứng Hòa, Thành phố Hà Nội</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 tích (m²):</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677,3</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Hình thức sử dụng: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Sử dụng riêng: 677,3 m2</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Mục đích sử dụng:</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Đất ở nông thôn</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Thời hạn sử dụng: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Lâu dài</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Nguồn gốc sử dụng đất:</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rPr>
              <w:t xml:space="preserve">Công nhận quyền sử dụng đất như giao đất có thu tiền sử dụng đất</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Thông tin quy hoạch:</w:t>
            </w:r>
            <w:r>
              <w:rPr>
                <w:color w:val="000000"/>
              </w:rPr>
            </w:r>
            <w:r>
              <w:rPr>
                <w:color w:val="000000"/>
              </w:rPr>
            </w:r>
          </w:p>
        </w:tc>
        <w:tc>
          <w:tcPr>
            <w:gridSpan w:val="3"/>
            <w:tcBorders/>
            <w:tcW w:w="6259" w:type="dxa"/>
            <w:vAlign w:val="center"/>
            <w:textDirection w:val="lrTb"/>
            <w:noWrap w:val="false"/>
          </w:tcPr>
          <w:p>
            <w:pPr>
              <w:pBdr/>
              <w:spacing/>
              <w:ind/>
              <w:jc w:val="both"/>
              <w:rPr>
                <w:color w:val="000000"/>
                <w:highlight w:val="none"/>
              </w:rPr>
            </w:pPr>
            <w:r>
              <w:rPr>
                <w:color w:val="000000"/>
              </w:rPr>
            </w:r>
            <w:r>
              <w:rPr>
                <w:rFonts w:ascii="Times New Roman" w:hAnsi="Times New Roman" w:eastAsia="Times New Roman" w:cs="Times New Roman"/>
                <w:color w:val="000000"/>
                <w:sz w:val="24"/>
              </w:rPr>
              <w:t xml:space="preserve">Tại thời điểm thẩm định giá, tổ thẩm định không được Khách hàng cung cấp các thông tin quy hoạch liên quan đến thửa đất, dựa trên định vị của tài sản sau khi khảo sát, tổ thẩm định tra cứu quy hoạch online thông qua các trang mạng như Guland/Meeymap, xác đ</w:t>
            </w:r>
            <w:r>
              <w:rPr>
                <w:rFonts w:ascii="Times New Roman" w:hAnsi="Times New Roman" w:eastAsia="Times New Roman" w:cs="Times New Roman"/>
                <w:color w:val="000000"/>
                <w:sz w:val="24"/>
              </w:rPr>
              <w:t xml:space="preserve">ịnh vị trí tài sản thuộc quy hoạch đất ở</w:t>
            </w:r>
            <w:r>
              <w:rPr>
                <w:color w:val="000000"/>
                <w:highlight w:val="none"/>
              </w:rPr>
            </w:r>
            <w:r>
              <w:rPr>
                <w:color w:val="000000"/>
                <w:highlight w:val="none"/>
              </w:rPr>
            </w:r>
          </w:p>
          <w:p>
            <w:pPr>
              <w:pBdr/>
              <w:spacing/>
              <w:ind/>
              <w:jc w:val="both"/>
              <w:rPr>
                <w:color w:val="000000"/>
              </w:rPr>
            </w:pPr>
            <w:r>
              <w:rPr>
                <w:color w:val="000000"/>
                <w:highlight w:val="none"/>
              </w:rPr>
            </w:r>
            <w:r>
              <mc:AlternateContent>
                <mc:Choice Requires="wpg">
                  <w:drawing>
                    <wp:inline xmlns:wp="http://schemas.openxmlformats.org/drawingml/2006/wordprocessingDrawing" distT="0" distB="0" distL="0" distR="0">
                      <wp:extent cx="3903050" cy="1517184"/>
                      <wp:effectExtent l="0" t="0" r="0" b="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809533" name=""/>
                              <pic:cNvPicPr>
                                <a:picLocks noChangeAspect="1"/>
                              </pic:cNvPicPr>
                              <pic:nvPr/>
                            </pic:nvPicPr>
                            <pic:blipFill rotWithShape="1">
                              <a:blip r:embed="rId17"/>
                              <a:stretch/>
                            </pic:blipFill>
                            <pic:spPr bwMode="auto">
                              <a:xfrm flipH="0" flipV="0">
                                <a:off x="0" y="0"/>
                                <a:ext cx="3903049" cy="151718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307.33pt;height:119.46pt;mso-wrap-distance-left:0.00pt;mso-wrap-distance-top:0.00pt;mso-wrap-distance-right:0.00pt;mso-wrap-distance-bottom:0.00pt;z-index:1;" stroked="false">
                      <v:imagedata r:id="rId17" o:title=""/>
                      <o:lock v:ext="edit" rotation="t"/>
                    </v:shape>
                  </w:pict>
                </mc:Fallback>
              </mc:AlternateConten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Về đất:</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Vị trí; Giao thông;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Đường tiếp giáp chính:</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Tiếp giáp đường bê tông 3,3m</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Số mặt tiền:</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Tiếp giáp 1 mặt tiền</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jc w:val="both"/>
              <w:rPr>
                <w:color w:val="000000"/>
              </w:rPr>
            </w:pPr>
            <w:r>
              <w:rPr>
                <w:color w:val="000000"/>
              </w:rPr>
              <w:t xml:space="preserve">Mặt cắt đường/ngõ nhỏ nhất từ đường chính dẫn đến tài sản thẩm định giá</w:t>
            </w:r>
            <w:r>
              <w:rPr>
                <w:color w:val="000000"/>
              </w:rPr>
              <w:t xml:space="preserve"> (m)</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r>
            <w:r>
              <w:rPr>
                <w:color w:val="000000"/>
              </w:rPr>
            </w:r>
            <w:r>
              <w:rPr>
                <w:color w:val="000000"/>
              </w:rPr>
            </w:r>
          </w:p>
        </w:tc>
        <w:tc>
          <w:tcPr>
            <w:tcBorders/>
            <w:tcW w:w="2126" w:type="dxa"/>
            <w:vAlign w:val="center"/>
            <w:textDirection w:val="lrTb"/>
            <w:noWrap w:val="false"/>
          </w:tcPr>
          <w:p>
            <w:pPr>
              <w:pBdr/>
              <w:spacing/>
              <w:ind/>
              <w:jc w:val="both"/>
              <w:rPr>
                <w:color w:val="000000"/>
              </w:rPr>
            </w:pPr>
            <w:r>
              <w:rPr>
                <w:color w:val="000000"/>
              </w:rPr>
              <w:t xml:space="preserve">Mặt cắt đường/ngõ trước mặt tài sản thẩm định giá</w:t>
            </w:r>
            <w:r>
              <w:rPr>
                <w:color w:val="000000"/>
              </w:rPr>
              <w:t xml:space="preserve"> (m)</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3,3</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Khoảng cách đến trục đường chính</w:t>
            </w:r>
            <w:r>
              <w:rPr>
                <w:color w:val="000000"/>
              </w:rPr>
              <w:t xml:space="preserve"> (m)</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themeColor="text1"/>
              </w:rPr>
              <w:t xml:space="preserve">Tài sản cách trục chính 100m</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Các hướng tiếp giáp:</w:t>
            </w:r>
            <w:r>
              <w:rPr>
                <w:color w:val="000000"/>
              </w:rPr>
            </w:r>
            <w:r>
              <w:rPr>
                <w:color w:val="000000"/>
              </w:rPr>
            </w:r>
          </w:p>
        </w:tc>
        <w:tc>
          <w:tcPr>
            <w:gridSpan w:val="3"/>
            <w:tcBorders/>
            <w:tcW w:w="6259" w:type="dxa"/>
            <w:vAlign w:val="center"/>
            <w:textDirection w:val="lrTb"/>
            <w:noWrap w:val="false"/>
          </w:tcPr>
          <w:p>
            <w:pPr>
              <w:pBdr/>
              <w:spacing/>
              <w:ind/>
              <w:rPr>
                <w:color w:val="000000" w:themeColor="text1"/>
              </w:rPr>
            </w:pPr>
            <w:r/>
            <w:bookmarkStart w:id="3" w:name="OLE_LINK1"/>
            <w:r>
              <w:rPr>
                <w:color w:val="000000" w:themeColor="text1"/>
              </w:rPr>
              <w:t xml:space="preserve">+ Hướng Bắc: Giáp đường giao thông bê tông 3,3m</w:t>
            </w:r>
            <w:r>
              <w:rPr>
                <w:color w:val="000000" w:themeColor="text1"/>
              </w:rPr>
            </w:r>
            <w:r>
              <w:rPr>
                <w:color w:val="000000" w:themeColor="text1"/>
              </w:rPr>
            </w:r>
          </w:p>
          <w:p>
            <w:pPr>
              <w:pBdr/>
              <w:spacing/>
              <w:ind/>
              <w:rPr>
                <w:color w:val="000000" w:themeColor="text1"/>
              </w:rPr>
            </w:pPr>
            <w:r>
              <w:rPr>
                <w:color w:val="000000" w:themeColor="text1"/>
              </w:rPr>
              <w:t xml:space="preserve">+  Các hướng khác: Tiếp giáp các thửa đất khác.</w:t>
            </w:r>
            <w:bookmarkEnd w:id="3"/>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rPr>
                <w:color w:val="000000"/>
              </w:rPr>
            </w:pPr>
            <w:r>
              <w:rPr>
                <w:color w:val="000000"/>
              </w:rPr>
              <w:t xml:space="preserve">Vị trí trên bản đồ vệ tinh: </w:t>
            </w:r>
            <w:r>
              <w:rPr>
                <w:color w:val="000000"/>
              </w:rPr>
              <w:t xml:space="preserve">(</w:t>
            </w:r>
            <w:r>
              <w:rPr>
                <w:color w:val="000000"/>
              </w:rPr>
              <w:t xml:space="preserve">20.663222222222</w:t>
            </w:r>
            <w:r>
              <w:rPr>
                <w:color w:val="000000"/>
              </w:rPr>
              <w:t xml:space="preserve">, </w:t>
            </w:r>
            <w:r>
              <w:rPr>
                <w:color w:val="000000"/>
              </w:rPr>
              <w:t xml:space="preserve">105.84586111111</w:t>
            </w:r>
            <w:r>
              <w:rPr>
                <w:color w:val="000000"/>
              </w:rPr>
              <w:t xml:space="preserve">)</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rPr>
                <w:color w:val="000000"/>
              </w:rPr>
            </w:pPr>
            <w:r>
              <w:rPr>
                <w:color w:val="000000"/>
              </w:rPr>
              <mc:AlternateContent>
                <mc:Choice Requires="wpg">
                  <w:drawing>
                    <wp:inline xmlns:wp="http://schemas.openxmlformats.org/drawingml/2006/wordprocessingDrawing" distT="0" distB="0" distL="0" distR="0">
                      <wp:extent cx="4984750" cy="2540000"/>
                      <wp:effectExtent l="0" t="0" r="0" b="0"/>
                      <wp:docPr id="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18"/>
                              <a:stretch/>
                            </pic:blipFill>
                            <pic:spPr bwMode="auto">
                              <a:xfrm>
                                <a:off x="0" y="0"/>
                                <a:ext cx="4984750" cy="2540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392.50pt;height:200.00pt;mso-wrap-distance-left:0.00pt;mso-wrap-distance-top:0.00pt;mso-wrap-distance-right:0.00pt;mso-wrap-distance-bottom:0.00pt;z-index:1;" stroked="false">
                      <v:imagedata r:id="rId18" o:title=""/>
                      <o:lock v:ext="edit" rotation="t"/>
                    </v:shape>
                  </w:pict>
                </mc:Fallback>
              </mc:AlternateConten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Diện tích; Kích thước; Hình dáng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 tích sử dụng riêng thực tế (m²):</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677,3</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Diện tích sử dụng chung thực tế (m²):</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Mặt tiền (m):</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29,9</w:t>
            </w:r>
            <w:r>
              <w:rPr>
                <w:color w:val="000000"/>
              </w:rPr>
            </w:r>
            <w:r>
              <w:rPr>
                <w:color w:val="000000"/>
              </w:rPr>
            </w:r>
          </w:p>
        </w:tc>
        <w:tc>
          <w:tcPr>
            <w:tcBorders/>
            <w:tcW w:w="2126" w:type="dxa"/>
            <w:vAlign w:val="center"/>
            <w:textDirection w:val="lrTb"/>
            <w:noWrap w:val="false"/>
          </w:tcPr>
          <w:p>
            <w:pPr>
              <w:pBdr/>
              <w:spacing/>
              <w:ind/>
              <w:rPr/>
            </w:pPr>
            <w:r>
              <w:t xml:space="preserve">Chiều sâu (m): </w:t>
            </w: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22,65</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Hình dáng:</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Hình chữ nhật</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Hướng: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Bắc</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Điều kiện kinh doanh; Hạ tầng nội bộ; Hạ tầng xung quanh</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Hạ tầng nội bộ:</w:t>
            </w:r>
            <w:r>
              <w:rPr>
                <w:color w:val="000000"/>
              </w:rPr>
            </w:r>
            <w:r>
              <w:rPr>
                <w:color w:val="000000"/>
              </w:rPr>
            </w:r>
          </w:p>
        </w:tc>
        <w:tc>
          <w:tcPr>
            <w:gridSpan w:val="3"/>
            <w:tcBorders/>
            <w:tcW w:w="6259" w:type="dxa"/>
            <w:vAlign w:val="center"/>
            <w:textDirection w:val="lrTb"/>
            <w:noWrap w:val="false"/>
          </w:tcPr>
          <w:p>
            <w:pPr>
              <w:pBdr/>
              <w:spacing/>
              <w:ind/>
              <w:rPr>
                <w:color w:val="000000"/>
              </w:rPr>
            </w:pPr>
            <w:r>
              <w:rPr>
                <w:color w:val="000000"/>
              </w:rPr>
              <w:t xml:space="preserve">Hạ tầng cấp nước: Nước máy, Hạ tầng thoát nước: Tự nhiên, Hạ tầng cấp điện: Điện lưới, Hạ tầng thông tin liên lạc: Điện thoại, Mạng internet, Truyền hình cáp</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Hạ tầng xung quanh:</w:t>
            </w:r>
            <w:r>
              <w:rPr>
                <w:color w:val="000000"/>
              </w:rPr>
            </w:r>
            <w:r>
              <w:rPr>
                <w:color w:val="000000"/>
              </w:rPr>
            </w:r>
          </w:p>
        </w:tc>
        <w:tc>
          <w:tcPr>
            <w:gridSpan w:val="3"/>
            <w:tcBorders/>
            <w:tcW w:w="6259" w:type="dxa"/>
            <w:vAlign w:val="center"/>
            <w:textDirection w:val="lrTb"/>
            <w:noWrap w:val="false"/>
          </w:tcPr>
          <w:p>
            <w:pPr>
              <w:pBdr/>
              <w:spacing/>
              <w:ind/>
              <w:rPr>
                <w:color w:val="000000"/>
              </w:rPr>
            </w:pPr>
            <w:r>
              <w:rPr>
                <w:color w:val="000000"/>
              </w:rPr>
              <w:t xml:space="preserve">Môi trường trong lành, an ninh đảm bảo, dân trí tốt</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Mật độ dân cư:</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Trung bình</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Đời sống dân cư:</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Trung bình</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Lợi thế kinh doanh:</w:t>
            </w:r>
            <w:r>
              <w:rPr>
                <w:color w:val="000000"/>
              </w:rPr>
            </w:r>
            <w:r>
              <w:rPr>
                <w:color w:val="000000"/>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Không có lợi thế kinh doanh</w:t>
            </w:r>
            <w:r>
              <w:rPr>
                <w:color w:val="000000" w:themeColor="text1"/>
              </w:rPr>
            </w:r>
            <w:r>
              <w:rPr>
                <w:color w:val="000000" w:themeColor="text1"/>
              </w:rPr>
            </w:r>
          </w:p>
        </w:tc>
        <w:tc>
          <w:tcPr>
            <w:tcBorders/>
            <w:tcW w:w="2126" w:type="dxa"/>
            <w:vAlign w:val="center"/>
            <w:textDirection w:val="lrTb"/>
            <w:noWrap w:val="false"/>
          </w:tcPr>
          <w:p>
            <w:pPr>
              <w:pBdr/>
              <w:spacing/>
              <w:ind/>
              <w:rPr>
                <w:color w:val="000000"/>
              </w:rPr>
            </w:pPr>
            <w:r>
              <w:rPr>
                <w:color w:val="000000"/>
              </w:rPr>
              <w:t xml:space="preserve">Khả năng chuyển nhượng: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Tốt</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Tài sản gắn liền với đất: Nhà sắt lợp tôn</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 </w:t>
            </w:r>
            <w:r>
              <w:rPr>
                <w:color w:val="000000"/>
              </w:rPr>
            </w:r>
            <w:r>
              <w:rPr>
                <w:color w:val="000000"/>
              </w:rPr>
            </w:r>
          </w:p>
        </w:tc>
        <w:tc>
          <w:tcPr>
            <w:gridSpan w:val="4"/>
            <w:tcBorders/>
            <w:tcW w:w="8781" w:type="dxa"/>
            <w:textDirection w:val="lrTb"/>
            <w:noWrap w:val="false"/>
          </w:tcPr>
          <w:p>
            <w:pPr>
              <w:pBdr>
                <w:top w:val="none" w:color="000000" w:sz="4" w:space="0"/>
                <w:left w:val="none" w:color="000000" w:sz="4" w:space="0"/>
                <w:bottom w:val="none" w:color="000000" w:sz="4" w:space="0"/>
                <w:right w:val="none" w:color="000000" w:sz="4" w:space="0"/>
              </w:pBdr>
              <w:spacing w:line="299" w:lineRule="atLeast"/>
              <w:ind w:right="0" w:firstLine="0" w:left="0"/>
              <w:rPr/>
            </w:pPr>
            <w:r>
              <w:rPr>
                <w:rFonts w:ascii="Times New Roman" w:hAnsi="Times New Roman" w:eastAsia="Times New Roman" w:cs="Times New Roman"/>
                <w:color w:val="000000"/>
                <w:sz w:val="24"/>
              </w:rPr>
              <w:t xml:space="preserve">+ Tại thời điểm thẩm định, trên bất động sản là nhà sắt lợp tôn. Kết cấu: Cột sắt, vách tôn, nền xi măng, mái tôn. Hiện đang sử dụng bình thường.</w:t>
            </w:r>
            <w:r/>
          </w:p>
          <w:p>
            <w:pPr>
              <w:pBdr/>
              <w:spacing/>
              <w:ind/>
              <w:jc w:val="both"/>
              <w:rPr>
                <w:color w:val="000000"/>
              </w:rPr>
            </w:pPr>
            <w:r>
              <w:rPr>
                <w:rFonts w:ascii="Times New Roman" w:hAnsi="Times New Roman" w:eastAsia="Times New Roman" w:cs="Times New Roman"/>
                <w:color w:val="000000"/>
                <w:sz w:val="24"/>
              </w:rPr>
              <w:t xml:space="preserve">+ CTXD trên chưa được cập nhật đăng bộ trên GCN số: BO 371789.</w:t>
            </w:r>
            <w:r>
              <w:rPr>
                <w:color w:val="000000"/>
              </w:rPr>
            </w:r>
            <w:r>
              <w:rPr>
                <w:color w:val="000000"/>
              </w:rPr>
            </w:r>
          </w:p>
        </w:tc>
      </w:tr>
    </w:tbl>
    <w:p>
      <w:pPr>
        <w:pBdr/>
        <w:spacing w:line="235" w:lineRule="auto"/>
        <w:ind w:left="646"/>
        <w:jc w:val="both"/>
        <w:rPr>
          <w:u w:val="single"/>
        </w:rPr>
      </w:pPr>
      <w:r>
        <w:rPr>
          <w:u w:val="single"/>
        </w:rPr>
      </w:r>
      <w:r>
        <w:rPr>
          <w:u w:val="single"/>
        </w:rPr>
      </w:r>
      <w:r>
        <w:rPr>
          <w:u w:val="single"/>
        </w:rPr>
      </w:r>
    </w:p>
    <w:p>
      <w:pPr>
        <w:pBdr/>
        <w:spacing w:line="235" w:lineRule="auto"/>
        <w:ind w:left="646"/>
        <w:jc w:val="both"/>
        <w:rPr>
          <w:u w:val="single"/>
        </w:rPr>
      </w:pPr>
      <w:r>
        <w:rPr>
          <w:u w:val="single"/>
        </w:rPr>
      </w:r>
      <w:r>
        <w:rPr>
          <w:u w:val="single"/>
        </w:rPr>
      </w:r>
      <w:r>
        <w:rPr>
          <w:u w:val="single"/>
        </w:rPr>
      </w:r>
    </w:p>
    <w:p>
      <w:pPr>
        <w:pBdr/>
        <w:spacing/>
        <w:ind/>
        <w:rPr>
          <w:b/>
          <w:bCs/>
          <w:shd w:val="clear" w:color="auto" w:fill="ffffff"/>
        </w:rPr>
      </w:pPr>
      <w:r>
        <w:rPr>
          <w:b/>
          <w:bCs/>
          <w:shd w:val="clear" w:color="auto" w:fill="ffffff"/>
        </w:rPr>
        <w:t xml:space="preserve">Bảng ghi chú thay đổi giữa khảo sát thực trạng và pháp lý tài sản</w:t>
      </w:r>
      <w:r>
        <w:rPr>
          <w:b/>
          <w:bCs/>
          <w:shd w:val="clear" w:color="auto" w:fill="ffffff"/>
        </w:rPr>
        <w:t xml:space="preserve">:</w:t>
      </w:r>
      <w:r>
        <w:rPr>
          <w:b/>
          <w:bCs/>
          <w:shd w:val="clear" w:color="auto" w:fill="ffffff"/>
        </w:rPr>
      </w:r>
      <w:r>
        <w:rPr>
          <w:b/>
          <w:bCs/>
          <w:shd w:val="clear" w:color="auto" w:fill="ffffff"/>
        </w:rPr>
      </w:r>
    </w:p>
    <w:p>
      <w:pPr>
        <w:pBdr/>
        <w:spacing/>
        <w:ind/>
        <w:rPr>
          <w:b/>
          <w:bCs/>
          <w:shd w:val="clear" w:color="auto" w:fill="ffffff"/>
        </w:rPr>
      </w:pPr>
      <w:r>
        <w:rPr>
          <w:b/>
          <w:bCs/>
          <w:shd w:val="clear" w:color="auto" w:fill="ffffff"/>
        </w:rPr>
      </w:r>
      <w:r>
        <w:rPr>
          <w:b/>
          <w:bCs/>
          <w:shd w:val="clear" w:color="auto" w:fill="ffffff"/>
        </w:rPr>
      </w:r>
      <w:r>
        <w:rPr>
          <w:b/>
          <w:bCs/>
          <w:shd w:val="clear" w:color="auto" w:fill="ffffff"/>
        </w:rPr>
      </w:r>
    </w:p>
    <w:tbl>
      <w:tblPr>
        <w:tblStyle w:val="1031"/>
        <w:jc w:val="center"/>
        <w:tblW w:w="0" w:type="auto"/>
        <w:tblBorders/>
        <w:tblLook w:val="04A0" w:firstRow="1" w:lastRow="0" w:firstColumn="1" w:lastColumn="0" w:noHBand="0" w:noVBand="1"/>
      </w:tblPr>
      <w:tblGrid>
        <w:gridCol w:w="1167"/>
        <w:gridCol w:w="1662"/>
        <w:gridCol w:w="1443"/>
        <w:gridCol w:w="1484"/>
        <w:gridCol w:w="1660"/>
        <w:gridCol w:w="2099"/>
      </w:tblGrid>
      <w:tr>
        <w:trPr>
          <w:jc w:val="center"/>
        </w:trPr>
        <w:tc>
          <w:tcPr>
            <w:tcBorders/>
            <w:tcW w:w="1167" w:type="dxa"/>
            <w:vAlign w:val="center"/>
            <w:textDirection w:val="lrTb"/>
            <w:noWrap w:val="false"/>
          </w:tcPr>
          <w:p>
            <w:pPr>
              <w:pBdr/>
              <w:spacing/>
              <w:ind/>
              <w:jc w:val="center"/>
              <w:rPr>
                <w:b/>
                <w:bCs/>
              </w:rPr>
            </w:pPr>
            <w:r>
              <w:rPr>
                <w:b/>
                <w:bCs/>
              </w:rPr>
              <w:t xml:space="preserve">STT</w:t>
            </w:r>
            <w:r>
              <w:rPr>
                <w:b/>
                <w:bCs/>
              </w:rPr>
            </w:r>
            <w:r>
              <w:rPr>
                <w:b/>
                <w:bCs/>
              </w:rPr>
            </w:r>
          </w:p>
        </w:tc>
        <w:tc>
          <w:tcPr>
            <w:tcBorders/>
            <w:tcW w:w="1663" w:type="dxa"/>
            <w:vAlign w:val="center"/>
            <w:textDirection w:val="lrTb"/>
            <w:noWrap w:val="false"/>
          </w:tcPr>
          <w:p>
            <w:pPr>
              <w:pBdr/>
              <w:spacing/>
              <w:ind/>
              <w:jc w:val="center"/>
              <w:rPr>
                <w:b/>
                <w:bCs/>
              </w:rPr>
            </w:pPr>
            <w:r>
              <w:rPr>
                <w:b/>
                <w:bCs/>
              </w:rPr>
              <w:t xml:space="preserve">Các yếu tố</w:t>
            </w:r>
            <w:r>
              <w:rPr>
                <w:b/>
                <w:bCs/>
              </w:rPr>
            </w:r>
            <w:r>
              <w:rPr>
                <w:b/>
                <w:bCs/>
              </w:rPr>
            </w:r>
          </w:p>
        </w:tc>
        <w:tc>
          <w:tcPr>
            <w:tcBorders/>
            <w:tcW w:w="1560" w:type="dxa"/>
            <w:vAlign w:val="center"/>
            <w:textDirection w:val="lrTb"/>
            <w:noWrap w:val="false"/>
          </w:tcPr>
          <w:p>
            <w:pPr>
              <w:pBdr/>
              <w:spacing/>
              <w:ind/>
              <w:jc w:val="center"/>
              <w:rPr>
                <w:b/>
                <w:bCs/>
              </w:rPr>
            </w:pPr>
            <w:r>
              <w:rPr>
                <w:b/>
                <w:bCs/>
              </w:rPr>
              <w:t xml:space="preserve">Thông tin TSTĐ</w:t>
            </w:r>
            <w:r>
              <w:rPr>
                <w:b/>
                <w:bCs/>
              </w:rPr>
            </w:r>
            <w:r>
              <w:rPr>
                <w:b/>
                <w:bCs/>
              </w:rPr>
            </w:r>
          </w:p>
        </w:tc>
        <w:tc>
          <w:tcPr>
            <w:tcBorders/>
            <w:tcW w:w="1605" w:type="dxa"/>
            <w:vAlign w:val="center"/>
            <w:textDirection w:val="lrTb"/>
            <w:noWrap w:val="false"/>
          </w:tcPr>
          <w:p>
            <w:pPr>
              <w:pBdr/>
              <w:spacing/>
              <w:ind/>
              <w:jc w:val="center"/>
              <w:rPr>
                <w:b/>
                <w:bCs/>
              </w:rPr>
            </w:pPr>
            <w:r>
              <w:rPr>
                <w:b/>
                <w:bCs/>
              </w:rPr>
              <w:t xml:space="preserve">Thông tin khảo sát</w:t>
            </w:r>
            <w:r>
              <w:rPr>
                <w:b/>
                <w:bCs/>
              </w:rPr>
            </w:r>
            <w:r>
              <w:rPr>
                <w:b/>
                <w:bCs/>
              </w:rPr>
            </w:r>
          </w:p>
        </w:tc>
        <w:tc>
          <w:tcPr>
            <w:tcBorders/>
            <w:tcW w:w="1371" w:type="dxa"/>
            <w:vAlign w:val="center"/>
            <w:textDirection w:val="lrTb"/>
            <w:noWrap w:val="false"/>
          </w:tcPr>
          <w:p>
            <w:pPr>
              <w:pBdr/>
              <w:spacing/>
              <w:ind/>
              <w:jc w:val="center"/>
              <w:rPr>
                <w:b/>
                <w:bCs/>
              </w:rPr>
            </w:pPr>
            <w:r>
              <w:rPr>
                <w:b/>
                <w:bCs/>
              </w:rPr>
              <w:t xml:space="preserve">Chênh lệch</w:t>
            </w:r>
            <w:r>
              <w:rPr>
                <w:b/>
                <w:bCs/>
              </w:rPr>
            </w:r>
            <w:r>
              <w:rPr>
                <w:b/>
                <w:bCs/>
              </w:rPr>
            </w:r>
          </w:p>
        </w:tc>
        <w:tc>
          <w:tcPr>
            <w:tcBorders/>
            <w:tcW w:w="2149" w:type="dxa"/>
            <w:vAlign w:val="center"/>
            <w:textDirection w:val="lrTb"/>
            <w:noWrap w:val="false"/>
          </w:tcPr>
          <w:p>
            <w:pPr>
              <w:pBdr/>
              <w:spacing/>
              <w:ind/>
              <w:jc w:val="center"/>
              <w:rPr>
                <w:b/>
                <w:bCs/>
              </w:rPr>
            </w:pPr>
            <w:r>
              <w:rPr>
                <w:b/>
                <w:bCs/>
              </w:rPr>
              <w:t xml:space="preserve">Nguyên nhân</w:t>
            </w:r>
            <w:r>
              <w:rPr>
                <w:b/>
                <w:bCs/>
              </w:rPr>
            </w:r>
            <w:r>
              <w:rPr>
                <w:b/>
                <w:bCs/>
              </w:rPr>
            </w:r>
          </w:p>
        </w:tc>
      </w:tr>
      <w:tr>
        <w:trPr>
          <w:jc w:val="center"/>
        </w:trPr>
        <w:tc>
          <w:tcPr>
            <w:tcBorders/>
            <w:tcW w:w="1167" w:type="dxa"/>
            <w:vAlign w:val="center"/>
            <w:textDirection w:val="lrTb"/>
            <w:noWrap w:val="false"/>
          </w:tcPr>
          <w:p>
            <w:pPr>
              <w:pBdr/>
              <w:spacing/>
              <w:ind/>
              <w:jc w:val="center"/>
              <w:rPr/>
            </w:pPr>
            <w:r>
              <w:t xml:space="preserve">1</w:t>
            </w:r>
            <w:r/>
          </w:p>
        </w:tc>
        <w:tc>
          <w:tcPr>
            <w:tcBorders/>
            <w:tcW w:w="1663" w:type="dxa"/>
            <w:vAlign w:val="center"/>
            <w:textDirection w:val="lrTb"/>
            <w:noWrap w:val="false"/>
          </w:tcPr>
          <w:p>
            <w:pPr>
              <w:pBdr/>
              <w:spacing/>
              <w:ind/>
              <w:jc w:val="center"/>
              <w:rPr/>
            </w:pPr>
            <w:r>
              <w:t xml:space="preserve">Địa chỉ trên sổ</w:t>
            </w:r>
            <w:r/>
          </w:p>
        </w:tc>
        <w:tc>
          <w:tcPr>
            <w:tcBorders/>
            <w:tcW w:w="1560" w:type="dxa"/>
            <w:vAlign w:val="center"/>
            <w:textDirection w:val="lrTb"/>
            <w:noWrap w:val="false"/>
          </w:tcPr>
          <w:p>
            <w:pPr>
              <w:pBdr/>
              <w:spacing/>
              <w:ind/>
              <w:jc w:val="center"/>
              <w:rPr/>
            </w:pPr>
            <w:r>
              <w:t xml:space="preserve">Thôn Du Đồng, xã Đại Hùng, huyện Ứng Hòa, thành phố Hà Nội</w:t>
            </w:r>
            <w:r/>
          </w:p>
        </w:tc>
        <w:tc>
          <w:tcPr>
            <w:tcBorders/>
            <w:tcW w:w="1605" w:type="dxa"/>
            <w:vAlign w:val="center"/>
            <w:textDirection w:val="lrTb"/>
            <w:noWrap w:val="false"/>
          </w:tcPr>
          <w:p>
            <w:pPr>
              <w:pBdr/>
              <w:spacing/>
              <w:ind/>
              <w:jc w:val="center"/>
              <w:rPr/>
            </w:pPr>
            <w:r>
              <w:t xml:space="preserve">Xã Ứng Hòa, Thành phố Hà Nội ✔</w:t>
            </w:r>
            <w:r/>
          </w:p>
        </w:tc>
        <w:tc>
          <w:tcPr>
            <w:tcBorders/>
            <w:tcW w:w="1371" w:type="dxa"/>
            <w:vAlign w:val="center"/>
            <w:textDirection w:val="lrTb"/>
            <w:noWrap w:val="false"/>
          </w:tcPr>
          <w:p>
            <w:pPr>
              <w:pBdr/>
              <w:spacing/>
              <w:ind/>
              <w:jc w:val="center"/>
              <w:rPr/>
            </w:pPr>
            <w:r>
              <w:t xml:space="preserve">Có</w:t>
            </w:r>
            <w:r/>
          </w:p>
        </w:tc>
        <w:tc>
          <w:tcPr>
            <w:tcBorders/>
            <w:tcW w:w="2149" w:type="dxa"/>
            <w:vAlign w:val="center"/>
            <w:textDirection w:val="lrTb"/>
            <w:noWrap w:val="false"/>
          </w:tcPr>
          <w:p>
            <w:pPr>
              <w:pBdr/>
              <w:spacing/>
              <w:ind/>
              <w:jc w:val="center"/>
              <w:rPr/>
            </w:pPr>
            <w:r>
              <w:t xml:space="preserve">Sáp nhập địa giới hành chính</w:t>
            </w:r>
            <w:r/>
          </w:p>
        </w:tc>
      </w:tr>
      <w:tr>
        <w:trPr>
          <w:jc w:val="center"/>
        </w:trPr>
        <w:tc>
          <w:tcPr>
            <w:tcBorders/>
            <w:tcW w:w="1167" w:type="dxa"/>
            <w:vAlign w:val="center"/>
            <w:textDirection w:val="lrTb"/>
            <w:noWrap w:val="false"/>
          </w:tcPr>
          <w:p>
            <w:pPr>
              <w:pBdr/>
              <w:spacing/>
              <w:ind/>
              <w:jc w:val="center"/>
              <w:rPr/>
            </w:pPr>
            <w:r>
              <w:t xml:space="preserve">2</w:t>
            </w:r>
            <w:r/>
          </w:p>
        </w:tc>
        <w:tc>
          <w:tcPr>
            <w:tcBorders/>
            <w:tcW w:w="1663" w:type="dxa"/>
            <w:vAlign w:val="center"/>
            <w:textDirection w:val="lrTb"/>
            <w:noWrap w:val="false"/>
          </w:tcPr>
          <w:p>
            <w:pPr>
              <w:pBdr/>
              <w:spacing/>
              <w:ind/>
              <w:jc w:val="center"/>
              <w:rPr/>
            </w:pPr>
            <w:r>
              <w:t xml:space="preserve">Địa chỉ thực tế</w:t>
            </w:r>
            <w:r/>
          </w:p>
        </w:tc>
        <w:tc>
          <w:tcPr>
            <w:tcBorders/>
            <w:tcW w:w="1560" w:type="dxa"/>
            <w:vAlign w:val="center"/>
            <w:textDirection w:val="lrTb"/>
            <w:noWrap w:val="false"/>
          </w:tcPr>
          <w:p>
            <w:pPr>
              <w:pBdr/>
              <w:spacing/>
              <w:ind/>
              <w:jc w:val="center"/>
              <w:rPr/>
            </w:pPr>
            <w:r>
              <w:t xml:space="preserve">Xã Ứng Hòa, Thành phố Hà Nội</w:t>
            </w:r>
            <w:r/>
          </w:p>
        </w:tc>
        <w:tc>
          <w:tcPr>
            <w:tcBorders/>
            <w:tcW w:w="1605" w:type="dxa"/>
            <w:vAlign w:val="center"/>
            <w:textDirection w:val="lrTb"/>
            <w:noWrap w:val="false"/>
          </w:tcPr>
          <w:p>
            <w:pPr>
              <w:pBdr/>
              <w:spacing/>
              <w:ind/>
              <w:jc w:val="center"/>
              <w:rPr/>
            </w:pPr>
            <w:r>
              <w:t xml:space="preserve">Xã Ứng Hòa, Thành phố Hà Nội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3</w:t>
            </w:r>
            <w:r/>
          </w:p>
        </w:tc>
        <w:tc>
          <w:tcPr>
            <w:tcBorders/>
            <w:tcW w:w="1663" w:type="dxa"/>
            <w:vAlign w:val="center"/>
            <w:textDirection w:val="lrTb"/>
            <w:noWrap w:val="false"/>
          </w:tcPr>
          <w:p>
            <w:pPr>
              <w:pBdr/>
              <w:spacing/>
              <w:ind/>
              <w:jc w:val="center"/>
              <w:rPr/>
            </w:pPr>
            <w:r>
              <w:t xml:space="preserve">Pháp lý</w:t>
            </w:r>
            <w:r/>
          </w:p>
        </w:tc>
        <w:tc>
          <w:tcPr>
            <w:tcBorders/>
            <w:tcW w:w="1560" w:type="dxa"/>
            <w:vAlign w:val="center"/>
            <w:textDirection w:val="lrTb"/>
            <w:noWrap w:val="false"/>
          </w:tcPr>
          <w:p>
            <w:pPr>
              <w:pBdr/>
              <w:spacing/>
              <w:ind/>
              <w:jc w:val="center"/>
              <w:rPr/>
            </w:pPr>
            <w:r>
              <w:t xml:space="preserve">Giấy chứng nhận quyền sử dụng đất, quyền sở hữu nhà ở và tài sản gắn liền với đất</w:t>
            </w:r>
            <w:r/>
          </w:p>
        </w:tc>
        <w:tc>
          <w:tcPr>
            <w:tcBorders/>
            <w:tcW w:w="1605" w:type="dxa"/>
            <w:vAlign w:val="center"/>
            <w:textDirection w:val="lrTb"/>
            <w:noWrap w:val="false"/>
          </w:tcPr>
          <w:p>
            <w:pPr>
              <w:pBdr/>
              <w:spacing/>
              <w:ind/>
              <w:jc w:val="center"/>
              <w:rPr/>
            </w:pPr>
            <w:r>
              <w:t xml:space="preserve">Giấy chứng nhận quyền sử dụng đất, quyền sở hữu tài sản gắn liền với đất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4</w:t>
            </w:r>
            <w:r/>
          </w:p>
        </w:tc>
        <w:tc>
          <w:tcPr>
            <w:tcBorders/>
            <w:tcW w:w="1663" w:type="dxa"/>
            <w:vAlign w:val="center"/>
            <w:textDirection w:val="lrTb"/>
            <w:noWrap w:val="false"/>
          </w:tcPr>
          <w:p>
            <w:pPr>
              <w:pBdr/>
              <w:spacing/>
              <w:ind/>
              <w:jc w:val="center"/>
              <w:rPr/>
            </w:pPr>
            <w:r>
              <w:t xml:space="preserve">Loại đất</w:t>
            </w:r>
            <w:r/>
          </w:p>
        </w:tc>
        <w:tc>
          <w:tcPr>
            <w:tcBorders/>
            <w:tcW w:w="1560" w:type="dxa"/>
            <w:vAlign w:val="center"/>
            <w:textDirection w:val="lrTb"/>
            <w:noWrap w:val="false"/>
          </w:tcPr>
          <w:p>
            <w:pPr>
              <w:pBdr/>
              <w:spacing/>
              <w:ind/>
              <w:jc w:val="center"/>
              <w:rPr/>
            </w:pPr>
            <w:r>
              <w:t xml:space="preserve">Đất ở nông thôn</w:t>
            </w:r>
            <w:r/>
          </w:p>
        </w:tc>
        <w:tc>
          <w:tcPr>
            <w:tcBorders/>
            <w:tcW w:w="1605" w:type="dxa"/>
            <w:vAlign w:val="center"/>
            <w:textDirection w:val="lrTb"/>
            <w:noWrap w:val="false"/>
          </w:tcPr>
          <w:p>
            <w:pPr>
              <w:pBdr/>
              <w:spacing/>
              <w:ind/>
              <w:jc w:val="center"/>
              <w:rPr/>
            </w:pPr>
            <w:r>
              <w:t xml:space="preserve">Đất ở nông thôn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5</w:t>
            </w:r>
            <w:r/>
          </w:p>
        </w:tc>
        <w:tc>
          <w:tcPr>
            <w:tcBorders/>
            <w:tcW w:w="1663" w:type="dxa"/>
            <w:vAlign w:val="center"/>
            <w:textDirection w:val="lrTb"/>
            <w:noWrap w:val="false"/>
          </w:tcPr>
          <w:p>
            <w:pPr>
              <w:pBdr/>
              <w:spacing/>
              <w:ind/>
              <w:jc w:val="center"/>
              <w:rPr/>
            </w:pPr>
            <w:r>
              <w:t xml:space="preserve">Kết cấu mặt đường</w:t>
            </w:r>
            <w:r/>
          </w:p>
        </w:tc>
        <w:tc>
          <w:tcPr>
            <w:tcBorders/>
            <w:tcW w:w="1560" w:type="dxa"/>
            <w:vAlign w:val="center"/>
            <w:textDirection w:val="lrTb"/>
            <w:noWrap w:val="false"/>
          </w:tcPr>
          <w:p>
            <w:pPr>
              <w:pBdr/>
              <w:spacing/>
              <w:ind/>
              <w:jc w:val="center"/>
              <w:rPr/>
            </w:pPr>
            <w:r>
              <w:t xml:space="preserve">Đường bê tông</w:t>
            </w:r>
            <w:r/>
          </w:p>
        </w:tc>
        <w:tc>
          <w:tcPr>
            <w:tcBorders/>
            <w:tcW w:w="1605" w:type="dxa"/>
            <w:vAlign w:val="center"/>
            <w:textDirection w:val="lrTb"/>
            <w:noWrap w:val="false"/>
          </w:tcPr>
          <w:p>
            <w:pPr>
              <w:pBdr/>
              <w:spacing/>
              <w:ind/>
              <w:jc w:val="center"/>
              <w:rPr/>
            </w:pPr>
            <w:r>
              <w:t xml:space="preserve">Đường bê tông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6</w:t>
            </w:r>
            <w:r/>
          </w:p>
        </w:tc>
        <w:tc>
          <w:tcPr>
            <w:tcBorders/>
            <w:tcW w:w="1663" w:type="dxa"/>
            <w:vAlign w:val="center"/>
            <w:textDirection w:val="lrTb"/>
            <w:noWrap w:val="false"/>
          </w:tcPr>
          <w:p>
            <w:pPr>
              <w:pBdr/>
              <w:spacing/>
              <w:ind/>
              <w:jc w:val="center"/>
              <w:rPr/>
            </w:pPr>
            <w:r>
              <w:t xml:space="preserve">Mặt cắt đường trước nhà</w:t>
            </w:r>
            <w:r/>
          </w:p>
        </w:tc>
        <w:tc>
          <w:tcPr>
            <w:tcBorders/>
            <w:tcW w:w="1560" w:type="dxa"/>
            <w:vAlign w:val="center"/>
            <w:textDirection w:val="lrTb"/>
            <w:noWrap w:val="false"/>
          </w:tcPr>
          <w:p>
            <w:pPr>
              <w:pBdr/>
              <w:spacing/>
              <w:ind/>
              <w:jc w:val="center"/>
              <w:rPr/>
            </w:pPr>
            <w:r>
              <w:t xml:space="preserve">3,3</w:t>
            </w:r>
            <w:r/>
          </w:p>
        </w:tc>
        <w:tc>
          <w:tcPr>
            <w:tcBorders/>
            <w:tcW w:w="1605" w:type="dxa"/>
            <w:vAlign w:val="center"/>
            <w:textDirection w:val="lrTb"/>
            <w:noWrap w:val="false"/>
          </w:tcPr>
          <w:p>
            <w:pPr>
              <w:pBdr/>
              <w:spacing/>
              <w:ind/>
              <w:jc w:val="center"/>
              <w:rPr/>
            </w:pPr>
            <w:r>
              <w:t xml:space="preserve">3,3 ✔</w:t>
            </w:r>
            <w:r/>
          </w:p>
        </w:tc>
        <w:tc>
          <w:tcPr>
            <w:tcBorders/>
            <w:tcW w:w="1371" w:type="dxa"/>
            <w:vAlign w:val="center"/>
            <w:textDirection w:val="lrTb"/>
            <w:noWrap w:val="false"/>
          </w:tcPr>
          <w:p>
            <w:pPr>
              <w:pBdr/>
              <w:spacing/>
              <w:ind/>
              <w:jc w:val="center"/>
              <w:rPr/>
            </w:pPr>
            <w:r>
              <w:t xml:space="preserve">0</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7</w:t>
            </w:r>
            <w:r/>
          </w:p>
        </w:tc>
        <w:tc>
          <w:tcPr>
            <w:tcBorders/>
            <w:tcW w:w="1663" w:type="dxa"/>
            <w:vAlign w:val="center"/>
            <w:textDirection w:val="lrTb"/>
            <w:noWrap w:val="false"/>
          </w:tcPr>
          <w:p>
            <w:pPr>
              <w:pBdr/>
              <w:spacing/>
              <w:ind/>
              <w:jc w:val="center"/>
              <w:rPr/>
            </w:pPr>
            <w:r>
              <w:t xml:space="preserve">Diện tích</w:t>
            </w:r>
            <w:r/>
          </w:p>
        </w:tc>
        <w:tc>
          <w:tcPr>
            <w:tcBorders/>
            <w:tcW w:w="1560" w:type="dxa"/>
            <w:vAlign w:val="center"/>
            <w:textDirection w:val="lrTb"/>
            <w:noWrap w:val="false"/>
          </w:tcPr>
          <w:p>
            <w:pPr>
              <w:pBdr/>
              <w:spacing/>
              <w:ind/>
              <w:jc w:val="center"/>
              <w:rPr/>
            </w:pPr>
            <w:r>
              <w:t xml:space="preserve">677,3</w:t>
            </w:r>
            <w:r/>
          </w:p>
        </w:tc>
        <w:tc>
          <w:tcPr>
            <w:tcBorders/>
            <w:tcW w:w="1605" w:type="dxa"/>
            <w:vAlign w:val="center"/>
            <w:textDirection w:val="lrTb"/>
            <w:noWrap w:val="false"/>
          </w:tcPr>
          <w:p>
            <w:pPr>
              <w:pBdr/>
              <w:spacing/>
              <w:ind/>
              <w:jc w:val="center"/>
              <w:rPr/>
            </w:pPr>
            <w:r>
              <w:t xml:space="preserve">677,3 ✔</w:t>
            </w:r>
            <w:r/>
          </w:p>
        </w:tc>
        <w:tc>
          <w:tcPr>
            <w:tcBorders/>
            <w:tcW w:w="1371" w:type="dxa"/>
            <w:vAlign w:val="center"/>
            <w:textDirection w:val="lrTb"/>
            <w:noWrap w:val="false"/>
          </w:tcPr>
          <w:p>
            <w:pPr>
              <w:pBdr/>
              <w:spacing/>
              <w:ind/>
              <w:jc w:val="center"/>
              <w:rPr/>
            </w:pPr>
            <w:r>
              <w:t xml:space="preserve">0</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8</w:t>
            </w:r>
            <w:r/>
          </w:p>
        </w:tc>
        <w:tc>
          <w:tcPr>
            <w:tcBorders/>
            <w:tcW w:w="1663" w:type="dxa"/>
            <w:vAlign w:val="center"/>
            <w:textDirection w:val="lrTb"/>
            <w:noWrap w:val="false"/>
          </w:tcPr>
          <w:p>
            <w:pPr>
              <w:pBdr/>
              <w:spacing/>
              <w:ind/>
              <w:jc w:val="center"/>
              <w:rPr/>
            </w:pPr>
            <w:r>
              <w:t xml:space="preserve">Mặt tiền</w:t>
            </w:r>
            <w:r/>
          </w:p>
        </w:tc>
        <w:tc>
          <w:tcPr>
            <w:tcBorders/>
            <w:tcW w:w="1560" w:type="dxa"/>
            <w:vAlign w:val="center"/>
            <w:textDirection w:val="lrTb"/>
            <w:noWrap w:val="false"/>
          </w:tcPr>
          <w:p>
            <w:pPr>
              <w:pBdr/>
              <w:spacing/>
              <w:ind/>
              <w:jc w:val="center"/>
              <w:rPr/>
            </w:pPr>
            <w:r>
              <w:t xml:space="preserve">29,9</w:t>
            </w:r>
            <w:r/>
          </w:p>
        </w:tc>
        <w:tc>
          <w:tcPr>
            <w:tcBorders/>
            <w:tcW w:w="1605" w:type="dxa"/>
            <w:vAlign w:val="center"/>
            <w:textDirection w:val="lrTb"/>
            <w:noWrap w:val="false"/>
          </w:tcPr>
          <w:p>
            <w:pPr>
              <w:pBdr/>
              <w:spacing/>
              <w:ind/>
              <w:jc w:val="center"/>
              <w:rPr/>
            </w:pPr>
            <w:r>
              <w:t xml:space="preserve">29,9 ✔</w:t>
            </w:r>
            <w:r/>
          </w:p>
        </w:tc>
        <w:tc>
          <w:tcPr>
            <w:tcBorders/>
            <w:tcW w:w="1371" w:type="dxa"/>
            <w:vAlign w:val="center"/>
            <w:textDirection w:val="lrTb"/>
            <w:noWrap w:val="false"/>
          </w:tcPr>
          <w:p>
            <w:pPr>
              <w:pBdr/>
              <w:spacing/>
              <w:ind/>
              <w:jc w:val="center"/>
              <w:rPr/>
            </w:pPr>
            <w:r>
              <w:t xml:space="preserve">0</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9</w:t>
            </w:r>
            <w:r/>
          </w:p>
        </w:tc>
        <w:tc>
          <w:tcPr>
            <w:tcBorders/>
            <w:tcW w:w="1663" w:type="dxa"/>
            <w:vAlign w:val="center"/>
            <w:textDirection w:val="lrTb"/>
            <w:noWrap w:val="false"/>
          </w:tcPr>
          <w:p>
            <w:pPr>
              <w:pBdr/>
              <w:spacing/>
              <w:ind/>
              <w:jc w:val="center"/>
              <w:rPr/>
            </w:pPr>
            <w:r>
              <w:t xml:space="preserve">Chiều sâu</w:t>
            </w:r>
            <w:r/>
          </w:p>
        </w:tc>
        <w:tc>
          <w:tcPr>
            <w:tcBorders/>
            <w:tcW w:w="1560" w:type="dxa"/>
            <w:vAlign w:val="center"/>
            <w:textDirection w:val="lrTb"/>
            <w:noWrap w:val="false"/>
          </w:tcPr>
          <w:p>
            <w:pPr>
              <w:pBdr/>
              <w:spacing/>
              <w:ind/>
              <w:jc w:val="center"/>
              <w:rPr/>
            </w:pPr>
            <w:r>
              <w:t xml:space="preserve">26,44 </w:t>
            </w:r>
            <w:r/>
          </w:p>
        </w:tc>
        <w:tc>
          <w:tcPr>
            <w:tcBorders/>
            <w:tcW w:w="1605" w:type="dxa"/>
            <w:vAlign w:val="center"/>
            <w:textDirection w:val="lrTb"/>
            <w:noWrap w:val="false"/>
          </w:tcPr>
          <w:p>
            <w:pPr>
              <w:pBdr/>
              <w:spacing/>
              <w:ind/>
              <w:jc w:val="center"/>
              <w:rPr/>
            </w:pPr>
            <w:r>
              <w:t xml:space="preserve">26,44</w:t>
            </w:r>
            <w:r>
              <w:t xml:space="preserve">✔</w:t>
            </w:r>
            <w:r/>
          </w:p>
        </w:tc>
        <w:tc>
          <w:tcPr>
            <w:tcBorders/>
            <w:tcW w:w="1371" w:type="dxa"/>
            <w:vAlign w:val="center"/>
            <w:textDirection w:val="lrTb"/>
            <w:noWrap w:val="false"/>
          </w:tcPr>
          <w:p>
            <w:pPr>
              <w:pBdr/>
              <w:spacing/>
              <w:ind/>
              <w:jc w:val="center"/>
              <w:rPr/>
            </w:pPr>
            <w:r>
              <w:t xml:space="preserve">0</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10</w:t>
            </w:r>
            <w:r/>
          </w:p>
        </w:tc>
        <w:tc>
          <w:tcPr>
            <w:tcBorders/>
            <w:tcW w:w="1663" w:type="dxa"/>
            <w:vAlign w:val="center"/>
            <w:textDirection w:val="lrTb"/>
            <w:noWrap w:val="false"/>
          </w:tcPr>
          <w:p>
            <w:pPr>
              <w:pBdr/>
              <w:spacing/>
              <w:ind/>
              <w:jc w:val="center"/>
              <w:rPr/>
            </w:pPr>
            <w:r>
              <w:t xml:space="preserve">Hình dạng thửa đất</w:t>
            </w:r>
            <w:r/>
          </w:p>
        </w:tc>
        <w:tc>
          <w:tcPr>
            <w:tcBorders/>
            <w:tcW w:w="1560" w:type="dxa"/>
            <w:vAlign w:val="center"/>
            <w:textDirection w:val="lrTb"/>
            <w:noWrap w:val="false"/>
          </w:tcPr>
          <w:p>
            <w:pPr>
              <w:pBdr/>
              <w:spacing/>
              <w:ind/>
              <w:jc w:val="center"/>
              <w:rPr/>
            </w:pPr>
            <w:r>
              <w:t xml:space="preserve">Hình chữ nhật</w:t>
            </w:r>
            <w:r/>
          </w:p>
        </w:tc>
        <w:tc>
          <w:tcPr>
            <w:tcBorders/>
            <w:tcW w:w="1605" w:type="dxa"/>
            <w:vAlign w:val="center"/>
            <w:textDirection w:val="lrTb"/>
            <w:noWrap w:val="false"/>
          </w:tcPr>
          <w:p>
            <w:pPr>
              <w:pBdr/>
              <w:spacing/>
              <w:ind/>
              <w:jc w:val="center"/>
              <w:rPr/>
            </w:pPr>
            <w:r>
              <w:t xml:space="preserve">Hình chữ nhật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bl>
    <w:p>
      <w:pPr>
        <w:pBdr/>
        <w:spacing w:line="235" w:lineRule="auto"/>
        <w:ind w:left="646"/>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w:t>
      </w:r>
      <w:r>
        <w:rPr>
          <w:b/>
          <w:bCs/>
          <w:u w:val="single"/>
        </w:rPr>
        <w:t xml:space="preserve"> lợi thế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Đất/Tài sản bám biển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bám hồ (Diện tích &gt;=5ha thì được coi là hồ)</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Bám đầm, ao lớn thuộc sở hữu nhà nước (ao lớn - S=0.5</w:t>
            </w:r>
            <w:r>
              <w:rPr>
                <w:lang w:eastAsia="ko-KR"/>
              </w:rPr>
              <w:t xml:space="preserve">ha)&lt;</w:t>
            </w:r>
            <w:r>
              <w:rPr>
                <w:lang w:eastAsia="ko-KR"/>
              </w:rPr>
              <w:t xml:space="preserve">5ha</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Thế đất tọa sơn hướng thủy 'hậu tựa núi, trước view sông, hồ, đầm', view thoáng, không bị che khuất, loại đất rất được ưa chuộng nghỉ dưỡng, nhà nghỉ cao cấp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View hồ sông, sông, suối, đầm, ao lớn (S=0.5ha), ruộng lúa, đồi núi xa, ngắm hoàng hôn, bình minh xa soi mặt nước, thơ mộng</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 vào thoáng không đâm thẳng cửa chính 'Thế tránh tiễn khí'</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Có yếu tố 'Linh' gắn với tiếng lành, tài lộc, đại danh, văn hóa, truyền thuyết được xem là khu địa linh nhân kiệt</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Đất/tài sản liền kề, đối diện vườn hoa, khu thể thao, bể bơi (không đối diện nhà ở) để được xe hơi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view công viên, vườn hoa, khu thể thao, bể bơi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 </w:t>
      </w:r>
      <w:r>
        <w:rPr>
          <w:b/>
          <w:bCs/>
          <w:u w:val="single"/>
        </w:rPr>
        <w:t xml:space="preserve">bất lợi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w:t>
            </w:r>
            <w:r>
              <w:rPr>
                <w:lang w:eastAsia="ko-KR"/>
              </w:rPr>
              <w:t xml:space="preserve">từng</w:t>
            </w:r>
            <w:r>
              <w:rPr>
                <w:lang w:eastAsia="ko-KR"/>
              </w:rPr>
              <w:t xml:space="preserve"> là nghĩa trang, khu tâm linh cũ (đền, đình, chùa, miếu mạo…) đã được san lấp làm khu dân cư</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đất/Công trình có mộ không thể hoặc rất khó có khả năng di chuyển (Mộ tổ chi, tộc, mộ cổ, mộ tâm linh gắn với miếu mạo được nhân dân thờ cúng</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 Công trình có mộ gia đình hoặc vô chủ có thể di chuyển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sát khu mộ phần hoặc liền kề mộ phần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 Công trình có điện thờ, nhà thợ họ dòng tộc</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sát hoặc liền kề nhà thờ họ</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gia tộc anh em, họ hàng sống xung quanh chung ngõ đi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 án mạng/ tại nạn... bị ảnh hưởng truyền thông Nhẹ </w:t>
            </w:r>
            <w:r>
              <w:rPr>
                <w:lang w:eastAsia="ko-KR"/>
              </w:rPr>
              <w:t xml:space="preserve">“</w:t>
            </w:r>
            <w:r>
              <w:rPr>
                <w:lang w:eastAsia="ko-KR"/>
              </w:rPr>
              <w:t xml:space="preserve">Một vụ tự sát cá biệt không ồn ào, không truyền thông, trong nhà riêng, người Mua/Bán đông ít quan tâm: thị trường ít phản ứng, nếu có phản ứng chỉ là tâm lý tạm thời.</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Trung bình </w:t>
            </w:r>
            <w:r>
              <w:rPr>
                <w:lang w:eastAsia="ko-KR"/>
              </w:rPr>
              <w:t xml:space="preserve">“</w:t>
            </w:r>
            <w:r>
              <w:rPr>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Mạnh </w:t>
            </w:r>
            <w:r>
              <w:rPr>
                <w:lang w:eastAsia="ko-KR"/>
              </w:rPr>
              <w:t xml:space="preserve">“</w:t>
            </w:r>
            <w:r>
              <w:rPr>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Rất Mạnh </w:t>
            </w:r>
            <w:r>
              <w:rPr>
                <w:lang w:eastAsia="ko-KR"/>
              </w:rPr>
              <w:t xml:space="preserve">“</w:t>
            </w:r>
            <w:r>
              <w:rPr>
                <w:lang w:eastAsia="ko-KR"/>
              </w:rPr>
              <w:t xml:space="preserve">Vụ nổi tiếng, nhiều truyề</w:t>
            </w:r>
            <w:r>
              <w:rPr>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cây 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trạm thu phát </w:t>
            </w:r>
            <w:r>
              <w:rPr>
                <w:lang w:eastAsia="ko-KR"/>
              </w:rPr>
              <w:t xml:space="preserve">sóng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cao thế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Mặt tiền bị che chắn (có cột điện, trạm biến áp…)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đường sắt&lt;=50m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 vào thẳng tắp như mũi tên đâm thẳng cửa chính </w:t>
            </w:r>
            <w:r>
              <w:rPr>
                <w:lang w:eastAsia="ko-KR"/>
              </w:rPr>
              <w:t xml:space="preserve">“</w:t>
            </w:r>
            <w:r>
              <w:rPr>
                <w:lang w:eastAsia="ko-KR"/>
              </w:rPr>
              <w:t xml:space="preserve">Thế tiễn khí</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nằm dưới chân cầu, đường dốc cao (Thế bị </w:t>
            </w:r>
            <w:r>
              <w:rPr>
                <w:lang w:eastAsia="ko-KR"/>
              </w:rPr>
              <w:t xml:space="preserve">xung</w:t>
            </w:r>
            <w:r>
              <w:rPr>
                <w:lang w:eastAsia="ko-KR"/>
              </w:rPr>
              <w:t xml:space="preserve"> :</w:t>
            </w:r>
            <w:r>
              <w:rPr>
                <w:lang w:eastAsia="ko-KR"/>
              </w:rPr>
              <w:t xml:space="preserve"> </w:t>
            </w:r>
            <w:r>
              <w:rPr>
                <w:lang w:eastAsia="ko-KR"/>
              </w:rPr>
              <w:t xml:space="preserve">Hổ phục, Long phục) xe lao xuống, gió tạt thẳng sát khí, không tụ</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Giao lộ Chữ </w:t>
            </w:r>
            <w:r>
              <w:rPr>
                <w:lang w:eastAsia="ko-KR"/>
              </w:rPr>
              <w:t xml:space="preserve">“</w:t>
            </w:r>
            <w:r>
              <w:rPr>
                <w:lang w:eastAsia="ko-KR"/>
              </w:rPr>
              <w:t xml:space="preserve">T</w:t>
            </w:r>
            <w:r>
              <w:rPr>
                <w:lang w:eastAsia="ko-KR"/>
              </w:rPr>
              <w:t xml:space="preserve">”</w:t>
            </w:r>
            <w:r>
              <w:rPr>
                <w:lang w:eastAsia="ko-KR"/>
              </w:rPr>
              <w:t xml:space="preserve">, bị đường đâm thẳng vào </w:t>
            </w:r>
            <w:r>
              <w:rPr>
                <w:lang w:eastAsia="ko-KR"/>
              </w:rPr>
              <w:t xml:space="preserve">“</w:t>
            </w:r>
            <w:r>
              <w:rPr>
                <w:lang w:eastAsia="ko-KR"/>
              </w:rPr>
              <w:t xml:space="preserve">Thế tiền đao sát</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Style w:val="1027"/>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pPr>
        <w:pStyle w:val="1027"/>
        <w:numPr>
          <w:ilvl w:val="0"/>
          <w:numId w:val="3"/>
        </w:numPr>
        <w:pBdr/>
        <w:tabs>
          <w:tab w:val="left" w:leader="none" w:pos="993"/>
        </w:tabs>
        <w:spacing w:after="120" w:before="120" w:line="264" w:lineRule="auto"/>
        <w:ind/>
        <w:jc w:val="both"/>
        <w:rPr>
          <w:spacing w:val="-2"/>
          <w:lang w:val="pt-BR"/>
        </w:rPr>
      </w:pPr>
      <w:r>
        <w:rPr>
          <w:spacing w:val="-2"/>
          <w:lang w:val="pt-BR"/>
        </w:rPr>
        <w:t xml:space="preserve">Chúng tôi giả định rằng tài sản thẩm </w:t>
      </w:r>
      <w:r>
        <w:rPr>
          <w:spacing w:val="-2"/>
          <w:lang w:val="pt-BR"/>
        </w:rPr>
        <w:t xml:space="preserve">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Pr>
          <w:spacing w:val="-2"/>
          <w:lang w:val="pt-BR"/>
        </w:rPr>
        <w:t xml:space="preserve">đới (nếu có) trong trường hợp này.</w:t>
      </w:r>
      <w:r>
        <w:rPr>
          <w:spacing w:val="-2"/>
          <w:lang w:val="pt-BR"/>
        </w:rPr>
      </w:r>
      <w:r>
        <w:rPr>
          <w:spacing w:val="-2"/>
          <w:lang w:val="pt-BR"/>
        </w:rPr>
      </w:r>
    </w:p>
    <w:p>
      <w:pPr>
        <w:pStyle w:val="1027"/>
        <w:numPr>
          <w:ilvl w:val="0"/>
          <w:numId w:val="3"/>
        </w:numPr>
        <w:pBdr/>
        <w:tabs>
          <w:tab w:val="left" w:leader="none" w:pos="993"/>
        </w:tabs>
        <w:spacing w:after="120" w:before="120" w:line="264" w:lineRule="auto"/>
        <w:ind/>
        <w:jc w:val="both"/>
        <w:rPr>
          <w:spacing w:val="-2"/>
          <w:lang w:val="pt-BR"/>
        </w:rPr>
      </w:pPr>
      <w:r>
        <w:rPr>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spacing w:val="-2"/>
          <w:lang w:val="pt-BR"/>
        </w:rPr>
      </w:r>
      <w:r>
        <w:rPr>
          <w:spacing w:val="-2"/>
          <w:lang w:val="pt-BR"/>
        </w:rPr>
      </w:r>
    </w:p>
    <w:p>
      <w:pPr>
        <w:pStyle w:val="1027"/>
        <w:numPr>
          <w:ilvl w:val="0"/>
          <w:numId w:val="3"/>
        </w:numPr>
        <w:pBdr/>
        <w:tabs>
          <w:tab w:val="left" w:leader="none" w:pos="993"/>
        </w:tabs>
        <w:spacing w:after="120" w:before="120" w:line="264" w:lineRule="auto"/>
        <w:ind/>
        <w:jc w:val="both"/>
        <w:rPr>
          <w:spacing w:val="-2"/>
          <w:lang w:val="pt-BR"/>
        </w:rPr>
      </w:pPr>
      <w:r>
        <w:rPr>
          <w:highlight w:val="none"/>
          <w:lang w:val="pt-BR" w:bidi="pt-BR"/>
        </w:rPr>
      </w:r>
      <w:r>
        <w:rPr>
          <w:rFonts w:ascii="Times New Roman" w:hAnsi="Times New Roman" w:eastAsia="Times New Roman" w:cs="Times New Roman"/>
          <w:color w:val="000000"/>
          <w:sz w:val="24"/>
        </w:rPr>
        <w:t xml:space="preserve">Tại thời điểm thẩm định giá, Tổ thẩm định xác định trên đất có CTXD là nhà khung sắt lợp tôn, hiện đang sử dụng bình thường. CTXD chưa được công nhận trên GCN QSDĐ. Tổ thẩm định không nhận được các hồ sơ pháp lý khác liên quan đến các côn</w:t>
      </w:r>
      <w:r>
        <w:rPr>
          <w:rFonts w:ascii="Times New Roman" w:hAnsi="Times New Roman" w:eastAsia="Times New Roman" w:cs="Times New Roman"/>
          <w:color w:val="000000"/>
          <w:sz w:val="24"/>
        </w:rPr>
        <w:t xml:space="preserve">g trình xây dựng. Do vậy, theo yêu cầu của Ngân hàng/khách hàng, Tổ thẩm định không xác định giá trị công trình vào tổng giá trị tài sản nhưng vẫn coi đó là phần không thể tách rời của tài sản thẩm định</w:t>
      </w:r>
      <w:r>
        <w:rPr>
          <w:spacing w:val="-2"/>
          <w:lang w:val="pt-BR"/>
        </w:rPr>
      </w:r>
      <w:r>
        <w:rPr>
          <w:spacing w:val="-2"/>
          <w:lang w:val="pt-BR"/>
        </w:rPr>
      </w:r>
    </w:p>
    <w:p>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pPr>
        <w:pStyle w:val="1027"/>
        <w:numPr>
          <w:ilvl w:val="0"/>
          <w:numId w:val="3"/>
        </w:numPr>
        <w:pBdr/>
        <w:tabs>
          <w:tab w:val="left" w:leader="none" w:pos="993"/>
        </w:tabs>
        <w:spacing w:after="120" w:before="120" w:line="264" w:lineRule="auto"/>
        <w:ind/>
        <w:jc w:val="both"/>
        <w:rPr>
          <w:lang w:val="pt-BR"/>
        </w:rPr>
      </w:pPr>
      <w:r>
        <w:rPr>
          <w:b/>
          <w:bCs/>
          <w:lang w:val="pt-BR"/>
        </w:rPr>
        <w:t xml:space="preserve">Giá trị thị trường</w:t>
      </w:r>
      <w:r>
        <w:rPr>
          <w:b/>
          <w:bCs/>
          <w:lang w:val="pt-BR"/>
        </w:rPr>
        <w:t xml:space="preserve">:</w:t>
      </w:r>
      <w:r>
        <w:rPr>
          <w:lang w:val="pt-BR"/>
        </w:rPr>
        <w:t xml:space="preserve"> Kết quả thẩm định giá trị tài sản được xác định dựa trên cơ sở giá trị thị trường tại thời điểm thẩm định theo </w:t>
      </w:r>
      <w:r>
        <w:rPr>
          <w:lang w:val="pt-BR"/>
        </w:rPr>
        <w:t xml:space="preserve">Chuẩn mực thẩm định giá Việt Nam về Cơ sở giá trị thẩm định giá</w:t>
      </w:r>
      <w:r>
        <w:rPr>
          <w:lang w:val="pt-BR"/>
        </w:rPr>
        <w:t xml:space="preserve">: </w:t>
      </w:r>
      <w:r>
        <w:rPr>
          <w:i/>
          <w:iCs/>
          <w:lang w:val="pt-BR"/>
        </w:rPr>
        <w:t xml:space="preserve">“</w:t>
      </w:r>
      <w:r>
        <w:rPr>
          <w:i/>
          <w:iCs/>
          <w:lang w:val="pt-BR"/>
        </w:rPr>
        <w:t xml:space="preserve">Giá trị thị trường là khoản tiền ước </w:t>
      </w:r>
      <w:r>
        <w:rPr>
          <w:i/>
          <w:iCs/>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lang w:val="pt-BR"/>
        </w:rPr>
        <w:t xml:space="preserve">”</w:t>
      </w:r>
      <w:r>
        <w:rPr>
          <w:lang w:val="pt-BR"/>
        </w:rPr>
        <w:t xml:space="preserve">. </w:t>
      </w:r>
      <w:r>
        <w:rPr>
          <w:lang w:val="pt-BR"/>
        </w:rPr>
      </w:r>
      <w:r>
        <w:rPr>
          <w:lang w:val="pt-BR"/>
        </w:rPr>
      </w:r>
    </w:p>
    <w:p>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pPr>
        <w:pStyle w:val="1027"/>
        <w:numPr>
          <w:ilvl w:val="0"/>
          <w:numId w:val="24"/>
        </w:numPr>
        <w:pBdr/>
        <w:spacing w:after="120" w:before="120" w:line="276" w:lineRule="auto"/>
        <w:ind w:hanging="357" w:left="357"/>
        <w:jc w:val="both"/>
        <w:rPr>
          <w:b/>
          <w:lang w:val="pt-BR"/>
        </w:rPr>
      </w:pPr>
      <w:r>
        <w:rPr>
          <w:b/>
          <w:lang w:val="pt-BR"/>
        </w:rPr>
        <w:t xml:space="preserve">Cách tiếp cận và phương pháp thẩm định:</w:t>
      </w:r>
      <w:r>
        <w:rPr>
          <w:b/>
          <w:lang w:val="pt-BR"/>
        </w:rPr>
      </w:r>
      <w:r>
        <w:rPr>
          <w:b/>
          <w:lang w:val="pt-BR"/>
        </w:rPr>
      </w:r>
    </w:p>
    <w:p>
      <w:pPr>
        <w:pStyle w:val="1027"/>
        <w:numPr>
          <w:ilvl w:val="0"/>
          <w:numId w:val="3"/>
        </w:numPr>
        <w:pBdr/>
        <w:tabs>
          <w:tab w:val="left" w:leader="none" w:pos="993"/>
        </w:tabs>
        <w:spacing w:after="120" w:before="120" w:line="276" w:lineRule="auto"/>
        <w:ind w:left="357"/>
        <w:jc w:val="both"/>
        <w:rPr>
          <w:bCs/>
          <w:lang w:val="pt-BR"/>
        </w:rPr>
      </w:pPr>
      <w:r>
        <w:rPr>
          <w:bCs/>
          <w:i/>
          <w:iCs/>
          <w:lang w:val="pt-BR"/>
        </w:rPr>
        <w:t xml:space="preserve">Cách t</w:t>
      </w:r>
      <w:r>
        <w:rPr>
          <w:bCs/>
          <w:i/>
          <w:iCs/>
          <w:lang w:val="pt-BR"/>
        </w:rPr>
        <w:t xml:space="preserve">iếp cận từ thị trường:</w:t>
      </w:r>
      <w:r>
        <w:rPr>
          <w:bCs/>
          <w:i/>
          <w:iCs/>
          <w:lang w:val="pt-BR"/>
        </w:rPr>
        <w:t xml:space="preserve"> </w:t>
      </w:r>
      <w:r>
        <w:rPr>
          <w:bCs/>
          <w:lang w:val="pt-BR"/>
        </w:rPr>
        <w:t xml:space="preserve">X</w:t>
      </w:r>
      <w:r>
        <w:rPr>
          <w:bCs/>
          <w:lang w:val="pt-BR"/>
        </w:rPr>
        <w:t xml:space="preserve">ác định giá trị của tài sản thẩm định giá thông qua việc so sánh tài sản thẩm định giá với các tài sản so sánh đã có các thông tin về giá trên thị trường</w:t>
      </w:r>
      <w:r>
        <w:rPr>
          <w:bCs/>
          <w:lang w:val="pt-BR"/>
        </w:rPr>
        <w:t xml:space="preserve">.</w:t>
      </w:r>
      <w:r>
        <w:rPr>
          <w:bCs/>
          <w:lang w:val="pt-BR"/>
        </w:rPr>
      </w:r>
      <w:r>
        <w:rPr>
          <w:bCs/>
          <w:lang w:val="pt-BR"/>
        </w:rPr>
      </w:r>
    </w:p>
    <w:p>
      <w:pPr>
        <w:pStyle w:val="1027"/>
        <w:numPr>
          <w:ilvl w:val="0"/>
          <w:numId w:val="3"/>
        </w:numPr>
        <w:pBdr/>
        <w:tabs>
          <w:tab w:val="left" w:leader="none" w:pos="993"/>
        </w:tabs>
        <w:spacing w:after="120" w:before="120" w:line="276" w:lineRule="auto"/>
        <w:ind w:left="357"/>
        <w:jc w:val="both"/>
        <w:rPr>
          <w:bCs/>
          <w:lang w:val="pt-BR"/>
        </w:rPr>
      </w:pPr>
      <w:r>
        <w:rPr>
          <w:bCs/>
          <w:i/>
          <w:iCs/>
          <w:lang w:val="pt-BR"/>
        </w:rPr>
        <w:t xml:space="preserve">Phương pháp so sánh:</w:t>
      </w:r>
      <w:r>
        <w:rPr>
          <w:bCs/>
          <w:lang w:val="pt-BR"/>
        </w:rPr>
        <w:t xml:space="preserve"> </w:t>
      </w:r>
      <w:r>
        <w:rPr>
          <w:bCs/>
          <w:lang w:val="pt-BR"/>
        </w:rPr>
        <w:t xml:space="preserve">X</w:t>
      </w:r>
      <w:r>
        <w:rPr>
          <w:bCs/>
          <w:lang w:val="pt-BR"/>
        </w:rPr>
        <w:t xml:space="preserve">ác đ</w:t>
      </w:r>
      <w:r>
        <w:rPr>
          <w:bCs/>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lang w:val="pt-BR"/>
        </w:rPr>
        <w:t xml:space="preserve">.</w:t>
      </w:r>
      <w:r>
        <w:rPr>
          <w:bCs/>
          <w:lang w:val="pt-BR"/>
        </w:rPr>
      </w:r>
      <w:r>
        <w:rPr>
          <w:bCs/>
          <w:lang w:val="pt-BR"/>
        </w:rPr>
      </w:r>
    </w:p>
    <w:p>
      <w:pPr>
        <w:pStyle w:val="1027"/>
        <w:numPr>
          <w:ilvl w:val="0"/>
          <w:numId w:val="24"/>
        </w:numPr>
        <w:pBdr/>
        <w:spacing w:after="120" w:before="120" w:line="276" w:lineRule="auto"/>
        <w:ind w:hanging="357" w:left="357"/>
        <w:jc w:val="both"/>
        <w:rPr>
          <w:b/>
          <w:lang w:val="pt-BR"/>
        </w:rPr>
      </w:pPr>
      <w:r>
        <w:rPr>
          <w:b/>
          <w:lang w:val="pt-BR"/>
        </w:rPr>
        <w:t xml:space="preserve">Xác định cách tiếp cận và phương pháp đối với tài sản thẩm định giá</w:t>
      </w:r>
      <w:r>
        <w:rPr>
          <w:b/>
          <w:lang w:val="pt-BR"/>
        </w:rPr>
        <w:t xml:space="preserve">:</w:t>
      </w:r>
      <w:r>
        <w:rPr>
          <w:b/>
          <w:lang w:val="pt-BR"/>
        </w:rPr>
      </w:r>
      <w:r>
        <w:rPr>
          <w:b/>
          <w:lang w:val="pt-BR"/>
        </w:rPr>
      </w:r>
    </w:p>
    <w:p>
      <w:pPr>
        <w:pStyle w:val="1027"/>
        <w:numPr>
          <w:ilvl w:val="0"/>
          <w:numId w:val="3"/>
        </w:numPr>
        <w:pBdr/>
        <w:spacing w:after="120" w:before="120" w:line="276" w:lineRule="auto"/>
        <w:ind w:left="357"/>
        <w:jc w:val="both"/>
        <w:rPr>
          <w:spacing w:val="-4"/>
          <w:lang w:val="pt-BR"/>
        </w:rPr>
      </w:pPr>
      <w:r>
        <w:rPr>
          <w:spacing w:val="-4"/>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Pr>
          <w:spacing w:val="-4"/>
          <w:lang w:val="pt-BR"/>
        </w:rPr>
        <w:t xml:space="preserve"> giá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sử dụn</w:t>
      </w:r>
      <w:r>
        <w:rPr>
          <w:spacing w:val="-4"/>
          <w:lang w:val="pt-BR"/>
        </w:rPr>
        <w:t xml:space="preserve">g đất của</w:t>
      </w:r>
      <w:r>
        <w:rPr>
          <w:spacing w:val="-4"/>
          <w:lang w:val="pt-BR"/>
        </w:rPr>
        <w:t xml:space="preserve"> tài sản thẩm định giá</w:t>
      </w:r>
      <w:r>
        <w:rPr>
          <w:spacing w:val="-4"/>
          <w:lang w:val="pt-BR"/>
        </w:rPr>
        <w:t xml:space="preserve">.</w:t>
      </w:r>
      <w:r>
        <w:rPr>
          <w:spacing w:val="-4"/>
          <w:lang w:val="pt-BR"/>
        </w:rPr>
      </w:r>
      <w:r>
        <w:rPr>
          <w:spacing w:val="-4"/>
          <w:lang w:val="pt-BR"/>
        </w:rPr>
      </w:r>
    </w:p>
    <w:p>
      <w:pPr>
        <w:pStyle w:val="1027"/>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pPr>
        <w:pStyle w:val="1027"/>
        <w:numPr>
          <w:ilvl w:val="0"/>
          <w:numId w:val="26"/>
        </w:numPr>
        <w:pBdr/>
        <w:spacing w:after="120" w:before="120" w:line="276" w:lineRule="auto"/>
        <w:ind w:hanging="357" w:left="357"/>
        <w:jc w:val="both"/>
        <w:rPr>
          <w:b/>
          <w:lang w:val="pt-BR"/>
        </w:rPr>
      </w:pPr>
      <w:r>
        <w:rPr>
          <w:b/>
          <w:lang w:val="pt-BR"/>
        </w:rPr>
        <w:t xml:space="preserve">Xác định </w:t>
      </w:r>
      <w:r>
        <w:rPr>
          <w:b/>
          <w:lang w:val="pt-BR"/>
        </w:rPr>
        <w:t xml:space="preserve">đơn giá</w:t>
      </w:r>
      <w:r>
        <w:rPr>
          <w:b/>
          <w:lang w:val="pt-BR"/>
        </w:rPr>
        <w:t xml:space="preserve"> quyền sử dụng đấ</w:t>
      </w:r>
      <w:r>
        <w:rPr>
          <w:b/>
          <w:lang w:val="pt-BR"/>
        </w:rPr>
        <w:t xml:space="preserve">t</w:t>
      </w:r>
      <w:r>
        <w:rPr>
          <w:b/>
          <w:lang w:val="pt-BR"/>
        </w:rPr>
        <w:t xml:space="preserve">:</w:t>
      </w:r>
      <w:r>
        <w:rPr>
          <w:b/>
          <w:lang w:val="pt-BR"/>
        </w:rPr>
      </w:r>
      <w:r>
        <w:rPr>
          <w:b/>
          <w:lang w:val="pt-BR"/>
        </w:rPr>
      </w:r>
    </w:p>
    <w:p>
      <w:pPr>
        <w:pStyle w:val="1027"/>
        <w:pBdr/>
        <w:spacing w:after="120" w:before="120" w:line="276" w:lineRule="auto"/>
        <w:ind w:firstLine="357" w:left="0"/>
        <w:jc w:val="both"/>
        <w:rPr>
          <w:bCs/>
          <w:lang w:val="pt-BR"/>
        </w:rPr>
      </w:pPr>
      <w:r>
        <w:rPr>
          <w:lang w:val="nl-NL"/>
        </w:rPr>
        <w:t xml:space="preserve">Qua khảo sát thị trường, </w:t>
      </w:r>
      <w:r>
        <w:rPr>
          <w:lang w:val="nl-NL"/>
        </w:rPr>
        <w:t xml:space="preserve">T</w:t>
      </w:r>
      <w:r>
        <w:rPr>
          <w:lang w:val="nl-NL"/>
        </w:rPr>
        <w:t xml:space="preserve">ổ thẩm định thu thập được 03 giao dịch được cho là tương đồng về đặc điểm vị trí, giao thông, kích thước, mặt tiền, điều kiện hạ tầng và điều kiện xã </w:t>
      </w:r>
      <w:r>
        <w:rPr>
          <w:lang w:val="nl-NL"/>
        </w:rPr>
        <w:t xml:space="preserve">hội,…</w:t>
      </w:r>
      <w:r>
        <w:rPr>
          <w:lang w:val="nl-NL"/>
        </w:rPr>
        <w:t xml:space="preserve"> với tài sản thẩm định giá, cụ thể như sau:</w:t>
      </w:r>
      <w:r>
        <w:rPr>
          <w:bCs/>
          <w:lang w:val="pt-BR"/>
        </w:rPr>
      </w:r>
      <w:r>
        <w:rPr>
          <w:bCs/>
          <w:lang w:val="pt-BR"/>
        </w:rPr>
      </w:r>
    </w:p>
    <w:p>
      <w:pPr>
        <w:pStyle w:val="1027"/>
        <w:numPr>
          <w:ilvl w:val="0"/>
          <w:numId w:val="6"/>
        </w:numPr>
        <w:pBdr/>
        <w:tabs>
          <w:tab w:val="left" w:leader="none" w:pos="720"/>
        </w:tabs>
        <w:spacing w:after="120" w:before="120" w:line="276" w:lineRule="auto"/>
        <w:ind w:left="360"/>
        <w:jc w:val="both"/>
        <w:rPr>
          <w:b/>
          <w:lang w:val="nl-NL"/>
        </w:rPr>
      </w:pPr>
      <w:r>
        <w:rPr>
          <w:b/>
          <w:lang w:val="nl-NL"/>
        </w:rPr>
        <w:t xml:space="preserve">Thông tin tài sản so sánh:</w:t>
      </w:r>
      <w:r>
        <w:rPr>
          <w:b/>
          <w:lang w:val="nl-NL"/>
        </w:rPr>
      </w:r>
      <w:r>
        <w:rPr>
          <w:b/>
          <w:lang w:val="nl-NL"/>
        </w:rPr>
      </w:r>
    </w:p>
    <w:tbl>
      <w:tblPr>
        <w:tblW w:w="0" w:type="auto"/>
        <w:tblBorders/>
        <w:tblLayout w:type="fixed"/>
        <w:tblLook w:val="04A0" w:firstRow="1" w:lastRow="0" w:firstColumn="1" w:lastColumn="0" w:noHBand="0" w:noVBand="1"/>
      </w:tblPr>
      <w:tblGrid>
        <w:gridCol w:w="704"/>
        <w:gridCol w:w="1843"/>
        <w:gridCol w:w="1742"/>
        <w:gridCol w:w="1742"/>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pPr>
              <w:pBdr/>
              <w:spacing/>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r>
      <w:tr>
        <w:trPr>
          <w:trHeight w:val="165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Địa chỉ</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t xml:space="preserve">Thôn Du Đồng, xã Đại Hùng, huyện Ứng Hòa, thành phố Hà Nội</w:t>
            </w:r>
            <w:r/>
          </w:p>
          <w:p>
            <w:pPr>
              <w:pBdr/>
              <w:spacing/>
              <w:ind/>
              <w:jc w:val="center"/>
              <w:rPr>
                <w:bCs/>
                <w:i/>
                <w:sz w:val="22"/>
                <w:szCs w:val="22"/>
              </w:rPr>
            </w:pPr>
            <w:r>
              <w:rPr>
                <w:i/>
                <w:iCs/>
                <w:color w:val="000000" w:themeColor="text1"/>
                <w:sz w:val="22"/>
                <w:szCs w:val="22"/>
              </w:rPr>
              <w:t xml:space="preserve">(Nay là xã Ứng Hòa, thành phố Hà Nội)</w:t>
            </w:r>
            <w:r>
              <w:rPr>
                <w:bCs/>
                <w:i/>
                <w:sz w:val="22"/>
                <w:szCs w:val="22"/>
              </w:rPr>
            </w:r>
            <w:r>
              <w:rPr>
                <w:bCs/>
                <w:i/>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Xã Ứng Hòa, Thành phố Hà Nội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Xã Hòa Xá, Thành phố Hà Nội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Xã Hòa Xá, Thành phố Hà Nội</w:t>
            </w:r>
            <w:r>
              <w:rPr>
                <w:sz w:val="22"/>
                <w:szCs w:val="22"/>
              </w:rPr>
            </w:r>
            <w:r>
              <w:rPr>
                <w:sz w:val="22"/>
                <w:szCs w:val="22"/>
              </w:rPr>
            </w:r>
          </w:p>
        </w:tc>
      </w:tr>
      <w:tr>
        <w:trPr>
          <w:trHeight w:val="150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Người bán _ Khảo sát qua điện thoại &amp; website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Liên hệ trực tiếp</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Liên hệ trực tiếp</w:t>
            </w:r>
            <w:r>
              <w:rPr>
                <w:sz w:val="22"/>
                <w:szCs w:val="22"/>
              </w:rPr>
            </w:r>
            <w:r>
              <w:rPr>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Thông tin liên lạc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0944 772 243</w:t>
            </w:r>
            <w:r>
              <w:rPr>
                <w:sz w:val="22"/>
                <w:szCs w:val="22"/>
              </w:rPr>
              <w:t xml:space="preserve"> </w:t>
            </w:r>
            <w:r>
              <w:rPr>
                <w:sz w:val="22"/>
                <w:szCs w:val="22"/>
              </w:rPr>
              <w:br/>
              <w:t xml:space="preserve">(</w:t>
            </w:r>
            <w:r>
              <w:rPr>
                <w:sz w:val="22"/>
                <w:szCs w:val="22"/>
              </w:rPr>
              <w:t xml:space="preserve">Chị Hân</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0984639256</w:t>
            </w:r>
            <w:r>
              <w:rPr>
                <w:sz w:val="22"/>
                <w:szCs w:val="22"/>
              </w:rPr>
              <w:br/>
            </w:r>
            <w:r>
              <w:rPr>
                <w:sz w:val="22"/>
                <w:szCs w:val="22"/>
              </w:rPr>
              <w:t xml:space="preserve">(</w:t>
            </w:r>
            <w:r>
              <w:rPr>
                <w:sz w:val="22"/>
                <w:szCs w:val="22"/>
              </w:rPr>
              <w:t xml:space="preserve">Quang Ngọc</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0988669965</w:t>
            </w:r>
            <w:r>
              <w:rPr>
                <w:sz w:val="22"/>
                <w:szCs w:val="22"/>
              </w:rPr>
              <w:br/>
            </w:r>
            <w:r>
              <w:rPr>
                <w:sz w:val="22"/>
                <w:szCs w:val="22"/>
              </w:rPr>
              <w:t xml:space="preserve">(</w:t>
            </w:r>
            <w:r>
              <w:rPr>
                <w:sz w:val="22"/>
                <w:szCs w:val="22"/>
              </w:rPr>
              <w:t xml:space="preserve">Lê Lâm</w:t>
            </w:r>
            <w:r>
              <w:rPr>
                <w:sz w:val="22"/>
                <w:szCs w:val="22"/>
              </w:rPr>
              <w:t xml:space="preserve">)</w:t>
            </w:r>
            <w:r>
              <w:rPr>
                <w:sz w:val="22"/>
                <w:szCs w:val="22"/>
              </w:rPr>
            </w:r>
            <w:r>
              <w:rPr>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Đang giao dịch</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Đang giao dịch</w:t>
            </w:r>
            <w:r>
              <w:rPr>
                <w:color w:val="000000"/>
                <w:sz w:val="22"/>
                <w:szCs w:val="22"/>
              </w:rPr>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07/2026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07/2026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07/2026</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Giấy chứng nhận quyền sử dụng đất</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Giấy chứng nhận quyền sử dụng đất</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Giấy chứng nhận quyền sử dụng đất</w:t>
            </w:r>
            <w:r>
              <w:rPr>
                <w:color w:val="000000"/>
                <w:sz w:val="22"/>
                <w:szCs w:val="22"/>
              </w:rPr>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nông thôn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nông thôn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nông thôn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nông thôn</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xã Ứng Hòa, thành phố Hà Nội. Tài sản tiếp giáp ngõ của trục chính thôn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xã Ứng Hòa, Thành phố Hà Nội. Tài sản tiếp giáp trục chính đường Thôn Cung Thuế</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xã Hòa Xá, Thành phố Hà Nội. Tài sản tiếp giáp ngõ của trục chính thôn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xã Hòa Xá, Thành phố Hà Nội. Tài sản tiếp giáp ngõ của trục chính thôn</w:t>
            </w:r>
            <w:r>
              <w:rPr>
                <w:color w:val="000000"/>
                <w:sz w:val="22"/>
                <w:szCs w:val="22"/>
              </w:rPr>
            </w:r>
            <w:r>
              <w:rPr>
                <w:color w:val="000000"/>
                <w:sz w:val="22"/>
                <w:szCs w:val="22"/>
              </w:rPr>
            </w:r>
          </w:p>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không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677,3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111,2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98,9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96,7</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29,9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5,75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5,64</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Chiều sâu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24,44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18,53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17,2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17,15</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2.800.000.000</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2.300.000.000</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2.320.000.000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2.380.000.000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1.955.000.000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1.972.000.000</w:t>
            </w:r>
            <w:r>
              <w:rPr>
                <w:color w:val="000000"/>
                <w:sz w:val="22"/>
                <w:szCs w:val="22"/>
              </w:rPr>
            </w:r>
            <w:r>
              <w:rPr>
                <w:color w:val="000000"/>
                <w:sz w:val="22"/>
                <w:szCs w:val="22"/>
              </w:rPr>
            </w:r>
          </w:p>
        </w:tc>
      </w:tr>
      <w:tr>
        <w:trPr>
          <w:trHeight w:val="31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Chi tiết tính toán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1</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 trị tài sản trên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2</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 trị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2.380.000.000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1.955.000.000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1.972.000.000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3</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Đơn giá QSDĐ (đồng/m²)</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21.402.878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19.767.442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20.392.968</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NHẬN XÉT</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Chiều sâu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bl>
    <w:p>
      <w:pPr>
        <w:pBdr/>
        <w:tabs>
          <w:tab w:val="left" w:leader="none" w:pos="90"/>
          <w:tab w:val="left" w:leader="none" w:pos="180"/>
        </w:tabs>
        <w:spacing w:after="120" w:before="120" w:line="264" w:lineRule="auto"/>
        <w:ind/>
        <w:jc w:val="both"/>
        <w:rPr>
          <w:b/>
          <w:lang w:val="de-DE"/>
        </w:rPr>
      </w:pPr>
      <w:r>
        <w:rPr>
          <w:lang w:val="it-IT"/>
        </w:rPr>
        <w:t xml:space="preserve">Các yếu tố như</w:t>
      </w:r>
      <w:r>
        <w:rPr>
          <w:lang w:val="vi-VN"/>
        </w:rPr>
        <w:t xml:space="preserve"> vị trí, giao thông, diện tích, </w:t>
      </w:r>
      <w:r>
        <w:t xml:space="preserve">hình dáng, </w:t>
      </w:r>
      <w:r>
        <w:rPr>
          <w:lang w:val="vi-VN"/>
        </w:rPr>
        <w:t xml:space="preserve">hạ tầng kỹ thuật và hạ tầng xã hội</w:t>
      </w:r>
      <w:r>
        <w:rPr>
          <w:lang w:val="it-IT"/>
        </w:rPr>
        <w:t xml:space="preserve">… làm ảnh hưởng đến giá trị của </w:t>
      </w:r>
      <w:r>
        <w:t xml:space="preserve">thửa</w:t>
      </w:r>
      <w:r>
        <w:rPr>
          <w:lang w:val="vi-VN"/>
        </w:rPr>
        <w:t xml:space="preserve"> đất</w:t>
      </w:r>
      <w:r>
        <w:rPr>
          <w:lang w:val="it-IT"/>
        </w:rPr>
        <w:t xml:space="preserve">. Mỗi yếu tố đóng góp một tỷ lệ nhất định vào giá trị của </w:t>
      </w:r>
      <w:r>
        <w:rPr>
          <w:lang w:val="vi-VN"/>
        </w:rPr>
        <w:t xml:space="preserve">thửa đất</w:t>
      </w:r>
      <w:r>
        <w:rPr>
          <w:lang w:val="it-IT"/>
        </w:rPr>
        <w:t xml:space="preserve">. Vì vậy, </w:t>
      </w:r>
      <w:r>
        <w:rPr>
          <w:lang w:val="it-IT"/>
        </w:rPr>
        <w:t xml:space="preserve">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b/>
          <w:lang w:val="de-DE"/>
        </w:rPr>
      </w:r>
      <w:r>
        <w:rPr>
          <w:b/>
          <w:lang w:val="de-DE"/>
        </w:rPr>
      </w:r>
    </w:p>
    <w:p>
      <w:pPr>
        <w:pBdr/>
        <w:tabs>
          <w:tab w:val="left" w:leader="none" w:pos="90"/>
          <w:tab w:val="left" w:leader="none" w:pos="180"/>
        </w:tabs>
        <w:spacing w:after="120" w:before="120" w:line="264" w:lineRule="auto"/>
        <w:ind/>
        <w:jc w:val="both"/>
        <w:rPr>
          <w:lang w:val="it-IT"/>
        </w:rPr>
      </w:pPr>
      <w:r>
        <w:rPr>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lang w:val="vi-VN"/>
        </w:rPr>
        <w:t xml:space="preserve">thẩm </w:t>
      </w:r>
      <w:r>
        <w:rPr>
          <w:lang w:val="it-IT"/>
        </w:rPr>
        <w:t xml:space="preserve">định giá thì giữ nguyên mức giá của tài sản so sánh (không điều chỉnh).</w:t>
      </w:r>
      <w:r>
        <w:rPr>
          <w:lang w:val="it-IT"/>
        </w:rPr>
      </w:r>
      <w:r>
        <w:rPr>
          <w:lang w:val="it-IT"/>
        </w:rPr>
      </w:r>
    </w:p>
    <w:p>
      <w:pPr>
        <w:pStyle w:val="1027"/>
        <w:numPr>
          <w:ilvl w:val="0"/>
          <w:numId w:val="6"/>
        </w:numPr>
        <w:pBdr/>
        <w:tabs>
          <w:tab w:val="left" w:leader="none" w:pos="720"/>
        </w:tabs>
        <w:spacing w:after="120" w:before="120" w:line="276" w:lineRule="auto"/>
        <w:ind w:hanging="284" w:left="284"/>
        <w:jc w:val="both"/>
        <w:rPr>
          <w:b/>
          <w:lang w:val="nl-NL"/>
        </w:rPr>
      </w:pPr>
      <w:r>
        <w:rPr>
          <w:b/>
          <w:lang w:val="nl-NL"/>
        </w:rPr>
        <w:t xml:space="preserve">Bảng điều chỉnh</w:t>
      </w:r>
      <w:r>
        <w:rPr>
          <w:b/>
          <w:lang w:val="nl-NL"/>
        </w:rPr>
        <w:t xml:space="preserve">:</w:t>
      </w:r>
      <w:r>
        <w:rPr>
          <w:b/>
          <w:lang w:val="nl-NL"/>
        </w:rPr>
      </w:r>
      <w:r>
        <w:rPr>
          <w:b/>
          <w:lang w:val="nl-NL"/>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765"/>
        <w:gridCol w:w="1030"/>
        <w:gridCol w:w="1522"/>
        <w:gridCol w:w="1522"/>
        <w:gridCol w:w="1522"/>
        <w:gridCol w:w="1522"/>
      </w:tblGrid>
      <w:tr>
        <w:trPr>
          <w:trHeight w:val="20"/>
          <w:tblHeader/>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jc w:val="center"/>
              <w:rPr>
                <w:b/>
                <w:bCs/>
                <w:color w:val="000000"/>
                <w:sz w:val="22"/>
                <w:szCs w:val="22"/>
              </w:rPr>
            </w:pPr>
            <w:r>
              <w:rPr>
                <w:b/>
                <w:bCs/>
                <w:color w:val="000000"/>
                <w:sz w:val="22"/>
                <w:szCs w:val="22"/>
              </w:rPr>
              <w:t xml:space="preserve">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Đơn vị tính</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Giá trị QSDĐ thị trường (Ước tính sau thương lượng)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Đồng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2.380.000.000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1.955.000.000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1.972.000.000</w:t>
            </w:r>
            <w:r>
              <w:rPr>
                <w:color w:val="000000"/>
                <w:sz w:val="20"/>
                <w:szCs w:val="20"/>
              </w:rPr>
            </w:r>
            <w:r>
              <w:rPr>
                <w:color w:val="000000"/>
                <w:sz w:val="20"/>
                <w:szCs w:val="20"/>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Đơn giá đất ước tính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21.402.878</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19.767.442</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20.392.968</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Điều chỉnh các 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Pháp lý</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Giấy chứng nhận quyền sử dụng đất</w:t>
            </w:r>
            <w:r>
              <w:rPr>
                <w:b/>
                <w:bCs/>
                <w:color w:val="000000"/>
                <w:sz w:val="22"/>
                <w:szCs w:val="22"/>
              </w:rPr>
            </w: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Giấy chứng nhận quyền sử dụng đất</w:t>
            </w:r>
            <w:r>
              <w:rPr>
                <w:b/>
                <w:bCs/>
                <w:color w:val="000000"/>
                <w:sz w:val="22"/>
                <w:szCs w:val="22"/>
              </w:rPr>
            </w: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Giấy chứng nhận quyền sử dụng đất</w:t>
            </w:r>
            <w:r>
              <w:rPr>
                <w:b/>
                <w:bCs/>
                <w:color w:val="000000"/>
                <w:sz w:val="22"/>
                <w:szCs w:val="22"/>
              </w:rPr>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22.661.871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20.930.233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21.592.554</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Vị trí</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Tài sản tại xã Ứng Hòa, thành phố Hà Nội. Tài sản tiếp giáp ngõ của trục chính thôn</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Tài sản tại xã Ứng Hòa, Thành phố Hà Nội. Tài sản tiếp giáp trục chính đường Thôn Cung Thuế</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Tài sản tại xã Hòa Xá, Thành phố Hà Nội. Tài sản tiếp giáp ngõ của trục chính thôn</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Tài sản tại xã Hòa Xá, Thành phố Hà Nội. Tài sản tiếp giáp ngõ của trục chính thôn</w:t>
            </w:r>
            <w:r/>
          </w:p>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4"/>
              </w:rPr>
              <w:t xml:space="preserve"> </w:t>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-2.140.288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-1.383.721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-1.427.508</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19.262.590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18.383.721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18.965.460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Giao thông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bê tông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không có vỉa hè</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bê tông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bê tông</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-1.133.094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18.129.496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18.383.721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18.965.460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Độ rộng đường trước tài sản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3,3</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6</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3</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3</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-2.354.317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15.775.179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18.383.721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18.965.460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C.5</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Diện tích đất (m²)</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(m2)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677,3</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111,2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98,9</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96,7</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-5.350.720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-4.941.861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-5.098.242</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10.424.459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13.441.860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13.867.218</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C.6</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Mặt tiền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29,9</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6</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5,75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5,64</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2.266.187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2.093.023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2.159.255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12.690.646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15.534.883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16.026.473</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C.7</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Chiều sâu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22,65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18,53</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17,2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17,15</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12.690.646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15.534.883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16.026.473</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C.8</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Số lượng mặt tiếp giáp</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12.690.646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15.534.883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16.026.473</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C.9</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Hình dáng thửa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12.690.646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15.534.883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16.026.473</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D</w:t>
            </w:r>
            <w:r>
              <w:rPr>
                <w:b/>
                <w:bCs/>
                <w:color w:val="000000"/>
                <w:sz w:val="22"/>
                <w:szCs w:val="22"/>
              </w:rPr>
            </w:r>
            <w:r>
              <w:rPr>
                <w:b/>
                <w:bCs/>
                <w:color w:val="000000"/>
                <w:sz w:val="22"/>
                <w:szCs w:val="22"/>
              </w:rPr>
            </w:r>
          </w:p>
        </w:tc>
        <w:tc>
          <w:tcPr>
            <w:shd w:val="clear" w:color="000000" w:fill="ffffff"/>
            <w:tcBorders/>
            <w:tcW w:w="1765" w:type="dxa"/>
            <w:vAlign w:val="center"/>
            <w:textDirection w:val="lrTb"/>
            <w:noWrap/>
          </w:tcPr>
          <w:p>
            <w:pPr>
              <w:pBdr/>
              <w:spacing/>
              <w:ind/>
              <w:rPr>
                <w:b/>
                <w:bCs/>
                <w:color w:val="000000"/>
                <w:sz w:val="22"/>
                <w:szCs w:val="22"/>
              </w:rPr>
            </w:pPr>
            <w:r>
              <w:rPr>
                <w:b/>
                <w:bCs/>
                <w:color w:val="000000"/>
                <w:sz w:val="22"/>
                <w:szCs w:val="22"/>
              </w:rPr>
              <w:t xml:space="preserve">Mức giá chỉ dẫn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12.690.646</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15.534.883</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16.026.473</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trị trung bình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gridSpan w:val="3"/>
            <w:shd w:val="clear" w:color="000000" w:fill="ffffff"/>
            <w:tcBorders/>
            <w:tcW w:w="4566"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14.750.667</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độ chênh lệch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-13,97%</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5,32%</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8,65%</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E</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Tổng hợp các số liệu điều chỉnh tại mục C</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gộp</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13.244.606</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8.418.605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8.685.005</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số lần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Lần</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5</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3</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3</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Biên độ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- 25%%</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- 25%%</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- 25%%</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thuần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8.712.232</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4.232.559</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4.366.495</w:t>
            </w:r>
            <w:r>
              <w:rPr>
                <w:sz w:val="22"/>
                <w:szCs w:val="22"/>
              </w:rPr>
            </w:r>
            <w:r>
              <w:rPr>
                <w:sz w:val="22"/>
                <w:szCs w:val="22"/>
              </w:rPr>
            </w:r>
          </w:p>
        </w:tc>
      </w:tr>
    </w:tbl>
    <w:p>
      <w:pPr>
        <w:pBdr/>
        <w:spacing w:after="120" w:before="120" w:line="276" w:lineRule="auto"/>
        <w:ind/>
        <w:jc w:val="both"/>
        <w:rPr>
          <w:b/>
          <w:bCs/>
          <w:i/>
          <w:iCs/>
        </w:rPr>
      </w:pPr>
      <w:r>
        <w:rPr>
          <w:i/>
          <w:iCs/>
          <w:u w:val="single"/>
        </w:rPr>
        <w:t xml:space="preserve"> </w:t>
      </w:r>
      <w:r>
        <w:rPr>
          <w:b/>
          <w:bCs/>
          <w:i/>
          <w:iCs/>
          <w:u w:val="single"/>
        </w:rPr>
        <w:t xml:space="preserve">Về nguyên tắc khống chế</w:t>
      </w:r>
      <w:r>
        <w:rPr>
          <w:b/>
          <w:bCs/>
          <w:i/>
          <w:iCs/>
        </w:rPr>
        <w:t xml:space="preserve">: </w:t>
      </w:r>
      <w:r>
        <w:rPr>
          <w:b/>
          <w:bCs/>
          <w:i/>
          <w:iCs/>
        </w:rPr>
      </w:r>
      <w:r>
        <w:rPr>
          <w:b/>
          <w:bCs/>
          <w:i/>
          <w:iCs/>
        </w:rPr>
      </w:r>
    </w:p>
    <w:p>
      <w:pPr>
        <w:pBdr/>
        <w:spacing w:after="120" w:before="120" w:line="276" w:lineRule="auto"/>
        <w:ind/>
        <w:jc w:val="both"/>
        <w:rPr>
          <w:b/>
          <w:bCs/>
          <w:u w:val="single"/>
        </w:rPr>
      </w:pPr>
      <w:r>
        <w:t xml:space="preserve">Theo số liệu tại mục </w:t>
      </w:r>
      <w:r>
        <w:t xml:space="preserve">D</w:t>
      </w:r>
      <w:r>
        <w:t xml:space="preserve">2, chênh lệch giữa mức giá trung bình của các mức giá chỉ dẫn nằm trong khoảng </w:t>
      </w:r>
      <w:r>
        <w:t xml:space="preserve">từ </w:t>
      </w:r>
      <w:r>
        <w:t xml:space="preserve"> -13,97</w:t>
      </w:r>
      <w:r>
        <w:t xml:space="preserve">% đến</w:t>
      </w:r>
      <w:r>
        <w:t xml:space="preserve"> </w:t>
      </w:r>
      <w:r>
        <w:t xml:space="preserve"> </w:t>
      </w:r>
      <w:r>
        <w:t xml:space="preserve">8,65</w:t>
      </w:r>
      <w:r>
        <w:t xml:space="preserve">%, đảm bảo không quá 15% (theo </w:t>
      </w:r>
      <w:r>
        <w:t xml:space="preserve">Thông tư số 32/2024</w:t>
      </w:r>
      <w:r>
        <w:t xml:space="preserve">/TT-BTC</w:t>
      </w:r>
      <w:r>
        <w:t xml:space="preserve"> ngày 16/5/2024 của Bộ Tài </w:t>
      </w:r>
      <w:r>
        <w:t xml:space="preserve">c</w:t>
      </w:r>
      <w:r>
        <w:t xml:space="preserve">hính)</w:t>
      </w:r>
      <w:r>
        <w:t xml:space="preserve">.</w:t>
      </w:r>
      <w:r>
        <w:rPr>
          <w:b/>
          <w:bCs/>
          <w:u w:val="single"/>
        </w:rPr>
      </w:r>
      <w:r>
        <w:rPr>
          <w:b/>
          <w:bCs/>
          <w:u w:val="single"/>
        </w:rPr>
      </w:r>
    </w:p>
    <w:p>
      <w:pPr>
        <w:pBdr/>
        <w:spacing w:after="120" w:before="120" w:line="276" w:lineRule="auto"/>
        <w:ind/>
        <w:rPr>
          <w:b/>
          <w:bCs/>
          <w:i/>
          <w:iCs/>
          <w:u w:val="single"/>
        </w:rPr>
      </w:pPr>
      <w:r>
        <w:rPr>
          <w:b/>
          <w:bCs/>
          <w:i/>
          <w:iCs/>
          <w:u w:val="single"/>
        </w:rPr>
        <w:t xml:space="preserve">Về thống nhất mức giá chỉ dẫn</w:t>
      </w:r>
      <w:r>
        <w:rPr>
          <w:b/>
          <w:bCs/>
          <w:i/>
          <w:iCs/>
          <w:u w:val="single"/>
        </w:rPr>
        <w:t xml:space="preserve">:</w:t>
      </w:r>
      <w:r>
        <w:rPr>
          <w:b/>
          <w:bCs/>
          <w:i/>
          <w:iCs/>
          <w:u w:val="single"/>
        </w:rPr>
      </w:r>
      <w:r>
        <w:rPr>
          <w:b/>
          <w:bCs/>
          <w:i/>
          <w:iCs/>
          <w:u w:val="single"/>
        </w:rPr>
      </w:r>
    </w:p>
    <w:p>
      <w:pPr>
        <w:pBdr/>
        <w:spacing/>
        <w:ind/>
        <w:jc w:val="right"/>
        <w:rPr>
          <w:i/>
          <w:iCs/>
        </w:rPr>
      </w:pPr>
      <w:r>
        <w:rPr>
          <w:i/>
          <w:iCs/>
        </w:rPr>
        <w:t xml:space="preserve">Đơn vị tính: Đồng/m²</w:t>
      </w:r>
      <w:r>
        <w:rPr>
          <w:i/>
          <w:iCs/>
        </w:rPr>
      </w:r>
      <w:r>
        <w:rPr>
          <w:i/>
          <w:iCs/>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b/>
                <w:bCs/>
                <w:color w:val="000000"/>
              </w:rPr>
            </w:pPr>
            <w:r>
              <w:rPr>
                <w:b/>
                <w:bCs/>
                <w:color w:val="000000"/>
              </w:rPr>
              <w:t xml:space="preserve">TT</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b/>
                <w:bCs/>
                <w:color w:val="000000"/>
              </w:rPr>
            </w:pPr>
            <w:r>
              <w:rPr>
                <w:b/>
                <w:bCs/>
                <w:color w:val="000000"/>
              </w:rPr>
              <w:t xml:space="preserve">Tài sản</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b/>
                <w:bCs/>
                <w:color w:val="000000"/>
              </w:rPr>
            </w:pPr>
            <w:r>
              <w:rPr>
                <w:b/>
                <w:bCs/>
                <w:color w:val="000000"/>
              </w:rPr>
              <w:t xml:space="preserve">Mức giá chỉ dẫn của các TSSS</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b/>
                <w:bCs/>
                <w:color w:val="000000"/>
              </w:rPr>
            </w:pPr>
            <w:r>
              <w:rPr>
                <w:b/>
                <w:bCs/>
                <w:color w:val="000000"/>
              </w:rPr>
              <w:t xml:space="preserve">Trọng số của các TSSS sau điều chỉnh</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rPr>
              <w:t xml:space="preserve">Giá trị trung bình của mức giá chỉ dẫn sau điều chỉnh</w:t>
            </w:r>
            <w:r>
              <w:rPr>
                <w:b/>
                <w:bCs/>
                <w:color w:val="000000"/>
              </w:rPr>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12.690.646</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33,34</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4.231.061</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15.534.883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5.177.777</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16.026.473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5.341.623</w:t>
            </w:r>
            <w:r>
              <w:rPr>
                <w:color w:val="000000"/>
              </w:rPr>
            </w:r>
            <w:r>
              <w:rPr>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Giá trị bình quân theo trọng số:</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14.750.461</w:t>
            </w:r>
            <w:r>
              <w:rPr>
                <w:b/>
                <w:bCs/>
                <w:color w:val="000000"/>
              </w:rPr>
            </w:r>
            <w:r>
              <w:rPr>
                <w:b/>
                <w:bCs/>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Làm tròn:</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14.700.000</w:t>
            </w:r>
            <w:r>
              <w:rPr>
                <w:b/>
                <w:bCs/>
                <w:color w:val="000000"/>
              </w:rPr>
            </w:r>
            <w:r>
              <w:rPr>
                <w:b/>
                <w:bCs/>
                <w:color w:val="000000"/>
              </w:rPr>
            </w:r>
          </w:p>
        </w:tc>
      </w:tr>
    </w:tbl>
    <w:p>
      <w:pPr>
        <w:pBdr/>
        <w:spacing w:after="120" w:before="120" w:line="276" w:lineRule="auto"/>
        <w:ind/>
        <w:jc w:val="both"/>
        <w:rPr>
          <w:b/>
          <w:bCs/>
        </w:rPr>
      </w:pPr>
      <w:r>
        <w:t xml:space="preserve">Tổ thẩm định sử dụng mức giá chỉ dẫn là mức giá bình quân có trọng số của 03 tài sản so sánh làm mức giá của tài sản thẩm định, tương ứng là</w:t>
      </w:r>
      <w:r>
        <w:t xml:space="preserve">:</w:t>
      </w:r>
      <w:r>
        <w:t xml:space="preserve"> </w:t>
      </w:r>
      <w:r>
        <w:rPr>
          <w:b/>
          <w:bCs/>
          <w:color w:val="000000" w:themeColor="text1"/>
          <w:lang w:val="vi-VN"/>
        </w:rPr>
        <w:t xml:space="preserve">14.700.000</w:t>
      </w:r>
      <w:r>
        <w:rPr>
          <w:b/>
          <w:bCs/>
          <w:color w:val="000000" w:themeColor="text1"/>
        </w:rPr>
        <w:t xml:space="preserve"> </w:t>
      </w:r>
      <w:r>
        <w:rPr>
          <w:b/>
          <w:bCs/>
        </w:rPr>
        <w:t xml:space="preserve">đồng/m².</w:t>
      </w:r>
      <w:r>
        <w:rPr>
          <w:b/>
          <w:bCs/>
        </w:rPr>
      </w:r>
      <w:r>
        <w:rPr>
          <w:b/>
          <w:bCs/>
        </w:rPr>
      </w:r>
    </w:p>
    <w:p>
      <w:pPr>
        <w:pStyle w:val="1027"/>
        <w:pBdr/>
        <w:spacing w:after="120" w:before="120" w:line="276" w:lineRule="auto"/>
        <w:ind w:left="357"/>
        <w:jc w:val="both"/>
        <w:rPr>
          <w:b/>
          <w:lang w:val="pt-BR"/>
        </w:rPr>
      </w:pPr>
      <w:r>
        <w:rPr>
          <w:b/>
          <w:lang w:val="pt-BR"/>
        </w:rPr>
      </w:r>
      <w:r>
        <w:rPr>
          <w:b/>
          <w:lang w:val="pt-BR"/>
        </w:rPr>
      </w:r>
      <w:r>
        <w:rPr>
          <w:b/>
          <w:lang w:val="pt-BR"/>
        </w:rPr>
      </w:r>
    </w:p>
    <w:p>
      <w:pPr>
        <w:pStyle w:val="1027"/>
        <w:numPr>
          <w:ilvl w:val="0"/>
          <w:numId w:val="26"/>
        </w:numPr>
        <w:pBdr/>
        <w:spacing w:after="120" w:before="120" w:line="276" w:lineRule="auto"/>
        <w:ind w:hanging="357" w:left="357"/>
        <w:jc w:val="both"/>
        <w:rPr>
          <w:b/>
          <w:lang w:val="pt-BR"/>
        </w:rPr>
      </w:pPr>
      <w:r>
        <w:rPr>
          <w:b/>
          <w:lang w:val="pt-BR"/>
        </w:rPr>
        <w:t xml:space="preserve">Kết quả thẩm định giá:</w:t>
      </w:r>
      <w:r>
        <w:rPr>
          <w:b/>
          <w:lang w:val="pt-BR"/>
        </w:rPr>
      </w:r>
      <w:r>
        <w:rPr>
          <w:b/>
          <w:lang w:val="pt-BR"/>
        </w:rPr>
      </w:r>
    </w:p>
    <w:p>
      <w:pPr>
        <w:pStyle w:val="1027"/>
        <w:pBdr/>
        <w:tabs>
          <w:tab w:val="left" w:leader="none" w:pos="993"/>
        </w:tabs>
        <w:spacing w:after="120" w:before="120" w:line="276" w:lineRule="auto"/>
        <w:ind w:left="0"/>
        <w:jc w:val="both"/>
        <w:rPr/>
      </w:pPr>
      <w:r>
        <w:rPr>
          <w:lang w:val="pt-BR"/>
        </w:rPr>
        <w:t xml:space="preserve">Dựa trên các lập luận trên, </w:t>
      </w:r>
      <w:r>
        <w:rPr>
          <w:lang w:val="pt-BR"/>
        </w:rPr>
        <w:t xml:space="preserve">T</w:t>
      </w:r>
      <w:r>
        <w:rPr>
          <w:lang w:val="pt-BR"/>
        </w:rPr>
        <w:t xml:space="preserve">ổ</w:t>
      </w:r>
      <w:r>
        <w:rPr>
          <w:lang w:val="pt-BR"/>
        </w:rPr>
        <w:t xml:space="preserve"> thẩm định ước tính giá trị </w:t>
      </w:r>
      <w:r>
        <w:rPr>
          <w:lang w:val="vi-VN"/>
        </w:rPr>
        <w:t xml:space="preserve">tài sản thẩm định giá</w:t>
      </w:r>
      <w:r>
        <w:rPr>
          <w:lang w:val="pt-BR"/>
        </w:rPr>
        <w:t xml:space="preserve"> </w:t>
      </w:r>
      <w:r>
        <w:rPr>
          <w:lang w:val="de-DE"/>
        </w:rPr>
        <w:t xml:space="preserve">chưa bao gồm các loại thuế, phí và lệ phí liên quan đến việc chuyển nhượng tài sản</w:t>
      </w:r>
      <w:r>
        <w:rPr>
          <w:lang w:val="pt-BR"/>
        </w:rPr>
        <w:t xml:space="preserve"> tại thời điểm thẩm định giá </w:t>
      </w:r>
      <w:r>
        <w:t xml:space="preserve">Tháng 08/2026</w:t>
      </w:r>
      <w:r>
        <w:t xml:space="preserve"> </w:t>
      </w:r>
      <w:r>
        <w:t xml:space="preserve">ước tính </w:t>
      </w:r>
      <w:r>
        <w:t xml:space="preserve">như sau</w:t>
      </w:r>
      <w:r>
        <w:t xml:space="preserve">:</w:t>
      </w:r>
      <w:r/>
    </w:p>
    <w:p>
      <w:pPr>
        <w:pStyle w:val="1027"/>
        <w:pBdr/>
        <w:tabs>
          <w:tab w:val="left" w:leader="none" w:pos="993"/>
        </w:tabs>
        <w:spacing w:after="120" w:before="120" w:line="276" w:lineRule="auto"/>
        <w:ind w:left="0"/>
        <w:jc w:val="both"/>
        <w:rPr/>
      </w:pPr>
      <w:r/>
      <w:r/>
    </w:p>
    <w:p>
      <w:pPr>
        <w:pStyle w:val="1027"/>
        <w:pBdr/>
        <w:tabs>
          <w:tab w:val="left" w:leader="none" w:pos="993"/>
        </w:tabs>
        <w:spacing w:after="120" w:before="120" w:line="276" w:lineRule="auto"/>
        <w:ind w:left="0"/>
        <w:jc w:val="both"/>
        <w:rPr/>
      </w:pPr>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1"/>
        <w:gridCol w:w="2578"/>
        <w:gridCol w:w="2162"/>
      </w:tblGrid>
      <w:tr>
        <w:trPr>
          <w:trHeight w:val="20"/>
        </w:trPr>
        <w:tc>
          <w:tcPr>
            <w:shd w:val="clear" w:color="000000" w:fill="ffffff"/>
            <w:tcBorders/>
            <w:tcW w:w="363" w:type="pct"/>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1097" w:type="pct"/>
            <w:vAlign w:val="center"/>
            <w:textDirection w:val="lrTb"/>
            <w:noWrap w:val="false"/>
          </w:tcPr>
          <w:p>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981" w:type="pct"/>
            <w:vAlign w:val="center"/>
            <w:textDirection w:val="lrTb"/>
            <w:noWrap w:val="false"/>
          </w:tcPr>
          <w:p>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1389" w:type="pct"/>
            <w:vAlign w:val="center"/>
            <w:textDirection w:val="lrTb"/>
            <w:noWrap w:val="false"/>
          </w:tcPr>
          <w:p>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1170" w:type="pct"/>
            <w:vAlign w:val="center"/>
            <w:textDirection w:val="lrTb"/>
            <w:noWrap w:val="false"/>
          </w:tcPr>
          <w:p>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363" w:type="pct"/>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3467" w:type="pct"/>
            <w:vAlign w:val="center"/>
            <w:textDirection w:val="lrTb"/>
            <w:noWrap w:val="false"/>
          </w:tcPr>
          <w:p>
            <w:pPr>
              <w:pBdr/>
              <w:spacing w:after="40" w:before="40" w:line="288" w:lineRule="auto"/>
              <w:ind/>
              <w:jc w:val="both"/>
              <w:rPr>
                <w:b/>
                <w:bCs/>
              </w:rPr>
            </w:pPr>
            <w:r>
              <w:rPr>
                <w:color w:val="000000"/>
              </w:rPr>
              <w:t xml:space="preserve">Quyền sử dụng đất tại Thửa đất số 100, tờ bản đồ số: 26, địa chỉ: Thôn Du Đồng, xã Đại Hùng, huyện Ứng Hòa, thành phố Hà Nội </w:t>
            </w:r>
            <w:r>
              <w:rPr>
                <w:i/>
                <w:iCs/>
                <w:color w:val="000000"/>
              </w:rPr>
              <w:t xml:space="preserve">(nay là xã Ứng Hòa,</w:t>
            </w:r>
            <w:r>
              <w:rPr>
                <w:i/>
                <w:iCs/>
                <w:color w:val="000000"/>
              </w:rPr>
              <w:t xml:space="preserve"> thành phố Hà Nội)</w:t>
            </w:r>
            <w:r>
              <w:rPr>
                <w:color w:val="000000"/>
              </w:rPr>
              <w:t xml:space="preserve">, theo Giấy chứng nhận quyền sử dụng đất, quyền sở hữu nhà ở và tài sản gắn liền với đất số: BO 371789; Số vào sổ cấp GCN: CH00779 do UBND huyện Ứng Hòa cấp ngày 26/11/2013. Chủ sử dụng đất là ông Nguyễn Văn Cầu </w:t>
            </w:r>
            <w:r>
              <w:rPr>
                <w:i/>
                <w:iCs/>
                <w:color w:val="000000"/>
              </w:rPr>
              <w:t xml:space="preserve">(Cập nhật ngày 15/11/2017)</w:t>
            </w:r>
            <w:r>
              <w:rPr>
                <w:b/>
                <w:bCs/>
              </w:rPr>
              <w:t xml:space="preserve">.</w:t>
            </w:r>
            <w:r>
              <w:rPr>
                <w:b/>
                <w:bCs/>
              </w:rPr>
            </w:r>
            <w:r>
              <w:rPr>
                <w:b/>
                <w:bCs/>
              </w:rPr>
            </w:r>
          </w:p>
        </w:tc>
        <w:tc>
          <w:tcPr>
            <w:shd w:val="clear" w:color="000000" w:fill="ffffff"/>
            <w:tcBorders/>
            <w:tcW w:w="1170" w:type="pct"/>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363" w:type="pct"/>
            <w:vAlign w:val="center"/>
            <w:textDirection w:val="lrTb"/>
            <w:noWrap w:val="false"/>
          </w:tcPr>
          <w:p>
            <w:pPr>
              <w:pBdr/>
              <w:spacing w:after="40" w:before="40" w:line="288" w:lineRule="auto"/>
              <w:ind/>
              <w:jc w:val="center"/>
              <w:rPr/>
            </w:pPr>
            <w:r>
              <w:rPr>
                <w:b/>
                <w:bCs/>
              </w:rPr>
              <w:t xml:space="preserve">1</w:t>
            </w:r>
            <w:r/>
          </w:p>
        </w:tc>
        <w:tc>
          <w:tcPr>
            <w:shd w:val="clear" w:color="000000" w:fill="ffffff"/>
            <w:tcBorders/>
            <w:tcW w:w="1097" w:type="pct"/>
            <w:vAlign w:val="center"/>
            <w:textDirection w:val="lrTb"/>
            <w:noWrap w:val="false"/>
          </w:tcPr>
          <w:p>
            <w:pPr>
              <w:pBdr/>
              <w:spacing w:after="40" w:before="40" w:line="288" w:lineRule="auto"/>
              <w:ind/>
              <w:rPr/>
            </w:pPr>
            <w:r>
              <w:rPr>
                <w:b/>
                <w:bCs/>
              </w:rPr>
              <w:t xml:space="preserve">Đất ở nông thôn</w:t>
            </w:r>
            <w:r/>
          </w:p>
        </w:tc>
        <w:tc>
          <w:tcPr>
            <w:tcBorders/>
            <w:tcW w:w="981" w:type="pct"/>
            <w:vAlign w:val="center"/>
            <w:textDirection w:val="lrTb"/>
            <w:noWrap/>
          </w:tcPr>
          <w:p>
            <w:pPr>
              <w:pBdr/>
              <w:spacing w:after="40" w:before="40" w:line="288" w:lineRule="auto"/>
              <w:ind/>
              <w:jc w:val="center"/>
              <w:rPr>
                <w:color w:val="000000"/>
              </w:rPr>
            </w:pPr>
            <w:r>
              <w:rPr>
                <w:color w:val="000000" w:themeColor="text1"/>
              </w:rPr>
              <w:t xml:space="preserve">677.3</w:t>
            </w:r>
            <w:r>
              <w:rPr>
                <w:color w:val="000000"/>
              </w:rPr>
            </w:r>
            <w:r>
              <w:rPr>
                <w:color w:val="000000"/>
              </w:rPr>
            </w:r>
          </w:p>
        </w:tc>
        <w:tc>
          <w:tcPr>
            <w:shd w:val="clear" w:color="000000" w:fill="ffffff"/>
            <w:tcBorders/>
            <w:tcW w:w="1389" w:type="pct"/>
            <w:vAlign w:val="center"/>
            <w:textDirection w:val="lrTb"/>
            <w:noWrap w:val="false"/>
          </w:tcPr>
          <w:p>
            <w:pPr>
              <w:pBdr/>
              <w:spacing w:after="40" w:before="40" w:line="288" w:lineRule="auto"/>
              <w:ind/>
              <w:jc w:val="center"/>
              <w:rPr/>
            </w:pPr>
            <w:r>
              <w:rPr>
                <w:color w:val="000000" w:themeColor="text1"/>
              </w:rPr>
              <w:t xml:space="preserve">14.700.000</w:t>
            </w:r>
            <w:r/>
          </w:p>
        </w:tc>
        <w:tc>
          <w:tcPr>
            <w:shd w:val="clear" w:color="000000" w:fill="ffffff"/>
            <w:tcBorders/>
            <w:tcW w:w="1170" w:type="pct"/>
            <w:vAlign w:val="center"/>
            <w:textDirection w:val="lrTb"/>
            <w:noWrap w:val="false"/>
          </w:tcPr>
          <w:p>
            <w:pPr>
              <w:pBdr/>
              <w:spacing w:after="40" w:before="40" w:line="288" w:lineRule="auto"/>
              <w:ind/>
              <w:jc w:val="center"/>
              <w:rPr/>
            </w:pPr>
            <w:r>
              <w:rPr>
                <w:color w:val="000000" w:themeColor="text1"/>
              </w:rPr>
              <w:t xml:space="preserve">9.956.310.000</w:t>
            </w:r>
            <w:r/>
          </w:p>
        </w:tc>
      </w:tr>
      <w:tr>
        <w:trPr>
          <w:trHeight w:val="20"/>
        </w:trPr>
        <w:tc>
          <w:tcPr>
            <w:gridSpan w:val="4"/>
            <w:tcBorders/>
            <w:tcW w:w="3830" w:type="pct"/>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1170" w:type="pct"/>
            <w:vAlign w:val="center"/>
            <w:textDirection w:val="lrTb"/>
            <w:noWrap/>
          </w:tcPr>
          <w:p>
            <w:pPr>
              <w:pBdr/>
              <w:spacing w:after="40" w:before="40" w:line="288" w:lineRule="auto"/>
              <w:ind/>
              <w:jc w:val="center"/>
              <w:rPr>
                <w:b/>
                <w:bCs/>
                <w:color w:val="000000"/>
              </w:rPr>
            </w:pPr>
            <w:r>
              <w:t xml:space="preserve">9.956.310.000</w:t>
            </w:r>
            <w:r>
              <w:rPr>
                <w:b/>
                <w:bCs/>
                <w:color w:val="000000"/>
              </w:rPr>
            </w:r>
            <w:r>
              <w:rPr>
                <w:b/>
                <w:bCs/>
                <w:color w:val="000000"/>
              </w:rPr>
            </w:r>
          </w:p>
        </w:tc>
      </w:tr>
      <w:tr>
        <w:trPr>
          <w:trHeight w:val="20"/>
        </w:trPr>
        <w:tc>
          <w:tcPr>
            <w:gridSpan w:val="4"/>
            <w:tcBorders/>
            <w:tcW w:w="3830" w:type="pct"/>
            <w:vAlign w:val="center"/>
            <w:textDirection w:val="lrTb"/>
            <w:noWrap/>
          </w:tcPr>
          <w:p>
            <w:pPr>
              <w:pBdr/>
              <w:spacing w:after="40" w:before="40" w:line="288" w:lineRule="auto"/>
              <w:ind/>
              <w:jc w:val="center"/>
              <w:rPr>
                <w:b/>
                <w:bCs/>
                <w:color w:val="000000"/>
              </w:rPr>
            </w:pPr>
            <w:r>
              <w:rPr>
                <w:b/>
                <w:bCs/>
                <w:color w:val="000000"/>
              </w:rPr>
              <w:t xml:space="preserve">LÀM TRÒN</w:t>
            </w:r>
            <w:r>
              <w:rPr>
                <w:b/>
                <w:bCs/>
                <w:color w:val="000000"/>
              </w:rPr>
            </w:r>
            <w:r>
              <w:rPr>
                <w:b/>
                <w:bCs/>
                <w:color w:val="000000"/>
              </w:rPr>
            </w:r>
          </w:p>
        </w:tc>
        <w:tc>
          <w:tcPr>
            <w:tcBorders/>
            <w:tcW w:w="1170" w:type="pct"/>
            <w:vAlign w:val="center"/>
            <w:textDirection w:val="lrTb"/>
            <w:noWrap/>
          </w:tcPr>
          <w:p>
            <w:pPr>
              <w:pBdr/>
              <w:spacing w:after="40" w:before="40" w:line="288" w:lineRule="auto"/>
              <w:ind/>
              <w:jc w:val="center"/>
              <w:rPr>
                <w:b/>
                <w:bCs/>
                <w:color w:val="000000"/>
              </w:rPr>
            </w:pPr>
            <w:r>
              <w:rPr>
                <w:b/>
                <w:bCs/>
                <w:color w:val="000000"/>
              </w:rPr>
              <w:t xml:space="preserve">9.956.300.000</w:t>
            </w:r>
            <w:r>
              <w:rPr>
                <w:b/>
                <w:bCs/>
                <w:color w:val="000000"/>
              </w:rPr>
            </w:r>
            <w:r>
              <w:rPr>
                <w:b/>
                <w:bCs/>
                <w:color w:val="000000"/>
              </w:rPr>
            </w:r>
          </w:p>
        </w:tc>
      </w:tr>
      <w:tr>
        <w:trPr>
          <w:trHeight w:val="20"/>
        </w:trPr>
        <w:tc>
          <w:tcPr>
            <w:gridSpan w:val="5"/>
            <w:tcBorders/>
            <w:tcW w:w="5000" w:type="pct"/>
            <w:vAlign w:val="center"/>
            <w:textDirection w:val="lrTb"/>
            <w:noWrap w:val="false"/>
          </w:tcPr>
          <w:p>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Chín tỷ chín trăm năm mươi sáu triệu ba trăm nghìn đồng</w:t>
            </w:r>
            <w:r>
              <w:rPr>
                <w:b/>
                <w:bCs/>
                <w:i/>
                <w:iCs/>
                <w:color w:val="000000"/>
              </w:rPr>
              <w:t xml:space="preserve">./.)</w:t>
            </w:r>
            <w:r>
              <w:rPr>
                <w:b/>
                <w:bCs/>
                <w:i/>
                <w:iCs/>
                <w:color w:val="000000"/>
              </w:rPr>
            </w:r>
            <w:r>
              <w:rPr>
                <w:b/>
                <w:bCs/>
                <w:i/>
                <w:iCs/>
                <w:color w:val="000000"/>
              </w:rPr>
            </w:r>
          </w:p>
        </w:tc>
      </w:tr>
    </w:tbl>
    <w:p>
      <w:pPr>
        <w:pStyle w:val="1027"/>
        <w:pBdr/>
        <w:tabs>
          <w:tab w:val="left" w:leader="none" w:pos="993"/>
        </w:tabs>
        <w:spacing w:after="120" w:before="120" w:line="288"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r>
        <w:rPr>
          <w:b/>
          <w:lang w:val="pt-BR"/>
        </w:rPr>
      </w:r>
    </w:p>
    <w:p>
      <w:pPr>
        <w:pStyle w:val="1027"/>
        <w:numPr>
          <w:ilvl w:val="0"/>
          <w:numId w:val="4"/>
        </w:numPr>
        <w:pBdr/>
        <w:tabs>
          <w:tab w:val="left" w:leader="none" w:pos="993"/>
        </w:tabs>
        <w:spacing w:after="120" w:before="120" w:line="288" w:lineRule="auto"/>
        <w:ind/>
        <w:jc w:val="both"/>
        <w:rPr>
          <w:b/>
          <w:lang w:val="pt-BR"/>
        </w:rPr>
      </w:pPr>
      <w:r>
        <w:rPr>
          <w:lang w:val="pt-BR"/>
        </w:rPr>
        <w:t xml:space="preserve">Tối đa 06 (sáu) tháng tính từ ngày ký đối với tài sản là Bất động sản.</w:t>
      </w:r>
      <w:r>
        <w:rPr>
          <w:b/>
          <w:lang w:val="pt-BR"/>
        </w:rPr>
      </w:r>
      <w:r>
        <w:rPr>
          <w:b/>
          <w:lang w:val="pt-BR"/>
        </w:rPr>
      </w:r>
    </w:p>
    <w:p>
      <w:pPr>
        <w:pStyle w:val="1027"/>
        <w:pBdr/>
        <w:tabs>
          <w:tab w:val="left" w:leader="none" w:pos="993"/>
        </w:tabs>
        <w:spacing w:after="120" w:before="120" w:line="288"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pPr>
        <w:pStyle w:val="1027"/>
        <w:numPr>
          <w:ilvl w:val="0"/>
          <w:numId w:val="5"/>
        </w:numPr>
        <w:pBdr/>
        <w:tabs>
          <w:tab w:val="left" w:leader="none" w:pos="993"/>
        </w:tabs>
        <w:spacing w:after="120" w:before="120" w:line="288" w:lineRule="auto"/>
        <w:ind/>
        <w:jc w:val="both"/>
        <w:rPr>
          <w:lang w:val="pt-BR"/>
        </w:rPr>
      </w:pPr>
      <w:r>
        <w:rPr>
          <w:lang w:val="pt-BR"/>
        </w:rPr>
        <w:t xml:space="preserve">Công ty </w:t>
      </w:r>
      <w:r>
        <w:rPr>
          <w:lang w:val="pt-BR"/>
        </w:rPr>
        <w:t xml:space="preserve">Cổ phần Thẩm định</w:t>
      </w:r>
      <w:r>
        <w:rPr>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lang w:val="pt-BR"/>
        </w:rPr>
      </w:r>
      <w:r>
        <w:rPr>
          <w:lang w:val="pt-BR"/>
        </w:rPr>
      </w:r>
    </w:p>
    <w:p>
      <w:pPr>
        <w:pStyle w:val="1027"/>
        <w:numPr>
          <w:ilvl w:val="0"/>
          <w:numId w:val="5"/>
        </w:numPr>
        <w:pBdr/>
        <w:tabs>
          <w:tab w:val="left" w:leader="none" w:pos="993"/>
        </w:tabs>
        <w:spacing w:after="120" w:before="120" w:line="288" w:lineRule="auto"/>
        <w:ind/>
        <w:jc w:val="both"/>
        <w:rPr>
          <w:lang w:val="pt-BR"/>
        </w:rPr>
      </w:pPr>
      <w:r>
        <w:rPr>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w:t>
      </w:r>
      <w:r>
        <w:rPr>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lang w:val="pt-BR"/>
        </w:rPr>
      </w:r>
      <w:r>
        <w:rPr>
          <w:lang w:val="pt-BR"/>
        </w:rPr>
      </w:r>
    </w:p>
    <w:p>
      <w:pPr>
        <w:pStyle w:val="1027"/>
        <w:numPr>
          <w:ilvl w:val="0"/>
          <w:numId w:val="5"/>
        </w:numPr>
        <w:pBdr/>
        <w:tabs>
          <w:tab w:val="left" w:leader="none" w:pos="993"/>
        </w:tabs>
        <w:spacing w:after="120" w:before="120" w:line="288" w:lineRule="auto"/>
        <w:ind/>
        <w:jc w:val="both"/>
        <w:rPr>
          <w:lang w:val="pt-BR"/>
        </w:rPr>
      </w:pPr>
      <w:r>
        <w:rPr>
          <w:lang w:val="pt-BR"/>
        </w:rPr>
        <w:t xml:space="preserve">Chứng thư, Báo cáo này được soạn thảo theo Hợp đồng được ký kết</w:t>
      </w:r>
      <w:r>
        <w:rPr>
          <w:lang w:val="pt-BR"/>
        </w:rPr>
        <w:t xml:space="preserve"> </w:t>
      </w:r>
      <w:r>
        <w:rPr>
          <w:lang w:val="pt-BR"/>
        </w:rPr>
        <w:t xml:space="preserve">và tuâ</w:t>
      </w:r>
      <w:r>
        <w:rPr>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lang w:val="pt-BR"/>
        </w:rPr>
      </w:r>
      <w:r>
        <w:rPr>
          <w:lang w:val="pt-BR"/>
        </w:rPr>
      </w:r>
    </w:p>
    <w:p>
      <w:pPr>
        <w:pStyle w:val="1027"/>
        <w:numPr>
          <w:ilvl w:val="0"/>
          <w:numId w:val="5"/>
        </w:numPr>
        <w:pBdr/>
        <w:tabs>
          <w:tab w:val="left" w:leader="none" w:pos="993"/>
        </w:tabs>
        <w:spacing w:after="120" w:before="120" w:line="288" w:lineRule="auto"/>
        <w:ind/>
        <w:jc w:val="both"/>
        <w:rPr>
          <w:lang w:val="pt-BR"/>
        </w:rPr>
      </w:pPr>
      <w:r>
        <w:rPr>
          <w:lang w:val="pt-BR"/>
        </w:rPr>
        <w:t xml:space="preserve">Các bên liên quan khi đọc và thực hiện sử dụng sản phẩm tư vấn này, tức là đã chấp nhận và đồng ý với những điều khoản sau:</w:t>
      </w:r>
      <w:r>
        <w:rPr>
          <w:lang w:val="pt-BR"/>
        </w:rPr>
      </w:r>
      <w:r>
        <w:rPr>
          <w:lang w:val="pt-BR"/>
        </w:rPr>
      </w:r>
    </w:p>
    <w:p>
      <w:pPr>
        <w:pStyle w:val="1027"/>
        <w:numPr>
          <w:ilvl w:val="0"/>
          <w:numId w:val="10"/>
        </w:numPr>
        <w:pBdr/>
        <w:spacing w:after="120" w:before="120" w:line="288" w:lineRule="auto"/>
        <w:ind w:hanging="284" w:left="426"/>
        <w:jc w:val="both"/>
        <w:rPr>
          <w:lang w:val="pt-BR"/>
        </w:rPr>
      </w:pPr>
      <w:r>
        <w:rPr>
          <w:lang w:val="pt-BR"/>
        </w:rPr>
        <w:t xml:space="preserve">Sản phẩm tư vấn của Chúng tôi chỉ nhằm mục đích duy nhất đã ghi tại Mục 4 của Chứng thư mà không nhằm bất kỳ mục đích nào khác và mọi hành</w:t>
      </w:r>
      <w:r>
        <w:rPr>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lang w:val="pt-BR"/>
        </w:rPr>
      </w:r>
      <w:r>
        <w:rPr>
          <w:lang w:val="pt-BR"/>
        </w:rPr>
      </w:r>
    </w:p>
    <w:p>
      <w:pPr>
        <w:pStyle w:val="1027"/>
        <w:numPr>
          <w:ilvl w:val="0"/>
          <w:numId w:val="10"/>
        </w:numPr>
        <w:pBdr/>
        <w:spacing w:after="120" w:before="120" w:line="288" w:lineRule="auto"/>
        <w:ind w:hanging="284" w:left="426"/>
        <w:jc w:val="both"/>
        <w:rPr>
          <w:lang w:val="pt-BR"/>
        </w:rPr>
      </w:pPr>
      <w:r>
        <w:rPr>
          <w:lang w:val="pt-BR"/>
        </w:rPr>
        <w:t xml:space="preserve">Lotus VFI, Ban Lãnh đạo, toàn thể nhân viên, Thẩm định viên và đại diện pháp luật của Lotus VFI khôn</w:t>
      </w:r>
      <w:r>
        <w:rPr>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lang w:val="pt-BR"/>
        </w:rPr>
      </w:r>
      <w:r>
        <w:rPr>
          <w:lang w:val="pt-BR"/>
        </w:rPr>
      </w:r>
    </w:p>
    <w:p>
      <w:pPr>
        <w:pStyle w:val="1027"/>
        <w:numPr>
          <w:ilvl w:val="0"/>
          <w:numId w:val="10"/>
        </w:numPr>
        <w:pBdr/>
        <w:spacing w:after="120" w:before="120" w:line="288" w:lineRule="auto"/>
        <w:ind w:hanging="284" w:left="426"/>
        <w:jc w:val="both"/>
        <w:rPr>
          <w:lang w:val="pt-BR"/>
        </w:rPr>
      </w:pPr>
      <w:r>
        <w:rPr>
          <w:lang w:val="pt-BR"/>
        </w:rPr>
        <w:t xml:space="preserve">Khách hàng hoặc bất kỳ bên nào khác sử dụng báo cáo này và bất kỳ hoạt động nào của bất kỳ bên liên q</w:t>
      </w:r>
      <w:r>
        <w:rPr>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lang w:val="pt-BR"/>
        </w:rPr>
      </w:r>
      <w:r>
        <w:rPr>
          <w:lang w:val="pt-BR"/>
        </w:rPr>
      </w:r>
    </w:p>
    <w:p>
      <w:pPr>
        <w:pStyle w:val="1027"/>
        <w:pBdr/>
        <w:tabs>
          <w:tab w:val="left" w:leader="none" w:pos="993"/>
        </w:tabs>
        <w:spacing w:after="120" w:before="120" w:line="288"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r>
        <w:rPr>
          <w:rFonts w:ascii="Times New Roman Bold" w:hAnsi="Times New Roman Bold"/>
          <w:b/>
          <w:spacing w:val="-4"/>
          <w:lang w:val="pt-BR"/>
        </w:rPr>
      </w:r>
    </w:p>
    <w:p>
      <w:pPr>
        <w:pStyle w:val="1027"/>
        <w:numPr>
          <w:ilvl w:val="0"/>
          <w:numId w:val="5"/>
        </w:numPr>
        <w:pBdr/>
        <w:tabs>
          <w:tab w:val="left" w:leader="none" w:pos="993"/>
        </w:tabs>
        <w:spacing w:after="120" w:before="120" w:line="288" w:lineRule="auto"/>
        <w:ind w:hanging="357" w:left="357"/>
        <w:jc w:val="both"/>
        <w:rPr>
          <w:lang w:val="pt-BR"/>
        </w:rPr>
      </w:pPr>
      <w:r>
        <w:rPr>
          <w:lang w:val="pt-BR"/>
        </w:rPr>
        <w:t xml:space="preserve">Chứng thư này chỉ được cung cấp theo yêu cầu của khách hàng. Chỉ bản chính và bản sao Chứng thư thẩm định giá do Công ty </w:t>
      </w:r>
      <w:r>
        <w:rPr>
          <w:lang w:val="pt-BR"/>
        </w:rPr>
        <w:t xml:space="preserve">Cổ phần Thẩm định</w:t>
      </w:r>
      <w:r>
        <w:rPr>
          <w:lang w:val="pt-BR"/>
        </w:rPr>
        <w:t xml:space="preserve"> và Đầu tư Tài chính Hoa Sen cấp mới có giá trị. Mọi hành vi sử dụng bản sao Chứng thư/Báo cáo kết quả thẩm định giá mà không có xác nhận của Công ty </w:t>
      </w:r>
      <w:r>
        <w:rPr>
          <w:lang w:val="pt-BR"/>
        </w:rPr>
        <w:t xml:space="preserve">Cổ phần Thẩm định</w:t>
      </w:r>
      <w:r>
        <w:rPr>
          <w:lang w:val="pt-BR"/>
        </w:rPr>
        <w:t xml:space="preserve"> và Đầu tư Tài chính Hoa Sen đều vi phạm pháp luật và không có giá trị.</w:t>
      </w:r>
      <w:r>
        <w:rPr>
          <w:lang w:val="pt-BR"/>
        </w:rPr>
      </w:r>
      <w:r>
        <w:rPr>
          <w:lang w:val="pt-BR"/>
        </w:rPr>
      </w:r>
    </w:p>
    <w:p>
      <w:pPr>
        <w:pStyle w:val="1027"/>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lang w:val="pt-BR"/>
        </w:rPr>
      </w:r>
      <w:r>
        <w:rPr>
          <w:lang w:val="pt-BR"/>
        </w:rPr>
      </w:r>
    </w:p>
    <w:p>
      <w:pPr>
        <w:pStyle w:val="1027"/>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lang w:val="pt-BR"/>
        </w:rPr>
      </w:r>
      <w:r>
        <w:rPr>
          <w:lang w:val="pt-BR"/>
        </w:rPr>
      </w:r>
    </w:p>
    <w:p>
      <w:pPr>
        <w:pStyle w:val="1027"/>
        <w:numPr>
          <w:ilvl w:val="0"/>
          <w:numId w:val="5"/>
        </w:numPr>
        <w:pBdr/>
        <w:tabs>
          <w:tab w:val="left" w:leader="none" w:pos="993"/>
        </w:tabs>
        <w:spacing w:after="120" w:before="120" w:line="288" w:lineRule="auto"/>
        <w:ind/>
        <w:jc w:val="both"/>
        <w:rPr>
          <w:b/>
          <w:lang w:val="pt-BR"/>
        </w:rPr>
      </w:pPr>
      <w:r>
        <w:rPr>
          <w:lang w:val="pt-BR"/>
        </w:rPr>
        <w:t xml:space="preserve">Các phương pháp tính toán trên cơ sở tài liệu được cung cấp bởi khách hàng và dựa trên các tài liệu khác có liên quan do tổ</w:t>
      </w:r>
      <w:r>
        <w:rPr>
          <w:lang w:val="vi-VN"/>
        </w:rPr>
        <w:t xml:space="preserve"> </w:t>
      </w:r>
      <w:r>
        <w:rPr>
          <w:lang w:val="pt-BR"/>
        </w:rPr>
        <w:t xml:space="preserve">thẩm định thu thập, cũng như các điều kiện và kỳ vọng tại thời điểm thẩm định giá phù hợp với các luật định, chính sách quản lý của Nhà nước hiện hành và các điều </w:t>
      </w:r>
      <w:r>
        <w:rPr>
          <w:lang w:val="pt-BR"/>
        </w:rPr>
        <w:t xml:space="preserve">kiện, giả định theo quan điểm hợp lý của tổ</w:t>
      </w:r>
      <w:r>
        <w:rPr>
          <w:lang w:val="vi-VN"/>
        </w:rPr>
        <w:t xml:space="preserve"> </w:t>
      </w:r>
      <w:r>
        <w:rPr>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lang w:val="vi-VN"/>
        </w:rPr>
        <w:t xml:space="preserve">tổ </w:t>
      </w:r>
      <w:r>
        <w:rPr>
          <w:lang w:val="pt-BR"/>
        </w:rPr>
        <w:t xml:space="preserve">thẩm định không đảm bảo là các giả định làm cơ sở thẩm định giá là chính xác hoàn toàn.</w:t>
      </w:r>
      <w:r>
        <w:rPr>
          <w:b/>
          <w:lang w:val="pt-BR"/>
        </w:rPr>
      </w:r>
      <w:r>
        <w:rPr>
          <w:b/>
          <w:lang w:val="pt-BR"/>
        </w:rPr>
      </w:r>
    </w:p>
    <w:p>
      <w:pPr>
        <w:pStyle w:val="1027"/>
        <w:numPr>
          <w:ilvl w:val="0"/>
          <w:numId w:val="5"/>
        </w:numPr>
        <w:pBdr/>
        <w:tabs>
          <w:tab w:val="left" w:leader="none" w:pos="993"/>
        </w:tabs>
        <w:spacing w:after="120" w:before="120" w:line="288" w:lineRule="auto"/>
        <w:ind/>
        <w:jc w:val="both"/>
        <w:rPr>
          <w:b/>
          <w:spacing w:val="2"/>
          <w:lang w:val="pt-BR"/>
        </w:rPr>
      </w:pPr>
      <w:r>
        <w:rPr>
          <w:spacing w:val="2"/>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spacing w:val="2"/>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spacing w:val="2"/>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spacing w:val="2"/>
          <w:lang w:val="pt-BR"/>
        </w:rPr>
      </w:r>
      <w:r>
        <w:rPr>
          <w:b/>
          <w:spacing w:val="2"/>
          <w:lang w:val="pt-BR"/>
        </w:rPr>
      </w:r>
    </w:p>
    <w:p>
      <w:pPr>
        <w:pStyle w:val="1027"/>
        <w:numPr>
          <w:ilvl w:val="0"/>
          <w:numId w:val="5"/>
        </w:numPr>
        <w:pBdr/>
        <w:tabs>
          <w:tab w:val="left" w:leader="none" w:pos="993"/>
        </w:tabs>
        <w:spacing w:after="120" w:before="120" w:line="288" w:lineRule="auto"/>
        <w:ind w:hanging="357" w:left="357"/>
        <w:jc w:val="both"/>
        <w:rPr>
          <w:b/>
          <w:lang w:val="pt-BR"/>
        </w:rPr>
      </w:pPr>
      <w:r>
        <w:rPr>
          <w:lang w:val="pt-BR"/>
        </w:rPr>
        <w:t xml:space="preserve">Khách hàng yêu cầu thẩm định giá và người hướng dẫn tổ</w:t>
      </w:r>
      <w:r>
        <w:rPr>
          <w:lang w:val="vi-VN"/>
        </w:rPr>
        <w:t xml:space="preserve"> </w:t>
      </w:r>
      <w:r>
        <w:rPr>
          <w:lang w:val="pt-BR"/>
        </w:rPr>
        <w:t xml:space="preserve">thẩm định thực hiện thẩm định hiện trạng tà</w:t>
      </w:r>
      <w:r>
        <w:rPr>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lang w:val="pt-BR"/>
        </w:rPr>
      </w:r>
      <w:r>
        <w:rPr>
          <w:b/>
          <w:lang w:val="pt-BR"/>
        </w:rPr>
      </w:r>
    </w:p>
    <w:p>
      <w:pPr>
        <w:pStyle w:val="1027"/>
        <w:numPr>
          <w:ilvl w:val="0"/>
          <w:numId w:val="5"/>
        </w:numPr>
        <w:pBdr/>
        <w:spacing w:after="120" w:before="120" w:line="288" w:lineRule="auto"/>
        <w:ind w:hanging="357" w:left="357"/>
        <w:jc w:val="both"/>
        <w:rPr>
          <w:lang w:val="pt-BR"/>
        </w:rPr>
      </w:pPr>
      <w:r>
        <w:rPr>
          <w:shd w:val="clear" w:color="auto" w:fill="ffffff"/>
          <w:lang w:val="pt-BR"/>
        </w:rPr>
        <w:t xml:space="preserve">Chúng tôi nhấn mạnh rằng việc thẩm định giá không phải là môn khoa học chính xác, m</w:t>
      </w:r>
      <w:r>
        <w:rPr>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shd w:val="clear" w:color="auto" w:fill="ffffff"/>
          <w:lang w:val="vi-VN"/>
        </w:rPr>
        <w:t xml:space="preserve">.</w:t>
      </w:r>
      <w:r>
        <w:rPr>
          <w:lang w:val="pt-BR"/>
        </w:rPr>
      </w:r>
      <w:r>
        <w:rPr>
          <w:lang w:val="pt-BR"/>
        </w:rPr>
      </w:r>
    </w:p>
    <w:p>
      <w:pPr>
        <w:pStyle w:val="1027"/>
        <w:numPr>
          <w:ilvl w:val="0"/>
          <w:numId w:val="5"/>
        </w:numPr>
        <w:pBdr/>
        <w:tabs>
          <w:tab w:val="left" w:leader="none" w:pos="993"/>
        </w:tabs>
        <w:spacing w:after="120" w:before="120" w:line="288" w:lineRule="auto"/>
        <w:ind/>
        <w:jc w:val="both"/>
        <w:rPr>
          <w:shd w:val="clear" w:color="auto" w:fill="ffffff"/>
          <w:lang w:val="pt-BR"/>
        </w:rPr>
      </w:pPr>
      <w:r>
        <w:rPr>
          <w:shd w:val="clear" w:color="auto" w:fill="ffffff"/>
          <w:lang w:val="pt-BR"/>
        </w:rPr>
        <w:t xml:space="preserve">Chúng tôi chỉ hoạt động trong lĩnh</w:t>
      </w:r>
      <w:r>
        <w:rPr>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lang w:val="pt-BR"/>
        </w:rPr>
        <w:t xml:space="preserve">Giấy chứng nhận quyền sử dụng </w:t>
      </w:r>
      <w:r>
        <w:rPr>
          <w:iCs/>
          <w:lang w:val="pt-BR"/>
        </w:rPr>
        <w:t xml:space="preserve">đất  đã</w:t>
      </w:r>
      <w:r>
        <w:rPr>
          <w:iCs/>
          <w:lang w:val="pt-BR"/>
        </w:rPr>
        <w:t xml:space="preserve"> cung cấp cho chúng tôi.</w:t>
      </w:r>
      <w:r>
        <w:rPr>
          <w:shd w:val="clear" w:color="auto" w:fill="ffffff"/>
          <w:lang w:val="pt-BR"/>
        </w:rPr>
      </w:r>
      <w:r>
        <w:rPr>
          <w:shd w:val="clear" w:color="auto" w:fill="ffffff"/>
          <w:lang w:val="pt-BR"/>
        </w:rPr>
      </w:r>
    </w:p>
    <w:p>
      <w:pPr>
        <w:pStyle w:val="1027"/>
        <w:numPr>
          <w:ilvl w:val="0"/>
          <w:numId w:val="5"/>
        </w:numPr>
        <w:pBdr/>
        <w:spacing w:after="120" w:before="120" w:line="288"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r>
        <w:rPr>
          <w:lang w:val="vi-VN"/>
        </w:rPr>
      </w:r>
    </w:p>
    <w:p>
      <w:pPr>
        <w:pStyle w:val="1027"/>
        <w:numPr>
          <w:ilvl w:val="0"/>
          <w:numId w:val="5"/>
        </w:numPr>
        <w:pBdr/>
        <w:tabs>
          <w:tab w:val="left" w:leader="none" w:pos="993"/>
        </w:tabs>
        <w:spacing w:after="120" w:before="120" w:line="288" w:lineRule="auto"/>
        <w:ind/>
        <w:jc w:val="both"/>
        <w:rPr>
          <w:bCs/>
          <w:spacing w:val="-2"/>
          <w:lang w:val="pt-BR"/>
        </w:rPr>
      </w:pPr>
      <w:r>
        <w:rPr>
          <w:rFonts w:ascii="Times New Roman" w:hAnsi="Times New Roman" w:eastAsia="Times New Roman" w:cs="Times New Roman"/>
          <w:color w:val="000000"/>
          <w:sz w:val="24"/>
        </w:rPr>
        <w:t xml:space="preserve">Tại thời </w:t>
      </w:r>
      <w:r>
        <w:rPr>
          <w:rFonts w:ascii="Times New Roman" w:hAnsi="Times New Roman" w:eastAsia="Times New Roman" w:cs="Times New Roman"/>
          <w:color w:val="000000"/>
          <w:sz w:val="24"/>
        </w:rPr>
        <w:t xml:space="preserve">điểm khảo sát, dưới sự hướng dẫn của chủ tài sản, CTXD dựng là nhà khung sắt lợp tôn. Công trình chưa được công nhận trên GCN QSDĐ, đồng thời Tổ thẩm định cũng không nhận được bất kỳ giấy tờ pháp lý nào liên quan đến CTXD trên. Theo đề nghị của Khách hàng/</w:t>
      </w:r>
      <w:r>
        <w:rPr>
          <w:rFonts w:ascii="Times New Roman" w:hAnsi="Times New Roman" w:eastAsia="Times New Roman" w:cs="Times New Roman"/>
          <w:color w:val="000000"/>
          <w:sz w:val="24"/>
        </w:rPr>
        <w:t xml:space="preserve"> Ngân hàng, Tổ thẩm định không xác định giá trị CTXD nhưng vẫn coi đó là phần không thể thiếu của tài sản thẩm định</w:t>
      </w:r>
      <w:r>
        <w:rPr>
          <w:bCs/>
          <w:spacing w:val="-2"/>
          <w:lang w:val="pt-BR"/>
        </w:rPr>
      </w:r>
      <w:r>
        <w:rPr>
          <w:bCs/>
          <w:spacing w:val="-2"/>
          <w:lang w:val="pt-BR"/>
        </w:rPr>
      </w:r>
    </w:p>
    <w:p>
      <w:pPr>
        <w:pStyle w:val="1027"/>
        <w:numPr>
          <w:ilvl w:val="0"/>
          <w:numId w:val="3"/>
        </w:numPr>
        <w:pBdr/>
        <w:tabs>
          <w:tab w:val="left" w:leader="none" w:pos="993"/>
        </w:tabs>
        <w:spacing w:after="120" w:before="120" w:line="288"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w:t>
      </w:r>
      <w:r>
        <w:rPr>
          <w:lang w:val="vi-VN"/>
        </w:rPr>
        <w:t xml:space="preserve">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r>
        <w:rPr>
          <w:lang w:val="vi-VN"/>
        </w:rPr>
      </w:r>
    </w:p>
    <w:p>
      <w:pPr>
        <w:pStyle w:val="1027"/>
        <w:numPr>
          <w:ilvl w:val="0"/>
          <w:numId w:val="5"/>
        </w:numPr>
        <w:pBdr/>
        <w:tabs>
          <w:tab w:val="left" w:leader="none" w:pos="993"/>
        </w:tabs>
        <w:spacing w:after="120" w:before="120" w:line="288" w:lineRule="auto"/>
        <w:ind w:hanging="357" w:left="357"/>
        <w:jc w:val="both"/>
        <w:rPr>
          <w:bCs/>
          <w:lang w:val="pt-BR"/>
        </w:rPr>
      </w:pPr>
      <w:r>
        <w:rPr>
          <w:bCs/>
          <w:lang w:val="pt-BR"/>
        </w:rPr>
        <w:t xml:space="preserve">Kết quả t</w:t>
      </w:r>
      <w:r>
        <w:rPr>
          <w:bCs/>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lang w:val="pt-BR"/>
        </w:rPr>
      </w:r>
      <w:r>
        <w:rPr>
          <w:bCs/>
          <w:lang w:val="pt-BR"/>
        </w:rPr>
      </w:r>
    </w:p>
    <w:p>
      <w:pPr>
        <w:pStyle w:val="1027"/>
        <w:numPr>
          <w:ilvl w:val="0"/>
          <w:numId w:val="5"/>
        </w:numPr>
        <w:pBdr/>
        <w:tabs>
          <w:tab w:val="left" w:leader="none" w:pos="993"/>
        </w:tabs>
        <w:spacing w:after="120" w:before="120" w:line="288" w:lineRule="auto"/>
        <w:ind w:hanging="357" w:left="357"/>
        <w:jc w:val="both"/>
        <w:rPr>
          <w:lang w:val="pt-BR"/>
        </w:rPr>
      </w:pPr>
      <w:r/>
      <w:bookmarkStart w:id="4" w:name="_Hlk151374072"/>
      <w:r>
        <w:rPr>
          <w:lang w:val="pt-BR"/>
        </w:rPr>
        <w:t xml:space="preserve">Tổ thẩm định đã gửi các bản dự thảo chứng thư cho các đơn vị sử dụng chứng thư đọc</w:t>
      </w:r>
      <w:r>
        <w:rPr>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4"/>
      <w:r>
        <w:rPr>
          <w:lang w:val="pt-BR"/>
        </w:rPr>
      </w:r>
      <w:r>
        <w:rPr>
          <w:lang w:val="pt-BR"/>
        </w:rPr>
      </w:r>
    </w:p>
    <w:p>
      <w:pPr>
        <w:pBdr/>
        <w:spacing w:after="120" w:before="120" w:line="288"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r>
        <w:rPr>
          <w:b/>
          <w:bCs/>
          <w:lang w:val="pt-BR"/>
        </w:rPr>
      </w:r>
    </w:p>
    <w:p>
      <w:pPr>
        <w:pStyle w:val="1027"/>
        <w:pBdr/>
        <w:tabs>
          <w:tab w:val="left" w:leader="none" w:pos="993"/>
        </w:tabs>
        <w:spacing w:after="120" w:before="120" w:line="288" w:lineRule="auto"/>
        <w:ind w:left="0"/>
        <w:jc w:val="both"/>
        <w:rPr>
          <w:bCs/>
          <w:lang w:val="pt-BR"/>
        </w:rPr>
      </w:pPr>
      <w:r>
        <w:rPr>
          <w:bCs/>
          <w:lang w:val="pt-BR"/>
        </w:rPr>
        <w:t xml:space="preserve">Phụ lục 1: Hình ảnh hiện trạng của tài sản.</w:t>
      </w:r>
      <w:r>
        <w:rPr>
          <w:bCs/>
          <w:lang w:val="pt-BR"/>
        </w:rPr>
      </w:r>
      <w:r>
        <w:rPr>
          <w:bCs/>
          <w:lang w:val="pt-BR"/>
        </w:rPr>
      </w:r>
    </w:p>
    <w:p>
      <w:pPr>
        <w:pStyle w:val="1027"/>
        <w:pBdr/>
        <w:tabs>
          <w:tab w:val="left" w:leader="none" w:pos="993"/>
        </w:tabs>
        <w:spacing w:after="120" w:before="120" w:line="288" w:lineRule="auto"/>
        <w:ind w:left="0"/>
        <w:jc w:val="both"/>
        <w:rPr>
          <w:lang w:val="pt-BR"/>
        </w:rPr>
      </w:pPr>
      <w:r>
        <w:rPr>
          <w:lang w:val="pt-BR"/>
        </w:rPr>
        <w:t xml:space="preserve">Phụ lục 2: Thông tin </w:t>
      </w:r>
      <w:r>
        <w:rPr>
          <w:lang w:val="pt-BR"/>
        </w:rPr>
        <w:t xml:space="preserve">thu thập thị trường</w:t>
      </w:r>
      <w:r>
        <w:rPr>
          <w:lang w:val="pt-BR"/>
        </w:rPr>
        <w:t xml:space="preserve">.</w:t>
      </w:r>
      <w:r>
        <w:rPr>
          <w:lang w:val="pt-BR"/>
        </w:rPr>
      </w:r>
      <w:r>
        <w:rPr>
          <w:lang w:val="pt-BR"/>
        </w:rPr>
      </w:r>
    </w:p>
    <w:p>
      <w:pPr>
        <w:pStyle w:val="1027"/>
        <w:pBdr/>
        <w:tabs>
          <w:tab w:val="left" w:leader="none" w:pos="993"/>
        </w:tabs>
        <w:spacing w:after="120" w:before="120" w:line="288" w:lineRule="auto"/>
        <w:ind w:left="0"/>
        <w:jc w:val="both"/>
        <w:rPr>
          <w:lang w:val="vi-VN"/>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275/2026/1257/VFI-CT.C01.A</w:t>
      </w:r>
      <w:r>
        <w:rPr>
          <w:color w:val="ff0000"/>
          <w:lang w:val="vi-VN"/>
        </w:rPr>
        <w:t xml:space="preserve"> </w:t>
      </w:r>
      <w:r>
        <w:rPr>
          <w:color w:val="000000" w:themeColor="text1"/>
        </w:rPr>
        <w:t xml:space="preserve">ngày 13 tháng 8 năm 2026</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lang w:val="vi-VN"/>
        </w:rPr>
      </w:r>
      <w:r>
        <w:rPr>
          <w:lang w:val="vi-VN"/>
        </w:rPr>
      </w:r>
    </w:p>
    <w:p>
      <w:pPr>
        <w:pStyle w:val="1027"/>
        <w:pBdr/>
        <w:tabs>
          <w:tab w:val="left" w:leader="none" w:pos="993"/>
        </w:tabs>
        <w:spacing w:after="120" w:before="120" w:line="288" w:lineRule="auto"/>
        <w:ind w:left="0"/>
        <w:jc w:val="both"/>
        <w:rPr>
          <w:lang w:val="vi-VN"/>
        </w:rPr>
      </w:pPr>
      <w:r>
        <w:rPr>
          <w:lang w:val="vi-VN"/>
        </w:rPr>
      </w:r>
      <w:r>
        <w:rPr>
          <w:lang w:val="vi-VN"/>
        </w:rPr>
      </w:r>
      <w:r>
        <w:rPr>
          <w:lang w:val="vi-VN"/>
        </w:rPr>
      </w:r>
    </w:p>
    <w:p>
      <w:pPr>
        <w:pStyle w:val="1027"/>
        <w:pBdr/>
        <w:tabs>
          <w:tab w:val="left" w:leader="none" w:pos="993"/>
        </w:tabs>
        <w:spacing w:after="120" w:before="120" w:line="288" w:lineRule="auto"/>
        <w:ind w:left="0"/>
        <w:jc w:val="both"/>
        <w:rPr>
          <w:lang w:val="vi-VN"/>
        </w:rPr>
      </w:pPr>
      <w:r>
        <w:rPr>
          <w:lang w:val="vi-VN"/>
        </w:rPr>
      </w:r>
      <w:r>
        <w:rPr>
          <w:lang w:val="vi-VN"/>
        </w:rPr>
      </w:r>
      <w:r>
        <w:rPr>
          <w:lang w:val="vi-VN"/>
        </w:rPr>
      </w:r>
    </w:p>
    <w:p>
      <w:pPr>
        <w:pStyle w:val="1027"/>
        <w:pBdr/>
        <w:tabs>
          <w:tab w:val="left" w:leader="none" w:pos="993"/>
        </w:tabs>
        <w:spacing w:after="120" w:before="120" w:line="288" w:lineRule="auto"/>
        <w:ind w:left="0"/>
        <w:jc w:val="both"/>
        <w:rPr>
          <w:lang w:val="pt-BR"/>
        </w:rPr>
      </w:pPr>
      <w:r>
        <w:rPr>
          <w:lang w:val="pt-BR"/>
        </w:rPr>
      </w:r>
      <w:r>
        <w:rPr>
          <w:lang w:val="pt-BR"/>
        </w:rPr>
      </w:r>
      <w:r>
        <w:rPr>
          <w:lang w:val="pt-BR"/>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Đỗ Thanh Thảo</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XV23.2485</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jc w:val="center"/>
        <w:rPr>
          <w:b/>
          <w:u w:val="single"/>
          <w:lang w:val="vi-VN"/>
        </w:rPr>
      </w:pPr>
      <w:r>
        <w:rPr>
          <w:b/>
          <w:u w:val="single"/>
          <w:lang w:val="vi-VN"/>
        </w:rPr>
      </w: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Nguyễn Mạnh Tuấn</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pt-BR"/>
              </w:rPr>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Nguyễn Thị Thùy</w:t>
            </w:r>
            <w:r>
              <w:rPr>
                <w:rFonts w:eastAsia="Calibri"/>
                <w:b/>
              </w:rPr>
            </w:r>
            <w:r>
              <w:rPr>
                <w:rFonts w:eastAsia="Calibri"/>
                <w:b/>
              </w:rPr>
            </w:r>
          </w:p>
          <w:p>
            <w:pPr>
              <w:pBdr/>
              <w:spacing w:line="276" w:lineRule="auto"/>
              <w:ind/>
              <w:rPr>
                <w:rFonts w:eastAsia="Calibri"/>
                <w:b/>
                <w:lang w:val="pt-BR"/>
              </w:rPr>
            </w:pPr>
            <w:r>
              <w:rPr>
                <w:rFonts w:eastAsia="Calibri"/>
                <w:b/>
                <w:lang w:val="pt-BR"/>
              </w:rPr>
            </w:r>
            <w:r>
              <w:rPr>
                <w:rFonts w:eastAsia="Calibri"/>
                <w:b/>
                <w:lang w:val="pt-BR"/>
              </w:rPr>
            </w:r>
            <w:r>
              <w:rPr>
                <w:rFonts w:eastAsia="Calibri"/>
                <w:b/>
                <w:lang w:val="pt-BR"/>
              </w:rPr>
            </w:r>
          </w:p>
        </w:tc>
      </w:tr>
    </w:tbl>
    <w:p>
      <w:pPr>
        <w:pBdr/>
        <w:spacing w:after="200" w:line="276" w:lineRule="auto"/>
        <w:ind/>
        <w:rPr>
          <w:b/>
          <w:u w:val="single"/>
          <w:lang w:val="vi-VN"/>
        </w:rPr>
      </w:pPr>
      <w:r>
        <w:rPr>
          <w:b/>
          <w:u w:val="single"/>
          <w:lang w:val="vi-VN"/>
        </w:rPr>
      </w:r>
      <w:r>
        <w:rPr>
          <w:b/>
          <w:u w:val="single"/>
          <w:lang w:val="vi-VN"/>
        </w:rPr>
      </w:r>
      <w:r>
        <w:rPr>
          <w:b/>
          <w:u w:val="single"/>
          <w:lang w:val="vi-VN"/>
        </w:rPr>
      </w:r>
    </w:p>
    <w:p>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r>
        <w:rPr>
          <w:b/>
          <w:u w:val="single"/>
          <w:lang w:val="vi-VN"/>
        </w:rPr>
      </w:r>
    </w:p>
    <w:p>
      <w:pPr>
        <w:pBdr/>
        <w:spacing/>
        <w:ind/>
        <w:jc w:val="center"/>
        <w:rPr>
          <w:i/>
          <w:lang w:val="pt-BR"/>
        </w:rPr>
      </w:pPr>
      <w:r>
        <w:rPr>
          <w:i/>
          <w:lang w:val="pt-BR"/>
        </w:rPr>
        <w:t xml:space="preserve">(Kèm theo Báo cáo thẩm định số</w:t>
      </w:r>
      <w:r>
        <w:rPr>
          <w:i/>
          <w:lang w:val="pt-BR"/>
        </w:rPr>
        <w:t xml:space="preserve"> </w:t>
      </w:r>
      <w:r>
        <w:rPr>
          <w:i/>
        </w:rPr>
        <w:t xml:space="preserve">275/2026/1257/VFI-BC.C01.A</w:t>
      </w:r>
      <w:r>
        <w:rPr>
          <w:i/>
          <w:lang w:val="pt-BR"/>
        </w:rPr>
        <w:t xml:space="preserve"> </w:t>
      </w:r>
      <w:r>
        <w:rPr>
          <w:i/>
          <w:lang w:val="pt-BR"/>
        </w:rPr>
        <w:t xml:space="preserve">13 tháng 8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tbl>
      <w:tblPr>
        <w:tblStyle w:val="1031"/>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lang w:val="pt-BR"/>
              </w:rPr>
            </w:pPr>
            <w:r>
              <w:rPr>
                <w:b/>
                <w:bCs/>
                <w:i/>
                <w:lang w:val="pt-BR"/>
              </w:rPr>
              <w:t xml:space="preserve">Hướng</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Tổng quan tài</w:t>
            </w:r>
            <w:r>
              <w:rPr>
                <w:b/>
                <w:bCs/>
                <w:i/>
                <w:lang w:val="pt-BR"/>
              </w:rPr>
              <w:t xml:space="preserve">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937849" cy="2035480"/>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166259" name=""/>
                              <pic:cNvPicPr>
                                <a:picLocks noChangeAspect="1"/>
                              </pic:cNvPicPr>
                              <pic:nvPr/>
                            </pic:nvPicPr>
                            <pic:blipFill rotWithShape="1">
                              <a:blip r:embed="rId19"/>
                              <a:stretch/>
                            </pic:blipFill>
                            <pic:spPr bwMode="auto">
                              <a:xfrm flipH="0" flipV="0">
                                <a:off x="0" y="0"/>
                                <a:ext cx="937848" cy="203547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73.85pt;height:160.27pt;mso-wrap-distance-left:0.00pt;mso-wrap-distance-top:0.00pt;mso-wrap-distance-right:0.00pt;mso-wrap-distance-bottom:0.00pt;z-index:1;" stroked="false">
                      <v:imagedata r:id="rId19"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578066" cy="1933549"/>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6595136" name=""/>
                              <pic:cNvPicPr>
                                <a:picLocks noChangeAspect="1"/>
                              </pic:cNvPicPr>
                              <pic:nvPr/>
                            </pic:nvPicPr>
                            <pic:blipFill rotWithShape="1">
                              <a:blip r:embed="rId20"/>
                              <a:stretch/>
                            </pic:blipFill>
                            <pic:spPr bwMode="auto">
                              <a:xfrm flipH="0" flipV="0">
                                <a:off x="0" y="0"/>
                                <a:ext cx="2578065" cy="193354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203.00pt;height:152.25pt;mso-wrap-distance-left:0.00pt;mso-wrap-distance-top:0.00pt;mso-wrap-distance-right:0.00pt;mso-wrap-distance-bottom:0.00pt;z-index:1;" stroked="false">
                      <v:imagedata r:id="rId20"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Người khảo sát</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Đường trước tài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563790" cy="1922842"/>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331469" name=""/>
                              <pic:cNvPicPr>
                                <a:picLocks noChangeAspect="1"/>
                              </pic:cNvPicPr>
                              <pic:nvPr/>
                            </pic:nvPicPr>
                            <pic:blipFill rotWithShape="1">
                              <a:blip r:embed="rId21"/>
                              <a:stretch/>
                            </pic:blipFill>
                            <pic:spPr bwMode="auto">
                              <a:xfrm flipH="0" flipV="0">
                                <a:off x="0" y="0"/>
                                <a:ext cx="2563789" cy="192284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01.87pt;height:151.40pt;mso-wrap-distance-left:0.00pt;mso-wrap-distance-top:0.00pt;mso-wrap-distance-right:0.00pt;mso-wrap-distance-bottom:0.00pt;z-index:1;" stroked="false">
                      <v:imagedata r:id="rId21"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540418" cy="1905314"/>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1133707" name=""/>
                              <pic:cNvPicPr>
                                <a:picLocks noChangeAspect="1"/>
                              </pic:cNvPicPr>
                              <pic:nvPr/>
                            </pic:nvPicPr>
                            <pic:blipFill rotWithShape="1">
                              <a:blip r:embed="rId22"/>
                              <a:stretch/>
                            </pic:blipFill>
                            <pic:spPr bwMode="auto">
                              <a:xfrm flipH="0" flipV="0">
                                <a:off x="0" y="0"/>
                                <a:ext cx="2540418" cy="190531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00.03pt;height:150.02pt;mso-wrap-distance-left:0.00pt;mso-wrap-distance-top:0.00pt;mso-wrap-distance-right:0.00pt;mso-wrap-distance-bottom:0.00pt;z-index:1;" stroked="false">
                      <v:imagedata r:id="rId22"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477214" cy="1857911"/>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2313599" name=""/>
                              <pic:cNvPicPr>
                                <a:picLocks noChangeAspect="1"/>
                              </pic:cNvPicPr>
                              <pic:nvPr/>
                            </pic:nvPicPr>
                            <pic:blipFill rotWithShape="1">
                              <a:blip r:embed="rId23"/>
                              <a:stretch/>
                            </pic:blipFill>
                            <pic:spPr bwMode="auto">
                              <a:xfrm flipH="0" flipV="0">
                                <a:off x="0" y="0"/>
                                <a:ext cx="2477214" cy="185791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195.06pt;height:146.29pt;mso-wrap-distance-left:0.00pt;mso-wrap-distance-top:0.00pt;mso-wrap-distance-right:0.00pt;mso-wrap-distance-bottom:0.00pt;z-index:1;" stroked="false">
                      <v:imagedata r:id="rId23"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525193" cy="1893895"/>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5965943" name=""/>
                              <pic:cNvPicPr>
                                <a:picLocks noChangeAspect="1"/>
                              </pic:cNvPicPr>
                              <pic:nvPr/>
                            </pic:nvPicPr>
                            <pic:blipFill rotWithShape="1">
                              <a:blip r:embed="rId24"/>
                              <a:stretch/>
                            </pic:blipFill>
                            <pic:spPr bwMode="auto">
                              <a:xfrm flipH="0" flipV="0">
                                <a:off x="0" y="0"/>
                                <a:ext cx="2525193" cy="189389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198.83pt;height:149.13pt;mso-wrap-distance-left:0.00pt;mso-wrap-distance-top:0.00pt;mso-wrap-distance-right:0.00pt;mso-wrap-distance-bottom:0.00pt;z-index:1;" stroked="false">
                      <v:imagedata r:id="rId24" o:title=""/>
                      <o:lock v:ext="edit" rotation="t"/>
                    </v:shape>
                  </w:pict>
                </mc:Fallback>
              </mc:AlternateContent>
            </w:r>
            <w:r>
              <w:rPr>
                <w:b/>
                <w:bCs/>
                <w:i/>
                <w:lang w:val="pt-BR"/>
              </w:rPr>
            </w:r>
            <w:r>
              <w:rPr>
                <w:b/>
                <w:bCs/>
                <w:i/>
                <w:lang w:val="pt-BR"/>
              </w:rPr>
            </w:r>
          </w:p>
        </w:tc>
      </w:tr>
    </w:tbl>
    <w:p>
      <w:pPr>
        <w:pBdr/>
        <w:spacing/>
        <w:ind/>
        <w:rPr/>
      </w:pPr>
      <w:r/>
      <w:r/>
    </w:p>
    <w:p>
      <w:pPr>
        <w:pBdr/>
        <w:spacing/>
        <w:ind/>
        <w:jc w:val="center"/>
        <w:rPr>
          <w:b/>
          <w:bCs/>
        </w:rPr>
      </w:pPr>
      <w:r>
        <w:rPr>
          <w:b/>
          <w:bCs/>
          <w:highlight w:val="none"/>
        </w:rPr>
      </w:r>
      <w:r>
        <w:rPr>
          <w:b/>
          <w:bCs/>
        </w:rPr>
      </w:r>
      <w:r>
        <w:rPr>
          <w:b/>
          <w:bCs/>
        </w:rPr>
      </w:r>
    </w:p>
    <w:p>
      <w:pPr>
        <w:pBdr/>
        <w:spacing/>
        <w:ind/>
        <w:jc w:val="center"/>
        <w:rPr>
          <w:b/>
          <w:bCs/>
          <w:highlight w:val="none"/>
        </w:rPr>
      </w:pPr>
      <w:r>
        <w:rPr>
          <w:b/>
          <w:bCs/>
          <w:highlight w:val="none"/>
        </w:rPr>
      </w:r>
      <w:r>
        <w:rPr>
          <w:b/>
          <w:bCs/>
          <w:highlight w:val="none"/>
        </w:rPr>
      </w:r>
      <w:r>
        <w:rPr>
          <w:b/>
          <w:bCs/>
          <w:highlight w:val="none"/>
        </w:rPr>
      </w:r>
    </w:p>
    <w:p>
      <w:pPr>
        <w:pBdr/>
        <w:spacing/>
        <w:ind/>
        <w:jc w:val="center"/>
        <w:rPr>
          <w:b/>
          <w:bCs/>
          <w:highlight w:val="none"/>
        </w:rPr>
      </w:pPr>
      <w:r>
        <w:rPr>
          <w:b/>
          <w:bCs/>
          <w:highlight w:val="none"/>
        </w:rPr>
      </w:r>
      <w:r>
        <w:rPr>
          <w:b/>
          <w:bCs/>
          <w:highlight w:val="none"/>
        </w:rPr>
      </w:r>
      <w:r>
        <w:rPr>
          <w:b/>
          <w:bCs/>
          <w:highlight w:val="none"/>
        </w:rPr>
      </w:r>
    </w:p>
    <w:p>
      <w:pPr>
        <w:pBdr/>
        <w:spacing/>
        <w:ind/>
        <w:jc w:val="center"/>
        <w:rPr>
          <w:b/>
          <w:bCs/>
          <w:highlight w:val="none"/>
        </w:rPr>
      </w:pPr>
      <w:r>
        <w:rPr>
          <w:b/>
          <w:bCs/>
          <w:highlight w:val="none"/>
        </w:rPr>
      </w:r>
      <w:r>
        <w:rPr>
          <w:b/>
          <w:bCs/>
          <w:highlight w:val="none"/>
        </w:rPr>
      </w:r>
      <w:r>
        <w:rPr>
          <w:b/>
          <w:bCs/>
          <w:highlight w:val="none"/>
        </w:rPr>
      </w:r>
    </w:p>
    <w:p>
      <w:pPr>
        <w:pBdr/>
        <w:spacing/>
        <w:ind/>
        <w:jc w:val="center"/>
        <w:rPr>
          <w:b/>
          <w:bCs/>
          <w:highlight w:val="none"/>
        </w:rPr>
      </w:pPr>
      <w:r>
        <w:rPr>
          <w:b/>
          <w:bCs/>
          <w:highlight w:val="none"/>
        </w:rPr>
      </w:r>
      <w:r>
        <w:rPr>
          <w:b/>
          <w:bCs/>
          <w:highlight w:val="none"/>
        </w:rPr>
      </w:r>
      <w:r>
        <w:rPr>
          <w:b/>
          <w:bCs/>
          <w:highlight w:val="none"/>
        </w:rPr>
      </w:r>
    </w:p>
    <w:p>
      <w:pPr>
        <w:pBdr/>
        <w:spacing/>
        <w:ind/>
        <w:jc w:val="center"/>
        <w:rPr>
          <w:b/>
          <w:bCs/>
          <w:highlight w:val="none"/>
        </w:rPr>
      </w:pPr>
      <w:r>
        <w:rPr>
          <w:b/>
          <w:bCs/>
          <w:highlight w:val="none"/>
        </w:rPr>
      </w:r>
      <w:r>
        <w:rPr>
          <w:b/>
          <w:bCs/>
          <w:highlight w:val="none"/>
        </w:rPr>
      </w:r>
      <w:r>
        <w:rPr>
          <w:b/>
          <w:bCs/>
          <w:highlight w:val="none"/>
        </w:rPr>
      </w:r>
    </w:p>
    <w:p>
      <w:pPr>
        <w:pBdr/>
        <w:spacing/>
        <w:ind/>
        <w:jc w:val="center"/>
        <w:rPr>
          <w:b/>
          <w:bCs/>
          <w:highlight w:val="none"/>
        </w:rPr>
      </w:pPr>
      <w:r>
        <w:rPr>
          <w:b/>
          <w:bCs/>
          <w:highlight w:val="none"/>
        </w:rPr>
      </w:r>
      <w:r>
        <w:rPr>
          <w:b/>
          <w:bCs/>
          <w:highlight w:val="none"/>
        </w:rPr>
      </w:r>
      <w:r>
        <w:rPr>
          <w:b/>
          <w:bCs/>
          <w:highlight w:val="none"/>
        </w:rPr>
      </w:r>
    </w:p>
    <w:p>
      <w:pPr>
        <w:pBdr/>
        <w:spacing/>
        <w:ind/>
        <w:jc w:val="center"/>
        <w:rPr>
          <w:b/>
          <w:bCs/>
          <w:highlight w:val="none"/>
        </w:rPr>
      </w:pPr>
      <w:r>
        <w:rPr>
          <w:b/>
          <w:bCs/>
          <w:highlight w:val="none"/>
        </w:rPr>
      </w:r>
      <w:r>
        <w:rPr>
          <w:b/>
          <w:bCs/>
          <w:highlight w:val="none"/>
        </w:rPr>
      </w:r>
      <w:r>
        <w:rPr>
          <w:b/>
          <w:bCs/>
          <w:highlight w:val="none"/>
        </w:rPr>
      </w:r>
    </w:p>
    <w:p>
      <w:pPr>
        <w:pBdr/>
        <w:spacing/>
        <w:ind/>
        <w:jc w:val="center"/>
        <w:rPr>
          <w:b/>
          <w:bCs/>
          <w:highlight w:val="none"/>
        </w:rPr>
      </w:pPr>
      <w:r>
        <w:rPr>
          <w:b/>
          <w:bCs/>
        </w:rPr>
        <w:t xml:space="preserve">PHÁP LÝ</w:t>
      </w:r>
      <w:r>
        <w:rPr>
          <w:b/>
          <w:bCs/>
          <w:highlight w:val="none"/>
        </w:rPr>
      </w:r>
      <w:r>
        <w:rPr>
          <w:b/>
          <w:bCs/>
          <w:highlight w:val="none"/>
        </w:rPr>
      </w:r>
    </w:p>
    <w:p>
      <w:pPr>
        <w:pBdr/>
        <w:spacing w:after="200" w:line="276" w:lineRule="auto"/>
        <w:ind/>
        <w:jc w:val="center"/>
        <w:rPr/>
      </w:pPr>
      <w:r>
        <mc:AlternateContent>
          <mc:Choice Requires="wpg">
            <w:drawing>
              <wp:inline xmlns:wp="http://schemas.openxmlformats.org/drawingml/2006/wordprocessingDrawing" distT="0" distB="0" distL="0" distR="0">
                <wp:extent cx="6048375" cy="8064500"/>
                <wp:effectExtent l="0" t="0" r="0" b="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9461333" name=""/>
                        <pic:cNvPicPr>
                          <a:picLocks noChangeAspect="1"/>
                        </pic:cNvPicPr>
                        <pic:nvPr/>
                      </pic:nvPicPr>
                      <pic:blipFill rotWithShape="1">
                        <a:blip r:embed="rId25"/>
                        <a:stretch/>
                      </pic:blipFill>
                      <pic:spPr bwMode="auto">
                        <a:xfrm>
                          <a:off x="0" y="0"/>
                          <a:ext cx="6048374" cy="8064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476.25pt;height:635.00pt;mso-wrap-distance-left:0.00pt;mso-wrap-distance-top:0.00pt;mso-wrap-distance-right:0.00pt;mso-wrap-distance-bottom:0.00pt;z-index:1;" stroked="false">
                <v:imagedata r:id="rId25" o:title=""/>
                <o:lock v:ext="edit" rotation="t"/>
              </v:shape>
            </w:pict>
          </mc:Fallback>
        </mc:AlternateContent>
      </w:r>
      <w:r/>
    </w:p>
    <w:p>
      <w:pPr>
        <w:pBdr/>
        <w:spacing w:after="200" w:line="276" w:lineRule="auto"/>
        <w:ind/>
        <w:jc w:val="center"/>
        <w:rPr/>
      </w:pPr>
      <w:r>
        <mc:AlternateContent>
          <mc:Choice Requires="wpg">
            <w:drawing>
              <wp:inline xmlns:wp="http://schemas.openxmlformats.org/drawingml/2006/wordprocessingDrawing" distT="0" distB="0" distL="0" distR="0">
                <wp:extent cx="6048375" cy="4536281"/>
                <wp:effectExtent l="0" t="0" r="0" b="0"/>
                <wp:docPr id="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6735820" name=""/>
                        <pic:cNvPicPr>
                          <a:picLocks noChangeAspect="1"/>
                        </pic:cNvPicPr>
                        <pic:nvPr/>
                      </pic:nvPicPr>
                      <pic:blipFill rotWithShape="1">
                        <a:blip r:embed="rId26"/>
                        <a:stretch/>
                      </pic:blipFill>
                      <pic:spPr bwMode="auto">
                        <a:xfrm>
                          <a:off x="0" y="0"/>
                          <a:ext cx="6048374" cy="453628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476.25pt;height:357.19pt;mso-wrap-distance-left:0.00pt;mso-wrap-distance-top:0.00pt;mso-wrap-distance-right:0.00pt;mso-wrap-distance-bottom:0.00pt;z-index:1;" stroked="false">
                <v:imagedata r:id="rId26" o:title=""/>
                <o:lock v:ext="edit" rotation="t"/>
              </v:shape>
            </w:pict>
          </mc:Fallback>
        </mc:AlternateContent>
      </w:r>
      <w:r>
        <w:br w:type="page" w:clear="all"/>
      </w:r>
      <w:r/>
    </w:p>
    <w:p>
      <w:pPr>
        <w:pBdr/>
        <w:spacing w:after="200" w:line="276" w:lineRule="auto"/>
        <w:ind/>
        <w:jc w:val="center"/>
        <w:rPr>
          <w:i/>
          <w:lang w:val="pt-BR"/>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i/>
          <w:lang w:val="pt-BR"/>
        </w:rPr>
      </w:r>
      <w:r>
        <w:rPr>
          <w:i/>
          <w:lang w:val="pt-BR"/>
        </w:rPr>
      </w:r>
    </w:p>
    <w:p>
      <w:pPr>
        <w:pBdr/>
        <w:spacing/>
        <w:ind/>
        <w:jc w:val="center"/>
        <w:rPr>
          <w:i/>
          <w:lang w:val="pt-BR"/>
        </w:rPr>
      </w:pPr>
      <w:r>
        <w:rPr>
          <w:i/>
          <w:lang w:val="pt-BR"/>
        </w:rPr>
        <w:t xml:space="preserve">(Kèm theo Báo cáo thẩm định số </w:t>
      </w:r>
      <w:r>
        <w:rPr>
          <w:i/>
        </w:rPr>
        <w:t xml:space="preserve">275/2026/1257/VFI-BC.C01.A</w:t>
      </w:r>
      <w:r>
        <w:rPr>
          <w:i/>
          <w:lang w:val="pt-BR"/>
        </w:rPr>
        <w:t xml:space="preserve"> ngày </w:t>
      </w:r>
      <w:r>
        <w:rPr>
          <w:i/>
          <w:lang w:val="pt-BR"/>
        </w:rPr>
        <w:t xml:space="preserve">13 tháng 8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p>
      <w:pPr>
        <w:pBdr/>
        <w:spacing w:after="120"/>
        <w:ind/>
        <w:jc w:val="center"/>
        <w:rPr>
          <w:b/>
          <w:bCs/>
          <w:iCs/>
          <w:lang w:val="pt-BR"/>
        </w:rPr>
      </w:pPr>
      <w:r>
        <w:rPr>
          <w:b/>
          <w:bCs/>
          <w:iCs/>
          <w:lang w:val="pt-BR"/>
        </w:rPr>
        <w:t xml:space="preserve">TSSS1</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Người bán _ Khảo sát qua điện thoại &amp; website</w:t>
            </w:r>
            <w:r>
              <w:rPr>
                <w:color w:val="000000" w:themeColor="text1"/>
                <w:sz w:val="22"/>
                <w:szCs w:val="22"/>
              </w:rPr>
              <w:br/>
              <w:t xml:space="preserve">0944 772 243</w:t>
            </w:r>
            <w:r>
              <w:rPr>
                <w:sz w:val="22"/>
                <w:szCs w:val="22"/>
              </w:rPr>
              <w:t xml:space="preserve"> </w:t>
            </w:r>
            <w:r>
              <w:rPr>
                <w:sz w:val="22"/>
                <w:szCs w:val="22"/>
              </w:rPr>
              <w:br/>
              <w:t xml:space="preserve">(Chị Hân</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2.800.000.000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2.380.000.000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07/2026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nông thôn (111,2m²)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nông thôn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rFonts w:ascii="Times New Roman" w:hAnsi="Times New Roman" w:eastAsia="Times New Roman" w:cs="Times New Roman"/>
                <w:color w:val="000000"/>
                <w:sz w:val="22"/>
              </w:rPr>
              <w:t xml:space="preserve">Tài sản tại xã Ứng Hòa, Thành phố Hà Nội. Tài sản tiếp giáp trục chính đường Thôn Cung Thuế</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không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111,2</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6</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b/>
                <w:bCs/>
                <w:color w:val="000000"/>
                <w:sz w:val="22"/>
                <w:szCs w:val="22"/>
              </w:rPr>
              <w:t xml:space="preserve"> </w:t>
            </w:r>
            <w:r>
              <w:rPr>
                <w:color w:val="000000"/>
                <w:sz w:val="22"/>
                <w:szCs w:val="22"/>
              </w:rPr>
              <w:t xml:space="preserve">Hình ảnh đăng bán: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5647201" cy="3175000"/>
                      <wp:effectExtent l="0" t="0" r="0" b="0"/>
                      <wp:docPr id="1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7"/>
                              <a:stretch/>
                            </pic:blipFill>
                            <pic:spPr bwMode="auto">
                              <a:xfrm>
                                <a:off x="0" y="0"/>
                                <a:ext cx="5647201"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444.66pt;height:250.00pt;mso-wrap-distance-left:0.00pt;mso-wrap-distance-top:0.00pt;mso-wrap-distance-right:0.00pt;mso-wrap-distance-bottom:0.00pt;z-index:1;" stroked="false">
                      <v:imagedata r:id="rId27"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br/>
            </w: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5647201" cy="3175000"/>
                      <wp:effectExtent l="0" t="0" r="0" b="0"/>
                      <wp:docPr id="1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8"/>
                              <a:stretch/>
                            </pic:blipFill>
                            <pic:spPr bwMode="auto">
                              <a:xfrm>
                                <a:off x="0" y="0"/>
                                <a:ext cx="5647201"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444.66pt;height:250.00pt;mso-wrap-distance-left:0.00pt;mso-wrap-distance-top:0.00pt;mso-wrap-distance-right:0.00pt;mso-wrap-distance-bottom:0.00pt;z-index:1;" stroked="false">
                      <v:imagedata r:id="rId28"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ind/>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p>
        </w:tc>
      </w:tr>
    </w:tbl>
    <w:p>
      <w:pPr>
        <w:pBdr/>
        <w:spacing w:after="120"/>
        <w:ind/>
        <w:jc w:val="center"/>
        <w:rPr>
          <w:i/>
          <w:lang w:val="pt-BR"/>
        </w:rPr>
      </w:pPr>
      <w:r>
        <w:rPr>
          <w:i/>
          <w:lang w:val="pt-BR"/>
        </w:rPr>
      </w:r>
      <w:r>
        <w:rPr>
          <w:i/>
          <w:lang w:val="pt-BR"/>
        </w:rPr>
      </w:r>
      <w:r>
        <w:rPr>
          <w:i/>
          <w:lang w:val="pt-BR"/>
        </w:rPr>
      </w:r>
    </w:p>
    <w:p>
      <w:pPr>
        <w:pBdr/>
        <w:spacing w:after="200" w:line="276" w:lineRule="auto"/>
        <w:ind/>
        <w:jc w:val="center"/>
        <w:rPr>
          <w:i/>
          <w:lang w:val="pt-BR"/>
        </w:rPr>
      </w:pPr>
      <w:r>
        <w:rPr>
          <w:i/>
          <w:lang w:val="pt-BR"/>
        </w:rPr>
      </w:r>
      <w:r>
        <w:rPr>
          <w:i/>
          <w:lang w:val="pt-BR"/>
        </w:rPr>
      </w:r>
      <w:r>
        <w:rPr>
          <w:i/>
          <w:lang w:val="pt-BR"/>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t xml:space="preserve">Người thu thập thông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tc>
      </w:tr>
      <w:tr>
        <w:trPr>
          <w:trHeight w:val="30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pPr>
            <w:r>
              <w:t xml:space="preserve">Nguyễn Mạnh Tuấn</w:t>
            </w:r>
            <w:r/>
          </w:p>
        </w:tc>
      </w:tr>
      <w:tr>
        <w:trPr>
          <w:trHeight w:val="298"/>
        </w:trPr>
        <w:tc>
          <w:tcPr>
            <w:tcBorders/>
            <w:tcW w:w="4358" w:type="dxa"/>
            <w:vAlign w:val="bottom"/>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r>
            <w:r>
              <w:rPr>
                <w:b/>
                <w:bCs/>
              </w:rPr>
            </w:r>
            <w:r>
              <w:rPr>
                <w:b/>
                <w:bCs/>
              </w:rPr>
            </w:r>
          </w:p>
        </w:tc>
      </w:tr>
    </w:tbl>
    <w:p>
      <w:pPr>
        <w:pBdr/>
        <w:spacing w:after="200" w:line="276" w:lineRule="auto"/>
        <w:ind/>
        <w:jc w:val="center"/>
        <w:rPr>
          <w:b/>
          <w:bCs/>
          <w:iCs/>
          <w:lang w:val="pt-BR"/>
        </w:rPr>
      </w:pPr>
      <w:r>
        <w:rPr>
          <w:b/>
          <w:bCs/>
          <w:iCs/>
          <w:lang w:val="pt-BR"/>
        </w:rPr>
      </w:r>
      <w:r>
        <w:rPr>
          <w:b/>
          <w:bCs/>
          <w:iCs/>
          <w:lang w:val="pt-BR"/>
        </w:rPr>
      </w:r>
      <w:r>
        <w:rPr>
          <w:b/>
          <w:bCs/>
          <w:iCs/>
          <w:lang w:val="pt-BR"/>
        </w:rPr>
      </w:r>
    </w:p>
    <w:p>
      <w:pPr>
        <w:pBdr/>
        <w:spacing w:after="200" w:line="276" w:lineRule="auto"/>
        <w:ind/>
        <w:rPr>
          <w:b/>
          <w:bCs/>
          <w:iCs/>
          <w:lang w:val="pt-BR"/>
        </w:rPr>
      </w:pPr>
      <w:r>
        <w:rPr>
          <w:b/>
          <w:bCs/>
          <w:iCs/>
          <w:lang w:val="pt-BR"/>
        </w:rPr>
        <w:br w:type="page" w:clear="all"/>
      </w:r>
      <w:r>
        <w:rPr>
          <w:b/>
          <w:bCs/>
          <w:iCs/>
          <w:lang w:val="pt-BR"/>
        </w:rPr>
      </w:r>
      <w:r>
        <w:rPr>
          <w:b/>
          <w:bCs/>
          <w:iCs/>
          <w:lang w:val="pt-BR"/>
        </w:rPr>
      </w:r>
    </w:p>
    <w:p>
      <w:pPr>
        <w:pBdr/>
        <w:spacing w:after="200" w:line="276" w:lineRule="auto"/>
        <w:ind/>
        <w:jc w:val="center"/>
        <w:rPr>
          <w:iCs/>
          <w:lang w:val="pt-BR"/>
        </w:rPr>
      </w:pPr>
      <w:r>
        <w:rPr>
          <w:b/>
          <w:bCs/>
          <w:iCs/>
          <w:lang w:val="pt-BR"/>
        </w:rPr>
        <w:t xml:space="preserve">TSSS2</w:t>
      </w:r>
      <w:r>
        <w:rPr>
          <w:iCs/>
          <w:lang w:val="pt-BR"/>
        </w:rPr>
      </w:r>
      <w:r>
        <w:rPr>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t xml:space="preserve">0984639256</w:t>
            </w:r>
            <w:r>
              <w:rPr>
                <w:sz w:val="22"/>
                <w:szCs w:val="22"/>
              </w:rPr>
              <w:t xml:space="preserve"> </w:t>
            </w:r>
            <w:r>
              <w:rPr>
                <w:sz w:val="22"/>
                <w:szCs w:val="22"/>
              </w:rPr>
              <w:br/>
              <w:t xml:space="preserve">(Quang Ngọc</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2.300.000.000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1.955.000.000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07/2026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nông thôn (98,9m²)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nông thôn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Tài sản tại xã Hòa Xá, Thành phố Hà Nội. Tài sản tiếp giáp ngõ của trục chính thôn</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bê tông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98,9</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5,75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b/>
                <w:bCs/>
                <w:color w:val="000000"/>
                <w:sz w:val="22"/>
                <w:szCs w:val="22"/>
              </w:rPr>
              <w:t xml:space="preserve"> </w:t>
            </w:r>
            <w:r>
              <w:rPr>
                <w:color w:val="000000"/>
                <w:sz w:val="22"/>
                <w:szCs w:val="22"/>
              </w:rPr>
              <w:t xml:space="preserve">Hình ảnh đăng bán:</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4399559" cy="3175000"/>
                      <wp:effectExtent l="0" t="0" r="0" b="0"/>
                      <wp:docPr id="17"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9"/>
                              <a:stretch/>
                            </pic:blipFill>
                            <pic:spPr bwMode="auto">
                              <a:xfrm>
                                <a:off x="0" y="0"/>
                                <a:ext cx="4399559"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346.42pt;height:250.00pt;mso-wrap-distance-left:0.00pt;mso-wrap-distance-top:0.00pt;mso-wrap-distance-right:0.00pt;mso-wrap-distance-bottom:0.00pt;z-index:1;" stroked="false">
                      <v:imagedata r:id="rId29"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4409722" cy="3175000"/>
                      <wp:effectExtent l="0" t="0" r="0" b="0"/>
                      <wp:docPr id="18"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0"/>
                              <a:stretch/>
                            </pic:blipFill>
                            <pic:spPr bwMode="auto">
                              <a:xfrm>
                                <a:off x="0" y="0"/>
                                <a:ext cx="4409722"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347.22pt;height:250.00pt;mso-wrap-distance-left:0.00pt;mso-wrap-distance-top:0.00pt;mso-wrap-distance-right:0.00pt;mso-wrap-distance-bottom:0.00pt;z-index:1;" stroked="false">
                      <v:imagedata r:id="rId30"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4395023" cy="3175000"/>
                      <wp:effectExtent l="0" t="0" r="0" b="0"/>
                      <wp:docPr id="19"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1"/>
                              <a:stretch/>
                            </pic:blipFill>
                            <pic:spPr bwMode="auto">
                              <a:xfrm>
                                <a:off x="0" y="0"/>
                                <a:ext cx="4395023"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346.06pt;height:250.00pt;mso-wrap-distance-left:0.00pt;mso-wrap-distance-top:0.00pt;mso-wrap-distance-right:0.00pt;mso-wrap-distance-bottom:0.00pt;z-index:1;" stroked="false">
                      <v:imagedata r:id="rId31" o:title=""/>
                      <o:lock v:ext="edit" rotation="t"/>
                    </v:shape>
                  </w:pict>
                </mc:Fallback>
              </mc:AlternateConten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br/>
            </w: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389932" cy="3175000"/>
                      <wp:effectExtent l="0" t="0" r="0" b="0"/>
                      <wp:docPr id="20"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2"/>
                              <a:stretch/>
                            </pic:blipFill>
                            <pic:spPr bwMode="auto">
                              <a:xfrm>
                                <a:off x="0" y="0"/>
                                <a:ext cx="2389932"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188.18pt;height:250.00pt;mso-wrap-distance-left:0.00pt;mso-wrap-distance-top:0.00pt;mso-wrap-distance-right:0.00pt;mso-wrap-distance-bottom:0.00pt;z-index:1;" stroked="false">
                      <v:imagedata r:id="rId32"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rPr>
                <w:b/>
                <w:bCs/>
              </w:rPr>
            </w:pPr>
            <w:r>
              <w:rPr>
                <w:b/>
                <w:bCs/>
              </w:rPr>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t xml:space="preserve">Nguyễn Mạnh Tuấn</w:t>
            </w:r>
            <w:r/>
          </w:p>
          <w:p>
            <w:pPr>
              <w:pBdr/>
              <w:spacing/>
              <w:ind/>
              <w:jc w:val="center"/>
              <w:rPr/>
            </w:pPr>
            <w:r/>
            <w:r/>
          </w:p>
        </w:tc>
      </w:tr>
    </w:tbl>
    <w:p>
      <w:pPr>
        <w:pBdr/>
        <w:spacing w:after="200" w:line="276" w:lineRule="auto"/>
        <w:ind/>
        <w:rPr>
          <w:iCs/>
          <w:lang w:val="pt-BR"/>
        </w:rPr>
      </w:pPr>
      <w:r>
        <w:rPr>
          <w:iCs/>
          <w:lang w:val="pt-BR"/>
        </w:rPr>
      </w:r>
      <w:r>
        <w:rPr>
          <w:iCs/>
          <w:lang w:val="pt-BR"/>
        </w:rPr>
      </w:r>
      <w:r>
        <w:rPr>
          <w:iCs/>
          <w:lang w:val="pt-BR"/>
        </w:rPr>
      </w:r>
    </w:p>
    <w:p>
      <w:pPr>
        <w:pBdr/>
        <w:spacing w:after="200" w:line="276" w:lineRule="auto"/>
        <w:ind/>
        <w:rPr>
          <w:iCs/>
          <w:lang w:val="pt-BR"/>
        </w:rPr>
      </w:pPr>
      <w:r>
        <w:rPr>
          <w:iCs/>
          <w:lang w:val="pt-BR"/>
        </w:rPr>
        <w:br w:type="page" w:clear="all"/>
      </w:r>
      <w:r>
        <w:rPr>
          <w:iCs/>
          <w:lang w:val="pt-BR"/>
        </w:rPr>
      </w:r>
      <w:r>
        <w:rPr>
          <w:iCs/>
          <w:lang w:val="pt-BR"/>
        </w:rPr>
      </w:r>
    </w:p>
    <w:p>
      <w:pPr>
        <w:pBdr/>
        <w:spacing w:after="200" w:line="276" w:lineRule="auto"/>
        <w:ind/>
        <w:jc w:val="center"/>
        <w:rPr>
          <w:b/>
          <w:bCs/>
          <w:iCs/>
          <w:lang w:val="pt-BR"/>
        </w:rPr>
      </w:pPr>
      <w:r>
        <w:rPr>
          <w:b/>
          <w:bCs/>
          <w:iCs/>
          <w:lang w:val="pt-BR"/>
        </w:rPr>
        <w:t xml:space="preserve">TSSS 3</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r>
            <w:r>
              <w:rPr>
                <w:sz w:val="22"/>
                <w:szCs w:val="22"/>
              </w:rPr>
              <w:t xml:space="preserve">SĐT: </w:t>
            </w:r>
            <w:r>
              <w:rPr>
                <w:color w:val="000000" w:themeColor="text1"/>
                <w:sz w:val="22"/>
                <w:szCs w:val="22"/>
              </w:rPr>
              <w:t xml:space="preserve">0988669965</w:t>
            </w:r>
            <w:r>
              <w:rPr>
                <w:sz w:val="22"/>
                <w:szCs w:val="22"/>
              </w:rPr>
              <w:t xml:space="preserve"> </w:t>
            </w:r>
            <w:r>
              <w:rPr>
                <w:sz w:val="22"/>
                <w:szCs w:val="22"/>
              </w:rPr>
              <w:br/>
              <w:t xml:space="preserve">(Lê Lâm</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2.320.000.000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1.972.000.000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07/2026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nông thôn (96,7m²)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nông thôn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Tài sản tại xã Hòa Xá, Thành phố Hà Nội. Tài sản tiếp giáp ngõ của trục chính thôn</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bê tông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96,7</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5,64</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b/>
                <w:bCs/>
                <w:color w:val="000000"/>
                <w:sz w:val="22"/>
                <w:szCs w:val="22"/>
              </w:rPr>
            </w:pPr>
            <w:r>
              <w:rPr>
                <w:b/>
                <w:bCs/>
                <w:color w:val="000000"/>
                <w:sz w:val="22"/>
                <w:szCs w:val="22"/>
              </w:rPr>
              <w:t xml:space="preserve"> </w:t>
            </w:r>
            <w:r>
              <w:rPr>
                <w:b/>
                <w:bCs/>
                <w:color w:val="000000"/>
                <w:sz w:val="22"/>
                <w:szCs w:val="22"/>
              </w:rPr>
              <w:t xml:space="preserve"> </w:t>
            </w:r>
            <w:r>
              <w:rPr>
                <w:color w:val="000000"/>
                <w:sz w:val="22"/>
                <w:szCs w:val="22"/>
              </w:rPr>
              <w:t xml:space="preserve">Hình ảnh đăng bán:</w:t>
            </w:r>
            <w:r>
              <w:rPr>
                <w:b/>
                <w:bCs/>
                <w:color w:val="000000"/>
                <w:sz w:val="22"/>
                <w:szCs w:val="22"/>
              </w:rPr>
            </w:r>
            <w:r>
              <w:rPr>
                <w:b/>
                <w:bCs/>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4399559" cy="3175000"/>
                      <wp:effectExtent l="0" t="0" r="0" b="0"/>
                      <wp:docPr id="21"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3"/>
                              <a:stretch/>
                            </pic:blipFill>
                            <pic:spPr bwMode="auto">
                              <a:xfrm>
                                <a:off x="0" y="0"/>
                                <a:ext cx="4399559"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346.42pt;height:250.00pt;mso-wrap-distance-left:0.00pt;mso-wrap-distance-top:0.00pt;mso-wrap-distance-right:0.00pt;mso-wrap-distance-bottom:0.00pt;z-index:1;" stroked="false">
                      <v:imagedata r:id="rId33"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4409722" cy="3175000"/>
                      <wp:effectExtent l="0" t="0" r="0" b="0"/>
                      <wp:docPr id="22"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4"/>
                              <a:stretch/>
                            </pic:blipFill>
                            <pic:spPr bwMode="auto">
                              <a:xfrm>
                                <a:off x="0" y="0"/>
                                <a:ext cx="4409722"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347.22pt;height:250.00pt;mso-wrap-distance-left:0.00pt;mso-wrap-distance-top:0.00pt;mso-wrap-distance-right:0.00pt;mso-wrap-distance-bottom:0.00pt;z-index:1;" stroked="false">
                      <v:imagedata r:id="rId34"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4395023" cy="3175000"/>
                      <wp:effectExtent l="0" t="0" r="0" b="0"/>
                      <wp:docPr id="23"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5"/>
                              <a:stretch/>
                            </pic:blipFill>
                            <pic:spPr bwMode="auto">
                              <a:xfrm>
                                <a:off x="0" y="0"/>
                                <a:ext cx="4395023"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346.06pt;height:250.00pt;mso-wrap-distance-left:0.00pt;mso-wrap-distance-top:0.00pt;mso-wrap-distance-right:0.00pt;mso-wrap-distance-bottom:0.00pt;z-index:1;" stroked="false">
                      <v:imagedata r:id="rId35" o:title=""/>
                      <o:lock v:ext="edit" rotation="t"/>
                    </v:shape>
                  </w:pict>
                </mc:Fallback>
              </mc:AlternateConten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389932" cy="3175000"/>
                      <wp:effectExtent l="0" t="0" r="0" b="0"/>
                      <wp:docPr id="24"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6"/>
                              <a:stretch/>
                            </pic:blipFill>
                            <pic:spPr bwMode="auto">
                              <a:xfrm>
                                <a:off x="0" y="0"/>
                                <a:ext cx="2389932"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3" o:spid="_x0000_s23" type="#_x0000_t75" style="width:188.18pt;height:250.00pt;mso-wrap-distance-left:0.00pt;mso-wrap-distance-top:0.00pt;mso-wrap-distance-right:0.00pt;mso-wrap-distance-bottom:0.00pt;z-index:1;" stroked="false">
                      <v:imagedata r:id="rId36"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r/>
          </w:p>
          <w:p>
            <w:pPr>
              <w:pBdr/>
              <w:spacing/>
              <w:ind/>
              <w:rPr/>
            </w:pPr>
            <w:r/>
            <w:r/>
          </w:p>
          <w:p>
            <w:pPr>
              <w:pBdr/>
              <w:spacing/>
              <w:ind/>
              <w:jc w:val="center"/>
              <w:rPr/>
            </w:pPr>
            <w:r/>
            <w:r/>
          </w:p>
          <w:p>
            <w:pPr>
              <w:pBdr/>
              <w:spacing/>
              <w:ind/>
              <w:jc w:val="center"/>
              <w:rPr/>
            </w:pPr>
            <w:r/>
            <w:r/>
          </w:p>
          <w:p>
            <w:pPr>
              <w:pBdr/>
              <w:spacing/>
              <w:ind/>
              <w:jc w:val="center"/>
              <w:rPr/>
            </w:pPr>
            <w:r>
              <w:t xml:space="preserve">Nguyễn Mạnh Tuấn</w:t>
            </w:r>
            <w:r/>
          </w:p>
        </w:tc>
      </w:tr>
      <w:tr>
        <w:trPr>
          <w:trHeight w:val="312"/>
        </w:trPr>
        <w:tc>
          <w:tcPr>
            <w:tcBorders/>
            <w:tcW w:w="4427" w:type="dxa"/>
            <w:vAlign w:val="bottom"/>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r>
            <w:r>
              <w:rPr>
                <w:b/>
                <w:bCs/>
              </w:rPr>
            </w:r>
            <w:r>
              <w:rPr>
                <w:b/>
                <w:bCs/>
              </w:rPr>
            </w:r>
          </w:p>
        </w:tc>
      </w:tr>
    </w:tbl>
    <w:p>
      <w:pPr>
        <w:pBdr/>
        <w:spacing w:after="200" w:line="276" w:lineRule="auto"/>
        <w:ind/>
        <w:rPr>
          <w:lang w:val="pt-BR"/>
        </w:rPr>
      </w:pPr>
      <w:r>
        <w:rPr>
          <w:iCs/>
          <w:lang w:val="pt-BR"/>
        </w:rPr>
      </w:r>
      <w:r>
        <w:rPr>
          <w:lang w:val="pt-BR"/>
        </w:rPr>
      </w:r>
      <w:r>
        <w:rPr>
          <w:lang w:val="pt-BR"/>
        </w:rPr>
      </w:r>
    </w:p>
    <w:p>
      <w:pPr>
        <w:pBdr/>
        <w:spacing w:after="200" w:line="276" w:lineRule="auto"/>
        <w:ind/>
        <w:jc w:val="center"/>
        <w:rPr>
          <w:b/>
          <w:bCs/>
          <w:highlight w:val="none"/>
          <w:lang w:val="pt-BR"/>
        </w:rPr>
      </w:pPr>
      <w:r>
        <w:rPr>
          <w:b/>
          <w:bCs/>
          <w:iCs/>
          <w:highlight w:val="none"/>
          <w:lang w:val="pt-BR"/>
        </w:rPr>
      </w:r>
      <w:r>
        <w:rPr>
          <w:b/>
          <w:bCs/>
          <w:highlight w:val="none"/>
          <w:lang w:val="pt-BR"/>
        </w:rPr>
      </w:r>
      <w:r>
        <w:rPr>
          <w:b/>
          <w:bCs/>
          <w:highlight w:val="none"/>
          <w:lang w:val="pt-BR"/>
        </w:rPr>
      </w:r>
    </w:p>
    <w:p>
      <w:pPr>
        <w:pBdr/>
        <w:spacing w:after="200" w:line="276" w:lineRule="auto"/>
        <w:ind/>
        <w:jc w:val="center"/>
        <w:rPr>
          <w:b/>
          <w:bCs/>
          <w:highlight w:val="none"/>
          <w:lang w:val="pt-BR"/>
        </w:rPr>
      </w:pPr>
      <w:r>
        <w:rPr>
          <w:b/>
          <w:bCs/>
          <w:iCs/>
          <w:highlight w:val="none"/>
          <w:lang w:val="pt-BR"/>
        </w:rPr>
      </w:r>
      <w:r>
        <w:rPr>
          <w:b/>
          <w:bCs/>
          <w:highlight w:val="none"/>
          <w:lang w:val="pt-BR"/>
        </w:rPr>
      </w:r>
      <w:r>
        <w:rPr>
          <w:b/>
          <w:bCs/>
          <w:highlight w:val="none"/>
          <w:lang w:val="pt-BR"/>
        </w:rPr>
      </w:r>
    </w:p>
    <w:p>
      <w:pPr>
        <w:pBdr/>
        <w:spacing w:after="200" w:line="276" w:lineRule="auto"/>
        <w:ind/>
        <w:jc w:val="center"/>
        <w:rPr>
          <w:b/>
          <w:bCs/>
          <w:highlight w:val="none"/>
          <w:lang w:val="pt-BR"/>
        </w:rPr>
      </w:pPr>
      <w:r>
        <w:rPr>
          <w:b/>
          <w:bCs/>
          <w:iCs/>
          <w:highlight w:val="none"/>
          <w:lang w:val="pt-BR"/>
        </w:rPr>
      </w:r>
      <w:r>
        <w:rPr>
          <w:b/>
          <w:bCs/>
          <w:highlight w:val="none"/>
          <w:lang w:val="pt-BR"/>
        </w:rPr>
      </w:r>
      <w:r>
        <w:rPr>
          <w:b/>
          <w:bCs/>
          <w:highlight w:val="none"/>
          <w:lang w:val="pt-BR"/>
        </w:rPr>
      </w:r>
    </w:p>
    <w:p>
      <w:pPr>
        <w:pBdr/>
        <w:spacing w:after="200" w:line="276" w:lineRule="auto"/>
        <w:ind/>
        <w:jc w:val="center"/>
        <w:rPr>
          <w:b/>
          <w:bCs/>
          <w:highlight w:val="none"/>
          <w:lang w:val="pt-BR"/>
        </w:rPr>
      </w:pPr>
      <w:r>
        <w:rPr>
          <w:b/>
          <w:bCs/>
          <w:iCs/>
          <w:highlight w:val="none"/>
          <w:lang w:val="pt-BR"/>
        </w:rPr>
      </w:r>
      <w:r>
        <w:rPr>
          <w:b/>
          <w:bCs/>
          <w:highlight w:val="none"/>
          <w:lang w:val="pt-BR"/>
        </w:rPr>
      </w:r>
      <w:r>
        <w:rPr>
          <w:b/>
          <w:bCs/>
          <w:highlight w:val="none"/>
          <w:lang w:val="pt-BR"/>
        </w:rPr>
      </w:r>
    </w:p>
    <w:p>
      <w:pPr>
        <w:pBdr/>
        <w:spacing w:after="200" w:line="276" w:lineRule="auto"/>
        <w:ind/>
        <w:jc w:val="center"/>
        <w:rPr>
          <w:b/>
          <w:bCs/>
          <w:highlight w:val="none"/>
          <w:lang w:val="pt-BR"/>
        </w:rPr>
      </w:pPr>
      <w:r>
        <w:rPr>
          <w:b/>
          <w:bCs/>
          <w:iCs/>
          <w:highlight w:val="none"/>
          <w:lang w:val="pt-BR"/>
        </w:rPr>
      </w:r>
      <w:r>
        <w:rPr>
          <w:b/>
          <w:bCs/>
          <w:highlight w:val="none"/>
          <w:lang w:val="pt-BR"/>
        </w:rPr>
      </w:r>
      <w:r>
        <w:rPr>
          <w:b/>
          <w:bCs/>
          <w:highlight w:val="none"/>
          <w:lang w:val="pt-BR"/>
        </w:rPr>
      </w:r>
    </w:p>
    <w:p>
      <w:pPr>
        <w:pBdr/>
        <w:spacing w:after="200" w:line="276" w:lineRule="auto"/>
        <w:ind/>
        <w:jc w:val="center"/>
        <w:rPr>
          <w:b/>
          <w:bCs/>
          <w:highlight w:val="none"/>
          <w:lang w:val="pt-BR"/>
        </w:rPr>
      </w:pPr>
      <w:r>
        <w:rPr>
          <w:b/>
          <w:bCs/>
          <w:iCs/>
          <w:highlight w:val="none"/>
          <w:lang w:val="pt-BR"/>
        </w:rPr>
      </w:r>
      <w:r>
        <w:rPr>
          <w:b/>
          <w:bCs/>
          <w:highlight w:val="none"/>
          <w:lang w:val="pt-BR"/>
        </w:rPr>
      </w:r>
      <w:r>
        <w:rPr>
          <w:b/>
          <w:bCs/>
          <w:highlight w:val="none"/>
          <w:lang w:val="pt-BR"/>
        </w:rPr>
      </w:r>
    </w:p>
    <w:p>
      <w:pPr>
        <w:pBdr/>
        <w:spacing w:after="200" w:line="276" w:lineRule="auto"/>
        <w:ind/>
        <w:jc w:val="center"/>
        <w:rPr>
          <w:b/>
          <w:bCs/>
          <w:highlight w:val="none"/>
          <w:lang w:val="pt-BR"/>
        </w:rPr>
      </w:pPr>
      <w:r>
        <w:rPr>
          <w:b/>
          <w:bCs/>
          <w:iCs/>
          <w:highlight w:val="none"/>
          <w:lang w:val="pt-BR"/>
        </w:rPr>
      </w:r>
      <w:r>
        <w:rPr>
          <w:b/>
          <w:bCs/>
          <w:highlight w:val="none"/>
          <w:lang w:val="pt-BR"/>
        </w:rPr>
      </w:r>
      <w:r>
        <w:rPr>
          <w:b/>
          <w:bCs/>
          <w:highlight w:val="none"/>
          <w:lang w:val="pt-BR"/>
        </w:rPr>
      </w:r>
    </w:p>
    <w:p>
      <w:pPr>
        <w:pBdr/>
        <w:spacing w:after="200" w:line="276" w:lineRule="auto"/>
        <w:ind/>
        <w:jc w:val="center"/>
        <w:rPr>
          <w:b/>
          <w:bCs/>
          <w:highlight w:val="none"/>
          <w:lang w:val="pt-BR"/>
        </w:rPr>
      </w:pPr>
      <w:r>
        <w:rPr>
          <w:b/>
          <w:bCs/>
          <w:highlight w:val="none"/>
          <w:lang w:val="pt-BR"/>
        </w:rPr>
      </w:r>
      <w:r>
        <w:rPr>
          <w:b/>
          <w:bCs/>
          <w:highlight w:val="none"/>
          <w:lang w:val="pt-BR"/>
        </w:rPr>
      </w:r>
      <w:r>
        <w:rPr>
          <w:b/>
          <w:bCs/>
          <w:highlight w:val="none"/>
          <w:lang w:val="pt-BR"/>
        </w:rPr>
      </w:r>
    </w:p>
    <w:p>
      <w:pPr>
        <w:pBdr/>
        <w:spacing w:after="200" w:line="276" w:lineRule="auto"/>
        <w:ind/>
        <w:jc w:val="center"/>
        <w:rPr>
          <w:b/>
          <w:bCs/>
          <w:highlight w:val="none"/>
          <w:lang w:val="pt-BR"/>
        </w:rPr>
      </w:pPr>
      <w:r>
        <w:rPr>
          <w:b/>
          <w:bCs/>
          <w:iCs/>
          <w:highlight w:val="none"/>
          <w:lang w:val="pt-BR"/>
        </w:rPr>
      </w:r>
      <w:r>
        <w:rPr>
          <w:b/>
          <w:bCs/>
          <w:highlight w:val="none"/>
          <w:lang w:val="pt-BR"/>
        </w:rPr>
      </w:r>
      <w:r>
        <w:rPr>
          <w:b/>
          <w:bCs/>
          <w:highlight w:val="none"/>
          <w:lang w:val="pt-BR"/>
        </w:rPr>
      </w:r>
    </w:p>
    <w:p>
      <w:pPr>
        <w:pBdr/>
        <w:spacing w:after="200" w:line="276" w:lineRule="auto"/>
        <w:ind/>
        <w:jc w:val="center"/>
        <w:rPr>
          <w:b/>
          <w:bCs/>
          <w:highlight w:val="none"/>
          <w:lang w:val="pt-BR"/>
        </w:rPr>
      </w:pPr>
      <w:r>
        <w:rPr>
          <w:b/>
          <w:bCs/>
          <w:iCs/>
          <w:highlight w:val="none"/>
          <w:lang w:val="pt-BR"/>
        </w:rPr>
      </w:r>
      <w:r>
        <w:rPr>
          <w:b/>
          <w:bCs/>
          <w:highlight w:val="none"/>
          <w:lang w:val="pt-BR"/>
        </w:rPr>
      </w:r>
      <w:r>
        <w:rPr>
          <w:b/>
          <w:bCs/>
          <w:highlight w:val="none"/>
          <w:lang w:val="pt-BR"/>
        </w:rPr>
      </w:r>
    </w:p>
    <w:p>
      <w:pPr>
        <w:pBdr/>
        <w:spacing w:after="200" w:line="276" w:lineRule="auto"/>
        <w:ind/>
        <w:jc w:val="center"/>
        <w:rPr>
          <w:b/>
          <w:bCs/>
          <w:highlight w:val="none"/>
          <w:lang w:val="pt-BR"/>
        </w:rPr>
      </w:pPr>
      <w:r>
        <w:rPr>
          <w:b/>
          <w:bCs/>
          <w:iCs/>
          <w:highlight w:val="none"/>
          <w:lang w:val="pt-BR"/>
        </w:rPr>
      </w:r>
      <w:r>
        <w:rPr>
          <w:b/>
          <w:bCs/>
          <w:highlight w:val="none"/>
          <w:lang w:val="pt-BR"/>
        </w:rPr>
      </w:r>
      <w:r>
        <w:rPr>
          <w:b/>
          <w:bCs/>
          <w:highlight w:val="none"/>
          <w:lang w:val="pt-BR"/>
        </w:rPr>
      </w:r>
    </w:p>
    <w:p>
      <w:pPr>
        <w:pBdr/>
        <w:spacing w:after="200" w:line="276" w:lineRule="auto"/>
        <w:ind/>
        <w:jc w:val="center"/>
        <w:rPr>
          <w:b/>
          <w:bCs/>
          <w:highlight w:val="none"/>
          <w:lang w:val="pt-BR"/>
        </w:rPr>
      </w:pPr>
      <w:r>
        <w:rPr>
          <w:b/>
          <w:bCs/>
          <w:iCs/>
          <w:highlight w:val="none"/>
          <w:lang w:val="pt-BR"/>
        </w:rPr>
      </w:r>
      <w:r>
        <w:rPr>
          <w:b/>
          <w:bCs/>
          <w:highlight w:val="none"/>
          <w:lang w:val="pt-BR"/>
        </w:rPr>
      </w:r>
      <w:r>
        <w:rPr>
          <w:b/>
          <w:bCs/>
          <w:highlight w:val="none"/>
          <w:lang w:val="pt-BR"/>
        </w:rPr>
      </w:r>
    </w:p>
    <w:p>
      <w:pPr>
        <w:pBdr/>
        <w:spacing w:after="200" w:line="276" w:lineRule="auto"/>
        <w:ind/>
        <w:jc w:val="center"/>
        <w:rPr>
          <w:b/>
          <w:bCs/>
          <w:iCs/>
          <w:highlight w:val="none"/>
          <w:lang w:val="pt-BR"/>
        </w:rPr>
      </w:pPr>
      <w:r>
        <w:rPr>
          <w:b/>
          <w:bCs/>
          <w:iCs/>
          <w:lang w:val="pt-BR"/>
        </w:rPr>
        <w:t xml:space="preserve">BIÊN BẢN KHẢO SÁT</w:t>
      </w:r>
      <w:r>
        <w:rPr>
          <w:b/>
          <w:bCs/>
          <w:iCs/>
          <w:highlight w:val="none"/>
          <w:lang w:val="pt-BR"/>
        </w:rPr>
      </w:r>
      <w:r>
        <w:rPr>
          <w:b/>
          <w:bCs/>
          <w:iCs/>
          <w:highlight w:val="none"/>
          <w:lang w:val="pt-BR"/>
        </w:rPr>
      </w:r>
    </w:p>
    <w:p>
      <w:pPr>
        <w:pBdr/>
        <w:spacing w:after="200" w:line="276" w:lineRule="auto"/>
        <w:ind/>
        <w:jc w:val="center"/>
        <w:rPr>
          <w:b/>
          <w:bCs/>
        </w:rPr>
      </w:pPr>
      <w:r>
        <w:rPr>
          <w:b/>
          <w:bCs/>
          <w:iCs/>
          <w:highlight w:val="none"/>
          <w:lang w:val="pt-BR"/>
        </w:rPr>
      </w:r>
      <w:r>
        <mc:AlternateContent>
          <mc:Choice Requires="wpg">
            <w:drawing>
              <wp:inline xmlns:wp="http://schemas.openxmlformats.org/drawingml/2006/wordprocessingDrawing" distT="0" distB="0" distL="0" distR="0">
                <wp:extent cx="6048375" cy="8064500"/>
                <wp:effectExtent l="0" t="0" r="0" b="0"/>
                <wp:docPr id="2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1809661" name=""/>
                        <pic:cNvPicPr>
                          <a:picLocks noChangeAspect="1"/>
                        </pic:cNvPicPr>
                        <pic:nvPr/>
                      </pic:nvPicPr>
                      <pic:blipFill rotWithShape="1">
                        <a:blip r:embed="rId37"/>
                        <a:stretch/>
                      </pic:blipFill>
                      <pic:spPr bwMode="auto">
                        <a:xfrm>
                          <a:off x="0" y="0"/>
                          <a:ext cx="6048374" cy="8064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4" o:spid="_x0000_s24" type="#_x0000_t75" style="width:476.25pt;height:635.00pt;mso-wrap-distance-left:0.00pt;mso-wrap-distance-top:0.00pt;mso-wrap-distance-right:0.00pt;mso-wrap-distance-bottom:0.00pt;z-index:1;" stroked="false">
                <v:imagedata r:id="rId37" o:title=""/>
                <o:lock v:ext="edit" rotation="t"/>
              </v:shape>
            </w:pict>
          </mc:Fallback>
        </mc:AlternateContent>
      </w:r>
      <w:r>
        <w:rPr>
          <w:b/>
          <w:bCs/>
        </w:rPr>
      </w:r>
      <w:r>
        <w:rPr>
          <w:b/>
          <w:bCs/>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3"/>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023"/>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3"/>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3"/>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1"/>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7">
    <w:lvl w:ilvl="0">
      <w:isLgl w:val="false"/>
      <w:lvlJc w:val="left"/>
      <w:lvlText w:val=""/>
      <w:numFmt w:val="bullet"/>
      <w:pPr>
        <w:pBdr/>
        <w:spacing/>
        <w:ind/>
      </w:pPr>
      <w:rPr/>
      <w:start w:val="0"/>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 w:numId="39">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39">
    <w:name w:val="Table Grid Light"/>
    <w:basedOn w:val="1011"/>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Plain Table 1"/>
    <w:basedOn w:val="1011"/>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Plain Table 2"/>
    <w:basedOn w:val="1011"/>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Plain Table 3"/>
    <w:basedOn w:val="101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Plain Table 4"/>
    <w:basedOn w:val="101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Plain Table 5"/>
    <w:basedOn w:val="101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Grid Table 1 Light"/>
    <w:basedOn w:val="1011"/>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Grid Table 1 Light - Accent 1"/>
    <w:basedOn w:val="1011"/>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Grid Table 1 Light - Accent 2"/>
    <w:basedOn w:val="1011"/>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1 Light - Accent 3"/>
    <w:basedOn w:val="1011"/>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1 Light - Accent 4"/>
    <w:basedOn w:val="1011"/>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1 Light - Accent 5"/>
    <w:basedOn w:val="1011"/>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1 Light - Accent 6"/>
    <w:basedOn w:val="1011"/>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2"/>
    <w:basedOn w:val="1011"/>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2 - Accent 1"/>
    <w:basedOn w:val="1011"/>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2 - Accent 2"/>
    <w:basedOn w:val="1011"/>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2 - Accent 3"/>
    <w:basedOn w:val="1011"/>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2 - Accent 4"/>
    <w:basedOn w:val="1011"/>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2 - Accent 5"/>
    <w:basedOn w:val="1011"/>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2 - Accent 6"/>
    <w:basedOn w:val="1011"/>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3"/>
    <w:basedOn w:val="1011"/>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3 - Accent 1"/>
    <w:basedOn w:val="1011"/>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3 - Accent 2"/>
    <w:basedOn w:val="1011"/>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3 - Accent 3"/>
    <w:basedOn w:val="1011"/>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3 - Accent 4"/>
    <w:basedOn w:val="1011"/>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3 - Accent 5"/>
    <w:basedOn w:val="1011"/>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3 - Accent 6"/>
    <w:basedOn w:val="1011"/>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4"/>
    <w:basedOn w:val="1011"/>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4 - Accent 1"/>
    <w:basedOn w:val="1011"/>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4 - Accent 2"/>
    <w:basedOn w:val="1011"/>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4 - Accent 3"/>
    <w:basedOn w:val="1011"/>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4 - Accent 4"/>
    <w:basedOn w:val="1011"/>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4 - Accent 5"/>
    <w:basedOn w:val="1011"/>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4 - Accent 6"/>
    <w:basedOn w:val="1011"/>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5 Dark"/>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5 Dark- Accent 1"/>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5 Dark - Accent 2"/>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5 Dark - Accent 3"/>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5 Dark- Accent 4"/>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5 Dark - Accent 5"/>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5 Dark - Accent 6"/>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6 Colorful"/>
    <w:basedOn w:val="1011"/>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81">
    <w:name w:val="Grid Table 6 Colorful - Accent 1"/>
    <w:basedOn w:val="1011"/>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82">
    <w:name w:val="Grid Table 6 Colorful - Accent 2"/>
    <w:basedOn w:val="1011"/>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83">
    <w:name w:val="Grid Table 6 Colorful - Accent 3"/>
    <w:basedOn w:val="1011"/>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84">
    <w:name w:val="Grid Table 6 Colorful - Accent 4"/>
    <w:basedOn w:val="1011"/>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85">
    <w:name w:val="Grid Table 6 Colorful - Accent 5"/>
    <w:basedOn w:val="1011"/>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6">
    <w:name w:val="Grid Table 6 Colorful - Accent 6"/>
    <w:basedOn w:val="1011"/>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7">
    <w:name w:val="Grid Table 7 Colorful"/>
    <w:basedOn w:val="1011"/>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7 Colorful - Accent 1"/>
    <w:basedOn w:val="1011"/>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Grid Table 7 Colorful - Accent 2"/>
    <w:basedOn w:val="1011"/>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Grid Table 7 Colorful - Accent 3"/>
    <w:basedOn w:val="1011"/>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Grid Table 7 Colorful - Accent 4"/>
    <w:basedOn w:val="1011"/>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Grid Table 7 Colorful - Accent 5"/>
    <w:basedOn w:val="1011"/>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Grid Table 7 Colorful - Accent 6"/>
    <w:basedOn w:val="1011"/>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List Table 1 Light"/>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List Table 1 Light - Accent 1"/>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1 Light - Accent 2"/>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1 Light - Accent 3"/>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1 Light - Accent 4"/>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1 Light - Accent 5"/>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1 Light - Accent 6"/>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2"/>
    <w:basedOn w:val="1011"/>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2 - Accent 1"/>
    <w:basedOn w:val="1011"/>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2 - Accent 2"/>
    <w:basedOn w:val="1011"/>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2 - Accent 3"/>
    <w:basedOn w:val="1011"/>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2 - Accent 4"/>
    <w:basedOn w:val="1011"/>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2 - Accent 5"/>
    <w:basedOn w:val="1011"/>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2 - Accent 6"/>
    <w:basedOn w:val="1011"/>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3"/>
    <w:basedOn w:val="1011"/>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3 - Accent 1"/>
    <w:basedOn w:val="1011"/>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3 - Accent 2"/>
    <w:basedOn w:val="1011"/>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3 - Accent 3"/>
    <w:basedOn w:val="1011"/>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3 - Accent 4"/>
    <w:basedOn w:val="1011"/>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3 - Accent 5"/>
    <w:basedOn w:val="1011"/>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3 - Accent 6"/>
    <w:basedOn w:val="1011"/>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4"/>
    <w:basedOn w:val="1011"/>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4 - Accent 1"/>
    <w:basedOn w:val="1011"/>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4 - Accent 2"/>
    <w:basedOn w:val="1011"/>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4 - Accent 3"/>
    <w:basedOn w:val="1011"/>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4 - Accent 4"/>
    <w:basedOn w:val="1011"/>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4 - Accent 5"/>
    <w:basedOn w:val="1011"/>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4 - Accent 6"/>
    <w:basedOn w:val="1011"/>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5 Dark"/>
    <w:basedOn w:val="1011"/>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3">
    <w:name w:val="List Table 5 Dark - Accent 1"/>
    <w:basedOn w:val="1011"/>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4">
    <w:name w:val="List Table 5 Dark - Accent 2"/>
    <w:basedOn w:val="1011"/>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5">
    <w:name w:val="List Table 5 Dark - Accent 3"/>
    <w:basedOn w:val="1011"/>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6">
    <w:name w:val="List Table 5 Dark - Accent 4"/>
    <w:basedOn w:val="1011"/>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7">
    <w:name w:val="List Table 5 Dark - Accent 5"/>
    <w:basedOn w:val="1011"/>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8">
    <w:name w:val="List Table 5 Dark - Accent 6"/>
    <w:basedOn w:val="1011"/>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9">
    <w:name w:val="List Table 6 Colorful"/>
    <w:basedOn w:val="1011"/>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st Table 6 Colorful - Accent 1"/>
    <w:basedOn w:val="1011"/>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List Table 6 Colorful - Accent 2"/>
    <w:basedOn w:val="1011"/>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st Table 6 Colorful - Accent 3"/>
    <w:basedOn w:val="1011"/>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st Table 6 Colorful - Accent 4"/>
    <w:basedOn w:val="1011"/>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st Table 6 Colorful - Accent 5"/>
    <w:basedOn w:val="1011"/>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5">
    <w:name w:val="List Table 6 Colorful - Accent 6"/>
    <w:basedOn w:val="1011"/>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6">
    <w:name w:val="List Table 7 Colorful"/>
    <w:basedOn w:val="1011"/>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37">
    <w:name w:val="List Table 7 Colorful - Accent 1"/>
    <w:basedOn w:val="1011"/>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38">
    <w:name w:val="List Table 7 Colorful - Accent 2"/>
    <w:basedOn w:val="1011"/>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39">
    <w:name w:val="List Table 7 Colorful - Accent 3"/>
    <w:basedOn w:val="1011"/>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40">
    <w:name w:val="List Table 7 Colorful - Accent 4"/>
    <w:basedOn w:val="1011"/>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41">
    <w:name w:val="List Table 7 Colorful - Accent 5"/>
    <w:basedOn w:val="1011"/>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42">
    <w:name w:val="List Table 7 Colorful - Accent 6"/>
    <w:basedOn w:val="1011"/>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43">
    <w:name w:val="Lined - Accent"/>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Lined - Accent 1"/>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Lined - Accent 2"/>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Lined - Accent 3"/>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Lined - Accent 4"/>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Lined - Accent 5"/>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Lined - Accent 6"/>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Bordered &amp; Lined - Accent"/>
    <w:basedOn w:val="1011"/>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Bordered &amp; Lined - Accent 1"/>
    <w:basedOn w:val="1011"/>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Bordered &amp; Lined - Accent 2"/>
    <w:basedOn w:val="1011"/>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Bordered &amp; Lined - Accent 3"/>
    <w:basedOn w:val="1011"/>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Bordered &amp; Lined - Accent 4"/>
    <w:basedOn w:val="1011"/>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Bordered &amp; Lined - Accent 5"/>
    <w:basedOn w:val="1011"/>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Bordered &amp; Lined - Accent 6"/>
    <w:basedOn w:val="1011"/>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Bordered"/>
    <w:basedOn w:val="1011"/>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 Accent 1"/>
    <w:basedOn w:val="1011"/>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 Accent 2"/>
    <w:basedOn w:val="1011"/>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 Accent 3"/>
    <w:basedOn w:val="1011"/>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 Accent 4"/>
    <w:basedOn w:val="1011"/>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Bordered - Accent 5"/>
    <w:basedOn w:val="1011"/>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Bordered - Accent 6"/>
    <w:basedOn w:val="1011"/>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64">
    <w:name w:val="Heading 5"/>
    <w:basedOn w:val="1005"/>
    <w:next w:val="1005"/>
    <w:link w:val="969"/>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65">
    <w:name w:val="Heading 6"/>
    <w:basedOn w:val="1005"/>
    <w:next w:val="1005"/>
    <w:link w:val="970"/>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66">
    <w:name w:val="Heading 7"/>
    <w:basedOn w:val="1005"/>
    <w:next w:val="1005"/>
    <w:link w:val="971"/>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67">
    <w:name w:val="Heading 8"/>
    <w:basedOn w:val="1005"/>
    <w:next w:val="1005"/>
    <w:link w:val="972"/>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68">
    <w:name w:val="Heading 9"/>
    <w:basedOn w:val="1005"/>
    <w:next w:val="1005"/>
    <w:link w:val="973"/>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69">
    <w:name w:val="Heading 5 Char"/>
    <w:basedOn w:val="1010"/>
    <w:link w:val="964"/>
    <w:uiPriority w:val="9"/>
    <w:pPr>
      <w:pBdr/>
      <w:spacing/>
      <w:ind/>
    </w:pPr>
    <w:rPr>
      <w:rFonts w:ascii="Arial" w:hAnsi="Arial" w:eastAsia="Arial" w:cs="Arial"/>
      <w:color w:val="0f4761" w:themeColor="accent1" w:themeShade="BF"/>
    </w:rPr>
  </w:style>
  <w:style w:type="character" w:styleId="970">
    <w:name w:val="Heading 6 Char"/>
    <w:basedOn w:val="1010"/>
    <w:link w:val="965"/>
    <w:uiPriority w:val="9"/>
    <w:pPr>
      <w:pBdr/>
      <w:spacing/>
      <w:ind/>
    </w:pPr>
    <w:rPr>
      <w:rFonts w:ascii="Arial" w:hAnsi="Arial" w:eastAsia="Arial" w:cs="Arial"/>
      <w:i/>
      <w:iCs/>
      <w:color w:val="595959" w:themeColor="text1" w:themeTint="A6"/>
    </w:rPr>
  </w:style>
  <w:style w:type="character" w:styleId="971">
    <w:name w:val="Heading 7 Char"/>
    <w:basedOn w:val="1010"/>
    <w:link w:val="966"/>
    <w:uiPriority w:val="9"/>
    <w:pPr>
      <w:pBdr/>
      <w:spacing/>
      <w:ind/>
    </w:pPr>
    <w:rPr>
      <w:rFonts w:ascii="Arial" w:hAnsi="Arial" w:eastAsia="Arial" w:cs="Arial"/>
      <w:color w:val="595959" w:themeColor="text1" w:themeTint="A6"/>
    </w:rPr>
  </w:style>
  <w:style w:type="character" w:styleId="972">
    <w:name w:val="Heading 8 Char"/>
    <w:basedOn w:val="1010"/>
    <w:link w:val="967"/>
    <w:uiPriority w:val="9"/>
    <w:pPr>
      <w:pBdr/>
      <w:spacing/>
      <w:ind/>
    </w:pPr>
    <w:rPr>
      <w:rFonts w:ascii="Arial" w:hAnsi="Arial" w:eastAsia="Arial" w:cs="Arial"/>
      <w:i/>
      <w:iCs/>
      <w:color w:val="272727" w:themeColor="text1" w:themeTint="D8"/>
    </w:rPr>
  </w:style>
  <w:style w:type="character" w:styleId="973">
    <w:name w:val="Heading 9 Char"/>
    <w:basedOn w:val="1010"/>
    <w:link w:val="968"/>
    <w:uiPriority w:val="9"/>
    <w:pPr>
      <w:pBdr/>
      <w:spacing/>
      <w:ind/>
    </w:pPr>
    <w:rPr>
      <w:rFonts w:ascii="Arial" w:hAnsi="Arial" w:eastAsia="Arial" w:cs="Arial"/>
      <w:i/>
      <w:iCs/>
      <w:color w:val="272727" w:themeColor="text1" w:themeTint="D8"/>
    </w:rPr>
  </w:style>
  <w:style w:type="paragraph" w:styleId="974">
    <w:name w:val="Subtitle"/>
    <w:basedOn w:val="1005"/>
    <w:next w:val="1005"/>
    <w:link w:val="975"/>
    <w:uiPriority w:val="11"/>
    <w:qFormat/>
    <w:pPr>
      <w:numPr>
        <w:ilvl w:val="1"/>
      </w:numPr>
      <w:pBdr/>
      <w:spacing/>
      <w:ind/>
    </w:pPr>
    <w:rPr>
      <w:color w:val="595959" w:themeColor="text1" w:themeTint="A6"/>
      <w:spacing w:val="15"/>
      <w:sz w:val="28"/>
      <w:szCs w:val="28"/>
    </w:rPr>
  </w:style>
  <w:style w:type="character" w:styleId="975">
    <w:name w:val="Subtitle Char"/>
    <w:basedOn w:val="1010"/>
    <w:link w:val="974"/>
    <w:uiPriority w:val="11"/>
    <w:pPr>
      <w:pBdr/>
      <w:spacing/>
      <w:ind/>
    </w:pPr>
    <w:rPr>
      <w:color w:val="595959" w:themeColor="text1" w:themeTint="A6"/>
      <w:spacing w:val="15"/>
      <w:sz w:val="28"/>
      <w:szCs w:val="28"/>
    </w:rPr>
  </w:style>
  <w:style w:type="paragraph" w:styleId="976">
    <w:name w:val="Quote"/>
    <w:basedOn w:val="1005"/>
    <w:next w:val="1005"/>
    <w:link w:val="977"/>
    <w:uiPriority w:val="29"/>
    <w:qFormat/>
    <w:pPr>
      <w:pBdr/>
      <w:spacing w:before="160"/>
      <w:ind/>
      <w:jc w:val="center"/>
    </w:pPr>
    <w:rPr>
      <w:i/>
      <w:iCs/>
      <w:color w:val="404040" w:themeColor="text1" w:themeTint="BF"/>
    </w:rPr>
  </w:style>
  <w:style w:type="character" w:styleId="977">
    <w:name w:val="Quote Char"/>
    <w:basedOn w:val="1010"/>
    <w:link w:val="976"/>
    <w:uiPriority w:val="29"/>
    <w:pPr>
      <w:pBdr/>
      <w:spacing/>
      <w:ind/>
    </w:pPr>
    <w:rPr>
      <w:i/>
      <w:iCs/>
      <w:color w:val="404040" w:themeColor="text1" w:themeTint="BF"/>
    </w:rPr>
  </w:style>
  <w:style w:type="character" w:styleId="978">
    <w:name w:val="Intense Emphasis"/>
    <w:basedOn w:val="1010"/>
    <w:uiPriority w:val="21"/>
    <w:qFormat/>
    <w:pPr>
      <w:pBdr/>
      <w:spacing/>
      <w:ind/>
    </w:pPr>
    <w:rPr>
      <w:i/>
      <w:iCs/>
      <w:color w:val="0f4761" w:themeColor="accent1" w:themeShade="BF"/>
    </w:rPr>
  </w:style>
  <w:style w:type="paragraph" w:styleId="979">
    <w:name w:val="Intense Quote"/>
    <w:basedOn w:val="1005"/>
    <w:next w:val="1005"/>
    <w:link w:val="980"/>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80">
    <w:name w:val="Intense Quote Char"/>
    <w:basedOn w:val="1010"/>
    <w:link w:val="979"/>
    <w:uiPriority w:val="30"/>
    <w:pPr>
      <w:pBdr/>
      <w:spacing/>
      <w:ind/>
    </w:pPr>
    <w:rPr>
      <w:i/>
      <w:iCs/>
      <w:color w:val="0f4761" w:themeColor="accent1" w:themeShade="BF"/>
    </w:rPr>
  </w:style>
  <w:style w:type="character" w:styleId="981">
    <w:name w:val="Intense Reference"/>
    <w:basedOn w:val="1010"/>
    <w:uiPriority w:val="32"/>
    <w:qFormat/>
    <w:pPr>
      <w:pBdr/>
      <w:spacing/>
      <w:ind/>
    </w:pPr>
    <w:rPr>
      <w:b/>
      <w:bCs/>
      <w:smallCaps/>
      <w:color w:val="0f4761" w:themeColor="accent1" w:themeShade="BF"/>
      <w:spacing w:val="5"/>
    </w:rPr>
  </w:style>
  <w:style w:type="paragraph" w:styleId="982">
    <w:name w:val="No Spacing"/>
    <w:basedOn w:val="1005"/>
    <w:uiPriority w:val="1"/>
    <w:qFormat/>
    <w:pPr>
      <w:pBdr/>
      <w:spacing w:after="0" w:line="240" w:lineRule="auto"/>
      <w:ind/>
    </w:pPr>
  </w:style>
  <w:style w:type="character" w:styleId="983">
    <w:name w:val="Subtle Emphasis"/>
    <w:basedOn w:val="1010"/>
    <w:uiPriority w:val="19"/>
    <w:qFormat/>
    <w:pPr>
      <w:pBdr/>
      <w:spacing/>
      <w:ind/>
    </w:pPr>
    <w:rPr>
      <w:i/>
      <w:iCs/>
      <w:color w:val="404040" w:themeColor="text1" w:themeTint="BF"/>
    </w:rPr>
  </w:style>
  <w:style w:type="character" w:styleId="984">
    <w:name w:val="Subtle Reference"/>
    <w:basedOn w:val="1010"/>
    <w:uiPriority w:val="31"/>
    <w:qFormat/>
    <w:pPr>
      <w:pBdr/>
      <w:spacing/>
      <w:ind/>
    </w:pPr>
    <w:rPr>
      <w:smallCaps/>
      <w:color w:val="5a5a5a" w:themeColor="text1" w:themeTint="A5"/>
    </w:rPr>
  </w:style>
  <w:style w:type="character" w:styleId="985">
    <w:name w:val="Book Title"/>
    <w:basedOn w:val="1010"/>
    <w:uiPriority w:val="33"/>
    <w:qFormat/>
    <w:pPr>
      <w:pBdr/>
      <w:spacing/>
      <w:ind/>
    </w:pPr>
    <w:rPr>
      <w:b/>
      <w:bCs/>
      <w:i/>
      <w:iCs/>
      <w:spacing w:val="5"/>
    </w:rPr>
  </w:style>
  <w:style w:type="paragraph" w:styleId="986">
    <w:name w:val="Caption"/>
    <w:basedOn w:val="1005"/>
    <w:next w:val="1005"/>
    <w:uiPriority w:val="35"/>
    <w:unhideWhenUsed/>
    <w:qFormat/>
    <w:pPr>
      <w:pBdr/>
      <w:spacing w:after="200" w:line="240" w:lineRule="auto"/>
      <w:ind/>
    </w:pPr>
    <w:rPr>
      <w:i/>
      <w:iCs/>
      <w:color w:val="0e2841" w:themeColor="text2"/>
      <w:sz w:val="18"/>
      <w:szCs w:val="18"/>
    </w:rPr>
  </w:style>
  <w:style w:type="paragraph" w:styleId="987">
    <w:name w:val="footnote text"/>
    <w:basedOn w:val="1005"/>
    <w:link w:val="988"/>
    <w:uiPriority w:val="99"/>
    <w:semiHidden/>
    <w:unhideWhenUsed/>
    <w:pPr>
      <w:pBdr/>
      <w:spacing w:after="0" w:line="240" w:lineRule="auto"/>
      <w:ind/>
    </w:pPr>
    <w:rPr>
      <w:sz w:val="20"/>
      <w:szCs w:val="20"/>
    </w:rPr>
  </w:style>
  <w:style w:type="character" w:styleId="988">
    <w:name w:val="Footnote Text Char"/>
    <w:basedOn w:val="1010"/>
    <w:link w:val="987"/>
    <w:uiPriority w:val="99"/>
    <w:semiHidden/>
    <w:pPr>
      <w:pBdr/>
      <w:spacing/>
      <w:ind/>
    </w:pPr>
    <w:rPr>
      <w:sz w:val="20"/>
      <w:szCs w:val="20"/>
    </w:rPr>
  </w:style>
  <w:style w:type="character" w:styleId="989">
    <w:name w:val="footnote reference"/>
    <w:basedOn w:val="1010"/>
    <w:uiPriority w:val="99"/>
    <w:semiHidden/>
    <w:unhideWhenUsed/>
    <w:pPr>
      <w:pBdr/>
      <w:spacing/>
      <w:ind/>
    </w:pPr>
    <w:rPr>
      <w:vertAlign w:val="superscript"/>
    </w:rPr>
  </w:style>
  <w:style w:type="paragraph" w:styleId="990">
    <w:name w:val="endnote text"/>
    <w:basedOn w:val="1005"/>
    <w:link w:val="991"/>
    <w:uiPriority w:val="99"/>
    <w:semiHidden/>
    <w:unhideWhenUsed/>
    <w:pPr>
      <w:pBdr/>
      <w:spacing w:after="0" w:line="240" w:lineRule="auto"/>
      <w:ind/>
    </w:pPr>
    <w:rPr>
      <w:sz w:val="20"/>
      <w:szCs w:val="20"/>
    </w:rPr>
  </w:style>
  <w:style w:type="character" w:styleId="991">
    <w:name w:val="Endnote Text Char"/>
    <w:basedOn w:val="1010"/>
    <w:link w:val="990"/>
    <w:uiPriority w:val="99"/>
    <w:semiHidden/>
    <w:pPr>
      <w:pBdr/>
      <w:spacing/>
      <w:ind/>
    </w:pPr>
    <w:rPr>
      <w:sz w:val="20"/>
      <w:szCs w:val="20"/>
    </w:rPr>
  </w:style>
  <w:style w:type="character" w:styleId="992">
    <w:name w:val="endnote reference"/>
    <w:basedOn w:val="1010"/>
    <w:uiPriority w:val="99"/>
    <w:semiHidden/>
    <w:unhideWhenUsed/>
    <w:pPr>
      <w:pBdr/>
      <w:spacing/>
      <w:ind/>
    </w:pPr>
    <w:rPr>
      <w:vertAlign w:val="superscript"/>
    </w:rPr>
  </w:style>
  <w:style w:type="paragraph" w:styleId="993">
    <w:name w:val="toc 1"/>
    <w:basedOn w:val="1005"/>
    <w:next w:val="1005"/>
    <w:uiPriority w:val="39"/>
    <w:unhideWhenUsed/>
    <w:pPr>
      <w:pBdr/>
      <w:spacing w:after="100"/>
      <w:ind/>
    </w:pPr>
  </w:style>
  <w:style w:type="paragraph" w:styleId="994">
    <w:name w:val="toc 2"/>
    <w:basedOn w:val="1005"/>
    <w:next w:val="1005"/>
    <w:uiPriority w:val="39"/>
    <w:unhideWhenUsed/>
    <w:pPr>
      <w:pBdr/>
      <w:spacing w:after="100"/>
      <w:ind w:left="220"/>
    </w:pPr>
  </w:style>
  <w:style w:type="paragraph" w:styleId="995">
    <w:name w:val="toc 3"/>
    <w:basedOn w:val="1005"/>
    <w:next w:val="1005"/>
    <w:uiPriority w:val="39"/>
    <w:unhideWhenUsed/>
    <w:pPr>
      <w:pBdr/>
      <w:spacing w:after="100"/>
      <w:ind w:left="440"/>
    </w:pPr>
  </w:style>
  <w:style w:type="paragraph" w:styleId="996">
    <w:name w:val="toc 4"/>
    <w:basedOn w:val="1005"/>
    <w:next w:val="1005"/>
    <w:uiPriority w:val="39"/>
    <w:unhideWhenUsed/>
    <w:pPr>
      <w:pBdr/>
      <w:spacing w:after="100"/>
      <w:ind w:left="660"/>
    </w:pPr>
  </w:style>
  <w:style w:type="paragraph" w:styleId="997">
    <w:name w:val="toc 5"/>
    <w:basedOn w:val="1005"/>
    <w:next w:val="1005"/>
    <w:uiPriority w:val="39"/>
    <w:unhideWhenUsed/>
    <w:pPr>
      <w:pBdr/>
      <w:spacing w:after="100"/>
      <w:ind w:left="880"/>
    </w:pPr>
  </w:style>
  <w:style w:type="paragraph" w:styleId="998">
    <w:name w:val="toc 6"/>
    <w:basedOn w:val="1005"/>
    <w:next w:val="1005"/>
    <w:uiPriority w:val="39"/>
    <w:unhideWhenUsed/>
    <w:pPr>
      <w:pBdr/>
      <w:spacing w:after="100"/>
      <w:ind w:left="1100"/>
    </w:pPr>
  </w:style>
  <w:style w:type="paragraph" w:styleId="999">
    <w:name w:val="toc 7"/>
    <w:basedOn w:val="1005"/>
    <w:next w:val="1005"/>
    <w:uiPriority w:val="39"/>
    <w:unhideWhenUsed/>
    <w:pPr>
      <w:pBdr/>
      <w:spacing w:after="100"/>
      <w:ind w:left="1320"/>
    </w:pPr>
  </w:style>
  <w:style w:type="paragraph" w:styleId="1000">
    <w:name w:val="toc 8"/>
    <w:basedOn w:val="1005"/>
    <w:next w:val="1005"/>
    <w:uiPriority w:val="39"/>
    <w:unhideWhenUsed/>
    <w:pPr>
      <w:pBdr/>
      <w:spacing w:after="100"/>
      <w:ind w:left="1540"/>
    </w:pPr>
  </w:style>
  <w:style w:type="paragraph" w:styleId="1001">
    <w:name w:val="toc 9"/>
    <w:basedOn w:val="1005"/>
    <w:next w:val="1005"/>
    <w:uiPriority w:val="39"/>
    <w:unhideWhenUsed/>
    <w:pPr>
      <w:pBdr/>
      <w:spacing w:after="100"/>
      <w:ind w:left="1760"/>
    </w:pPr>
  </w:style>
  <w:style w:type="character" w:styleId="1002">
    <w:name w:val="Placeholder Text"/>
    <w:basedOn w:val="1010"/>
    <w:uiPriority w:val="99"/>
    <w:semiHidden/>
    <w:pPr>
      <w:pBdr/>
      <w:spacing/>
      <w:ind/>
    </w:pPr>
    <w:rPr>
      <w:color w:val="666666"/>
    </w:rPr>
  </w:style>
  <w:style w:type="paragraph" w:styleId="1003">
    <w:name w:val="TOC Heading"/>
    <w:uiPriority w:val="39"/>
    <w:unhideWhenUsed/>
    <w:pPr>
      <w:pBdr/>
      <w:spacing/>
      <w:ind/>
    </w:pPr>
  </w:style>
  <w:style w:type="paragraph" w:styleId="1004">
    <w:name w:val="table of figures"/>
    <w:basedOn w:val="1005"/>
    <w:next w:val="1005"/>
    <w:uiPriority w:val="99"/>
    <w:unhideWhenUsed/>
    <w:pPr>
      <w:pBdr/>
      <w:spacing w:after="0" w:afterAutospacing="0"/>
      <w:ind/>
    </w:pPr>
  </w:style>
  <w:style w:type="paragraph" w:styleId="1005" w:default="1">
    <w:name w:val="Normal"/>
    <w:qFormat/>
    <w:pPr>
      <w:pBdr/>
      <w:spacing w:after="0" w:line="240" w:lineRule="auto"/>
      <w:ind/>
    </w:pPr>
    <w:rPr>
      <w:rFonts w:ascii="Times New Roman" w:hAnsi="Times New Roman" w:eastAsia="Times New Roman" w:cs="Times New Roman"/>
      <w:sz w:val="24"/>
      <w:szCs w:val="24"/>
    </w:rPr>
  </w:style>
  <w:style w:type="paragraph" w:styleId="1006">
    <w:name w:val="Heading 1"/>
    <w:basedOn w:val="1005"/>
    <w:next w:val="1005"/>
    <w:link w:val="1013"/>
    <w:qFormat/>
    <w:pPr>
      <w:keepNext w:val="true"/>
      <w:pBdr/>
      <w:spacing w:after="120" w:before="120"/>
      <w:ind/>
      <w:jc w:val="center"/>
      <w:outlineLvl w:val="0"/>
    </w:pPr>
    <w:rPr>
      <w:b/>
      <w:bCs/>
      <w:sz w:val="27"/>
      <w:szCs w:val="27"/>
    </w:rPr>
  </w:style>
  <w:style w:type="paragraph" w:styleId="1007">
    <w:name w:val="Heading 2"/>
    <w:basedOn w:val="1005"/>
    <w:next w:val="1005"/>
    <w:link w:val="1014"/>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08">
    <w:name w:val="Heading 3"/>
    <w:basedOn w:val="1005"/>
    <w:next w:val="1005"/>
    <w:link w:val="1015"/>
    <w:qFormat/>
    <w:pPr>
      <w:keepNext w:val="true"/>
      <w:pBdr/>
      <w:spacing w:before="60"/>
      <w:ind/>
      <w:outlineLvl w:val="2"/>
    </w:pPr>
    <w:rPr>
      <w:sz w:val="28"/>
      <w:szCs w:val="28"/>
    </w:rPr>
  </w:style>
  <w:style w:type="paragraph" w:styleId="1009">
    <w:name w:val="Heading 4"/>
    <w:basedOn w:val="1005"/>
    <w:next w:val="1005"/>
    <w:link w:val="1016"/>
    <w:qFormat/>
    <w:pPr>
      <w:keepNext w:val="true"/>
      <w:pBdr/>
      <w:spacing/>
      <w:ind/>
      <w:jc w:val="center"/>
      <w:outlineLvl w:val="3"/>
    </w:pPr>
    <w:rPr>
      <w:b/>
      <w:bCs/>
    </w:rPr>
  </w:style>
  <w:style w:type="character" w:styleId="1010" w:default="1">
    <w:name w:val="Default Paragraph Font"/>
    <w:uiPriority w:val="1"/>
    <w:semiHidden/>
    <w:unhideWhenUsed/>
    <w:pPr>
      <w:pBdr/>
      <w:spacing/>
      <w:ind/>
    </w:pPr>
  </w:style>
  <w:style w:type="table" w:styleId="1011"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12" w:default="1">
    <w:name w:val="No List"/>
    <w:uiPriority w:val="99"/>
    <w:semiHidden/>
    <w:unhideWhenUsed/>
    <w:pPr>
      <w:pBdr/>
      <w:spacing/>
      <w:ind/>
    </w:pPr>
  </w:style>
  <w:style w:type="character" w:styleId="1013" w:customStyle="1">
    <w:name w:val="Heading 1 Char"/>
    <w:basedOn w:val="1010"/>
    <w:link w:val="1006"/>
    <w:pPr>
      <w:pBdr/>
      <w:spacing/>
      <w:ind/>
    </w:pPr>
    <w:rPr>
      <w:rFonts w:ascii="Times New Roman" w:hAnsi="Times New Roman" w:eastAsia="Times New Roman" w:cs="Times New Roman"/>
      <w:b/>
      <w:bCs/>
      <w:sz w:val="27"/>
      <w:szCs w:val="27"/>
    </w:rPr>
  </w:style>
  <w:style w:type="character" w:styleId="1014" w:customStyle="1">
    <w:name w:val="Heading 2 Char"/>
    <w:basedOn w:val="1010"/>
    <w:link w:val="1007"/>
    <w:uiPriority w:val="9"/>
    <w:pPr>
      <w:pBdr/>
      <w:spacing/>
      <w:ind/>
    </w:pPr>
    <w:rPr>
      <w:rFonts w:asciiTheme="majorHAnsi" w:hAnsiTheme="majorHAnsi" w:eastAsiaTheme="majorEastAsia" w:cstheme="majorBidi"/>
      <w:color w:val="365f91" w:themeColor="accent1" w:themeShade="BF"/>
      <w:sz w:val="26"/>
      <w:szCs w:val="26"/>
    </w:rPr>
  </w:style>
  <w:style w:type="character" w:styleId="1015" w:customStyle="1">
    <w:name w:val="Heading 3 Char"/>
    <w:basedOn w:val="1010"/>
    <w:link w:val="1008"/>
    <w:pPr>
      <w:pBdr/>
      <w:spacing/>
      <w:ind/>
    </w:pPr>
    <w:rPr>
      <w:rFonts w:ascii="Times New Roman" w:hAnsi="Times New Roman" w:eastAsia="Times New Roman" w:cs="Times New Roman"/>
      <w:sz w:val="28"/>
      <w:szCs w:val="28"/>
    </w:rPr>
  </w:style>
  <w:style w:type="character" w:styleId="1016" w:customStyle="1">
    <w:name w:val="Heading 4 Char"/>
    <w:basedOn w:val="1010"/>
    <w:link w:val="1009"/>
    <w:pPr>
      <w:pBdr/>
      <w:spacing/>
      <w:ind/>
    </w:pPr>
    <w:rPr>
      <w:rFonts w:ascii="Times New Roman" w:hAnsi="Times New Roman" w:eastAsia="Times New Roman" w:cs="Times New Roman"/>
      <w:b/>
      <w:bCs/>
      <w:sz w:val="24"/>
      <w:szCs w:val="24"/>
    </w:rPr>
  </w:style>
  <w:style w:type="character" w:styleId="1017">
    <w:name w:val="Hyperlink"/>
    <w:uiPriority w:val="99"/>
    <w:pPr>
      <w:pBdr/>
      <w:spacing/>
      <w:ind/>
    </w:pPr>
    <w:rPr>
      <w:color w:val="000000"/>
      <w:u w:val="single"/>
    </w:rPr>
  </w:style>
  <w:style w:type="character" w:styleId="1018">
    <w:name w:val="Strong"/>
    <w:uiPriority w:val="22"/>
    <w:qFormat/>
    <w:pPr>
      <w:pBdr/>
      <w:spacing/>
      <w:ind/>
    </w:pPr>
    <w:rPr>
      <w:b/>
      <w:bCs/>
    </w:rPr>
  </w:style>
  <w:style w:type="paragraph" w:styleId="1019">
    <w:name w:val="Balloon Text"/>
    <w:basedOn w:val="1005"/>
    <w:link w:val="1020"/>
    <w:uiPriority w:val="99"/>
    <w:semiHidden/>
    <w:unhideWhenUsed/>
    <w:pPr>
      <w:pBdr/>
      <w:spacing/>
      <w:ind/>
    </w:pPr>
    <w:rPr>
      <w:rFonts w:ascii="Tahoma" w:hAnsi="Tahoma" w:cs="Tahoma"/>
      <w:sz w:val="16"/>
      <w:szCs w:val="16"/>
    </w:rPr>
  </w:style>
  <w:style w:type="character" w:styleId="1020" w:customStyle="1">
    <w:name w:val="Balloon Text Char"/>
    <w:basedOn w:val="1010"/>
    <w:link w:val="1019"/>
    <w:uiPriority w:val="99"/>
    <w:semiHidden/>
    <w:pPr>
      <w:pBdr/>
      <w:spacing/>
      <w:ind/>
    </w:pPr>
    <w:rPr>
      <w:rFonts w:ascii="Tahoma" w:hAnsi="Tahoma" w:eastAsia="Times New Roman" w:cs="Tahoma"/>
      <w:sz w:val="16"/>
      <w:szCs w:val="16"/>
    </w:rPr>
  </w:style>
  <w:style w:type="paragraph" w:styleId="1021">
    <w:name w:val="Header"/>
    <w:basedOn w:val="1005"/>
    <w:link w:val="1022"/>
    <w:unhideWhenUsed/>
    <w:pPr>
      <w:pBdr/>
      <w:tabs>
        <w:tab w:val="center" w:leader="none" w:pos="4680"/>
        <w:tab w:val="right" w:leader="none" w:pos="9360"/>
      </w:tabs>
      <w:spacing/>
      <w:ind/>
    </w:pPr>
  </w:style>
  <w:style w:type="character" w:styleId="1022" w:customStyle="1">
    <w:name w:val="Header Char"/>
    <w:basedOn w:val="1010"/>
    <w:link w:val="1021"/>
    <w:pPr>
      <w:pBdr/>
      <w:spacing/>
      <w:ind/>
    </w:pPr>
    <w:rPr>
      <w:rFonts w:ascii="Times New Roman" w:hAnsi="Times New Roman" w:eastAsia="Times New Roman" w:cs="Times New Roman"/>
      <w:sz w:val="24"/>
      <w:szCs w:val="24"/>
    </w:rPr>
  </w:style>
  <w:style w:type="paragraph" w:styleId="1023">
    <w:name w:val="Footer"/>
    <w:basedOn w:val="1005"/>
    <w:link w:val="1024"/>
    <w:uiPriority w:val="99"/>
    <w:unhideWhenUsed/>
    <w:pPr>
      <w:pBdr/>
      <w:tabs>
        <w:tab w:val="center" w:leader="none" w:pos="4680"/>
        <w:tab w:val="right" w:leader="none" w:pos="9360"/>
      </w:tabs>
      <w:spacing/>
      <w:ind/>
    </w:pPr>
  </w:style>
  <w:style w:type="character" w:styleId="1024" w:customStyle="1">
    <w:name w:val="Footer Char"/>
    <w:basedOn w:val="1010"/>
    <w:link w:val="1023"/>
    <w:uiPriority w:val="99"/>
    <w:pPr>
      <w:pBdr/>
      <w:spacing/>
      <w:ind/>
    </w:pPr>
    <w:rPr>
      <w:rFonts w:ascii="Times New Roman" w:hAnsi="Times New Roman" w:eastAsia="Times New Roman" w:cs="Times New Roman"/>
      <w:sz w:val="24"/>
      <w:szCs w:val="24"/>
    </w:rPr>
  </w:style>
  <w:style w:type="character" w:styleId="1025" w:customStyle="1">
    <w:name w:val="normal-h1"/>
    <w:pPr>
      <w:pBdr/>
      <w:spacing/>
      <w:ind/>
    </w:pPr>
    <w:rPr>
      <w:rFonts w:hint="default" w:ascii=".VnTime" w:hAnsi=".VnTime"/>
      <w:color w:val="0000ff"/>
      <w:sz w:val="24"/>
      <w:szCs w:val="24"/>
    </w:rPr>
  </w:style>
  <w:style w:type="paragraph" w:styleId="1026" w:customStyle="1">
    <w:name w:val="normal-p"/>
    <w:basedOn w:val="1005"/>
    <w:pPr>
      <w:pBdr/>
      <w:spacing/>
      <w:ind/>
      <w:jc w:val="both"/>
    </w:pPr>
    <w:rPr>
      <w:sz w:val="20"/>
      <w:szCs w:val="20"/>
    </w:rPr>
  </w:style>
  <w:style w:type="paragraph" w:styleId="1027">
    <w:name w:val="List Paragraph"/>
    <w:basedOn w:val="1005"/>
    <w:link w:val="1114"/>
    <w:uiPriority w:val="34"/>
    <w:qFormat/>
    <w:pPr>
      <w:pBdr/>
      <w:spacing/>
      <w:ind w:left="720"/>
    </w:pPr>
  </w:style>
  <w:style w:type="paragraph" w:styleId="1028">
    <w:name w:val="Normal (Web)"/>
    <w:basedOn w:val="1005"/>
    <w:uiPriority w:val="99"/>
    <w:pPr>
      <w:pBdr/>
      <w:spacing w:after="100" w:afterAutospacing="1" w:before="100" w:beforeAutospacing="1"/>
      <w:ind/>
    </w:pPr>
  </w:style>
  <w:style w:type="paragraph" w:styleId="1029">
    <w:name w:val="Body Text"/>
    <w:basedOn w:val="1005"/>
    <w:link w:val="1030"/>
    <w:pPr>
      <w:pBdr/>
      <w:spacing w:after="120"/>
      <w:ind/>
      <w:jc w:val="both"/>
    </w:pPr>
  </w:style>
  <w:style w:type="character" w:styleId="1030" w:customStyle="1">
    <w:name w:val="Body Text Char"/>
    <w:basedOn w:val="1010"/>
    <w:link w:val="1029"/>
    <w:pPr>
      <w:pBdr/>
      <w:spacing/>
      <w:ind/>
    </w:pPr>
    <w:rPr>
      <w:rFonts w:ascii="Times New Roman" w:hAnsi="Times New Roman" w:eastAsia="Times New Roman" w:cs="Times New Roman"/>
      <w:sz w:val="24"/>
      <w:szCs w:val="24"/>
    </w:rPr>
  </w:style>
  <w:style w:type="table" w:styleId="1031">
    <w:name w:val="Table Grid"/>
    <w:basedOn w:val="1011"/>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32"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33">
    <w:name w:val="annotation reference"/>
    <w:basedOn w:val="1010"/>
    <w:uiPriority w:val="99"/>
    <w:semiHidden/>
    <w:unhideWhenUsed/>
    <w:pPr>
      <w:pBdr/>
      <w:spacing/>
      <w:ind/>
    </w:pPr>
    <w:rPr>
      <w:sz w:val="16"/>
      <w:szCs w:val="16"/>
    </w:rPr>
  </w:style>
  <w:style w:type="paragraph" w:styleId="1034">
    <w:name w:val="annotation text"/>
    <w:basedOn w:val="1005"/>
    <w:link w:val="1035"/>
    <w:uiPriority w:val="99"/>
    <w:unhideWhenUsed/>
    <w:pPr>
      <w:pBdr/>
      <w:spacing/>
      <w:ind/>
    </w:pPr>
    <w:rPr>
      <w:sz w:val="20"/>
      <w:szCs w:val="20"/>
    </w:rPr>
  </w:style>
  <w:style w:type="character" w:styleId="1035" w:customStyle="1">
    <w:name w:val="Comment Text Char"/>
    <w:basedOn w:val="1010"/>
    <w:link w:val="1034"/>
    <w:uiPriority w:val="99"/>
    <w:pPr>
      <w:pBdr/>
      <w:spacing/>
      <w:ind/>
    </w:pPr>
    <w:rPr>
      <w:rFonts w:ascii="Times New Roman" w:hAnsi="Times New Roman" w:eastAsia="Times New Roman" w:cs="Times New Roman"/>
      <w:sz w:val="20"/>
      <w:szCs w:val="20"/>
    </w:rPr>
  </w:style>
  <w:style w:type="paragraph" w:styleId="1036">
    <w:name w:val="annotation subject"/>
    <w:basedOn w:val="1034"/>
    <w:next w:val="1034"/>
    <w:link w:val="1037"/>
    <w:uiPriority w:val="99"/>
    <w:semiHidden/>
    <w:unhideWhenUsed/>
    <w:pPr>
      <w:pBdr/>
      <w:spacing/>
      <w:ind/>
    </w:pPr>
    <w:rPr>
      <w:b/>
      <w:bCs/>
    </w:rPr>
  </w:style>
  <w:style w:type="character" w:styleId="1037" w:customStyle="1">
    <w:name w:val="Comment Subject Char"/>
    <w:basedOn w:val="1035"/>
    <w:link w:val="1036"/>
    <w:uiPriority w:val="99"/>
    <w:semiHidden/>
    <w:pPr>
      <w:pBdr/>
      <w:spacing/>
      <w:ind/>
    </w:pPr>
    <w:rPr>
      <w:rFonts w:ascii="Times New Roman" w:hAnsi="Times New Roman" w:eastAsia="Times New Roman" w:cs="Times New Roman"/>
      <w:b/>
      <w:bCs/>
      <w:sz w:val="20"/>
      <w:szCs w:val="20"/>
    </w:rPr>
  </w:style>
  <w:style w:type="paragraph" w:styleId="1038" w:customStyle="1">
    <w:name w:val="font5"/>
    <w:basedOn w:val="1005"/>
    <w:pPr>
      <w:pBdr/>
      <w:spacing w:after="100" w:afterAutospacing="1" w:before="100" w:beforeAutospacing="1"/>
      <w:ind/>
    </w:pPr>
    <w:rPr>
      <w:rFonts w:ascii="Tahoma" w:hAnsi="Tahoma" w:cs="Tahoma"/>
      <w:color w:val="000000"/>
      <w:sz w:val="18"/>
      <w:szCs w:val="18"/>
    </w:rPr>
  </w:style>
  <w:style w:type="paragraph" w:styleId="1039" w:customStyle="1">
    <w:name w:val="font6"/>
    <w:basedOn w:val="1005"/>
    <w:pPr>
      <w:pBdr/>
      <w:spacing w:after="100" w:afterAutospacing="1" w:before="100" w:beforeAutospacing="1"/>
      <w:ind/>
    </w:pPr>
    <w:rPr>
      <w:rFonts w:ascii="Tahoma" w:hAnsi="Tahoma" w:cs="Tahoma"/>
      <w:b/>
      <w:bCs/>
      <w:color w:val="000000"/>
      <w:sz w:val="18"/>
      <w:szCs w:val="18"/>
    </w:rPr>
  </w:style>
  <w:style w:type="paragraph" w:styleId="1040" w:customStyle="1">
    <w:name w:val="xl233"/>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41" w:customStyle="1">
    <w:name w:val="xl234"/>
    <w:basedOn w:val="1005"/>
    <w:pPr>
      <w:pBdr/>
      <w:spacing w:after="100" w:afterAutospacing="1" w:before="100" w:beforeAutospacing="1"/>
      <w:ind/>
      <w:jc w:val="center"/>
    </w:pPr>
  </w:style>
  <w:style w:type="paragraph" w:styleId="1042" w:customStyle="1">
    <w:name w:val="xl235"/>
    <w:basedOn w:val="1005"/>
    <w:pPr>
      <w:pBdr/>
      <w:spacing w:after="100" w:afterAutospacing="1" w:before="100" w:beforeAutospacing="1"/>
      <w:ind/>
      <w:jc w:val="center"/>
    </w:pPr>
    <w:rPr>
      <w:b/>
      <w:bCs/>
    </w:rPr>
  </w:style>
  <w:style w:type="paragraph" w:styleId="1043" w:customStyle="1">
    <w:name w:val="xl236"/>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44" w:customStyle="1">
    <w:name w:val="xl237"/>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5" w:customStyle="1">
    <w:name w:val="xl238"/>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46" w:customStyle="1">
    <w:name w:val="xl239"/>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47" w:customStyle="1">
    <w:name w:val="xl240"/>
    <w:basedOn w:val="1005"/>
    <w:pPr>
      <w:pBdr/>
      <w:spacing w:after="100" w:afterAutospacing="1" w:before="100" w:beforeAutospacing="1"/>
      <w:ind/>
    </w:pPr>
  </w:style>
  <w:style w:type="paragraph" w:styleId="1048" w:customStyle="1">
    <w:name w:val="xl241"/>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9" w:customStyle="1">
    <w:name w:val="xl242"/>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0" w:customStyle="1">
    <w:name w:val="xl243"/>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1" w:customStyle="1">
    <w:name w:val="xl244"/>
    <w:basedOn w:val="1005"/>
    <w:pPr>
      <w:pBdr/>
      <w:spacing w:after="100" w:afterAutospacing="1" w:before="100" w:beforeAutospacing="1"/>
      <w:ind/>
    </w:pPr>
    <w:rPr>
      <w:b/>
      <w:bCs/>
    </w:rPr>
  </w:style>
  <w:style w:type="paragraph" w:styleId="1052" w:customStyle="1">
    <w:name w:val="xl245"/>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3" w:customStyle="1">
    <w:name w:val="xl246"/>
    <w:basedOn w:val="1005"/>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54" w:customStyle="1">
    <w:name w:val="xl247"/>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5" w:customStyle="1">
    <w:name w:val="xl248"/>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56" w:customStyle="1">
    <w:name w:val="xl249"/>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57" w:customStyle="1">
    <w:name w:val="xl250"/>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58" w:customStyle="1">
    <w:name w:val="xl251"/>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59" w:customStyle="1">
    <w:name w:val="xl252"/>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0" w:customStyle="1">
    <w:name w:val="xl253"/>
    <w:basedOn w:val="1005"/>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1" w:customStyle="1">
    <w:name w:val="xl254"/>
    <w:basedOn w:val="1005"/>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2" w:customStyle="1">
    <w:name w:val="xl255"/>
    <w:basedOn w:val="1005"/>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63" w:customStyle="1">
    <w:name w:val="xl256"/>
    <w:basedOn w:val="1005"/>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4" w:customStyle="1">
    <w:name w:val="xl257"/>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5" w:customStyle="1">
    <w:name w:val="xl258"/>
    <w:basedOn w:val="1005"/>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6" w:customStyle="1">
    <w:name w:val="xl259"/>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7" w:customStyle="1">
    <w:name w:val="xl260"/>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8" w:customStyle="1">
    <w:name w:val="xl261"/>
    <w:basedOn w:val="1005"/>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69" w:customStyle="1">
    <w:name w:val="xl262"/>
    <w:basedOn w:val="1005"/>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0" w:customStyle="1">
    <w:name w:val="xl263"/>
    <w:basedOn w:val="1005"/>
    <w:pPr>
      <w:pBdr/>
      <w:shd w:val="clear" w:color="000000" w:fill="ffffff"/>
      <w:spacing w:after="100" w:afterAutospacing="1" w:before="100" w:beforeAutospacing="1"/>
      <w:ind/>
    </w:pPr>
  </w:style>
  <w:style w:type="paragraph" w:styleId="1071" w:customStyle="1">
    <w:name w:val="xl264"/>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2" w:customStyle="1">
    <w:name w:val="xl265"/>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73" w:customStyle="1">
    <w:name w:val="xl266"/>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74" w:customStyle="1">
    <w:name w:val="xl267"/>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5" w:customStyle="1">
    <w:name w:val="xl268"/>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6" w:customStyle="1">
    <w:name w:val="xl269"/>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7" w:customStyle="1">
    <w:name w:val="xl270"/>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8" w:customStyle="1">
    <w:name w:val="xl271"/>
    <w:basedOn w:val="1005"/>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79" w:customStyle="1">
    <w:name w:val="xl272"/>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80" w:customStyle="1">
    <w:name w:val="xl273"/>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81" w:customStyle="1">
    <w:name w:val="xl274"/>
    <w:basedOn w:val="1005"/>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2" w:customStyle="1">
    <w:name w:val="xl275"/>
    <w:basedOn w:val="1005"/>
    <w:pPr>
      <w:pBdr/>
      <w:spacing w:after="100" w:afterAutospacing="1" w:before="100" w:beforeAutospacing="1"/>
      <w:ind/>
    </w:pPr>
  </w:style>
  <w:style w:type="paragraph" w:styleId="1083" w:customStyle="1">
    <w:name w:val="xl276"/>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4" w:customStyle="1">
    <w:name w:val="xl277"/>
    <w:basedOn w:val="1005"/>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85" w:customStyle="1">
    <w:name w:val="xl278"/>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6" w:customStyle="1">
    <w:name w:val="xl279"/>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7" w:customStyle="1">
    <w:name w:val="xl280"/>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8" w:customStyle="1">
    <w:name w:val="xl281"/>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9" w:customStyle="1">
    <w:name w:val="xl282"/>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0" w:customStyle="1">
    <w:name w:val="xl283"/>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1" w:customStyle="1">
    <w:name w:val="xl284"/>
    <w:basedOn w:val="1005"/>
    <w:pPr>
      <w:pBdr>
        <w:left w:val="single" w:color="000000" w:sz="4" w:space="0"/>
        <w:bottom w:val="single" w:color="000000" w:sz="4" w:space="0"/>
        <w:right w:val="single" w:color="000000" w:sz="4" w:space="0"/>
      </w:pBdr>
      <w:spacing w:after="100" w:afterAutospacing="1" w:before="100" w:beforeAutospacing="1"/>
      <w:ind/>
    </w:pPr>
  </w:style>
  <w:style w:type="paragraph" w:styleId="1092" w:customStyle="1">
    <w:name w:val="xl285"/>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3" w:customStyle="1">
    <w:name w:val="xl286"/>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4" w:customStyle="1">
    <w:name w:val="xl287"/>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5" w:customStyle="1">
    <w:name w:val="xl288"/>
    <w:basedOn w:val="1005"/>
    <w:pPr>
      <w:pBdr>
        <w:top w:val="single" w:color="000000" w:sz="4" w:space="0"/>
        <w:left w:val="single" w:color="000000" w:sz="4" w:space="0"/>
        <w:right w:val="single" w:color="000000" w:sz="4" w:space="0"/>
      </w:pBdr>
      <w:spacing w:after="100" w:afterAutospacing="1" w:before="100" w:beforeAutospacing="1"/>
      <w:ind/>
    </w:pPr>
  </w:style>
  <w:style w:type="paragraph" w:styleId="1096" w:customStyle="1">
    <w:name w:val="xl289"/>
    <w:basedOn w:val="1005"/>
    <w:pPr>
      <w:pBdr>
        <w:left w:val="single" w:color="000000" w:sz="4" w:space="0"/>
        <w:right w:val="single" w:color="000000" w:sz="4" w:space="0"/>
      </w:pBdr>
      <w:spacing w:after="100" w:afterAutospacing="1" w:before="100" w:beforeAutospacing="1"/>
      <w:ind/>
    </w:pPr>
    <w:rPr>
      <w:b/>
      <w:bCs/>
    </w:rPr>
  </w:style>
  <w:style w:type="paragraph" w:styleId="1097" w:customStyle="1">
    <w:name w:val="xl290"/>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98" w:customStyle="1">
    <w:name w:val="xl291"/>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99" w:customStyle="1">
    <w:name w:val="xl292"/>
    <w:basedOn w:val="1005"/>
    <w:pPr>
      <w:pBdr>
        <w:top w:val="single" w:color="000000" w:sz="4" w:space="0"/>
        <w:left w:val="single" w:color="000000" w:sz="4" w:space="0"/>
        <w:right w:val="single" w:color="000000" w:sz="4" w:space="0"/>
      </w:pBdr>
      <w:spacing w:after="100" w:afterAutospacing="1" w:before="100" w:beforeAutospacing="1"/>
      <w:ind/>
    </w:pPr>
  </w:style>
  <w:style w:type="paragraph" w:styleId="1100" w:customStyle="1">
    <w:name w:val="xl293"/>
    <w:basedOn w:val="1005"/>
    <w:pPr>
      <w:pBdr>
        <w:left w:val="single" w:color="000000" w:sz="4" w:space="0"/>
        <w:bottom w:val="single" w:color="000000" w:sz="4" w:space="0"/>
        <w:right w:val="single" w:color="000000" w:sz="4" w:space="0"/>
      </w:pBdr>
      <w:spacing w:after="100" w:afterAutospacing="1" w:before="100" w:beforeAutospacing="1"/>
      <w:ind/>
    </w:pPr>
  </w:style>
  <w:style w:type="paragraph" w:styleId="1101" w:customStyle="1">
    <w:name w:val="xl294"/>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2">
    <w:name w:val="Title"/>
    <w:basedOn w:val="1005"/>
    <w:link w:val="1103"/>
    <w:qFormat/>
    <w:pPr>
      <w:pBdr/>
      <w:spacing/>
      <w:ind/>
      <w:jc w:val="center"/>
    </w:pPr>
    <w:rPr>
      <w:b/>
      <w:bCs/>
      <w:sz w:val="32"/>
      <w:szCs w:val="26"/>
    </w:rPr>
  </w:style>
  <w:style w:type="character" w:styleId="1103" w:customStyle="1">
    <w:name w:val="Title Char"/>
    <w:basedOn w:val="1010"/>
    <w:link w:val="1102"/>
    <w:pPr>
      <w:pBdr/>
      <w:spacing/>
      <w:ind/>
    </w:pPr>
    <w:rPr>
      <w:rFonts w:ascii="Times New Roman" w:hAnsi="Times New Roman" w:eastAsia="Times New Roman" w:cs="Times New Roman"/>
      <w:b/>
      <w:bCs/>
      <w:sz w:val="32"/>
      <w:szCs w:val="26"/>
    </w:rPr>
  </w:style>
  <w:style w:type="character" w:styleId="1104" w:customStyle="1">
    <w:name w:val="Unresolved Mention1"/>
    <w:basedOn w:val="1010"/>
    <w:uiPriority w:val="99"/>
    <w:semiHidden/>
    <w:unhideWhenUsed/>
    <w:pPr>
      <w:pBdr/>
      <w:spacing/>
      <w:ind/>
    </w:pPr>
    <w:rPr>
      <w:color w:val="605e5c"/>
      <w:shd w:val="clear" w:color="auto" w:fill="e1dfdd"/>
    </w:rPr>
  </w:style>
  <w:style w:type="character" w:styleId="1105" w:customStyle="1">
    <w:name w:val="Body text (3)_"/>
    <w:link w:val="1106"/>
    <w:pPr>
      <w:pBdr/>
      <w:spacing/>
      <w:ind/>
    </w:pPr>
    <w:rPr>
      <w:rFonts w:ascii="Times New Roman" w:hAnsi="Times New Roman" w:cs="Times New Roman"/>
      <w:i/>
      <w:iCs/>
      <w:spacing w:val="4"/>
      <w:shd w:val="clear" w:color="auto" w:fill="ffffff"/>
    </w:rPr>
  </w:style>
  <w:style w:type="paragraph" w:styleId="1106" w:customStyle="1">
    <w:name w:val="Body text (3)1"/>
    <w:basedOn w:val="1005"/>
    <w:link w:val="1105"/>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07" w:customStyle="1">
    <w:name w:val="t-j"/>
    <w:basedOn w:val="1005"/>
    <w:pPr>
      <w:pBdr/>
      <w:spacing w:after="100" w:afterAutospacing="1" w:before="100" w:beforeAutospacing="1"/>
      <w:ind/>
    </w:pPr>
  </w:style>
  <w:style w:type="character" w:styleId="1108" w:customStyle="1">
    <w:name w:val="Unresolved Mention2"/>
    <w:basedOn w:val="1010"/>
    <w:uiPriority w:val="99"/>
    <w:semiHidden/>
    <w:unhideWhenUsed/>
    <w:pPr>
      <w:pBdr/>
      <w:spacing/>
      <w:ind/>
    </w:pPr>
    <w:rPr>
      <w:color w:val="605e5c"/>
      <w:shd w:val="clear" w:color="auto" w:fill="e1dfdd"/>
    </w:rPr>
  </w:style>
  <w:style w:type="character" w:styleId="1109">
    <w:name w:val="FollowedHyperlink"/>
    <w:basedOn w:val="1010"/>
    <w:uiPriority w:val="99"/>
    <w:semiHidden/>
    <w:unhideWhenUsed/>
    <w:pPr>
      <w:pBdr/>
      <w:spacing/>
      <w:ind/>
    </w:pPr>
    <w:rPr>
      <w:color w:val="800080" w:themeColor="followedHyperlink"/>
      <w:u w:val="single"/>
    </w:rPr>
  </w:style>
  <w:style w:type="character" w:styleId="1110" w:customStyle="1">
    <w:name w:val="text"/>
    <w:basedOn w:val="1010"/>
    <w:pPr>
      <w:pBdr/>
      <w:spacing/>
      <w:ind/>
    </w:pPr>
  </w:style>
  <w:style w:type="character" w:styleId="1111" w:customStyle="1">
    <w:name w:val="card-send-time__sendtime"/>
    <w:basedOn w:val="1010"/>
    <w:pPr>
      <w:pBdr/>
      <w:spacing/>
      <w:ind/>
    </w:pPr>
  </w:style>
  <w:style w:type="character" w:styleId="1112" w:customStyle="1">
    <w:name w:val="Đề cập Chưa giải quyết1"/>
    <w:basedOn w:val="1010"/>
    <w:uiPriority w:val="99"/>
    <w:semiHidden/>
    <w:unhideWhenUsed/>
    <w:pPr>
      <w:pBdr/>
      <w:spacing/>
      <w:ind/>
    </w:pPr>
    <w:rPr>
      <w:color w:val="605e5c"/>
      <w:shd w:val="clear" w:color="auto" w:fill="e1dfdd"/>
    </w:rPr>
  </w:style>
  <w:style w:type="paragraph" w:styleId="1113" w:customStyle="1">
    <w:name w:val="nqtitle"/>
    <w:basedOn w:val="1005"/>
    <w:pPr>
      <w:pBdr/>
      <w:spacing w:after="100" w:afterAutospacing="1" w:before="100" w:beforeAutospacing="1"/>
      <w:ind/>
    </w:pPr>
    <w:rPr>
      <w:lang w:val="vi-VN" w:eastAsia="vi-VN"/>
    </w:rPr>
  </w:style>
  <w:style w:type="character" w:styleId="1114" w:customStyle="1">
    <w:name w:val="List Paragraph Char"/>
    <w:link w:val="1027"/>
    <w:uiPriority w:val="34"/>
    <w:qFormat/>
    <w:pPr>
      <w:pBdr/>
      <w:spacing/>
      <w:ind/>
    </w:pPr>
    <w:rPr>
      <w:rFonts w:ascii="Times New Roman" w:hAnsi="Times New Roman" w:eastAsia="Times New Roman" w:cs="Times New Roman"/>
      <w:sz w:val="24"/>
      <w:szCs w:val="24"/>
    </w:rPr>
  </w:style>
  <w:style w:type="character" w:styleId="1115" w:customStyle="1">
    <w:name w:val="Đề cập Chưa giải quyết2"/>
    <w:basedOn w:val="1010"/>
    <w:uiPriority w:val="99"/>
    <w:semiHidden/>
    <w:unhideWhenUsed/>
    <w:pPr>
      <w:pBdr/>
      <w:spacing/>
      <w:ind/>
    </w:pPr>
    <w:rPr>
      <w:color w:val="605e5c"/>
      <w:shd w:val="clear" w:color="auto" w:fill="e1dfdd"/>
    </w:rPr>
  </w:style>
  <w:style w:type="character" w:styleId="1116" w:customStyle="1">
    <w:name w:val="Unresolved Mention3"/>
    <w:basedOn w:val="1010"/>
    <w:uiPriority w:val="99"/>
    <w:semiHidden/>
    <w:unhideWhenUsed/>
    <w:pPr>
      <w:pBdr/>
      <w:spacing/>
      <w:ind/>
    </w:pPr>
    <w:rPr>
      <w:color w:val="605e5c"/>
      <w:shd w:val="clear" w:color="auto" w:fill="e1dfdd"/>
    </w:rPr>
  </w:style>
  <w:style w:type="character" w:styleId="1117" w:customStyle="1">
    <w:name w:val="copy"/>
    <w:basedOn w:val="1010"/>
    <w:pPr>
      <w:pBdr/>
      <w:spacing/>
      <w:ind/>
    </w:pPr>
  </w:style>
  <w:style w:type="paragraph" w:styleId="1118" w:customStyle="1">
    <w:name w:val="align-justify"/>
    <w:basedOn w:val="1005"/>
    <w:pPr>
      <w:pBdr/>
      <w:spacing w:after="100" w:afterAutospacing="1" w:before="100" w:beforeAutospacing="1"/>
      <w:ind/>
    </w:pPr>
  </w:style>
  <w:style w:type="character" w:styleId="1119" w:customStyle="1">
    <w:name w:val="btn"/>
    <w:basedOn w:val="1010"/>
    <w:pPr>
      <w:pBdr/>
      <w:spacing/>
      <w:ind/>
    </w:pPr>
  </w:style>
  <w:style w:type="character" w:styleId="1120" w:customStyle="1">
    <w:name w:val="hide_mobile"/>
    <w:basedOn w:val="1010"/>
    <w:pPr>
      <w:pBdr/>
      <w:spacing/>
      <w:ind/>
    </w:pPr>
  </w:style>
  <w:style w:type="character" w:styleId="1121">
    <w:name w:val="Emphasis"/>
    <w:basedOn w:val="1010"/>
    <w:uiPriority w:val="20"/>
    <w:qFormat/>
    <w:pPr>
      <w:pBdr/>
      <w:spacing/>
      <w:ind/>
    </w:pPr>
    <w:rPr>
      <w:i/>
      <w:iCs/>
    </w:rPr>
  </w:style>
  <w:style w:type="character" w:styleId="1122" w:customStyle="1">
    <w:name w:val="t1"/>
    <w:basedOn w:val="1010"/>
    <w:pPr>
      <w:pBdr/>
      <w:spacing/>
      <w:ind/>
    </w:pPr>
  </w:style>
  <w:style w:type="character" w:styleId="1123" w:customStyle="1">
    <w:name w:val="Unresolved Mention4"/>
    <w:basedOn w:val="1010"/>
    <w:uiPriority w:val="99"/>
    <w:semiHidden/>
    <w:unhideWhenUsed/>
    <w:pPr>
      <w:pBdr/>
      <w:spacing/>
      <w:ind/>
    </w:pPr>
    <w:rPr>
      <w:color w:val="605e5c"/>
      <w:shd w:val="clear" w:color="auto" w:fill="e1dfdd"/>
    </w:rPr>
  </w:style>
  <w:style w:type="character" w:styleId="1124">
    <w:name w:val="Unresolved Mention"/>
    <w:basedOn w:val="1010"/>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image" Target="media/image3.png"/><Relationship Id="rId18" Type="http://schemas.openxmlformats.org/officeDocument/2006/relationships/image" Target="media/image4.png"/><Relationship Id="rId19" Type="http://schemas.openxmlformats.org/officeDocument/2006/relationships/image" Target="media/image5.jpg"/><Relationship Id="rId20" Type="http://schemas.openxmlformats.org/officeDocument/2006/relationships/image" Target="media/image6.jpg"/><Relationship Id="rId21" Type="http://schemas.openxmlformats.org/officeDocument/2006/relationships/image" Target="media/image7.jpg"/><Relationship Id="rId22" Type="http://schemas.openxmlformats.org/officeDocument/2006/relationships/image" Target="media/image8.jpg"/><Relationship Id="rId23" Type="http://schemas.openxmlformats.org/officeDocument/2006/relationships/image" Target="media/image9.jpg"/><Relationship Id="rId24" Type="http://schemas.openxmlformats.org/officeDocument/2006/relationships/image" Target="media/image10.jpg"/><Relationship Id="rId25" Type="http://schemas.openxmlformats.org/officeDocument/2006/relationships/image" Target="media/image11.jpg"/><Relationship Id="rId26" Type="http://schemas.openxmlformats.org/officeDocument/2006/relationships/image" Target="media/image12.jpg"/><Relationship Id="rId27" Type="http://schemas.openxmlformats.org/officeDocument/2006/relationships/image" Target="media/image13.png"/><Relationship Id="rId28" Type="http://schemas.openxmlformats.org/officeDocument/2006/relationships/image" Target="media/image14.png"/><Relationship Id="rId29" Type="http://schemas.openxmlformats.org/officeDocument/2006/relationships/image" Target="media/image15.png"/><Relationship Id="rId30" Type="http://schemas.openxmlformats.org/officeDocument/2006/relationships/image" Target="media/image16.png"/><Relationship Id="rId31" Type="http://schemas.openxmlformats.org/officeDocument/2006/relationships/image" Target="media/image17.png"/><Relationship Id="rId32" Type="http://schemas.openxmlformats.org/officeDocument/2006/relationships/image" Target="media/image18.jpg"/><Relationship Id="rId33" Type="http://schemas.openxmlformats.org/officeDocument/2006/relationships/image" Target="media/image19.png"/><Relationship Id="rId34" Type="http://schemas.openxmlformats.org/officeDocument/2006/relationships/image" Target="media/image20.png"/><Relationship Id="rId35" Type="http://schemas.openxmlformats.org/officeDocument/2006/relationships/image" Target="media/image21.png"/><Relationship Id="rId36" Type="http://schemas.openxmlformats.org/officeDocument/2006/relationships/image" Target="media/image22.jpg"/><Relationship Id="rId37" Type="http://schemas.openxmlformats.org/officeDocument/2006/relationships/image" Target="media/image23.jp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Nguyễn Thị Thùy</cp:lastModifiedBy>
  <cp:revision>281</cp:revision>
  <dcterms:created xsi:type="dcterms:W3CDTF">2025-09-15T09:58:00Z</dcterms:created>
  <dcterms:modified xsi:type="dcterms:W3CDTF">2026-08-18T04:00:38Z</dcterms:modified>
</cp:coreProperties>
</file>