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397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397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275/2026/1268/VFI-CT.65.A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THƯƠNG MẠI XUẤT NHẬP KHẨU TÂN THÁI BÌNH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262(1p), tờ bản đồ số: 02, có địa chỉ: Số 6, ngõ 232, phố Yên Hòa, tổ 13, phường Yên Hòa, quận Cầu Giấy, thành phố Hà Nội (nay là phường Yên Hòa, t</w:t>
                            </w:r>
                            <w:r>
                              <w:rPr>
                                <w:color w:val="000000"/>
                              </w:rPr>
                              <w:t xml:space="preserve">hành phố Hà Nội), theo Giấy chứng nhận quyền sử dụng đất quyền sở hữu nhà ở và tài sản khác gắn liền với đất số: CH 294659, số vào sổ cấp GCN: CH (440/QĐ-UBND/2017)/4057 do Ủy ban nhân dân quận Cầu Giấy cấp ngày 25/01/2017; Chủ tài sản là ông Vũ Tuấn Khanh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2.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275/2026/1268/VFI-CT.65.A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THƯƠNG MẠI XUẤT NHẬP KHẨU TÂN THÁI BÌNH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262(1p), tờ bản đồ số: 02, có địa chỉ: Số 6, ngõ 232, phố Yên Hòa, tổ 13, phường Yên Hòa, quận Cầu Giấy, thành phố Hà Nội (nay là phường Yên Hòa, t</w:t>
                      </w:r>
                      <w:r>
                        <w:rPr>
                          <w:color w:val="000000"/>
                        </w:rPr>
                        <w:t xml:space="preserve">hành phố Hà Nội), theo Giấy chứng nhận quyền sử dụng đất quyền sở hữu nhà ở và tài sản khác gắn liền với đất số: CH 294659, số vào sổ cấp GCN: CH (440/QĐ-UBND/2017)/4057 do Ủy ban nhân dân quận Cầu Giấy cấp ngày 25/01/2017; Chủ tài sản là ông Vũ Tuấn Khanh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68" w:type="dxa"/>
        <w:tblBorders/>
        <w:tblLayout w:type="fixed"/>
        <w:tblLook w:val="04A0" w:firstRow="1" w:lastRow="0" w:firstColumn="1" w:lastColumn="0" w:noHBand="0" w:noVBand="1"/>
      </w:tblPr>
      <w:tblGrid>
        <w:gridCol w:w="29"/>
        <w:gridCol w:w="1701"/>
        <w:gridCol w:w="2835"/>
        <w:gridCol w:w="5304"/>
      </w:tblGrid>
      <w:tr>
        <w:trPr>
          <w:trHeight w:val="1559"/>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3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46"/>
        </w:trPr>
        <w:tc>
          <w:tcPr>
            <w:gridSpan w:val="2"/>
            <w:shd w:val="clear" w:color="auto" w:fill="auto"/>
            <w:tcBorders/>
            <w:tcMar>
              <w:left w:w="108" w:type="dxa"/>
              <w:top w:w="0" w:type="dxa"/>
              <w:right w:w="108" w:type="dxa"/>
              <w:bottom w:w="0" w:type="dxa"/>
            </w:tcMar>
            <w:tcW w:w="4535"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275/2026/1268/VFI-CT.65.A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304"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14 tháng 8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THƯƠNG MẠI XUẤT NHẬP KHẨU TÂN THÁI BÌNH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275/2026/1268/VFI-HĐTĐ.65.A</w:t>
      </w:r>
      <w:r>
        <w:rPr>
          <w:spacing w:val="-4"/>
          <w:lang w:val="vi-VN"/>
        </w:rPr>
        <w:t xml:space="preserve"> ký ngày </w:t>
      </w:r>
      <w:r>
        <w:rPr>
          <w:color w:val="000000" w:themeColor="text1"/>
          <w:spacing w:val="-4"/>
        </w:rPr>
        <w:t xml:space="preserve">6 tháng 8 năm 2026</w:t>
      </w:r>
      <w:r>
        <w:rPr>
          <w:spacing w:val="-4"/>
          <w:lang w:val="vi-VN"/>
        </w:rPr>
        <w:t xml:space="preserve"> </w:t>
      </w:r>
      <w:r>
        <w:rPr>
          <w:spacing w:val="-4"/>
          <w:lang w:val="vi-VN"/>
        </w:rPr>
        <w:t xml:space="preserve">giữa </w:t>
      </w:r>
      <w:r>
        <w:rPr>
          <w:color w:val="000000" w:themeColor="text1"/>
          <w:spacing w:val="-4"/>
        </w:rPr>
        <w:t xml:space="preserve">CÔNG TY TNHH THƯƠNG MẠI XUẤT NHẬP KHẨU TÂN THÁI BÌNH</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275/2026/1268/VFI-BC.65</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THƯƠNG MẠI XUẤT NHẬP KHẨU TÂN THÁI BÌNH</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0110738142</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25, Tổ 6, Xã Đông Anh, Thành phố Hà Nội, Việt Nam</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Nguyễn Thị Ngọc Bích                               Chức danh: Giám đốc</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r>
            <w:r>
              <w:rPr>
                <w:b/>
                <w:bCs/>
                <w:lang w:val="vi-VN"/>
              </w:rPr>
            </w:r>
            <w:r>
              <w:rPr>
                <w:b/>
                <w:bCs/>
                <w:lang w:val="vi-VN"/>
              </w:rPr>
            </w:r>
          </w:p>
          <w:p>
            <w:pPr>
              <w:pBdr/>
              <w:spacing w:after="40" w:before="40" w:line="276" w:lineRule="auto"/>
              <w:ind/>
              <w:rPr>
                <w:b/>
                <w:bCs/>
                <w:lang w:val="vi-VN"/>
              </w:rPr>
            </w:pP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262(1p), tờ bản đồ số: 02, có địa chỉ: Số 6, ngõ 232, phố Yên Hòa, tổ 13, phường Yên Hòa, quận Cầu Giấy, thành phố Hà Nội (nay là phường Yên Hòa, t</w:t>
      </w:r>
      <w:r>
        <w:rPr>
          <w:color w:val="000000" w:themeColor="text1"/>
        </w:rPr>
        <w:t xml:space="preserve">hành phố Hà Nội), theo Giấy chứng nhận quyền sử dụng đất quyền sở hữu nhà ở và tài sản khác gắn liền với đất số: CH 294659, số vào sổ cấp GCN: CH (440/QĐ-UBND/2017)/4057 do Ủy ban nhân dân quận Cầu Giấy cấp ngày 25/01/2017; Chủ tài sản là ông Vũ Tuấn Khanh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50"/>
        <w:gridCol w:w="1971"/>
        <w:gridCol w:w="1276"/>
        <w:gridCol w:w="1764"/>
        <w:gridCol w:w="1692"/>
        <w:gridCol w:w="2073"/>
      </w:tblGrid>
      <w:tr>
        <w:trPr>
          <w:trHeight w:val="20"/>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97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276"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764"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692" w:type="dxa"/>
            <w:vAlign w:val="center"/>
            <w:textDirection w:val="lrTb"/>
            <w:noWrap w:val="false"/>
          </w:tcPr>
          <w:p>
            <w:pPr>
              <w:pBdr/>
              <w:spacing/>
              <w:ind/>
              <w:jc w:val="center"/>
              <w:rPr>
                <w:b/>
                <w:bCs/>
              </w:rPr>
            </w:pPr>
            <w:r>
              <w:rPr>
                <w:b/>
                <w:bCs/>
              </w:rPr>
              <w:t xml:space="preserve">Tỷ lệ chất lượng còn lại (%)</w:t>
            </w:r>
            <w:r>
              <w:rPr>
                <w:b/>
                <w:bCs/>
              </w:rPr>
            </w:r>
            <w:r>
              <w:rPr>
                <w:b/>
                <w:bCs/>
              </w:rPr>
            </w:r>
          </w:p>
        </w:tc>
        <w:tc>
          <w:tcPr>
            <w:shd w:val="clear" w:color="000000" w:fill="ffffff"/>
            <w:tcBorders/>
            <w:tcW w:w="2073"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439"/>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702"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262(1p), tờ bản đồ số: 02, có địa chỉ: Số 6, ngõ 232, phố Yên Hòa, tổ 13, phường Yên Hòa, quận Cầu Giấy, thành phố Hà Nội (nay là phường Yên Hòa, t</w:t>
            </w:r>
            <w:r>
              <w:rPr>
                <w:color w:val="000000"/>
              </w:rPr>
              <w:t xml:space="preserve">hành phố Hà Nội), theo Giấy chứng nhận quyền sử dụng đất quyền sở hữu nhà ở và tài sản khác gắn liền với đất số: CH 294659, số vào sổ cấp GCN: CH (440/QĐ-UBND/2017)/4057 do Ủy ban nhân dân quận Cầu Giấy cấp ngày 25/01/2017; Chủ tài sản là ông Vũ Tuấn Khanh</w:t>
            </w:r>
            <w:r>
              <w:rPr>
                <w:b/>
                <w:bCs/>
              </w:rPr>
              <w:t xml:space="preserve">.</w:t>
            </w:r>
            <w:r>
              <w:rPr>
                <w:b/>
                <w:bCs/>
              </w:rPr>
            </w:r>
            <w:r>
              <w:rPr>
                <w:b/>
                <w:bCs/>
              </w:rPr>
            </w:r>
          </w:p>
        </w:tc>
        <w:tc>
          <w:tcPr>
            <w:shd w:val="clear" w:color="000000" w:fill="ffffff"/>
            <w:tcBorders/>
            <w:tcW w:w="2073"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971" w:type="dxa"/>
            <w:vAlign w:val="center"/>
            <w:textDirection w:val="lrTb"/>
            <w:noWrap w:val="false"/>
          </w:tcPr>
          <w:p>
            <w:pPr>
              <w:pBdr/>
              <w:spacing w:after="40" w:before="40" w:line="288" w:lineRule="auto"/>
              <w:ind/>
              <w:rPr/>
            </w:pPr>
            <w:r>
              <w:rPr>
                <w:b/>
                <w:bCs/>
              </w:rPr>
              <w:t xml:space="preserve">Đất ở tại đô thị</w:t>
            </w: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80,6</w:t>
            </w:r>
            <w:r>
              <w:rPr>
                <w:color w:val="000000"/>
              </w:rPr>
            </w:r>
            <w:r>
              <w:rPr>
                <w:color w:val="000000"/>
              </w:rPr>
            </w:r>
          </w:p>
        </w:tc>
        <w:tc>
          <w:tcPr>
            <w:shd w:val="clear" w:color="000000" w:fill="ffffff"/>
            <w:tcBorders/>
            <w:tcW w:w="1764" w:type="dxa"/>
            <w:vAlign w:val="center"/>
            <w:textDirection w:val="lrTb"/>
            <w:noWrap w:val="false"/>
          </w:tcPr>
          <w:p>
            <w:pPr>
              <w:pBdr/>
              <w:spacing w:after="40" w:before="40" w:line="288" w:lineRule="auto"/>
              <w:ind/>
              <w:jc w:val="center"/>
              <w:rPr/>
            </w:pPr>
            <w:r>
              <w:rPr>
                <w:color w:val="000000" w:themeColor="text1"/>
              </w:rPr>
              <w:t xml:space="preserve">270.000.000</w:t>
            </w:r>
            <w:r/>
          </w:p>
        </w:tc>
        <w:tc>
          <w:tcPr>
            <w:shd w:val="clear" w:color="000000" w:fill="ffffff"/>
            <w:tcBorders/>
            <w:tcW w:w="1692"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2073" w:type="dxa"/>
            <w:vAlign w:val="center"/>
            <w:textDirection w:val="lrTb"/>
            <w:noWrap w:val="false"/>
          </w:tcPr>
          <w:p>
            <w:pPr>
              <w:pBdr/>
              <w:spacing w:after="40" w:before="40" w:line="288" w:lineRule="auto"/>
              <w:ind/>
              <w:jc w:val="center"/>
              <w:rPr/>
            </w:pPr>
            <w:r>
              <w:rPr>
                <w:color w:val="000000" w:themeColor="text1"/>
              </w:rPr>
              <w:t xml:space="preserve">21.762.000.000</w:t>
            </w: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971" w:type="dxa"/>
            <w:vAlign w:val="center"/>
            <w:textDirection w:val="lrTb"/>
            <w:noWrap w:val="false"/>
          </w:tcPr>
          <w:p>
            <w:pPr>
              <w:pBdr/>
              <w:spacing w:after="40" w:before="40" w:line="288" w:lineRule="auto"/>
              <w:ind/>
              <w:rPr/>
            </w:pPr>
            <w:r>
              <w:rPr>
                <w:b/>
                <w:bCs/>
              </w:rPr>
              <w:t xml:space="preserve">Nhà ở</w:t>
            </w: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331,85</w:t>
            </w:r>
            <w:r>
              <w:rPr>
                <w:color w:val="000000"/>
              </w:rPr>
            </w:r>
            <w:r>
              <w:rPr>
                <w:color w:val="000000"/>
              </w:rPr>
            </w:r>
          </w:p>
        </w:tc>
        <w:tc>
          <w:tcPr>
            <w:shd w:val="clear" w:color="000000" w:fill="ffffff"/>
            <w:tcBorders/>
            <w:tcW w:w="1764" w:type="dxa"/>
            <w:vAlign w:val="center"/>
            <w:textDirection w:val="lrTb"/>
            <w:noWrap w:val="false"/>
          </w:tcPr>
          <w:p>
            <w:pPr>
              <w:pBdr/>
              <w:spacing w:after="40" w:before="40" w:line="288" w:lineRule="auto"/>
              <w:ind/>
              <w:jc w:val="center"/>
              <w:rPr/>
            </w:pPr>
            <w:r>
              <w:rPr>
                <w:color w:val="000000" w:themeColor="text1"/>
              </w:rPr>
              <w:t xml:space="preserve">7.433.216</w:t>
            </w:r>
            <w:r/>
          </w:p>
        </w:tc>
        <w:tc>
          <w:tcPr>
            <w:shd w:val="clear" w:color="000000" w:fill="ffffff"/>
            <w:tcBorders/>
            <w:tcW w:w="1692" w:type="dxa"/>
            <w:vAlign w:val="center"/>
            <w:textDirection w:val="lrTb"/>
            <w:noWrap w:val="false"/>
          </w:tcPr>
          <w:p>
            <w:pPr>
              <w:pBdr/>
              <w:spacing/>
              <w:ind/>
              <w:jc w:val="center"/>
              <w:rPr>
                <w:color w:val="000000" w:themeColor="text1"/>
              </w:rPr>
            </w:pPr>
            <w:r>
              <w:rPr>
                <w:color w:val="000000" w:themeColor="text1"/>
              </w:rPr>
              <w:t xml:space="preserve">86%</w:t>
            </w:r>
            <w:r>
              <w:rPr>
                <w:color w:val="000000" w:themeColor="text1"/>
              </w:rPr>
            </w:r>
            <w:r>
              <w:rPr>
                <w:color w:val="000000" w:themeColor="text1"/>
              </w:rPr>
            </w:r>
          </w:p>
        </w:tc>
        <w:tc>
          <w:tcPr>
            <w:shd w:val="clear" w:color="000000" w:fill="ffffff"/>
            <w:tcBorders/>
            <w:tcW w:w="2073" w:type="dxa"/>
            <w:vAlign w:val="center"/>
            <w:textDirection w:val="lrTb"/>
            <w:noWrap w:val="false"/>
          </w:tcPr>
          <w:p>
            <w:pPr>
              <w:pBdr/>
              <w:spacing w:after="40" w:before="40" w:line="288" w:lineRule="auto"/>
              <w:ind/>
              <w:jc w:val="center"/>
              <w:rPr/>
            </w:pPr>
            <w:r>
              <w:rPr>
                <w:color w:val="000000" w:themeColor="text1"/>
              </w:rPr>
              <w:t xml:space="preserve">2.121.372.948</w:t>
            </w:r>
            <w:r/>
          </w:p>
        </w:tc>
      </w:tr>
      <w:tr>
        <w:trPr>
          <w:trHeight w:val="20"/>
        </w:trPr>
        <w:tc>
          <w:tcPr>
            <w:gridSpan w:val="5"/>
            <w:tcBorders/>
            <w:tcW w:w="745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73" w:type="dxa"/>
            <w:vAlign w:val="center"/>
            <w:textDirection w:val="lrTb"/>
            <w:noWrap/>
          </w:tcPr>
          <w:p>
            <w:pPr>
              <w:pBdr/>
              <w:spacing w:after="40" w:before="40" w:line="288" w:lineRule="auto"/>
              <w:ind/>
              <w:jc w:val="center"/>
              <w:rPr>
                <w:b/>
                <w:bCs/>
                <w:color w:val="000000"/>
              </w:rPr>
            </w:pPr>
            <w:r>
              <w:t xml:space="preserve">23.883.372.948</w:t>
            </w:r>
            <w:r>
              <w:rPr>
                <w:b/>
                <w:bCs/>
                <w:color w:val="000000"/>
              </w:rPr>
            </w:r>
            <w:r>
              <w:rPr>
                <w:b/>
                <w:bCs/>
                <w:color w:val="000000"/>
              </w:rPr>
            </w:r>
          </w:p>
        </w:tc>
      </w:tr>
      <w:tr>
        <w:trPr>
          <w:trHeight w:val="78"/>
        </w:trPr>
        <w:tc>
          <w:tcPr>
            <w:gridSpan w:val="5"/>
            <w:tcBorders/>
            <w:tcW w:w="7452"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73" w:type="dxa"/>
            <w:vAlign w:val="center"/>
            <w:textDirection w:val="lrTb"/>
            <w:noWrap/>
          </w:tcPr>
          <w:p>
            <w:pPr>
              <w:pBdr/>
              <w:spacing w:after="40" w:before="40" w:line="288" w:lineRule="auto"/>
              <w:ind/>
              <w:jc w:val="center"/>
              <w:rPr>
                <w:b/>
                <w:bCs/>
                <w:color w:val="000000"/>
              </w:rPr>
            </w:pPr>
            <w:r>
              <w:rPr>
                <w:b/>
                <w:bCs/>
                <w:color w:val="000000"/>
              </w:rPr>
              <w:t xml:space="preserve">23.883.000.000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mươi ba tỷ tám trăm tám mươi ba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25" w:type="dxa"/>
        <w:tblBorders/>
        <w:tblLayout w:type="fixed"/>
        <w:tblLook w:val="04A0" w:firstRow="1" w:lastRow="0" w:firstColumn="1" w:lastColumn="0" w:noHBand="0" w:noVBand="1"/>
      </w:tblPr>
      <w:tblGrid>
        <w:gridCol w:w="29"/>
        <w:gridCol w:w="1559"/>
        <w:gridCol w:w="2835"/>
        <w:gridCol w:w="5603"/>
      </w:tblGrid>
      <w:tr>
        <w:trPr>
          <w:trHeight w:val="1701"/>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43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12"/>
        </w:trPr>
        <w:tc>
          <w:tcPr>
            <w:gridSpan w:val="2"/>
            <w:shd w:val="clear" w:color="auto" w:fill="auto"/>
            <w:tcBorders/>
            <w:tcMar>
              <w:left w:w="108" w:type="dxa"/>
              <w:top w:w="0" w:type="dxa"/>
              <w:right w:w="108" w:type="dxa"/>
              <w:bottom w:w="0" w:type="dxa"/>
            </w:tcMar>
            <w:tcW w:w="4394"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275/2026/1268/VFI-CT.65.A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603"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14 tháng 8 năm 2026</w:t>
            </w:r>
            <w:r>
              <w:rPr>
                <w:color w:val="000000" w:themeColor="text1"/>
                <w:sz w:val="24"/>
                <w:szCs w:val="24"/>
                <w:lang w:val="vi-VN"/>
              </w:rPr>
            </w:r>
            <w:r>
              <w:rPr>
                <w:color w:val="000000" w:themeColor="text1"/>
                <w:sz w:val="24"/>
                <w:szCs w:val="24"/>
                <w:lang w:val="vi-VN"/>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275/2026/1268/VFI-CT.65.A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r>
            <w:r>
              <w:rPr>
                <w:b/>
                <w:bCs/>
                <w:lang w:val="vi-VN"/>
              </w:rPr>
            </w:r>
            <w:r>
              <w:rPr>
                <w:b/>
                <w:bCs/>
                <w:lang w:val="vi-VN"/>
              </w:rPr>
            </w:r>
          </w:p>
          <w:p>
            <w:pPr>
              <w:pBdr/>
              <w:spacing w:after="60" w:before="60" w:line="276" w:lineRule="auto"/>
              <w:ind/>
              <w:rPr>
                <w:b/>
                <w:bCs/>
                <w:lang w:val="vi-VN"/>
              </w:rPr>
            </w:pPr>
            <w:r>
              <w:rPr>
                <w:b/>
                <w:bCs/>
                <w:lang w:val="vi-VN"/>
              </w:rPr>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THƯƠNG MẠI XUẤT NHẬP KHẨU TÂN THÁI BÌNH</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0110738142</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25, Tổ 6, Xã Đông Anh, Thành phố Hà Nội, Việt Nam</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Nguyễn Thị Ngọc Bích                               Chức danh: Giám đốc</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262(1p), tờ bản đồ số: 02, có địa chỉ: Số 6, ngõ 232, phố Yên Hòa, tổ 13, phường Yên Hòa, quận Cầu Giấy, thành phố Hà Nội (nay là phường Yên Hòa, t</w:t>
            </w:r>
            <w:r>
              <w:rPr>
                <w:bCs/>
                <w:color w:val="000000" w:themeColor="text1"/>
                <w:lang w:val="pt-BR"/>
              </w:rPr>
              <w:t xml:space="preserve">hành phố Hà Nội), theo Giấy chứng nhận quyền sử dụng đất quyền sở hữu nhà ở và tài sản khác gắn liền với đất số: CH 294659, số vào sổ cấp GCN: CH (440/QĐ-UBND/2017)/4057 do Ủy ban nhân dân quận Cầu Giấy cấp ngày 25/01/2017; Chủ tài sản là ông Vũ Tuấn Khanh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Số 6, ngõ 232, phố Yên Hòa, tổ 13, phường Yên Hòa, quận Cầu Giấy, thành phố Hà Nội (nay là phường Yên Hòa, t</w:t>
            </w:r>
            <w:r>
              <w:rPr>
                <w:bCs/>
                <w:color w:val="000000" w:themeColor="text1"/>
                <w:lang w:val="pt-BR"/>
              </w:rPr>
              <w:t xml:space="preserve">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(21.023111111111, 105.79216666667)</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06/08/2026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r>
      <w:r>
        <w:rPr>
          <w:bCs/>
          <w:color w:val="000000" w:themeColor="text1"/>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lang w:val="pt-BR"/>
        </w:rPr>
        <w:t xml:space="preserve">;</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CH 294659, số vào sổ cấp GCN: CH (440/QĐ-UBND/2017)/4057 do Ủy ban nhân dân quận Cầu Giấy cấp ngày 25/01/2017; Chủ tài sản là ông Vũ Tuấn Khanh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275/2026/1268/VFI-HĐTĐ.65.A ngày 14/08/2026 giữa CÔNG TY TNHH THƯƠNG MẠI XUẤT NHẬP KHẨU TÂN THÁI BÌNH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nóng”, thị </w:t>
      </w:r>
      <w:r>
        <w:rPr>
          <w:shd w:val="clear" w:color="auto" w:fill="ffffff"/>
        </w:rPr>
        <w:t xml:space="preserve">trường vận động theo hướng chọn lọc, phân hóa mạnh, lấy nhu cầu ở thực, chất lượng dự án và năng lực doanh nghiệp làm trụ cột phát triển bền vững.</w:t>
      </w:r>
      <w:r>
        <w:rPr>
          <w:i/>
          <w:iCs/>
          <w:lang w:val="pt-BR"/>
        </w:rPr>
      </w:r>
      <w:r>
        <w:rPr>
          <w:iCs/>
        </w:rPr>
      </w:r>
    </w:p>
    <w:p>
      <w:pPr>
        <w:pBdr/>
        <w:tabs>
          <w:tab w:val="left" w:leader="none" w:pos="426"/>
        </w:tabs>
        <w:spacing w:after="120" w:before="120" w:line="276" w:lineRule="auto"/>
        <w:ind/>
        <w:jc w:val="both"/>
        <w:rPr/>
      </w:pPr>
      <w:r>
        <w:rPr>
          <w:shd w:val="clear" w:color="auto" w:fill="ffffff"/>
        </w:rPr>
        <w:t xml:space="preserve">Trong bối cảnh kinh tế vĩ mô dần ổn định, khuôn khổ pháp lý được hoàn thiện và đầu tư công tiếp tục giữ vai t</w:t>
      </w:r>
      <w:r>
        <w:rPr>
          <w:shd w:val="clear" w:color="auto" w:fill="ffffff"/>
        </w:rPr>
        <w:t xml:space="preserve">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 gắn chặt</w:t>
      </w:r>
      <w:r>
        <w:rPr>
          <w:shd w:val="clear" w:color="auto" w:fill="ffffff"/>
        </w:rPr>
        <w:t xml:space="preserve"> với quy hoạch đô thị, nhu cầu ở thực và năng lực triển khai của doanh nghiệp.</w:t>
      </w:r>
      <w:r>
        <w:rPr>
          <w:bCs/>
          <w:i/>
          <w:lang w:val="pt-BR"/>
        </w:rPr>
      </w:r>
      <w:r/>
    </w:p>
    <w:p>
      <w:pPr>
        <w:pBdr/>
        <w:tabs>
          <w:tab w:val="left" w:leader="none" w:pos="426"/>
        </w:tabs>
        <w:spacing w:after="120" w:before="120" w:line="276" w:lineRule="auto"/>
        <w:ind/>
        <w:jc w:val="both"/>
        <w:rPr/>
      </w:pPr>
      <w:r>
        <w:rPr>
          <w:shd w:val="clear" w:color="auto" w:fill="ffffff"/>
        </w:rPr>
        <w:t xml:space="preserve">Hạ tầng – "xương sống" mở không gian phát triển mới</w:t>
      </w:r>
      <w:r>
        <w:rPr>
          <w:bCs/>
          <w:i/>
          <w:lang w:val="pt-BR"/>
        </w:rPr>
      </w:r>
      <w:r/>
    </w:p>
    <w:p>
      <w:pPr>
        <w:pBdr/>
        <w:tabs>
          <w:tab w:val="left" w:leader="none" w:pos="426"/>
        </w:tabs>
        <w:spacing w:after="120" w:before="120" w:line="276" w:lineRule="auto"/>
        <w:ind/>
        <w:jc w:val="both"/>
        <w:rPr/>
      </w:pPr>
      <w:r>
        <w:rPr>
          <w:shd w:val="clear" w:color="auto" w:fill="ffffff"/>
        </w:rPr>
        <w:t xml:space="preserve">Trong nhiều năm qua, hạ tầng giao thông luôn là yếu tố then chốt định hình không gian phát triển đô thị Hà Nội. Đến năm 2026,</w:t>
      </w:r>
      <w:r>
        <w:rPr>
          <w:shd w:val="clear" w:color="auto" w:fill="ffffff"/>
        </w:rPr>
        <w:t xml:space="preserve"> vai trò này càng trở nên rõ rệt khi hàng loạt dự án trọng điểm được triển khai đồng bộ, tạo lực đẩy dài hạn cho thị trường bất động sản.</w:t>
      </w:r>
      <w:r>
        <w:rPr>
          <w:bCs/>
          <w:i/>
          <w:lang w:val="pt-BR"/>
        </w:rPr>
      </w:r>
      <w:r/>
    </w:p>
    <w:p>
      <w:pPr>
        <w:pBdr/>
        <w:tabs>
          <w:tab w:val="left" w:leader="none" w:pos="426"/>
        </w:tabs>
        <w:spacing w:after="120" w:before="120" w:line="276" w:lineRule="auto"/>
        <w:ind/>
        <w:jc w:val="both"/>
        <w:rPr/>
      </w:pPr>
      <w:r>
        <w:rPr>
          <w:shd w:val="clear" w:color="auto" w:fill="ffffff"/>
        </w:rPr>
        <w:t xml:space="preserve">Dự án đường Vành đai 4 – Vùng Thủ đô, với quy mô hơn 85.000 tỷ đồng, được coi là "đòn bẩy chiến lược" mở rộng không gi</w:t>
      </w:r>
      <w:r>
        <w:rPr>
          <w:shd w:val="clear" w:color="auto" w:fill="ffffff"/>
        </w:rPr>
        <w:t xml:space="preserve">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br/>
        <w:t xml:space="preserve">Cùng với đ</w:t>
      </w:r>
      <w:r>
        <w:rPr>
          <w:shd w:val="clear" w:color="auto" w:fill="ffffff"/>
        </w:rPr>
        <w:t xml:space="preserve">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w:t>
      </w:r>
      <w:r>
        <w:rPr>
          <w:shd w:val="clear" w:color="auto" w:fill="ffffff"/>
        </w:rPr>
        <w:t xml:space="preserve">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w:t>
      </w:r>
      <w:r>
        <w:rPr>
          <w:shd w:val="clear" w:color="auto" w:fill="ffffff"/>
        </w:rPr>
        <w:t xml:space="preserve">t động sản dài hạn.</w:t>
      </w:r>
      <w:r>
        <w:rPr>
          <w:bCs/>
          <w:i/>
          <w:lang w:val="pt-BR"/>
        </w:rPr>
      </w:r>
      <w:r/>
    </w:p>
    <w:p>
      <w:pPr>
        <w:pBdr/>
        <w:tabs>
          <w:tab w:val="left" w:leader="none" w:pos="426"/>
        </w:tabs>
        <w:spacing w:after="120" w:before="120" w:line="276" w:lineRule="auto"/>
        <w:ind/>
        <w:jc w:val="both"/>
        <w:rPr/>
      </w:pPr>
      <w:r>
        <w:rPr>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w:t>
      </w:r>
      <w:r>
        <w:rPr>
          <w:shd w:val="clear" w:color="auto" w:fill="ffffff"/>
        </w:rPr>
        <w:t xml:space="preserve">o – Hòa Lạc), đang nổi lên như một cực phát triển mới. Ở phía Đông, hệ thống cầu vượt sông Hồng, cùng quy hoạch chỉnh trang đô thị ven sông, tiếp tục mở ra dư địa cho các dự án nhà ở và đô thị sinh thái.</w:t>
      </w:r>
      <w:r>
        <w:rPr>
          <w:bCs/>
          <w:i/>
          <w:lang w:val="pt-BR"/>
        </w:rPr>
      </w:r>
      <w:r/>
    </w:p>
    <w:p>
      <w:pPr>
        <w:pBdr/>
        <w:tabs>
          <w:tab w:val="left" w:leader="none" w:pos="426"/>
        </w:tabs>
        <w:spacing w:after="120" w:before="120" w:line="276" w:lineRule="auto"/>
        <w:ind/>
        <w:jc w:val="both"/>
        <w:rPr/>
      </w:pPr>
      <w:r>
        <w:rPr>
          <w:shd w:val="clear" w:color="auto" w:fill="ffffff"/>
        </w:rPr>
        <w:t xml:space="preserve">Thị trường chuyển từ "tăng nóng" sang tăng trưởng ch</w:t>
      </w:r>
      <w:r>
        <w:rPr>
          <w:shd w:val="clear" w:color="auto" w:fill="ffffff"/>
        </w:rPr>
        <w:t xml:space="preserve">ọn lọc</w:t>
      </w:r>
      <w:r>
        <w:rPr>
          <w:bCs/>
          <w:i/>
          <w:lang w:val="pt-BR"/>
        </w:rPr>
      </w:r>
      <w:r/>
    </w:p>
    <w:p>
      <w:pPr>
        <w:pBdr/>
        <w:tabs>
          <w:tab w:val="left" w:leader="none" w:pos="426"/>
        </w:tabs>
        <w:spacing w:after="120" w:before="120" w:line="276" w:lineRule="auto"/>
        <w:ind/>
        <w:jc w:val="both"/>
        <w:rPr/>
      </w:pPr>
      <w:r>
        <w:rPr>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w:t>
      </w:r>
      <w:r>
        <w:rPr>
          <w:shd w:val="clear" w:color="auto" w:fill="ffffff"/>
        </w:rPr>
        <w:t xml:space="preserve">vực có quy hoạch rõ ràng, hạ tầng đồng bộ và nhu cầu ở thực ổn định.</w:t>
      </w:r>
      <w:r>
        <w:rPr>
          <w:bCs/>
          <w:i/>
          <w:lang w:val="pt-BR"/>
        </w:rPr>
      </w:r>
      <w:r/>
    </w:p>
    <w:p>
      <w:pPr>
        <w:pBdr/>
        <w:tabs>
          <w:tab w:val="left" w:leader="none" w:pos="426"/>
        </w:tabs>
        <w:spacing w:after="120" w:before="120" w:line="276" w:lineRule="auto"/>
        <w:ind/>
        <w:jc w:val="both"/>
        <w:rPr/>
      </w:pPr>
      <w:r>
        <w:rPr>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shd w:val="clear" w:color="auto" w:fill="ffffff"/>
        </w:rPr>
        <w:t xml:space="preserve">ật. Những dự án gắn với các tuyến giao thông lớn, pháp lý minh bạch và được triển khai bài bản sẽ trở thành động lực chính của thị trường trong năm 2026.</w:t>
      </w:r>
      <w:r>
        <w:rPr>
          <w:bCs/>
          <w:i/>
          <w:lang w:val="pt-BR"/>
        </w:rPr>
      </w:r>
      <w:r/>
    </w:p>
    <w:p>
      <w:pPr>
        <w:pBdr/>
        <w:tabs>
          <w:tab w:val="left" w:leader="none" w:pos="426"/>
        </w:tabs>
        <w:spacing w:after="120" w:before="120" w:line="276" w:lineRule="auto"/>
        <w:ind/>
        <w:jc w:val="both"/>
        <w:rPr/>
      </w:pPr>
      <w:r>
        <w:rPr>
          <w:shd w:val="clear" w:color="auto" w:fill="ffffff"/>
        </w:rPr>
        <w:t xml:space="preserve">Số liệu từ các đơn vị nghiên cứu cho thấy, trong giai đoạn gần đây, giá bất động sản tại những khu vực</w:t>
      </w:r>
      <w:r>
        <w:rPr>
          <w:shd w:val="clear" w:color="auto" w:fill="ffffff"/>
        </w:rPr>
        <w:t xml:space="preserve">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bCs/>
          <w:i/>
          <w:lang w:val="pt-BR"/>
        </w:rPr>
      </w:r>
      <w:r/>
    </w:p>
    <w:p>
      <w:pPr>
        <w:pBdr/>
        <w:tabs>
          <w:tab w:val="left" w:leader="none" w:pos="426"/>
        </w:tabs>
        <w:spacing w:after="120" w:before="120" w:line="276" w:lineRule="auto"/>
        <w:ind/>
        <w:jc w:val="both"/>
        <w:rPr/>
      </w:pPr>
      <w:r>
        <w:rPr>
          <w:shd w:val="clear" w:color="auto" w:fill="ffffff"/>
        </w:rPr>
        <w:t xml:space="preserve">Nguồn cung lớn, thị trườn</w:t>
      </w:r>
      <w:r>
        <w:rPr>
          <w:shd w:val="clear" w:color="auto" w:fill="ffffff"/>
        </w:rPr>
        <w:t xml:space="preserve">g phân hóa rõ nét</w:t>
      </w:r>
      <w:r>
        <w:rPr>
          <w:bCs/>
          <w:i/>
          <w:lang w:val="pt-BR"/>
        </w:rPr>
      </w:r>
      <w:r/>
    </w:p>
    <w:p>
      <w:pPr>
        <w:pBdr/>
        <w:tabs>
          <w:tab w:val="left" w:leader="none" w:pos="426"/>
        </w:tabs>
        <w:spacing w:after="120" w:before="120" w:line="276" w:lineRule="auto"/>
        <w:ind/>
        <w:jc w:val="both"/>
        <w:rPr/>
      </w:pP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w:t>
      </w:r>
      <w:r>
        <w:rPr>
          <w:shd w:val="clear" w:color="auto" w:fill="ffffff"/>
        </w:rPr>
        <w:t xml:space="preserve">. Điều này vừa tạo cơ hội cho người mua, vừa đặt ra thách thức cho doanh nghiệp phát triển dự án.</w:t>
      </w:r>
      <w:r>
        <w:rPr>
          <w:bCs/>
          <w:i/>
          <w:lang w:val="pt-BR"/>
        </w:rPr>
      </w:r>
      <w:r/>
    </w:p>
    <w:p>
      <w:pPr>
        <w:pBdr/>
        <w:tabs>
          <w:tab w:val="left" w:leader="none" w:pos="426"/>
        </w:tabs>
        <w:spacing w:after="120" w:before="120" w:line="276" w:lineRule="auto"/>
        <w:ind/>
        <w:jc w:val="both"/>
        <w:rPr/>
      </w:pPr>
      <w:r>
        <w:rPr>
          <w:shd w:val="clear" w:color="auto" w:fill="ffffff"/>
        </w:rPr>
        <w:t xml:space="preserve">Ông David Jackson, Tổng Giám đốc Avison Young Việt Nam nhận định, thị trường căn hộ đang bước vào giai đoạn bản lề. Phân khúc này tiếp tục giữ vai trò chủ đạo</w:t>
      </w:r>
      <w:r>
        <w:rPr>
          <w:shd w:val="clear" w:color="auto" w:fill="ffffff"/>
        </w:rPr>
        <w:t xml:space="preserve">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vượt khả </w:t>
      </w:r>
      <w:r>
        <w:rPr>
          <w:shd w:val="clear" w:color="auto" w:fill="ffffff"/>
        </w:rPr>
        <w:t xml:space="preserve">năng chi trả của số đông sẽ gặp khó.</w:t>
      </w:r>
      <w:r>
        <w:rPr>
          <w:bCs/>
          <w:i/>
          <w:lang w:val="pt-BR"/>
        </w:rPr>
      </w:r>
      <w:r/>
    </w:p>
    <w:p>
      <w:pPr>
        <w:pBdr/>
        <w:tabs>
          <w:tab w:val="left" w:leader="none" w:pos="426"/>
        </w:tabs>
        <w:spacing w:after="120" w:before="120" w:line="276" w:lineRule="auto"/>
        <w:ind/>
        <w:jc w:val="both"/>
        <w:rPr/>
      </w:pPr>
      <w:r>
        <w:rPr>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w:t>
      </w:r>
      <w:r>
        <w:rPr>
          <w:shd w:val="clear" w:color="auto" w:fill="ffffff"/>
        </w:rPr>
        <w:t xml:space="preserve"> hợp với nhu cầu ở thực. Trong khi đó, phân khúc nhà ở vừa túi tiền và nhà ở xã hội được kỳ vọng sẽ dần cải thiện nguồn cung khi các chính sách mới được triển khai đồng bộ.</w:t>
      </w:r>
      <w:r>
        <w:rPr>
          <w:bCs/>
          <w:i/>
          <w:lang w:val="pt-BR"/>
        </w:rPr>
      </w:r>
      <w:r/>
    </w:p>
    <w:p>
      <w:pPr>
        <w:pBdr/>
        <w:tabs>
          <w:tab w:val="left" w:leader="none" w:pos="426"/>
        </w:tabs>
        <w:spacing w:after="120" w:before="120" w:line="276" w:lineRule="auto"/>
        <w:ind/>
        <w:jc w:val="both"/>
        <w:rPr/>
      </w:pPr>
      <w:r>
        <w:rPr>
          <w:shd w:val="clear" w:color="auto" w:fill="ffffff"/>
        </w:rPr>
        <w:t xml:space="preserve">Chính sách và pháp lý – điểm tựa cho chu kỳ mới</w:t>
      </w:r>
      <w:r>
        <w:rPr>
          <w:bCs/>
          <w:i/>
          <w:lang w:val="pt-BR"/>
        </w:rPr>
      </w:r>
      <w:r/>
    </w:p>
    <w:p>
      <w:pPr>
        <w:pBdr/>
        <w:tabs>
          <w:tab w:val="left" w:leader="none" w:pos="426"/>
        </w:tabs>
        <w:spacing w:after="120" w:before="120" w:line="276" w:lineRule="auto"/>
        <w:ind/>
        <w:jc w:val="both"/>
        <w:rPr/>
      </w:pPr>
      <w:r>
        <w:rPr>
          <w:shd w:val="clear" w:color="auto" w:fill="ffffff"/>
        </w:rPr>
        <w:t xml:space="preserve">Năm 2026 được xem là thời điểm các </w:t>
      </w:r>
      <w:r>
        <w:rPr>
          <w:shd w:val="clear" w:color="auto" w:fill="ffffff"/>
        </w:rPr>
        <w:t xml:space="preserve">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trường.</w:t>
        <w:br/>
        <w:t xml:space="preserve">C</w:t>
      </w:r>
      <w:r>
        <w:rPr>
          <w:shd w:val="clear" w:color="auto" w:fill="ffffff"/>
        </w:rPr>
        <w:t xml:space="preserve">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dự</w:t>
      </w:r>
      <w:r>
        <w:rPr>
          <w:shd w:val="clear" w:color="auto" w:fill="ffffff"/>
        </w:rPr>
        <w:t xml:space="preserve"> án kéo dài, đồng thời tạo niềm tin cho nhà đầu tư và người mua nhà.</w:t>
      </w:r>
      <w:r>
        <w:rPr>
          <w:bCs/>
          <w:i/>
          <w:lang w:val="pt-BR"/>
        </w:rPr>
      </w:r>
      <w:r/>
    </w:p>
    <w:p>
      <w:pPr>
        <w:pBdr/>
        <w:tabs>
          <w:tab w:val="left" w:leader="none" w:pos="426"/>
        </w:tabs>
        <w:spacing w:after="120" w:before="120" w:line="276" w:lineRule="auto"/>
        <w:ind/>
        <w:jc w:val="both"/>
        <w:rPr/>
      </w:pPr>
      <w:r>
        <w:rPr>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Batdongsan.com.vn c</w:t>
      </w:r>
      <w:r>
        <w:rPr>
          <w:shd w:val="clear" w:color="auto" w:fill="ffffff"/>
        </w:rPr>
        <w:t xml:space="preserve">ho rằng, mức lãi suất cho vay phổ biến quanh 6–7%/năm vẫn nằm trong vùng hỗ trợ giao dịch, khác xa giai đoạn "cú sốc kép" năm 2022.</w:t>
      </w:r>
      <w:r>
        <w:rPr>
          <w:bCs/>
          <w:i/>
          <w:lang w:val="pt-BR"/>
        </w:rPr>
      </w:r>
      <w:r/>
    </w:p>
    <w:p>
      <w:pPr>
        <w:pBdr/>
        <w:tabs>
          <w:tab w:val="left" w:leader="none" w:pos="426"/>
        </w:tabs>
        <w:spacing w:after="120" w:before="120" w:line="276" w:lineRule="auto"/>
        <w:ind/>
        <w:jc w:val="both"/>
        <w:rPr/>
      </w:pPr>
      <w:r>
        <w:rPr>
          <w:shd w:val="clear" w:color="auto" w:fill="ffffff"/>
        </w:rPr>
        <w:t xml:space="preserve">Ở góc nhìn vĩ mô, TS. Cấn Văn Lực, Chuyên gia Kinh tế trưởng Ngân hàng BIDV, Thành viên Hội đồng Tư vấn chính sách tài chính</w:t>
      </w:r>
      <w:r>
        <w:rPr>
          <w:shd w:val="clear" w:color="auto" w:fill="ffffff"/>
        </w:rPr>
        <w:t xml:space="preserve">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 chủ đầu t</w:t>
      </w:r>
      <w:r>
        <w:rPr>
          <w:shd w:val="clear" w:color="auto" w:fill="ffffff"/>
        </w:rPr>
        <w:t xml:space="preserve">ư – những yếu tố then chốt để hình thành chu kỳ tăng trưởng bền vững.</w:t>
      </w:r>
      <w:r>
        <w:rPr>
          <w:bCs/>
          <w:i/>
          <w:lang w:val="pt-BR"/>
        </w:rPr>
      </w:r>
      <w:r/>
    </w:p>
    <w:p>
      <w:pPr>
        <w:pBdr/>
        <w:tabs>
          <w:tab w:val="left" w:leader="none" w:pos="426"/>
        </w:tabs>
        <w:spacing w:after="120" w:before="120" w:line="276" w:lineRule="auto"/>
        <w:ind/>
        <w:jc w:val="both"/>
        <w:rPr/>
      </w:pPr>
      <w:r>
        <w:rPr>
          <w:shd w:val="clear" w:color="auto" w:fill="ffffff"/>
        </w:rPr>
        <w:t xml:space="preserve">Triển vọng 2026: tăng trưởng bền vững trên nền tảng mới</w:t>
      </w:r>
      <w:r>
        <w:rPr>
          <w:bCs/>
          <w:i/>
          <w:lang w:val="pt-BR"/>
        </w:rPr>
      </w:r>
      <w:r/>
    </w:p>
    <w:p>
      <w:pPr>
        <w:pBdr/>
        <w:tabs>
          <w:tab w:val="left" w:leader="none" w:pos="426"/>
        </w:tabs>
        <w:spacing w:after="120" w:before="120" w:line="276" w:lineRule="auto"/>
        <w:ind/>
        <w:jc w:val="both"/>
        <w:rPr/>
      </w:pPr>
      <w:r>
        <w:rPr>
          <w:shd w:val="clear" w:color="auto" w:fill="ffffff"/>
        </w:rPr>
        <w:t xml:space="preserve">Với nguồn cung tăng mạnh và người mua ngày càng kỹ tính, năm 2026 được xem là giai đoạn sàng lọc rõ nét đối với các doanh nghiệp b</w:t>
      </w:r>
      <w:r>
        <w:rPr>
          <w:shd w:val="clear" w:color="auto" w:fill="ffffff"/>
        </w:rPr>
        <w:t xml:space="preserve">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ngắn hạn có </w:t>
      </w:r>
      <w:r>
        <w:rPr>
          <w:shd w:val="clear" w:color="auto" w:fill="ffffff"/>
        </w:rPr>
        <w:t xml:space="preserve">thể tiếp tục bị đào thải.</w:t>
      </w:r>
      <w:r>
        <w:rPr>
          <w:bCs/>
          <w:i/>
          <w:lang w:val="pt-BR"/>
        </w:rPr>
      </w:r>
      <w:r/>
    </w:p>
    <w:p>
      <w:pPr>
        <w:pBdr/>
        <w:tabs>
          <w:tab w:val="left" w:leader="none" w:pos="426"/>
        </w:tabs>
        <w:spacing w:after="120" w:before="120" w:line="276" w:lineRule="auto"/>
        <w:ind/>
        <w:jc w:val="both"/>
        <w:rPr/>
      </w:pPr>
      <w:r>
        <w:rPr>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w:t>
      </w:r>
      <w:r>
        <w:rPr>
          <w:shd w:val="clear" w:color="auto" w:fill="ffffff"/>
        </w:rPr>
        <w:t xml:space="preserve">hải gìn giữ.</w:t>
      </w:r>
      <w:r>
        <w:rPr>
          <w:bCs/>
          <w:i/>
          <w:lang w:val="pt-BR"/>
        </w:rPr>
      </w:r>
      <w:r/>
    </w:p>
    <w:p>
      <w:pPr>
        <w:pBdr/>
        <w:tabs>
          <w:tab w:val="left" w:leader="none" w:pos="426"/>
        </w:tabs>
        <w:spacing w:after="120" w:before="120" w:line="276" w:lineRule="auto"/>
        <w:ind/>
        <w:jc w:val="both"/>
        <w:rPr/>
      </w:pPr>
      <w:r>
        <w:rPr>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w:t>
      </w:r>
      <w:r>
        <w:rPr>
          <w:shd w:val="clear" w:color="auto" w:fill="ffffff"/>
        </w:rPr>
        <w:t xml:space="preserve">Thị trường không còn chỗ cho những cơn sốt ảo, mà hướng tới tăng trưởng ổn định, gắn với chất lượng đô thị và chất lượng sống.</w:t>
        <w:br/>
        <w:t xml:space="preserve">Với những nền tảng đó, bất động sản Hà Nội trong năm 2026 được kỳ vọng sẽ bước vào chu kỳ phát triển mới – bền vững hơn, minh bạc</w:t>
      </w:r>
      <w:r>
        <w:rPr>
          <w:shd w:val="clear" w:color="auto" w:fill="ffffff"/>
        </w:rPr>
        <w:t xml:space="preserve">h hơn và đóng góp hiệu quả hơn cho tăng trưởng kinh tế – xã hội của Thủ đô.</w:t>
      </w:r>
      <w:r>
        <w:rPr>
          <w:bCs/>
          <w:i/>
          <w:lang w:val="pt-BR"/>
        </w:rPr>
      </w:r>
      <w:r/>
    </w:p>
    <w:p>
      <w:pPr>
        <w:pBdr/>
        <w:tabs>
          <w:tab w:val="left" w:leader="none" w:pos="426"/>
        </w:tabs>
        <w:spacing w:after="120" w:before="120" w:line="276" w:lineRule="auto"/>
        <w:ind/>
        <w:jc w:val="center"/>
        <w:rPr>
          <w:bCs/>
          <w:i/>
          <w:lang w:val="pt-BR"/>
        </w:rPr>
      </w:pPr>
      <w:r>
        <w:rPr>
          <w:shd w:val="clear" w:color="auto" w:fill="ffffff"/>
        </w:rPr>
        <w:t xml:space="preserve">(Nguồn tham khảo: https://thanglong.chinhphu.vn/buc-tranh-thi-truong-bat-dong-san-ha-noi-nam-2026-ha-tang-dan-dat-thi-truong-buoc-vao-chu-ky-tang-truong-moi-103260101181315972.htm)</w:t>
      </w:r>
      <w:r>
        <w:rPr>
          <w:bCs/>
          <w:i/>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262(1p), tờ bản đồ số: 02, có địa chỉ: Số 6, ngõ 232, phố Yên Hòa, tổ 13, phường Yên Hòa, quận Cầu Giấy, thành phố Hà Nội (nay là phường Yên Hòa, t</w:t>
            </w:r>
            <w:r>
              <w:rPr>
                <w:b/>
                <w:bCs/>
                <w:color w:val="000000"/>
              </w:rPr>
              <w:t xml:space="preserve">hành phố Hà Nội), theo Giấy chứng nhận quyền sử dụng đất quyền sở hữu nhà ở và tài sản khác gắn liền với đất số: CH 294659, số vào sổ cấp GCN: CH (440/QĐ-UBND/2017)/4057 do Ủy ban nhân dân quận Cầu Giấy cấp ngày 25/01/2017; Chủ tài sản là ông Vũ Tuấn Khanh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262(1p)</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02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Số 6, ngõ 232, phố Yên Hòa, tổ 13, phường Yên Hòa, quận Cầu Giấy, thành phố Hà Nội (nay là phường Yên Hòa, t</w:t>
            </w:r>
            <w:r>
              <w:rPr>
                <w:b w:val="0"/>
                <w:bCs w:val="0"/>
                <w:color w:val="000000"/>
              </w:rPr>
              <w:t xml:space="preserve">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80,6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80.6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sz w:val="24"/>
              </w:rPr>
              <w:t xml:space="preserve">định vị trí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r>
            <w:r>
              <w:rPr>
                <w:b/>
                <w:bCs/>
                <w:color w:val="000000"/>
              </w:rPr>
            </w:r>
            <w:r>
              <w:rPr>
                <w:b/>
                <w:bCs/>
                <w:color w:val="000000"/>
              </w:rPr>
            </w:r>
          </w:p>
        </w:tc>
        <w:tc>
          <w:tcPr>
            <w:gridSpan w:val="4"/>
            <w:tcBorders/>
            <w:tcW w:w="8781" w:type="dxa"/>
            <w:vAlign w:val="center"/>
            <w:vMerge w:val="restart"/>
            <w:textDirection w:val="lrTb"/>
            <w:noWrap w:val="false"/>
          </w:tcPr>
          <w:p>
            <w:pPr>
              <w:pBdr/>
              <w:spacing/>
              <w:ind/>
              <w:jc w:val="center"/>
              <w:rPr>
                <w:b/>
                <w:bCs/>
                <w:color w:val="000000"/>
              </w:rPr>
            </w:pPr>
            <w:r>
              <w:rPr>
                <w:b/>
                <w:bCs/>
                <w:color w:val="000000"/>
              </w:rPr>
            </w:r>
            <w:r>
              <mc:AlternateContent>
                <mc:Choice Requires="wpg">
                  <w:drawing>
                    <wp:inline xmlns:wp="http://schemas.openxmlformats.org/drawingml/2006/wordprocessingDrawing" distT="0" distB="0" distL="0" distR="0">
                      <wp:extent cx="5342595" cy="311008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72486" name=""/>
                              <pic:cNvPicPr>
                                <a:picLocks noChangeAspect="1"/>
                              </pic:cNvPicPr>
                              <pic:nvPr/>
                            </pic:nvPicPr>
                            <pic:blipFill rotWithShape="1">
                              <a:blip r:embed="rId17"/>
                              <a:stretch/>
                            </pic:blipFill>
                            <pic:spPr bwMode="auto">
                              <a:xfrm flipH="0" flipV="0">
                                <a:off x="0" y="0"/>
                                <a:ext cx="5342594" cy="31100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0.68pt;height:244.89pt;mso-wrap-distance-left:0.00pt;mso-wrap-distance-top:0.00pt;mso-wrap-distance-right:0.00pt;mso-wrap-distance-bottom:0.00pt;z-index:1;" stroked="false">
                      <v:imagedata r:id="rId17" o:title=""/>
                      <o:lock v:ext="edit" rotation="t"/>
                    </v:shape>
                  </w:pict>
                </mc:Fallback>
              </mc:AlternateConten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 không có vỉa 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3,2</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tiếp giáp ngõ cách phố Yên Hòa khoảng 120m </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Tây Bắc: Tiếp giáp đường giao thông.</w:t>
              <w:br/>
              <w:t xml:space="preserve">Hướng 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(21.023111111111, 105.79216666667)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041114" cy="281251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041114" cy="28125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6.94pt;height:221.46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80,6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5,23</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16,64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Vạt góc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Cấp điện, cấp nước sạch, mạng internet,… hoàn thiện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color w:val="000000" w:themeColor="text1"/>
              </w:rPr>
              <w:t xml:space="preserve">Tại thời điểm khảo sát dưới sự hướng dẫn của Khách hàng, CTXD gắn liền với đất là nhà 04 tầng+lửng+tum, </w:t>
            </w:r>
            <w:r>
              <w:rPr>
                <w:color w:val="000000" w:themeColor="text1"/>
              </w:rPr>
              <w:t xml:space="preserve">diện tích xây dựng 70,7m², diện tích sàn 331,85m²</w:t>
            </w:r>
            <w:r>
              <w:rPr>
                <w:color w:val="000000" w:themeColor="text1"/>
              </w:rPr>
              <w:t xml:space="preserve">, theo giấy phép xây dựng số: 447/GPXD cấp ngày 25/12/2024 cho bà Vũ Thị Bích Ngọc</w:t>
            </w:r>
            <w:r>
              <w:rPr>
                <w:rFonts w:ascii="Times New Roman" w:hAnsi="Times New Roman" w:eastAsia="Times New Roman" w:cs="Times New Roman"/>
                <w:color w:val="000000" w:themeColor="text1"/>
                <w:sz w:val="24"/>
              </w:rPr>
              <w:t xml:space="preserve">. CTXD tại thời điểm khảo sát khác với CTXD được chứng nhận trên Giấy chứng nhận quyền sử dụng đất.</w:t>
            </w:r>
            <w:r>
              <w:rPr>
                <w:color w:val="000000"/>
              </w:rPr>
            </w:r>
            <w:r>
              <w:rPr>
                <w:color w:val="000000"/>
              </w:rP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spacing w:val="-2"/>
          <w:highlight w:val="none"/>
          <w:lang w:val="pt-BR" w:bidi="pt-BR"/>
        </w:rPr>
        <w:t xml:space="preserve">.</w:t>
      </w:r>
      <w:r>
        <w:rPr>
          <w:spacing w:val="-2"/>
          <w:highlight w:val="none"/>
          <w:lang w:val="pt-BR" w:bidi="pt-BR"/>
        </w:rPr>
      </w:r>
      <w:r>
        <w:rPr>
          <w:spacing w:val="-2"/>
          <w:highlight w:val="none"/>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40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https://www.facebook.com/groups/batdongsantungphan/permalink/2731183740675987/?sale_post_id=2731183740675987&amp;rdid=s1wRiitXwt3LOOdt#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https://alonhadat.com.vn/chinh-chu-ban-nha-4-tang-57m-duong-rong-o-suong-kinh-doanh-dinh-cao-yen-hoa-17754388.html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https://alonhadat.com.vn/ban-gap-nha-tu-xay-mat-ngo-yen-hoa-20m-ra-pho-kdoanh-cty-so-55m2-x-mtien-4m-gia-13-8-ty-18937261.html</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0968.295.861</w:t>
            </w:r>
            <w:r>
              <w:rPr>
                <w:sz w:val="22"/>
                <w:szCs w:val="22"/>
              </w:rPr>
              <w:t xml:space="preserve"> </w:t>
            </w:r>
            <w:r>
              <w:rPr>
                <w:sz w:val="22"/>
                <w:szCs w:val="22"/>
              </w:rPr>
              <w:br/>
              <w:t xml:space="preserve">(</w:t>
            </w:r>
            <w:r>
              <w:rPr>
                <w:sz w:val="22"/>
                <w:szCs w:val="22"/>
              </w:rPr>
              <w:t xml:space="preserve">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tel:0983089228</w:t>
            </w:r>
            <w:r>
              <w:rPr>
                <w:sz w:val="22"/>
                <w:szCs w:val="22"/>
              </w:rPr>
              <w:br/>
            </w:r>
            <w:r>
              <w:rPr>
                <w:sz w:val="22"/>
                <w:szCs w:val="22"/>
              </w:rPr>
              <w:t xml:space="preserve">(</w:t>
            </w:r>
            <w:r>
              <w:rPr>
                <w:sz w:val="22"/>
                <w:szCs w:val="22"/>
              </w:rPr>
              <w:t xml:space="preserve">Phong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tel:0936274786</w:t>
            </w:r>
            <w:r>
              <w:rPr>
                <w:sz w:val="22"/>
                <w:szCs w:val="22"/>
              </w:rPr>
              <w:br/>
            </w:r>
            <w:r>
              <w:rPr>
                <w:sz w:val="22"/>
                <w:szCs w:val="22"/>
              </w:rPr>
              <w:t xml:space="preserve">(</w:t>
            </w:r>
            <w:r>
              <w:rPr>
                <w:sz w:val="22"/>
                <w:szCs w:val="22"/>
              </w:rPr>
              <w:t xml:space="preserve">Cường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Đang giao dịch</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Đang giao dịch </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Đang giao dịch </w:t>
            </w:r>
            <w:r>
              <w:rPr>
                <w:color w:val="000000" w:themeColor="text1"/>
                <w:szCs w:val="22"/>
              </w:rPr>
            </w:r>
            <w:r>
              <w:rPr>
                <w:color w:val="000000" w:themeColor="text1"/>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color w:val="000000" w:themeColor="text1"/>
                <w:szCs w:val="22"/>
              </w:rPr>
            </w:r>
            <w:r>
              <w:rPr>
                <w:color w:val="000000" w:themeColor="text1"/>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80,6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38,5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5,23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2 mặt ngõ</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 giác khác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Số tầng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Diện tích sàn sử dụng (m²)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192,5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12.150.000.000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14.670.000.000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13.110.000.000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1.421.254.604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1.567.676.107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1.512.669.928</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Đơn giá xây dựng theo Quyết định số 425/QĐ-BXD ngày 30/03/2026 của Bộ Xây Dựng (đồng/m²)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8.686.048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8.089.144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8.089.144</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 Tỷ lệ % CLCL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10.728.745.396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13.102.323.893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11.597.330.072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278.668.712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229.865.331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210.860.547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10.728.745.396</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13.102.323.893</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11.597.330.072</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278.668.712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229.865.331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210.860.547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278.668.712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229.865.331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210.860.547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278.668.712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229.865.331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210.860.547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278.668.712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229.865.331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210.860.547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16.720.123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13.791.920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12.651.633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295.388.835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243.657.251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223.512.180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13.933.436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18.389.226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21.086.055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309.322.271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262.046.477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244.598.235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4.597.307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6.325.816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309.322.271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266.643.784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250.924.051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-13.933.436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-6.895.960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-6.325.816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295.388.835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259.747.824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244.598.235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5,23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16.720.123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11.493.267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10.543.027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312.108.958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271.241.091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255.141.262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-13.933.436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298.175.522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271.241.091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255.141.262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-5.573.374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-4.597.307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-4.217.211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292.602.148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266.643.784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250.924.051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292.602.148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266.643.784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250.924.051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270.056.661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8,35%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-7,08%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80.813.928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59.764.987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61.149.558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13.933.436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36.778.453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40.063.504</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1,26</w:t>
      </w:r>
      <w:r>
        <w:t xml:space="preserve">% đến </w:t>
      </w:r>
      <w:r>
        <w:t xml:space="preserve">8,35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292.602.148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97.553.556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266.643.784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88.872.373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250.924.051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83.632.986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270.058.915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270.000.000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270.000.000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rPr>
        <w:t xml:space="preserve">Q</w:t>
      </w:r>
      <w:r>
        <w:rPr>
          <w:rFonts w:ascii="Times New Roman" w:hAnsi="Times New Roman" w:eastAsia="Times New Roman" w:cs="Times New Roman"/>
          <w:color w:val="000000" w:themeColor="text1"/>
          <w:sz w:val="24"/>
        </w:rPr>
        <w:t xml:space="preserve">ua tham khảo thị trường về đơn giá xây dựng mới đối với công trình </w:t>
      </w:r>
      <w:r>
        <w:rPr>
          <w:rFonts w:ascii="Times New Roman" w:hAnsi="Times New Roman" w:eastAsia="Times New Roman" w:cs="Times New Roman"/>
          <w:color w:val="000000" w:themeColor="text1"/>
          <w:sz w:val="24"/>
        </w:rPr>
        <w:t xml:space="preserve">Nhà 04 tầng+tum+lửng</w:t>
      </w:r>
      <w:r>
        <w:rPr>
          <w:rFonts w:ascii="Times New Roman" w:hAnsi="Times New Roman" w:eastAsia="Times New Roman" w:cs="Times New Roman"/>
          <w:color w:val="000000" w:themeColor="text1"/>
          <w:sz w:val="24"/>
        </w:rPr>
        <w:t xml:space="preserve">, cân nhắc và  xem xét với mức độ hoàn thiện của công trình xây dựng hiện có, Tổ thẩm định nhận thấy đơn giá  vận dụng theo Quyết định số 425/QĐ-BXD ngày 30/03/2026 của Bộ Xây d</w:t>
      </w:r>
      <w:r>
        <w:rPr>
          <w:rFonts w:ascii="Times New Roman" w:hAnsi="Times New Roman" w:eastAsia="Times New Roman" w:cs="Times New Roman"/>
          <w:color w:val="000000" w:themeColor="text1"/>
          <w:sz w:val="24"/>
        </w:rPr>
        <w:t xml:space="preserve">ựng về việc Công bố suất vốn đầu tư xây dựng công trình và giá xây dựng tổng hợp bộ phận kết cấu công trình năm 2025 là  khá phù</w:t>
      </w:r>
      <w:r>
        <w:rPr>
          <w:rFonts w:ascii="Times New Roman" w:hAnsi="Times New Roman" w:eastAsia="Times New Roman" w:cs="Times New Roman"/>
          <w:color w:val="000000" w:themeColor="text1"/>
          <w:sz w:val="24"/>
          <w:szCs w:val="24"/>
        </w:rPr>
        <w:t xml:space="preserve"> hợp với thị trường, theo đó:  </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szCs w:val="24"/>
        </w:rPr>
        <w:t xml:space="preserve">“</w:t>
      </w:r>
      <w:r>
        <w:rPr>
          <w:rFonts w:ascii="Times New Roman" w:hAnsi="Times New Roman" w:eastAsia="Times New Roman" w:cs="Times New Roman"/>
          <w:i/>
          <w:iCs/>
          <w:color w:val="000000" w:themeColor="text1"/>
          <w:sz w:val="24"/>
          <w:szCs w:val="24"/>
          <w:highlight w:val="white"/>
        </w:rPr>
        <w:t xml:space="preserve">Nhà từ 4 đến 5 tầng, kết cấu khung chịu lực BTCT; tường bao xây gạch; sàn, mái BTCT đổ tại</w:t>
      </w:r>
      <w:r>
        <w:rPr>
          <w:rFonts w:ascii="Times New Roman" w:hAnsi="Times New Roman" w:eastAsia="Times New Roman" w:cs="Times New Roman"/>
          <w:i/>
          <w:iCs/>
          <w:color w:val="000000" w:themeColor="text1"/>
          <w:sz w:val="24"/>
          <w:szCs w:val="24"/>
          <w:highlight w:val="white"/>
        </w:rPr>
        <w:t xml:space="preserve"> chỗ không có tầng hầm</w:t>
      </w:r>
      <w:r>
        <w:rPr>
          <w:rFonts w:ascii="Times New Roman" w:hAnsi="Times New Roman" w:eastAsia="Times New Roman" w:cs="Times New Roman"/>
          <w:i/>
          <w:iCs/>
          <w:color w:val="000000" w:themeColor="text1"/>
          <w:sz w:val="24"/>
          <w:szCs w:val="24"/>
          <w:highlight w:val="none"/>
        </w:rPr>
        <w:t xml:space="preserve"> diện</w:t>
      </w:r>
      <w:r>
        <w:rPr>
          <w:rFonts w:ascii="Times New Roman" w:hAnsi="Times New Roman" w:eastAsia="Times New Roman" w:cs="Times New Roman"/>
          <w:i/>
          <w:iCs/>
          <w:color w:val="000000" w:themeColor="text1"/>
          <w:sz w:val="24"/>
          <w:szCs w:val="24"/>
          <w:highlight w:val="none"/>
        </w:rPr>
        <w:t xml:space="preserve"> t</w:t>
      </w:r>
      <w:r>
        <w:rPr>
          <w:rFonts w:ascii="Times New Roman" w:hAnsi="Times New Roman" w:eastAsia="Times New Roman" w:cs="Times New Roman"/>
          <w:i/>
          <w:iCs/>
          <w:color w:val="000000" w:themeColor="text1"/>
          <w:sz w:val="24"/>
          <w:szCs w:val="24"/>
          <w:highlight w:val="white"/>
        </w:rPr>
        <w:t xml:space="preserve">ích xây dựng từ 70 - dưới 90m</w:t>
      </w:r>
      <w:r>
        <w:rPr>
          <w:rFonts w:ascii="Times New Roman" w:hAnsi="Times New Roman" w:eastAsia="Times New Roman" w:cs="Times New Roman"/>
          <w:i/>
          <w:iCs/>
          <w:color w:val="000000" w:themeColor="text1"/>
          <w:sz w:val="24"/>
          <w:szCs w:val="24"/>
          <w:highlight w:val="white"/>
          <w:vertAlign w:val="superscript"/>
        </w:rPr>
        <w:t xml:space="preserve">2</w:t>
      </w:r>
      <w:r>
        <w:rPr>
          <w:rFonts w:ascii="Times New Roman" w:hAnsi="Times New Roman" w:eastAsia="Times New Roman" w:cs="Times New Roman"/>
          <w:i/>
          <w:color w:val="000000" w:themeColor="text1"/>
          <w:sz w:val="24"/>
          <w:szCs w:val="24"/>
        </w:rPr>
        <w:t xml:space="preserve"> có đơn </w:t>
      </w:r>
      <w:r>
        <w:rPr>
          <w:rFonts w:ascii="Times New Roman" w:hAnsi="Times New Roman" w:eastAsia="Times New Roman" w:cs="Times New Roman"/>
          <w:i/>
          <w:color w:val="000000" w:themeColor="text1"/>
          <w:sz w:val="24"/>
        </w:rPr>
        <w:t xml:space="preserve">giá là: 7.808.000 đồng/m².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Hệ số điều chỉnh vùng cho Suất vốn đầu tư: Thành phố Hà Nội thuộc vùng 7 có hệ số điều chỉnh  là 0,952.”</w:t>
      </w:r>
      <w:r>
        <w:rPr>
          <w:color w:val="000000" w:themeColor="text1"/>
        </w:rPr>
      </w:r>
      <w:r>
        <w:rPr>
          <w:color w:val="000000" w:themeColor="text1"/>
        </w:rPr>
      </w:r>
    </w:p>
    <w:p>
      <w:pPr>
        <w:pBdr/>
        <w:spacing w:after="60" w:before="60"/>
        <w:ind/>
        <w:jc w:val="left"/>
        <w:rPr>
          <w:color w:val="000000" w:themeColor="text1"/>
          <w:sz w:val="22"/>
          <w:szCs w:val="22"/>
        </w:rPr>
      </w:pPr>
      <w:r>
        <w:rPr>
          <w:rFonts w:ascii="Times New Roman" w:hAnsi="Times New Roman" w:eastAsia="Times New Roman" w:cs="Times New Roman"/>
          <w:color w:val="000000" w:themeColor="text1"/>
          <w:sz w:val="24"/>
        </w:rPr>
        <w:t xml:space="preserve">Do đó, Tổ thẩm định xác định đơn giá xây mới của công trình xây dựng là: (Suất vốn đầu tư)  x (Hệ số vùng) = 7.808.000 x 0,952= </w:t>
      </w:r>
      <w:r>
        <w:rPr>
          <w:b/>
          <w:bCs/>
          <w:color w:val="000000" w:themeColor="text1"/>
          <w:sz w:val="24"/>
          <w:szCs w:val="24"/>
        </w:rPr>
        <w:t xml:space="preserve">7.433.216</w:t>
      </w:r>
      <w:r>
        <w:rPr>
          <w:rFonts w:ascii="Times New Roman" w:hAnsi="Times New Roman" w:eastAsia="Times New Roman" w:cs="Times New Roman"/>
          <w:b/>
          <w:color w:val="000000" w:themeColor="text1"/>
          <w:sz w:val="24"/>
        </w:rPr>
        <w:t xml:space="preserve"> đồng/m². </w:t>
      </w:r>
      <w:r>
        <w:rPr>
          <w:color w:val="000000" w:themeColor="text1"/>
          <w:sz w:val="22"/>
          <w:szCs w:val="22"/>
        </w:rPr>
      </w:r>
      <w:r>
        <w:rPr>
          <w:color w:val="000000" w:themeColor="text1"/>
          <w:sz w:val="22"/>
          <w:szCs w:val="22"/>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Qua khảo sát hiện trạng, dựa vào đặc điểm tài sản và tham khảo ý kiến các chuyên giá về xây  dựng, Tổ thẩm định đánh giá chất lượng còn lại của công trình xây dựng theo Văn bản số 1326/BXD QLN do Bộ Xây dựng ban hành ngày 08/8/2011 về việc hướng dẫn kiểm k</w:t>
      </w:r>
      <w:r>
        <w:rPr>
          <w:rFonts w:ascii="Times New Roman" w:hAnsi="Times New Roman" w:eastAsia="Times New Roman" w:cs="Times New Roman"/>
          <w:color w:val="000000" w:themeColor="text1"/>
          <w:sz w:val="24"/>
        </w:rPr>
        <w:t xml:space="preserve">ê, đánh giá lại giá trị tài  sản cố định là nhà, vật kiến trúc như sau: Tỷ lệ chất lượng còn lại của nhà, vật kiến trúc được xác  định căn cứ vào tỷ lệ chất lượng còn lại của các kết cấu chính (nếu là nhà thì kết cấu chính gồm:  móng, khung, cột, tường, nề</w:t>
      </w:r>
      <w:r>
        <w:rPr>
          <w:rFonts w:ascii="Times New Roman" w:hAnsi="Times New Roman" w:eastAsia="Times New Roman" w:cs="Times New Roman"/>
          <w:color w:val="000000" w:themeColor="text1"/>
          <w:sz w:val="24"/>
        </w:rPr>
        <w:t xml:space="preserve">n, sàn, kết cấu đỡ mái và mái) tạo nên nhà đó và tỷ lệ giá trị của các kết  cấu chính đó so với tổng giá trị của nhà hoặc vật kiến trúc.</w:t>
      </w:r>
      <w:r>
        <w:rPr>
          <w:color w:val="000000" w:themeColor="text1"/>
        </w:rPr>
      </w:r>
      <w:r>
        <w:rPr>
          <w:color w:val="000000" w:themeColor="text1"/>
        </w:rPr>
      </w:r>
    </w:p>
    <w:tbl>
      <w:tblPr>
        <w:tblStyle w:val="1031"/>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47"/>
        <w:gridCol w:w="527"/>
        <w:gridCol w:w="659"/>
        <w:gridCol w:w="2696"/>
        <w:gridCol w:w="599"/>
        <w:gridCol w:w="2316"/>
      </w:tblGrid>
      <w:tr>
        <w:trPr>
          <w:trHeight w:val="20"/>
        </w:trPr>
        <w:tc>
          <w:tcPr>
            <w:tcBorders/>
            <w:tcMar>
              <w:left w:w="108" w:type="dxa"/>
              <w:top w:w="0" w:type="dxa"/>
              <w:right w:w="108" w:type="dxa"/>
              <w:bottom w:w="0" w:type="dxa"/>
            </w:tcMar>
            <w:tcW w:w="194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Tỷ lệ chất lượng còn lại của nhà, vật kiến trúc (%)</w:t>
            </w:r>
            <w:r>
              <w:rPr>
                <w:color w:val="000000" w:themeColor="text1"/>
              </w:rPr>
            </w:r>
            <w:r>
              <w:rPr>
                <w:color w:val="000000" w:themeColor="text1"/>
              </w:rPr>
            </w:r>
          </w:p>
        </w:tc>
        <w:tc>
          <w:tcPr>
            <w:tcBorders/>
            <w:tcMar>
              <w:left w:w="108" w:type="dxa"/>
              <w:top w:w="0" w:type="dxa"/>
              <w:right w:w="108" w:type="dxa"/>
              <w:bottom w:w="0" w:type="dxa"/>
            </w:tcMar>
            <w:tcW w:w="5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26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Tỷ lệ chất lượng còn lại của kết cấu chính thức i (%)</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5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x</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231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Tỷ lệ giá trị của kết cấu chính thứ i so với tổng giá trị của ngôi nhà hoặc vật kiến trúc (%)</w:t>
            </w:r>
            <w:r>
              <w:rPr>
                <w:color w:val="000000" w:themeColor="text1"/>
              </w:rPr>
            </w:r>
            <w:r>
              <w:rPr>
                <w:color w:val="000000" w:themeColor="text1"/>
              </w:rPr>
            </w:r>
          </w:p>
        </w:tc>
      </w:tr>
      <w:tr>
        <w:trPr>
          <w:trHeight w:val="2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2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Tổng tỷ lệ giá trị của các kết cấu chính so với tổng giá trị của ngôi nhà hoặc vật kiến trúc (%)</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Trong đó: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i: số thứ tự của kết cấu chính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rPr>
        <w:t xml:space="preserve">n: số các kết cấu chính. </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color w:val="000000" w:themeColor="text1"/>
          <w:highlight w:val="none"/>
        </w:rPr>
      </w:r>
      <w:r>
        <w:rPr>
          <w:color w:val="000000" w:themeColor="text1"/>
        </w:rPr>
      </w:r>
      <w:r>
        <w:rPr>
          <w:color w:val="000000" w:themeColor="text1"/>
        </w:rPr>
      </w:r>
    </w:p>
    <w:tbl>
      <w:tblPr>
        <w:tblStyle w:val="103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19"/>
        <w:gridCol w:w="3729"/>
        <w:gridCol w:w="2258"/>
        <w:gridCol w:w="1417"/>
        <w:gridCol w:w="1559"/>
      </w:tblGrid>
      <w:tr>
        <w:trPr>
          <w:trHeight w:val="936"/>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TÊN KẾT CẤU CHÍNH</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Tỷ lệ giá trị các kết cấu chính (%)</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Tỷ lệ chất lượng còn lại các kết cấu chính (%)</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Tỷ lệ giá trị còn lại các kết cấu chính (%)</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a</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b</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c</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d</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e = c x d/g</w:t>
            </w:r>
            <w:r>
              <w:rPr>
                <w:color w:val="000000" w:themeColor="text1"/>
              </w:rPr>
            </w:r>
            <w:r>
              <w:rPr>
                <w:color w:val="000000" w:themeColor="text1"/>
              </w:rPr>
            </w:r>
          </w:p>
        </w:tc>
      </w:tr>
      <w:tr>
        <w:trPr>
          <w:trHeight w:val="358"/>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Móng</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8%</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86%</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11%</w:t>
            </w:r>
            <w:r/>
          </w:p>
        </w:tc>
      </w:tr>
      <w:tr>
        <w:trPr>
          <w:trHeight w:val="341"/>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Khung, cột</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10%</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86%</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3</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Tường</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86%</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4</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Nền, sàn</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86%</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22%</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Kết cấu đỡ mái</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86%</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Mái</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86%</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b/>
                <w:color w:val="000000" w:themeColor="text1"/>
                <w:sz w:val="24"/>
              </w:rPr>
              <w:t xml:space="preserve">Tổng cộng (g)</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63%</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b/>
                <w:color w:val="000000" w:themeColor="text1"/>
                <w:sz w:val="24"/>
              </w:rPr>
              <w:t xml:space="preserve">Tỷ lệ chất lượng còn lại:</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86%</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Tổ thẩm định xác định Tỷ lệ chất lượng còn lại của tài sản thẩm định là: 86,0%, tương đương tỷ  lệ hao mòn của tài sản thẩm định là 14%</w:t>
      </w:r>
      <w:r>
        <w:rPr>
          <w:color w:val="000000" w:themeColor="text1"/>
        </w:rPr>
      </w:r>
      <w:r>
        <w:rPr>
          <w:color w:val="000000" w:themeColor="text1"/>
        </w:rPr>
      </w:r>
    </w:p>
    <w:tbl>
      <w:tblPr>
        <w:tblInd w:w="-255" w:type="dxa"/>
        <w:tblW w:w="10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9"/>
        <w:gridCol w:w="1275"/>
        <w:gridCol w:w="1560"/>
        <w:gridCol w:w="1701"/>
        <w:gridCol w:w="1139"/>
        <w:gridCol w:w="1559"/>
        <w:gridCol w:w="1968"/>
      </w:tblGrid>
      <w:tr>
        <w:trPr>
          <w:trHeight w:val="936"/>
        </w:trPr>
        <w:tc>
          <w:tcPr>
            <w:shd w:val="clear" w:color="000000" w:fill="ffffff"/>
            <w:tcBorders/>
            <w:tcW w:w="959"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959"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959" w:type="dxa"/>
            <w:vAlign w:val="center"/>
            <w:textDirection w:val="lrTb"/>
            <w:noWrap w:val="false"/>
          </w:tcPr>
          <w:p>
            <w:pPr>
              <w:pBdr/>
              <w:spacing w:after="60" w:before="60"/>
              <w:ind/>
              <w:jc w:val="center"/>
              <w:rPr>
                <w:sz w:val="22"/>
                <w:szCs w:val="22"/>
              </w:rPr>
            </w:pPr>
            <w:r>
              <w:rPr>
                <w:sz w:val="22"/>
                <w:szCs w:val="22"/>
              </w:rPr>
              <w:t xml:space="preserve">Nhà ở</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331.85</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7.433.216</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2.466.712.730</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14%</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345.339.782</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2.121.372.947</w:t>
            </w:r>
            <w:r>
              <w:rPr>
                <w:sz w:val="22"/>
                <w:szCs w:val="22"/>
              </w:rPr>
            </w:r>
            <w:r>
              <w:rPr>
                <w:sz w:val="22"/>
                <w:szCs w:val="22"/>
              </w:rPr>
            </w:r>
          </w:p>
        </w:tc>
      </w:tr>
    </w:tbl>
    <w:p>
      <w:pPr>
        <w:pStyle w:val="1027"/>
        <w:pBdr/>
        <w:spacing w:after="120" w:before="120" w:line="276" w:lineRule="auto"/>
        <w:ind w:left="357"/>
        <w:jc w:val="both"/>
        <w:rPr>
          <w:b/>
          <w:lang w:val="pt-BR"/>
        </w:rPr>
      </w:pPr>
      <w:r>
        <w:rPr>
          <w:b/>
          <w:lang w:val="pt-BR"/>
        </w:rPr>
      </w:r>
      <w:r>
        <w:rPr>
          <w:b/>
          <w:lang w:val="pt-BR"/>
        </w:rPr>
      </w:r>
      <w:r>
        <w:rPr>
          <w:b/>
          <w:lang w:val="pt-BR"/>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50"/>
        <w:gridCol w:w="1971"/>
        <w:gridCol w:w="1276"/>
        <w:gridCol w:w="1764"/>
        <w:gridCol w:w="1692"/>
        <w:gridCol w:w="2073"/>
      </w:tblGrid>
      <w:tr>
        <w:trPr>
          <w:trHeight w:val="20"/>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97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276"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764"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692" w:type="dxa"/>
            <w:vAlign w:val="center"/>
            <w:textDirection w:val="lrTb"/>
            <w:noWrap w:val="false"/>
          </w:tcPr>
          <w:p>
            <w:pPr>
              <w:pBdr/>
              <w:spacing/>
              <w:ind/>
              <w:jc w:val="center"/>
              <w:rPr>
                <w:b/>
                <w:bCs/>
              </w:rPr>
            </w:pPr>
            <w:r>
              <w:rPr>
                <w:b/>
                <w:bCs/>
              </w:rPr>
              <w:t xml:space="preserve">Tỷ lệ chất lượng còn lại (%)</w:t>
            </w:r>
            <w:r>
              <w:rPr>
                <w:b/>
                <w:bCs/>
              </w:rPr>
            </w:r>
            <w:r>
              <w:rPr>
                <w:b/>
                <w:bCs/>
              </w:rPr>
            </w:r>
          </w:p>
        </w:tc>
        <w:tc>
          <w:tcPr>
            <w:shd w:val="clear" w:color="000000" w:fill="ffffff"/>
            <w:tcBorders/>
            <w:tcW w:w="2073"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439"/>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702"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262(1p), tờ bản đồ số: 02, có địa chỉ: Số 6, ngõ 232, phố Yên Hòa, tổ 13, phường Yên Hòa, quận Cầu Giấy, thành phố Hà Nội (nay là phường Yên Hòa, t</w:t>
            </w:r>
            <w:r>
              <w:rPr>
                <w:color w:val="000000"/>
              </w:rPr>
              <w:t xml:space="preserve">hành phố Hà Nội), theo Giấy chứng nhận quyền sử dụng đất quyền sở hữu nhà ở và tài sản khác gắn liền với đất số: CH 294659, số vào sổ cấp GCN: CH (440/QĐ-UBND/2017)/4057 do Ủy ban nhân dân quận Cầu Giấy cấp ngày 25/01/2017; Chủ tài sản là ông Vũ Tuấn Khanh</w:t>
            </w:r>
            <w:r>
              <w:rPr>
                <w:b/>
                <w:bCs/>
              </w:rPr>
              <w:t xml:space="preserve">.</w:t>
            </w:r>
            <w:r>
              <w:rPr>
                <w:b/>
                <w:bCs/>
              </w:rPr>
            </w:r>
            <w:r>
              <w:rPr>
                <w:b/>
                <w:bCs/>
              </w:rPr>
            </w:r>
          </w:p>
        </w:tc>
        <w:tc>
          <w:tcPr>
            <w:shd w:val="clear" w:color="000000" w:fill="ffffff"/>
            <w:tcBorders/>
            <w:tcW w:w="2073"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pPr>
            <w:r>
              <w:rPr>
                <w:b/>
                <w:bCs/>
              </w:rPr>
              <w:t xml:space="preserve">1</w:t>
            </w:r>
            <w:r/>
            <w:r/>
          </w:p>
        </w:tc>
        <w:tc>
          <w:tcPr>
            <w:shd w:val="clear" w:color="000000" w:fill="ffffff"/>
            <w:tcBorders/>
            <w:tcW w:w="1971" w:type="dxa"/>
            <w:vAlign w:val="center"/>
            <w:textDirection w:val="lrTb"/>
            <w:noWrap w:val="false"/>
          </w:tcPr>
          <w:p>
            <w:pPr>
              <w:pBdr/>
              <w:spacing w:after="40" w:before="40" w:line="288" w:lineRule="auto"/>
              <w:ind/>
              <w:rPr/>
            </w:pPr>
            <w:r>
              <w:rPr>
                <w:b/>
                <w:bCs/>
              </w:rPr>
              <w:t xml:space="preserve">Đất ở tại đô thị</w:t>
            </w:r>
            <w: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80,6</w:t>
            </w:r>
            <w:r>
              <w:rPr>
                <w:color w:val="000000"/>
              </w:rPr>
            </w:r>
            <w:r>
              <w:rPr>
                <w:color w:val="000000"/>
              </w:rPr>
            </w:r>
          </w:p>
        </w:tc>
        <w:tc>
          <w:tcPr>
            <w:shd w:val="clear" w:color="000000" w:fill="ffffff"/>
            <w:tcBorders/>
            <w:tcW w:w="1764" w:type="dxa"/>
            <w:vAlign w:val="center"/>
            <w:textDirection w:val="lrTb"/>
            <w:noWrap w:val="false"/>
          </w:tcPr>
          <w:p>
            <w:pPr>
              <w:pBdr/>
              <w:spacing w:after="40" w:before="40" w:line="288" w:lineRule="auto"/>
              <w:ind/>
              <w:jc w:val="center"/>
              <w:rPr/>
            </w:pPr>
            <w:r>
              <w:rPr>
                <w:color w:val="000000" w:themeColor="text1"/>
              </w:rPr>
              <w:t xml:space="preserve">270.000.000</w:t>
            </w:r>
            <w:r/>
            <w:r/>
          </w:p>
        </w:tc>
        <w:tc>
          <w:tcPr>
            <w:shd w:val="clear" w:color="000000" w:fill="ffffff"/>
            <w:tcBorders/>
            <w:tcW w:w="1692"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2073" w:type="dxa"/>
            <w:vAlign w:val="center"/>
            <w:textDirection w:val="lrTb"/>
            <w:noWrap w:val="false"/>
          </w:tcPr>
          <w:p>
            <w:pPr>
              <w:pBdr/>
              <w:spacing w:after="40" w:before="40" w:line="288" w:lineRule="auto"/>
              <w:ind/>
              <w:jc w:val="center"/>
              <w:rPr/>
            </w:pPr>
            <w:r>
              <w:rPr>
                <w:color w:val="000000" w:themeColor="text1"/>
              </w:rPr>
              <w:t xml:space="preserve">21.762.000.000</w:t>
            </w:r>
            <w: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pPr>
            <w:r>
              <w:rPr>
                <w:b/>
                <w:bCs/>
              </w:rPr>
              <w:t xml:space="preserve">2</w:t>
            </w:r>
            <w:r/>
            <w:r/>
          </w:p>
        </w:tc>
        <w:tc>
          <w:tcPr>
            <w:shd w:val="clear" w:color="000000" w:fill="ffffff"/>
            <w:tcBorders/>
            <w:tcW w:w="1971" w:type="dxa"/>
            <w:vAlign w:val="center"/>
            <w:textDirection w:val="lrTb"/>
            <w:noWrap w:val="false"/>
          </w:tcPr>
          <w:p>
            <w:pPr>
              <w:pBdr/>
              <w:spacing w:after="40" w:before="40" w:line="288" w:lineRule="auto"/>
              <w:ind/>
              <w:rPr/>
            </w:pPr>
            <w:r>
              <w:rPr>
                <w:b/>
                <w:bCs/>
              </w:rPr>
              <w:t xml:space="preserve">Nhà ở</w:t>
            </w:r>
            <w: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331,85</w:t>
            </w:r>
            <w:r>
              <w:rPr>
                <w:color w:val="000000"/>
              </w:rPr>
            </w:r>
            <w:r>
              <w:rPr>
                <w:color w:val="000000"/>
              </w:rPr>
            </w:r>
          </w:p>
        </w:tc>
        <w:tc>
          <w:tcPr>
            <w:shd w:val="clear" w:color="000000" w:fill="ffffff"/>
            <w:tcBorders/>
            <w:tcW w:w="1764" w:type="dxa"/>
            <w:vAlign w:val="center"/>
            <w:textDirection w:val="lrTb"/>
            <w:noWrap w:val="false"/>
          </w:tcPr>
          <w:p>
            <w:pPr>
              <w:pBdr/>
              <w:spacing w:after="40" w:before="40" w:line="288" w:lineRule="auto"/>
              <w:ind/>
              <w:jc w:val="center"/>
              <w:rPr/>
            </w:pPr>
            <w:r>
              <w:rPr>
                <w:color w:val="000000" w:themeColor="text1"/>
              </w:rPr>
              <w:t xml:space="preserve">7.433.216</w:t>
            </w:r>
            <w:r/>
            <w:r/>
          </w:p>
        </w:tc>
        <w:tc>
          <w:tcPr>
            <w:shd w:val="clear" w:color="000000" w:fill="ffffff"/>
            <w:tcBorders/>
            <w:tcW w:w="1692" w:type="dxa"/>
            <w:vAlign w:val="center"/>
            <w:textDirection w:val="lrTb"/>
            <w:noWrap w:val="false"/>
          </w:tcPr>
          <w:p>
            <w:pPr>
              <w:pBdr/>
              <w:spacing/>
              <w:ind/>
              <w:jc w:val="center"/>
              <w:rPr>
                <w:color w:val="000000" w:themeColor="text1"/>
              </w:rPr>
            </w:pPr>
            <w:r>
              <w:rPr>
                <w:color w:val="000000" w:themeColor="text1"/>
              </w:rPr>
              <w:t xml:space="preserve">86%</w:t>
            </w:r>
            <w:r>
              <w:rPr>
                <w:color w:val="000000" w:themeColor="text1"/>
              </w:rPr>
            </w:r>
            <w:r>
              <w:rPr>
                <w:color w:val="000000" w:themeColor="text1"/>
              </w:rPr>
            </w:r>
          </w:p>
        </w:tc>
        <w:tc>
          <w:tcPr>
            <w:shd w:val="clear" w:color="000000" w:fill="ffffff"/>
            <w:tcBorders/>
            <w:tcW w:w="2073" w:type="dxa"/>
            <w:vAlign w:val="center"/>
            <w:textDirection w:val="lrTb"/>
            <w:noWrap w:val="false"/>
          </w:tcPr>
          <w:p>
            <w:pPr>
              <w:pBdr/>
              <w:spacing w:after="40" w:before="40" w:line="288" w:lineRule="auto"/>
              <w:ind/>
              <w:jc w:val="center"/>
              <w:rPr/>
            </w:pPr>
            <w:r>
              <w:rPr>
                <w:color w:val="000000" w:themeColor="text1"/>
              </w:rPr>
              <w:t xml:space="preserve">2.121.372.948</w:t>
            </w:r>
            <w:r/>
            <w:r/>
          </w:p>
        </w:tc>
      </w:tr>
      <w:tr>
        <w:trPr>
          <w:trHeight w:val="20"/>
        </w:trPr>
        <w:tc>
          <w:tcPr>
            <w:gridSpan w:val="5"/>
            <w:tcBorders/>
            <w:tcW w:w="745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73" w:type="dxa"/>
            <w:vAlign w:val="center"/>
            <w:textDirection w:val="lrTb"/>
            <w:noWrap/>
          </w:tcPr>
          <w:p>
            <w:pPr>
              <w:pBdr/>
              <w:spacing w:after="40" w:before="40" w:line="288" w:lineRule="auto"/>
              <w:ind/>
              <w:jc w:val="center"/>
              <w:rPr>
                <w:b/>
                <w:bCs/>
                <w:color w:val="000000"/>
              </w:rPr>
            </w:pPr>
            <w:r>
              <w:t xml:space="preserve">23.883.372.948</w:t>
            </w:r>
            <w:r>
              <w:rPr>
                <w:b/>
                <w:bCs/>
                <w:color w:val="000000"/>
              </w:rPr>
            </w:r>
            <w:r>
              <w:rPr>
                <w:b/>
                <w:bCs/>
                <w:color w:val="000000"/>
              </w:rPr>
            </w:r>
          </w:p>
        </w:tc>
      </w:tr>
      <w:tr>
        <w:trPr>
          <w:trHeight w:val="78"/>
        </w:trPr>
        <w:tc>
          <w:tcPr>
            <w:gridSpan w:val="5"/>
            <w:tcBorders/>
            <w:tcW w:w="7452"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73" w:type="dxa"/>
            <w:vAlign w:val="center"/>
            <w:textDirection w:val="lrTb"/>
            <w:noWrap/>
          </w:tcPr>
          <w:p>
            <w:pPr>
              <w:pBdr/>
              <w:spacing w:after="40" w:before="40" w:line="288" w:lineRule="auto"/>
              <w:ind/>
              <w:jc w:val="center"/>
              <w:rPr>
                <w:b/>
                <w:bCs/>
                <w:color w:val="000000"/>
              </w:rPr>
            </w:pPr>
            <w:r>
              <w:rPr>
                <w:b/>
                <w:bCs/>
                <w:color w:val="000000"/>
              </w:rPr>
              <w:t xml:space="preserve">23.883.000.000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mươi ba tỷ tám trăm tám mươi ba triệu đồng</w:t>
            </w:r>
            <w:r>
              <w:rPr>
                <w:b/>
                <w:bCs/>
                <w:i/>
                <w:iCs/>
                <w:color w:val="000000"/>
              </w:rPr>
              <w:t xml:space="preserve">./.)</w:t>
            </w:r>
            <w:r>
              <w:rPr>
                <w:b/>
                <w:bCs/>
                <w:i/>
                <w:iCs/>
                <w:color w:val="000000"/>
              </w:rPr>
            </w:r>
            <w:r>
              <w:rPr>
                <w:b/>
                <w:bCs/>
                <w:i/>
                <w:iCs/>
                <w:color w:val="000000"/>
              </w:rPr>
            </w:r>
          </w:p>
        </w:tc>
      </w:tr>
    </w:tbl>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50"/>
        <w:gridCol w:w="1971"/>
        <w:gridCol w:w="1276"/>
        <w:gridCol w:w="1764"/>
        <w:gridCol w:w="1692"/>
        <w:gridCol w:w="2073"/>
      </w:tblGrid>
      <w:tr>
        <w:trPr>
          <w:trHeight w:val="20"/>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97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276"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764"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692" w:type="dxa"/>
            <w:vAlign w:val="center"/>
            <w:textDirection w:val="lrTb"/>
            <w:noWrap w:val="false"/>
          </w:tcPr>
          <w:p>
            <w:pPr>
              <w:pBdr/>
              <w:spacing/>
              <w:ind/>
              <w:jc w:val="center"/>
              <w:rPr>
                <w:b/>
                <w:bCs/>
              </w:rPr>
            </w:pPr>
            <w:r>
              <w:rPr>
                <w:b/>
                <w:bCs/>
              </w:rPr>
              <w:t xml:space="preserve">Tỷ lệ chất lượng còn lại (%)</w:t>
            </w:r>
            <w:r>
              <w:rPr>
                <w:b/>
                <w:bCs/>
              </w:rPr>
            </w:r>
            <w:r>
              <w:rPr>
                <w:b/>
                <w:bCs/>
              </w:rPr>
            </w:r>
          </w:p>
        </w:tc>
        <w:tc>
          <w:tcPr>
            <w:shd w:val="clear" w:color="000000" w:fill="ffffff"/>
            <w:tcBorders/>
            <w:tcW w:w="2073"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439"/>
        </w:trPr>
        <w:tc>
          <w:tcPr>
            <w:shd w:val="clear" w:color="000000" w:fill="ffffff"/>
            <w:tcBorders/>
            <w:tcW w:w="750"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702"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262(1p), tờ bản đồ số: 02, có địa chỉ: Số 6, ngõ 232, phố Yên Hòa, tổ 13, phường Yên Hòa, quận Cầu Giấy, thành phố Hà Nội (nay là phường Yên Hòa, t</w:t>
            </w:r>
            <w:r>
              <w:rPr>
                <w:color w:val="000000"/>
              </w:rPr>
              <w:t xml:space="preserve">hành phố Hà Nội), theo Giấy chứng nhận quyền sử dụng đất quyền sở hữu nhà ở và tài sản khác gắn liền với đất số: CH 294659, số vào sổ cấp GCN: CH (440/QĐ-UBND/2017)/4057 do Ủy ban nhân dân quận Cầu Giấy cấp ngày 25/01/2017; Chủ tài sản là ông Vũ Tuấn Khanh</w:t>
            </w:r>
            <w:r>
              <w:rPr>
                <w:b/>
                <w:bCs/>
              </w:rPr>
              <w:t xml:space="preserve">.</w:t>
            </w:r>
            <w:r>
              <w:rPr>
                <w:b/>
                <w:bCs/>
              </w:rPr>
            </w:r>
            <w:r>
              <w:rPr>
                <w:b/>
                <w:bCs/>
              </w:rPr>
            </w:r>
          </w:p>
        </w:tc>
        <w:tc>
          <w:tcPr>
            <w:shd w:val="clear" w:color="000000" w:fill="ffffff"/>
            <w:tcBorders/>
            <w:tcW w:w="2073"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pPr>
            <w:r>
              <w:rPr>
                <w:b/>
                <w:bCs/>
              </w:rPr>
              <w:t xml:space="preserve">1</w:t>
            </w:r>
            <w:r/>
            <w:r/>
          </w:p>
        </w:tc>
        <w:tc>
          <w:tcPr>
            <w:shd w:val="clear" w:color="000000" w:fill="ffffff"/>
            <w:tcBorders/>
            <w:tcW w:w="1971" w:type="dxa"/>
            <w:vAlign w:val="center"/>
            <w:textDirection w:val="lrTb"/>
            <w:noWrap w:val="false"/>
          </w:tcPr>
          <w:p>
            <w:pPr>
              <w:pBdr/>
              <w:spacing w:after="40" w:before="40" w:line="288" w:lineRule="auto"/>
              <w:ind/>
              <w:rPr/>
            </w:pPr>
            <w:r>
              <w:rPr>
                <w:b/>
                <w:bCs/>
              </w:rPr>
              <w:t xml:space="preserve">Đất ở tại đô thị</w:t>
            </w:r>
            <w: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80,6</w:t>
            </w:r>
            <w:r>
              <w:rPr>
                <w:color w:val="000000"/>
              </w:rPr>
            </w:r>
            <w:r>
              <w:rPr>
                <w:color w:val="000000"/>
              </w:rPr>
            </w:r>
          </w:p>
        </w:tc>
        <w:tc>
          <w:tcPr>
            <w:shd w:val="clear" w:color="000000" w:fill="ffffff"/>
            <w:tcBorders/>
            <w:tcW w:w="1764" w:type="dxa"/>
            <w:vAlign w:val="center"/>
            <w:textDirection w:val="lrTb"/>
            <w:noWrap w:val="false"/>
          </w:tcPr>
          <w:p>
            <w:pPr>
              <w:pBdr/>
              <w:spacing w:after="40" w:before="40" w:line="288" w:lineRule="auto"/>
              <w:ind/>
              <w:jc w:val="center"/>
              <w:rPr/>
            </w:pPr>
            <w:r>
              <w:rPr>
                <w:color w:val="000000" w:themeColor="text1"/>
              </w:rPr>
              <w:t xml:space="preserve">270.000.000</w:t>
            </w:r>
            <w:r/>
            <w:r/>
          </w:p>
        </w:tc>
        <w:tc>
          <w:tcPr>
            <w:shd w:val="clear" w:color="000000" w:fill="ffffff"/>
            <w:tcBorders/>
            <w:tcW w:w="1692"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2073" w:type="dxa"/>
            <w:vAlign w:val="center"/>
            <w:textDirection w:val="lrTb"/>
            <w:noWrap w:val="false"/>
          </w:tcPr>
          <w:p>
            <w:pPr>
              <w:pBdr/>
              <w:spacing w:after="40" w:before="40" w:line="288" w:lineRule="auto"/>
              <w:ind/>
              <w:jc w:val="center"/>
              <w:rPr/>
            </w:pPr>
            <w:r>
              <w:rPr>
                <w:color w:val="000000" w:themeColor="text1"/>
              </w:rPr>
              <w:t xml:space="preserve">21.762.000.000</w:t>
            </w:r>
            <w:r/>
            <w:r/>
          </w:p>
        </w:tc>
      </w:tr>
      <w:tr>
        <w:trPr>
          <w:trHeight w:val="20"/>
        </w:trPr>
        <w:tc>
          <w:tcPr>
            <w:shd w:val="clear" w:color="000000" w:fill="ffffff"/>
            <w:tcBorders/>
            <w:tcW w:w="750" w:type="dxa"/>
            <w:vAlign w:val="center"/>
            <w:textDirection w:val="lrTb"/>
            <w:noWrap w:val="false"/>
          </w:tcPr>
          <w:p>
            <w:pPr>
              <w:pBdr/>
              <w:spacing w:after="40" w:before="40" w:line="288" w:lineRule="auto"/>
              <w:ind/>
              <w:jc w:val="center"/>
              <w:rPr/>
            </w:pPr>
            <w:r>
              <w:rPr>
                <w:b/>
                <w:bCs/>
              </w:rPr>
              <w:t xml:space="preserve">2</w:t>
            </w:r>
            <w:r/>
            <w:r/>
          </w:p>
        </w:tc>
        <w:tc>
          <w:tcPr>
            <w:shd w:val="clear" w:color="000000" w:fill="ffffff"/>
            <w:tcBorders/>
            <w:tcW w:w="1971" w:type="dxa"/>
            <w:vAlign w:val="center"/>
            <w:textDirection w:val="lrTb"/>
            <w:noWrap w:val="false"/>
          </w:tcPr>
          <w:p>
            <w:pPr>
              <w:pBdr/>
              <w:spacing w:after="40" w:before="40" w:line="288" w:lineRule="auto"/>
              <w:ind/>
              <w:rPr/>
            </w:pPr>
            <w:r>
              <w:rPr>
                <w:b/>
                <w:bCs/>
              </w:rPr>
              <w:t xml:space="preserve">Nhà ở</w:t>
            </w:r>
            <w: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331,85</w:t>
            </w:r>
            <w:r>
              <w:rPr>
                <w:color w:val="000000"/>
              </w:rPr>
            </w:r>
            <w:r>
              <w:rPr>
                <w:color w:val="000000"/>
              </w:rPr>
            </w:r>
          </w:p>
        </w:tc>
        <w:tc>
          <w:tcPr>
            <w:shd w:val="clear" w:color="000000" w:fill="ffffff"/>
            <w:tcBorders/>
            <w:tcW w:w="1764" w:type="dxa"/>
            <w:vAlign w:val="center"/>
            <w:textDirection w:val="lrTb"/>
            <w:noWrap w:val="false"/>
          </w:tcPr>
          <w:p>
            <w:pPr>
              <w:pBdr/>
              <w:spacing w:after="40" w:before="40" w:line="288" w:lineRule="auto"/>
              <w:ind/>
              <w:jc w:val="center"/>
              <w:rPr/>
            </w:pPr>
            <w:r>
              <w:rPr>
                <w:color w:val="000000" w:themeColor="text1"/>
              </w:rPr>
              <w:t xml:space="preserve">7.433.216</w:t>
            </w:r>
            <w:r/>
            <w:r/>
          </w:p>
        </w:tc>
        <w:tc>
          <w:tcPr>
            <w:shd w:val="clear" w:color="000000" w:fill="ffffff"/>
            <w:tcBorders/>
            <w:tcW w:w="1692" w:type="dxa"/>
            <w:vAlign w:val="center"/>
            <w:textDirection w:val="lrTb"/>
            <w:noWrap w:val="false"/>
          </w:tcPr>
          <w:p>
            <w:pPr>
              <w:pBdr/>
              <w:spacing/>
              <w:ind/>
              <w:jc w:val="center"/>
              <w:rPr>
                <w:color w:val="000000" w:themeColor="text1"/>
              </w:rPr>
            </w:pPr>
            <w:r>
              <w:rPr>
                <w:color w:val="000000" w:themeColor="text1"/>
              </w:rPr>
              <w:t xml:space="preserve">86%</w:t>
            </w:r>
            <w:r>
              <w:rPr>
                <w:color w:val="000000" w:themeColor="text1"/>
              </w:rPr>
            </w:r>
            <w:r>
              <w:rPr>
                <w:color w:val="000000" w:themeColor="text1"/>
              </w:rPr>
            </w:r>
          </w:p>
        </w:tc>
        <w:tc>
          <w:tcPr>
            <w:shd w:val="clear" w:color="000000" w:fill="ffffff"/>
            <w:tcBorders/>
            <w:tcW w:w="2073" w:type="dxa"/>
            <w:vAlign w:val="center"/>
            <w:textDirection w:val="lrTb"/>
            <w:noWrap w:val="false"/>
          </w:tcPr>
          <w:p>
            <w:pPr>
              <w:pBdr/>
              <w:spacing w:after="40" w:before="40" w:line="288" w:lineRule="auto"/>
              <w:ind/>
              <w:jc w:val="center"/>
              <w:rPr/>
            </w:pPr>
            <w:r>
              <w:rPr>
                <w:color w:val="000000" w:themeColor="text1"/>
              </w:rPr>
              <w:t xml:space="preserve">2.121.372.948</w:t>
            </w:r>
            <w:r/>
            <w:r/>
          </w:p>
        </w:tc>
      </w:tr>
      <w:tr>
        <w:trPr>
          <w:trHeight w:val="20"/>
        </w:trPr>
        <w:tc>
          <w:tcPr>
            <w:gridSpan w:val="5"/>
            <w:tcBorders/>
            <w:tcW w:w="745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73" w:type="dxa"/>
            <w:vAlign w:val="center"/>
            <w:textDirection w:val="lrTb"/>
            <w:noWrap/>
          </w:tcPr>
          <w:p>
            <w:pPr>
              <w:pBdr/>
              <w:spacing w:after="40" w:before="40" w:line="288" w:lineRule="auto"/>
              <w:ind/>
              <w:jc w:val="center"/>
              <w:rPr>
                <w:b/>
                <w:bCs/>
                <w:color w:val="000000"/>
              </w:rPr>
            </w:pPr>
            <w:r>
              <w:t xml:space="preserve">23.883.372.948</w:t>
            </w:r>
            <w:r>
              <w:rPr>
                <w:b/>
                <w:bCs/>
                <w:color w:val="000000"/>
              </w:rPr>
            </w:r>
            <w:r>
              <w:rPr>
                <w:b/>
                <w:bCs/>
                <w:color w:val="000000"/>
              </w:rPr>
            </w:r>
          </w:p>
        </w:tc>
      </w:tr>
      <w:tr>
        <w:trPr>
          <w:trHeight w:val="78"/>
        </w:trPr>
        <w:tc>
          <w:tcPr>
            <w:gridSpan w:val="5"/>
            <w:tcBorders/>
            <w:tcW w:w="7452"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73" w:type="dxa"/>
            <w:vAlign w:val="center"/>
            <w:textDirection w:val="lrTb"/>
            <w:noWrap/>
          </w:tcPr>
          <w:p>
            <w:pPr>
              <w:pBdr/>
              <w:spacing w:after="40" w:before="40" w:line="288" w:lineRule="auto"/>
              <w:ind/>
              <w:jc w:val="center"/>
              <w:rPr>
                <w:b/>
                <w:bCs/>
                <w:color w:val="000000"/>
              </w:rPr>
            </w:pPr>
            <w:r>
              <w:rPr>
                <w:b/>
                <w:bCs/>
                <w:color w:val="000000"/>
              </w:rPr>
              <w:t xml:space="preserve">23.883.000.000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mươi ba tỷ tám trăm tám mươi ba triệu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76" w:lineRule="auto"/>
        <w:ind w:left="0"/>
        <w:jc w:val="both"/>
        <w:rPr/>
      </w:pPr>
      <w:r/>
      <w:r/>
    </w:p>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highlight w:val="none"/>
          <w:shd w:val="clear" w:color="auto" w:fill="ffffff"/>
          <w:lang w:val="pt-BR" w:bidi="pt-BR"/>
        </w:rPr>
      </w: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highlight w:val="none"/>
          <w:shd w:val="clear" w:color="auto" w:fill="ffffff"/>
          <w:lang w:val="pt-BR" w:bidi="pt-BR"/>
        </w:rPr>
        <w:t xml:space="preserve">.</w:t>
      </w:r>
      <w:r>
        <w:rPr>
          <w:highlight w:val="none"/>
          <w:shd w:val="clear" w:color="auto" w:fill="ffffff"/>
          <w:lang w:val="pt-BR" w:bidi="pt-BR"/>
        </w:rPr>
      </w:r>
      <w:r>
        <w:rPr>
          <w:highlight w:val="none"/>
          <w:shd w:val="clear" w:color="auto" w:fill="ffffff"/>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275/2026/1268/VFI-CT.65.A</w:t>
      </w:r>
      <w:r>
        <w:rPr>
          <w:color w:val="ff0000"/>
          <w:lang w:val="vi-VN"/>
        </w:rPr>
        <w:t xml:space="preserve"> </w:t>
      </w:r>
      <w:r>
        <w:rPr>
          <w:color w:val="000000" w:themeColor="text1"/>
        </w:rPr>
        <w:t xml:space="preserve">ngày 14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275/2026/1268/VFI-BC.65</w:t>
      </w:r>
      <w:r>
        <w:rPr>
          <w:i/>
        </w:rPr>
        <w:t xml:space="preserve"> ngày</w:t>
      </w:r>
      <w:r>
        <w:rPr>
          <w:i/>
          <w:lang w:val="pt-BR"/>
        </w:rPr>
        <w:t xml:space="preserve"> </w:t>
      </w:r>
      <w:r>
        <w:rPr>
          <w:i/>
          <w:lang w:val="pt-BR"/>
        </w:rPr>
        <w:t xml:space="preserve">14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08856" cy="210664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249089" name=""/>
                              <pic:cNvPicPr>
                                <a:picLocks noChangeAspect="1"/>
                              </pic:cNvPicPr>
                              <pic:nvPr/>
                            </pic:nvPicPr>
                            <pic:blipFill rotWithShape="1">
                              <a:blip r:embed="rId19"/>
                              <a:stretch/>
                            </pic:blipFill>
                            <pic:spPr bwMode="auto">
                              <a:xfrm flipH="0" flipV="0">
                                <a:off x="0" y="0"/>
                                <a:ext cx="2808856" cy="21066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1.17pt;height:165.88pt;mso-wrap-distance-left:0.00pt;mso-wrap-distance-top:0.00pt;mso-wrap-distance-right:0.00pt;mso-wrap-distance-bottom:0.00pt;z-index:1;" stroked="false">
                      <v:imagedata r:id="rId19" o:title=""/>
                      <o:lock v:ext="edit" rotation="t"/>
                    </v:shape>
                  </w:pict>
                </mc:Fallback>
              </mc:AlternateContent>
            </w:r>
            <w:r>
              <w:rPr>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19828" cy="211266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28920" name=""/>
                              <pic:cNvPicPr>
                                <a:picLocks noChangeAspect="1"/>
                              </pic:cNvPicPr>
                              <pic:nvPr/>
                            </pic:nvPicPr>
                            <pic:blipFill rotWithShape="1">
                              <a:blip r:embed="rId20"/>
                              <a:stretch/>
                            </pic:blipFill>
                            <pic:spPr bwMode="auto">
                              <a:xfrm flipH="0" flipV="0">
                                <a:off x="0" y="0"/>
                                <a:ext cx="2819828" cy="21126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2.03pt;height:166.35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52343" cy="213925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26530" name=""/>
                              <pic:cNvPicPr>
                                <a:picLocks noChangeAspect="1"/>
                              </pic:cNvPicPr>
                              <pic:nvPr/>
                            </pic:nvPicPr>
                            <pic:blipFill rotWithShape="1">
                              <a:blip r:embed="rId21"/>
                              <a:stretch/>
                            </pic:blipFill>
                            <pic:spPr bwMode="auto">
                              <a:xfrm flipH="0" flipV="0">
                                <a:off x="0" y="0"/>
                                <a:ext cx="2852342" cy="21392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4.59pt;height:168.45pt;mso-wrap-distance-left:0.00pt;mso-wrap-distance-top:0.00pt;mso-wrap-distance-right:0.00pt;mso-wrap-distance-bottom:0.00pt;z-index:1;" stroked="false">
                      <v:imagedata r:id="rId21" o:title=""/>
                      <o:lock v:ext="edit" rotation="t"/>
                    </v:shape>
                  </w:pict>
                </mc:Fallback>
              </mc:AlternateContent>
            </w:r>
            <w:r>
              <w:rPr>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22979" cy="211723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6612" name=""/>
                              <pic:cNvPicPr>
                                <a:picLocks noChangeAspect="1"/>
                              </pic:cNvPicPr>
                              <pic:nvPr/>
                            </pic:nvPicPr>
                            <pic:blipFill rotWithShape="1">
                              <a:blip r:embed="rId22"/>
                              <a:stretch/>
                            </pic:blipFill>
                            <pic:spPr bwMode="auto">
                              <a:xfrm flipH="0" flipV="0">
                                <a:off x="0" y="0"/>
                                <a:ext cx="2822978" cy="21172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2.28pt;height:166.71pt;mso-wrap-distance-left:0.00pt;mso-wrap-distance-top:0.00pt;mso-wrap-distance-right:0.00pt;mso-wrap-distance-bottom:0.00pt;z-index:1;" stroked="false">
                      <v:imagedata r:id="rId22" o:title=""/>
                      <o:lock v:ext="edit" rotation="t"/>
                    </v:shape>
                  </w:pict>
                </mc:Fallback>
              </mc:AlternateContent>
            </w:r>
            <w:r>
              <w:rPr>
                <w:i/>
                <w:lang w:val="pt-BR"/>
              </w:rPr>
            </w:r>
            <w:r/>
            <w:r>
              <w:rPr>
                <w:i/>
                <w:lang w:val="pt-BR"/>
              </w:rPr>
            </w:r>
            <w:r>
              <w:rPr>
                <w:b/>
                <w:bCs/>
                <w:i/>
                <w:lang w:val="pt-BR"/>
              </w:rPr>
            </w:r>
            <w:r>
              <w:rPr>
                <w:b/>
                <w:bCs/>
                <w:i/>
                <w:lang w:val="pt-BR"/>
              </w:rPr>
            </w:r>
          </w:p>
        </w:tc>
      </w:tr>
    </w:tbl>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r>
              <w:rPr>
                <w:b/>
                <w:bCs/>
                <w:i/>
                <w:lang w:val="pt-BR"/>
              </w:rPr>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411337" cy="246393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422979" name=""/>
                              <pic:cNvPicPr>
                                <a:picLocks noChangeAspect="1"/>
                              </pic:cNvPicPr>
                              <pic:nvPr/>
                            </pic:nvPicPr>
                            <pic:blipFill rotWithShape="1">
                              <a:blip r:embed="rId23"/>
                              <a:stretch/>
                            </pic:blipFill>
                            <pic:spPr bwMode="auto">
                              <a:xfrm flipH="0" flipV="0">
                                <a:off x="0" y="0"/>
                                <a:ext cx="2411336" cy="24639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9.87pt;height:194.01pt;mso-wrap-distance-left:0.00pt;mso-wrap-distance-top:0.00pt;mso-wrap-distance-right:0.00pt;mso-wrap-distance-bottom:0.00pt;z-index:1;" stroked="false">
                      <v:imagedata r:id="rId23" o:title=""/>
                      <o:lock v:ext="edit" rotation="t"/>
                    </v:shape>
                  </w:pict>
                </mc:Fallback>
              </mc:AlternateContent>
            </w:r>
            <w:r>
              <w:rPr>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235126" cy="242634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14717" name=""/>
                              <pic:cNvPicPr>
                                <a:picLocks noChangeAspect="1"/>
                              </pic:cNvPicPr>
                              <pic:nvPr/>
                            </pic:nvPicPr>
                            <pic:blipFill rotWithShape="1">
                              <a:blip r:embed="rId24"/>
                              <a:stretch/>
                            </pic:blipFill>
                            <pic:spPr bwMode="auto">
                              <a:xfrm flipH="0" flipV="0">
                                <a:off x="0" y="0"/>
                                <a:ext cx="3235125" cy="24263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54.73pt;height:191.05pt;mso-wrap-distance-left:0.00pt;mso-wrap-distance-top:0.00pt;mso-wrap-distance-right:0.00pt;mso-wrap-distance-bottom:0.00pt;z-index:1;" stroked="false">
                      <v:imagedata r:id="rId24" o:title=""/>
                      <o:lock v:ext="edit" rotation="t"/>
                    </v:shape>
                  </w:pict>
                </mc:Fallback>
              </mc:AlternateContent>
            </w:r>
            <w:r>
              <w:rPr>
                <w:i/>
                <w:lang w:val="pt-BR"/>
              </w:rPr>
            </w:r>
            <w:r/>
            <w:r>
              <w:rPr>
                <w:i/>
                <w:lang w:val="pt-BR"/>
              </w:rPr>
            </w:r>
            <w:r>
              <w:rPr>
                <w:b/>
                <w:bCs/>
                <w:i/>
                <w:lang w:val="pt-BR"/>
              </w:rPr>
            </w:r>
            <w:r>
              <w:rPr>
                <w:b/>
                <w:bCs/>
                <w:i/>
                <w:lang w:val="pt-BR"/>
              </w:rPr>
            </w:r>
          </w:p>
        </w:tc>
      </w:tr>
    </w:tbl>
    <w:p>
      <w:pPr>
        <w:pBdr/>
        <w:spacing w:after="200" w:line="276" w:lineRule="auto"/>
        <w:ind/>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
        <w:rPr>
          <w:highlight w:val="none"/>
        </w:rPr>
      </w:r>
      <w:r/>
      <w:r>
        <mc:AlternateContent>
          <mc:Choice Requires="wpg">
            <w:drawing>
              <wp:inline xmlns:wp="http://schemas.openxmlformats.org/drawingml/2006/wordprocessingDrawing" distT="0" distB="0" distL="0" distR="0">
                <wp:extent cx="2981665" cy="402394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705570" name=""/>
                        <pic:cNvPicPr>
                          <a:picLocks noChangeAspect="1"/>
                        </pic:cNvPicPr>
                        <pic:nvPr/>
                      </pic:nvPicPr>
                      <pic:blipFill rotWithShape="1">
                        <a:blip r:embed="rId25"/>
                        <a:stretch/>
                      </pic:blipFill>
                      <pic:spPr bwMode="auto">
                        <a:xfrm flipH="0" flipV="0">
                          <a:off x="0" y="0"/>
                          <a:ext cx="2981664" cy="40239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4.78pt;height:316.85pt;mso-wrap-distance-left:0.00pt;mso-wrap-distance-top:0.00pt;mso-wrap-distance-right:0.00pt;mso-wrap-distance-bottom:0.00pt;z-index:1;" stroked="false">
                <v:imagedata r:id="rId25" o:title=""/>
                <o:lock v:ext="edit" rotation="t"/>
              </v:shape>
            </w:pict>
          </mc:Fallback>
        </mc:AlternateContent>
      </w:r>
      <w:r>
        <mc:AlternateContent>
          <mc:Choice Requires="wpg">
            <w:drawing>
              <wp:inline xmlns:wp="http://schemas.openxmlformats.org/drawingml/2006/wordprocessingDrawing" distT="0" distB="0" distL="0" distR="0">
                <wp:extent cx="2985323" cy="402394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5376" name=""/>
                        <pic:cNvPicPr>
                          <a:picLocks noChangeAspect="1"/>
                        </pic:cNvPicPr>
                        <pic:nvPr/>
                      </pic:nvPicPr>
                      <pic:blipFill rotWithShape="1">
                        <a:blip r:embed="rId26"/>
                        <a:stretch/>
                      </pic:blipFill>
                      <pic:spPr bwMode="auto">
                        <a:xfrm flipH="0" flipV="0">
                          <a:off x="0" y="0"/>
                          <a:ext cx="2985322" cy="40239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5.06pt;height:316.85pt;mso-wrap-distance-left:0.00pt;mso-wrap-distance-top:0.00pt;mso-wrap-distance-right:0.00pt;mso-wrap-distance-bottom:0.00pt;z-index:1;" stroked="false">
                <v:imagedata r:id="rId26" o:title=""/>
                <o:lock v:ext="edit" rotation="t"/>
              </v:shape>
            </w:pict>
          </mc:Fallback>
        </mc:AlternateContent>
      </w:r>
      <w:r>
        <w:rPr>
          <w:highlight w:val="none"/>
        </w:rPr>
      </w:r>
      <w:r>
        <w:rPr>
          <w:highlight w:val="none"/>
        </w:rP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48375" cy="4210032"/>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82412" name=""/>
                        <pic:cNvPicPr>
                          <a:picLocks noChangeAspect="1"/>
                        </pic:cNvPicPr>
                        <pic:nvPr/>
                      </pic:nvPicPr>
                      <pic:blipFill rotWithShape="1">
                        <a:blip r:embed="rId27"/>
                        <a:stretch/>
                      </pic:blipFill>
                      <pic:spPr bwMode="auto">
                        <a:xfrm>
                          <a:off x="0" y="0"/>
                          <a:ext cx="6048374" cy="42100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31.50pt;mso-wrap-distance-left:0.00pt;mso-wrap-distance-top:0.00pt;mso-wrap-distance-right:0.00pt;mso-wrap-distance-bottom:0.00pt;z-index:1;" stroked="false">
                <v:imagedata r:id="rId27" o:title=""/>
                <o:lock v:ext="edit" rotation="t"/>
              </v:shape>
            </w:pict>
          </mc:Fallback>
        </mc:AlternateContent>
      </w:r>
      <w:r>
        <w:rPr>
          <w:highlight w:val="none"/>
        </w:rPr>
      </w:r>
      <w:r>
        <w:rPr>
          <w:highlight w:val="none"/>
        </w:rPr>
      </w:r>
      <w:r>
        <w:rPr>
          <w:highlight w:val="none"/>
        </w:rPr>
      </w:r>
    </w:p>
    <w:p>
      <w:pPr>
        <w:pBdr/>
        <w:spacing/>
        <w:ind/>
        <w:rPr/>
      </w:pPr>
      <w: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39190" cy="837732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145319" name=""/>
                        <pic:cNvPicPr>
                          <a:picLocks noChangeAspect="1"/>
                        </pic:cNvPicPr>
                        <pic:nvPr/>
                      </pic:nvPicPr>
                      <pic:blipFill rotWithShape="1">
                        <a:blip r:embed="rId28"/>
                        <a:stretch/>
                      </pic:blipFill>
                      <pic:spPr bwMode="auto">
                        <a:xfrm flipH="0" flipV="0">
                          <a:off x="0" y="0"/>
                          <a:ext cx="6039189" cy="83773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5.53pt;height:659.63pt;mso-wrap-distance-left:0.00pt;mso-wrap-distance-top:0.00pt;mso-wrap-distance-right:0.00pt;mso-wrap-distance-bottom:0.00pt;z-index:1;" stroked="false">
                <v:imagedata r:id="rId28" o:title=""/>
                <o:lock v:ext="edit" rotation="t"/>
              </v:shape>
            </w:pict>
          </mc:Fallback>
        </mc:AlternateContent>
      </w:r>
      <w:r>
        <w:rPr>
          <w:highlight w:val="none"/>
        </w:rPr>
      </w:r>
      <w:r>
        <w:rPr>
          <w:highlight w:val="none"/>
        </w:rPr>
      </w:r>
      <w:r>
        <w:rPr>
          <w:highlight w:val="none"/>
        </w:rP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143965" cy="865477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948264" name=""/>
                        <pic:cNvPicPr>
                          <a:picLocks noChangeAspect="1"/>
                        </pic:cNvPicPr>
                        <pic:nvPr/>
                      </pic:nvPicPr>
                      <pic:blipFill rotWithShape="1">
                        <a:blip r:embed="rId29"/>
                        <a:stretch/>
                      </pic:blipFill>
                      <pic:spPr bwMode="auto">
                        <a:xfrm flipH="0" flipV="0">
                          <a:off x="0" y="0"/>
                          <a:ext cx="6143964" cy="86547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83.78pt;height:681.48pt;mso-wrap-distance-left:0.00pt;mso-wrap-distance-top:0.00pt;mso-wrap-distance-right:0.00pt;mso-wrap-distance-bottom:0.00pt;z-index:1;" stroked="false">
                <v:imagedata r:id="rId29" o:title=""/>
                <o:lock v:ext="edit" rotation="t"/>
              </v:shape>
            </w:pict>
          </mc:Fallback>
        </mc:AlternateContent>
      </w:r>
      <w:r>
        <w:rPr>
          <w:highlight w:val="none"/>
        </w:rPr>
      </w:r>
      <w:r>
        <w:rPr>
          <w:highlight w:val="none"/>
        </w:rPr>
      </w:r>
      <w:r>
        <w:rPr>
          <w:highlight w:val="none"/>
        </w:rP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72079" cy="865768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0986" name=""/>
                        <pic:cNvPicPr>
                          <a:picLocks noChangeAspect="1"/>
                        </pic:cNvPicPr>
                        <pic:nvPr/>
                      </pic:nvPicPr>
                      <pic:blipFill rotWithShape="1">
                        <a:blip r:embed="rId30"/>
                        <a:stretch/>
                      </pic:blipFill>
                      <pic:spPr bwMode="auto">
                        <a:xfrm rot="0" flipH="0" flipV="0">
                          <a:off x="0" y="0"/>
                          <a:ext cx="6072079" cy="86576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8.12pt;height:681.71pt;mso-wrap-distance-left:0.00pt;mso-wrap-distance-top:0.00pt;mso-wrap-distance-right:0.00pt;mso-wrap-distance-bottom:0.00pt;rotation:0;z-index:1;" stroked="false">
                <v:imagedata r:id="rId30" o:title=""/>
                <o:lock v:ext="edit" rotation="t"/>
              </v:shape>
            </w:pict>
          </mc:Fallback>
        </mc:AlternateContent>
      </w:r>
      <w:r/>
      <w:r>
        <w:rPr>
          <w:highlight w:val="none"/>
        </w:rPr>
      </w:r>
      <w:r>
        <w:rPr>
          <w:highlight w:val="none"/>
        </w:rPr>
      </w:r>
      <w:r>
        <w:rPr>
          <w:highlight w:val="none"/>
        </w:rPr>
      </w:r>
    </w:p>
    <w:p>
      <w:pPr>
        <w:pBdr/>
        <w:spacing w:after="200" w:line="276" w:lineRule="auto"/>
        <w:ind/>
        <w:jc w:val="center"/>
        <w:rPr>
          <w:bCs/>
          <w:i/>
          <w:lang w:val="pt-BR"/>
        </w:rPr>
      </w:pPr>
      <w:r>
        <w:rPr>
          <w:b/>
          <w:highlight w:val="none"/>
        </w:rPr>
      </w:r>
      <w:r>
        <w:rPr>
          <w:b/>
          <w:highlight w:val="none"/>
        </w:rPr>
      </w:r>
      <w:r>
        <w:rPr>
          <w:b/>
          <w:highlight w:val="none"/>
        </w:rPr>
      </w:r>
    </w:p>
    <w:p>
      <w:pPr>
        <w:pBdr/>
        <w:spacing w:after="200" w:line="276" w:lineRule="auto"/>
        <w:ind/>
        <w:rPr>
          <w:highlight w:val="none"/>
        </w:rPr>
      </w:pPr>
      <w:r>
        <w:br w:type="page" w:clear="all"/>
      </w:r>
      <w:r/>
      <w:r>
        <w:rPr>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275/2026/1268/VFI-BC.65</w:t>
      </w:r>
      <w:r>
        <w:rPr>
          <w:i/>
        </w:rPr>
        <w:t xml:space="preserve"> ngày</w:t>
      </w:r>
      <w:r>
        <w:rPr>
          <w:i/>
          <w:lang w:val="pt-BR"/>
        </w:rPr>
        <w:t xml:space="preserve"> </w:t>
      </w:r>
      <w:r>
        <w:rPr>
          <w:i/>
          <w:lang w:val="pt-BR"/>
        </w:rPr>
        <w:t xml:space="preserve">14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506"/>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https://www.facebook.com/groups/batdongsantungphan/permalink/2731183740675987/?sale_post_id=2731183740675987&amp;rdid=s1wRiitXwt3LOOdt#</w:t>
            </w:r>
            <w:r>
              <w:rPr>
                <w:color w:val="000000" w:themeColor="text1"/>
                <w:sz w:val="22"/>
                <w:szCs w:val="22"/>
              </w:rPr>
              <w:br/>
              <w:t xml:space="preserve">0968.295.861</w:t>
            </w:r>
            <w:r>
              <w:rPr>
                <w:sz w:val="22"/>
                <w:szCs w:val="22"/>
              </w:rPr>
              <w:t xml:space="preserve"> </w:t>
            </w:r>
            <w:r>
              <w:rPr>
                <w:sz w:val="22"/>
                <w:szCs w:val="22"/>
              </w:rPr>
              <w:t xml:space="preserve">(Tuấn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13.500.000.000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12.150.000.000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nhỏ nhất từ đường chính vào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38,5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2 mặt ngõ</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50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Bất lợi thương mại</w:t>
            </w:r>
            <w:r>
              <w:rPr>
                <w:color w:val="000000" w:themeColor="text1"/>
              </w:rPr>
            </w:r>
            <w:r>
              <w:rPr>
                <w:color w:val="000000" w:themeColor="text1"/>
              </w:rPr>
            </w:r>
          </w:p>
        </w:tc>
        <w:tc>
          <w:tcPr>
            <w:shd w:val="clear" w:color="ffffff" w:fill="ffffff"/>
            <w:tcBorders>
              <w:top w:val="none" w:color="000000" w:sz="4" w:space="0"/>
              <w:left w:val="none" w:color="000000" w:sz="4" w:space="0"/>
              <w:bottom w:val="single" w:color="000000" w:sz="4" w:space="0"/>
              <w:right w:val="single" w:color="000000" w:sz="4" w:space="0"/>
            </w:tcBorders>
            <w:tcW w:w="54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474040" cy="259026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5474039" cy="25902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31.03pt;height:203.96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49840" cy="28194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339511773" name="" descr=""/>
                              <pic:cNvPicPr/>
                              <pic:nvPr/>
                            </pic:nvPicPr>
                            <pic:blipFill rotWithShape="1">
                              <a:blip r:embed="rId32"/>
                              <a:stretch/>
                            </pic:blipFill>
                            <pic:spPr bwMode="auto">
                              <a:xfrm rot="0" flipH="0" flipV="0">
                                <a:off x="0" y="0"/>
                                <a:ext cx="2349839" cy="28193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5.03pt;height:222.00pt;mso-wrap-distance-left:0.00pt;mso-wrap-distance-top:0.00pt;mso-wrap-distance-right:0.00pt;mso-wrap-distance-bottom:0.00pt;rotation:0;z-index:1;" stroked="false">
                      <v:imagedata r:id="rId32" o:title=""/>
                      <o:lock v:ext="edit" rotation="t"/>
                    </v:shape>
                  </w:pict>
                </mc:Fallback>
              </mc:AlternateContent>
            </w: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06728" cy="28194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1985528977" name="" descr=""/>
                              <pic:cNvPicPr/>
                              <pic:nvPr/>
                            </pic:nvPicPr>
                            <pic:blipFill rotWithShape="1">
                              <a:blip r:embed="rId33"/>
                              <a:stretch/>
                            </pic:blipFill>
                            <pic:spPr bwMode="auto">
                              <a:xfrm rot="0" flipH="0" flipV="0">
                                <a:off x="0" y="0"/>
                                <a:ext cx="3006728" cy="28193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6.75pt;height:222.00pt;mso-wrap-distance-left:0.00pt;mso-wrap-distance-top:0.00pt;mso-wrap-distance-right:0.00pt;mso-wrap-distance-bottom:0.00pt;rotation:0;z-index:1;" stroked="false">
                      <v:imagedata r:id="rId33" o:title=""/>
                      <o:lock v:ext="edit" rotation="t"/>
                    </v:shape>
                  </w:pict>
                </mc:Fallback>
              </mc:AlternateConten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r/>
          </w:p>
          <w:p>
            <w:pPr>
              <w:pBdr/>
              <w:spacing/>
              <w:ind/>
              <w:jc w:val="center"/>
              <w:rPr/>
            </w:pPr>
            <w:r/>
            <w:r/>
          </w:p>
          <w:p>
            <w:pPr>
              <w:pBdr/>
              <w:spacing/>
              <w:ind/>
              <w:jc w:val="center"/>
              <w:rPr/>
            </w:pPr>
            <w:r>
              <w:t xml:space="preserve">Nguyễn Thị Hồng Phúc</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648"/>
        <w:gridCol w:w="533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https://alonhadat.com.vn/chinh-chu-ban-nha-4-tang-57m-duong-rong-o-suong-kinh-doanh-dinh-cao-yen-hoa-17754388.html</w:t>
            </w:r>
            <w:r>
              <w:rPr>
                <w:color w:val="000000" w:themeColor="text1"/>
                <w:sz w:val="22"/>
                <w:szCs w:val="22"/>
              </w:rPr>
              <w:br/>
              <w:t xml:space="preserve">tel:0983089228</w:t>
            </w:r>
            <w:r>
              <w:rPr>
                <w:sz w:val="22"/>
                <w:szCs w:val="22"/>
              </w:rPr>
              <w:t xml:space="preserve"> </w:t>
            </w:r>
            <w:r>
              <w:rPr>
                <w:sz w:val="22"/>
                <w:szCs w:val="22"/>
              </w:rPr>
              <w:t xml:space="preserve">(Phong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sz w:val="22"/>
                <w:szCs w:val="22"/>
              </w:rPr>
            </w:pPr>
            <w:r>
              <w:rPr>
                <w:color w:val="000000" w:themeColor="text1"/>
                <w:sz w:val="22"/>
                <w:szCs w:val="22"/>
              </w:rPr>
              <w:t xml:space="preserve">16.300.000.000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sz w:val="22"/>
                <w:szCs w:val="22"/>
              </w:rPr>
            </w:pPr>
            <w:r>
              <w:rPr>
                <w:color w:val="000000" w:themeColor="text1"/>
                <w:sz w:val="22"/>
                <w:szCs w:val="22"/>
              </w:rPr>
              <w:t xml:space="preserve">14.670.000.000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Tình trạng giao dịch</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điểm thu thập thông tin</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Pháp lý</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Mục đích sử dụng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hạn sử dụng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Vị trí</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Giao thông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đường trước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nhỏ nhất từ đường chính vào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Cơ sở hạ tầng kỹ thuật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Diện tích đất (m²)</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57</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Mặt tiền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Số lượng mặt tiếp giáp</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Hình dáng thửa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4"/>
              </w:rPr>
              <w:t xml:space="preserve">Lợi thế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4"/>
              </w:rPr>
              <w:t xml:space="preserve">Bất lợi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78790" cy="350052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5378789" cy="35005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23.53pt;height:275.63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26390" cy="341049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226389" cy="34104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11.53pt;height:268.54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Thị Hồng Phúc</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r/>
          </w:p>
          <w:p>
            <w:pPr>
              <w:pBdr/>
              <w:spacing/>
              <w:ind/>
              <w:jc w:val="center"/>
              <w:rPr/>
            </w:pPr>
            <w:r/>
            <w:r/>
            <w:r/>
          </w:p>
          <w:p>
            <w:pPr>
              <w:pBdr/>
              <w:spacing/>
              <w:ind/>
              <w:rPr/>
            </w:pPr>
            <w:r/>
            <w:r/>
            <w:r/>
          </w:p>
          <w:p>
            <w:pPr>
              <w:pBdr/>
              <w:spacing/>
              <w:ind/>
              <w:jc w:val="center"/>
              <w:rPr/>
            </w:pPr>
            <w:r/>
            <w:r/>
            <w:r/>
          </w:p>
          <w:p>
            <w:pPr>
              <w:pBdr/>
              <w:spacing/>
              <w:ind/>
              <w:jc w:val="center"/>
              <w:rPr/>
            </w:pPr>
            <w:r/>
            <w:r/>
            <w:r/>
          </w:p>
          <w:p>
            <w:pPr>
              <w:pBdr/>
              <w:spacing/>
              <w:ind/>
              <w:jc w:val="center"/>
              <w:rPr/>
            </w:pPr>
            <w:r>
              <w:t xml:space="preserve">Nguyễn Thị Hồng Phúc</w:t>
            </w: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ind/>
        <w:rPr/>
      </w:pPr>
      <w:r/>
      <w:r/>
    </w:p>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512</cp:revision>
  <dcterms:created xsi:type="dcterms:W3CDTF">2025-09-15T02:01:00Z</dcterms:created>
  <dcterms:modified xsi:type="dcterms:W3CDTF">2026-08-17T02:16:10Z</dcterms:modified>
</cp:coreProperties>
</file>