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color w:val="ff0000"/>
          <w:sz w:val="28"/>
        </w:rPr>
      </w:pPr>
      <w:r>
        <w:rPr>
          <w:b/>
          <w:color w:val="ff0000"/>
          <w:sz w:val="28"/>
        </w:rPr>
      </w:r>
      <w:r>
        <w:rPr>
          <w:b/>
          <w:color w:val="ff0000"/>
          <w:sz w:val="28"/>
        </w:rPr>
      </w:r>
      <w:r>
        <w:rPr>
          <w:b/>
          <w:color w:val="ff0000"/>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397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397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275/2026/1225/VFI-CT.48.A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Giang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w:t>
                            </w:r>
                            <w:r>
                              <w:rPr>
                                <w:color w:val="ff0000"/>
                              </w:rPr>
                              <w:t xml:space="preserve">và tài sản gắn liền với đất</w:t>
                            </w:r>
                            <w:r>
                              <w:rPr>
                                <w:color w:val="ff0000"/>
                              </w:rPr>
                              <w:t xml:space="preserve"> </w:t>
                            </w:r>
                            <w:r>
                              <w:rPr>
                                <w:color w:val="000000"/>
                              </w:rPr>
                              <w:t xml:space="preserve">tại thửa đất số: </w:t>
                            </w:r>
                            <w:r>
                              <w:rPr>
                                <w:color w:val="ff0000"/>
                              </w:rPr>
                              <w:t xml:space="preserve">93, tờ bản đồ số: 90,</w:t>
                            </w:r>
                            <w:r>
                              <w:rPr>
                                <w:color w:val="000000"/>
                              </w:rPr>
                              <w:t xml:space="preserve"> địa chỉ: Xã Thanh Liệt, huyện Thanh Trì (</w:t>
                            </w:r>
                            <w:r>
                              <w:rPr>
                                <w:i/>
                                <w:iCs/>
                                <w:color w:val="000000"/>
                              </w:rPr>
                              <w:t xml:space="preserve">nay là phường Thanh Liệt)</w:t>
                            </w:r>
                            <w:r>
                              <w:rPr>
                                <w:color w:val="000000"/>
                              </w:rPr>
                              <w:t xml:space="preserve">, thành phố Hà Nội </w:t>
                            </w:r>
                            <w:r>
                              <w:rPr>
                                <w:color w:val="000000"/>
                              </w:rPr>
                              <w:t xml:space="preserve">theo Giấy chứng nhận quyền sử dụng đất, quyền sở hữu nhà ở và tài sản khác gắn liền với đất số: CE 579513, Số vào sổ cấp GCN: CS-TTR 05260 CH 00698 do Sở Tài nguyên và Môi trường Thành phố Hà Nội  cấp ngày 01/11/2016; Chủ sử dụng đất là Bà Nguyễn Thị Giang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275/2026/1225/VFI-CT.48.A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Giang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w:t>
                      </w:r>
                      <w:r>
                        <w:rPr>
                          <w:color w:val="ff0000"/>
                        </w:rPr>
                        <w:t xml:space="preserve">và tài sản gắn liền với đất</w:t>
                      </w:r>
                      <w:r>
                        <w:rPr>
                          <w:color w:val="ff0000"/>
                        </w:rPr>
                        <w:t xml:space="preserve"> </w:t>
                      </w:r>
                      <w:r>
                        <w:rPr>
                          <w:color w:val="000000"/>
                        </w:rPr>
                        <w:t xml:space="preserve">tại thửa đất số: </w:t>
                      </w:r>
                      <w:r>
                        <w:rPr>
                          <w:color w:val="ff0000"/>
                        </w:rPr>
                        <w:t xml:space="preserve">93, tờ bản đồ số: 90,</w:t>
                      </w:r>
                      <w:r>
                        <w:rPr>
                          <w:color w:val="000000"/>
                        </w:rPr>
                        <w:t xml:space="preserve"> địa chỉ: Xã Thanh Liệt, huyện Thanh Trì (</w:t>
                      </w:r>
                      <w:r>
                        <w:rPr>
                          <w:i/>
                          <w:iCs/>
                          <w:color w:val="000000"/>
                        </w:rPr>
                        <w:t xml:space="preserve">nay là phường Thanh Liệt)</w:t>
                      </w:r>
                      <w:r>
                        <w:rPr>
                          <w:color w:val="000000"/>
                        </w:rPr>
                        <w:t xml:space="preserve">, thành phố Hà Nội </w:t>
                      </w:r>
                      <w:r>
                        <w:rPr>
                          <w:color w:val="000000"/>
                        </w:rPr>
                        <w:t xml:space="preserve">theo Giấy chứng nhận quyền sử dụng đất, quyền sở hữu nhà ở và tài sản khác gắn liền với đất số: CE 579513, Số vào sổ cấp GCN: CS-TTR 05260 CH 00698 do Sở Tài nguyên và Môi trường Thành phố Hà Nội  cấp ngày 01/11/2016; Chủ sử dụng đất là Bà Nguyễn Thị Giang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highlight w:val="yellow"/>
        </w:rPr>
      </w:pPr>
      <w:r>
        <w:rPr>
          <w:b/>
          <w:sz w:val="28"/>
          <w:highlight w:val="yellow"/>
        </w:rPr>
        <w:t xml:space="preserve">MỤC LỤC</w:t>
      </w:r>
      <w:r>
        <w:rPr>
          <w:sz w:val="28"/>
          <w:highlight w:val="yellow"/>
        </w:rPr>
      </w:r>
      <w:r>
        <w:rPr>
          <w:sz w:val="28"/>
          <w:highlight w:val="yellow"/>
        </w:rPr>
      </w:r>
    </w:p>
    <w:p>
      <w:pPr>
        <w:pBdr/>
        <w:spacing/>
        <w:ind/>
        <w:rPr>
          <w:highlight w:val="yellow"/>
        </w:rPr>
      </w:pPr>
      <w:r>
        <w:rPr>
          <w:highlight w:val="yellow"/>
        </w:rPr>
      </w:r>
      <w:r>
        <w:rPr>
          <w:highlight w:val="yellow"/>
        </w:rPr>
      </w:r>
      <w:r>
        <w:rPr>
          <w:highlight w:val="yellow"/>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yellow"/>
                <w:u w:val="single"/>
              </w:rPr>
            </w:pPr>
            <w:r>
              <w:rPr>
                <w:rFonts w:eastAsia="Calibri"/>
                <w:b/>
                <w:highlight w:val="yellow"/>
                <w:u w:val="single"/>
              </w:rPr>
              <w:t xml:space="preserve">NỘI DUNG</w:t>
            </w:r>
            <w:r>
              <w:rPr>
                <w:rFonts w:eastAsia="Calibri"/>
                <w:b/>
                <w:highlight w:val="yellow"/>
                <w:u w:val="single"/>
              </w:rPr>
            </w:r>
            <w:r>
              <w:rPr>
                <w:rFonts w:eastAsia="Calibri"/>
                <w:b/>
                <w:highlight w:val="yellow"/>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u w:val="single"/>
              </w:rPr>
            </w:pPr>
            <w:r>
              <w:rPr>
                <w:b/>
                <w:highlight w:val="yellow"/>
                <w:u w:val="single"/>
              </w:rPr>
              <w:t xml:space="preserve">TRANG</w:t>
            </w:r>
            <w:r>
              <w:rPr>
                <w:b/>
                <w:highlight w:val="yellow"/>
                <w:u w:val="single"/>
              </w:rPr>
            </w:r>
            <w:r>
              <w:rPr>
                <w:b/>
                <w:highlight w:val="yellow"/>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highlight w:val="yellow"/>
              </w:rPr>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Chứng thư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Báo cáo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4-22</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Các phụ lục chi tiết kèm theo</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highlight w:val="yellow"/>
              </w:rPr>
            </w:pPr>
            <w:r>
              <w:rPr>
                <w:bCs/>
                <w:highlight w:val="yellow"/>
                <w:lang w:val="pt-BR"/>
              </w:rPr>
              <w:t xml:space="preserve">Phụ lục 1: Thông tin hiện trạng + Hồ sơ pháp lý + BBKS</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23-26</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highlight w:val="yellow"/>
              </w:rPr>
            </w:pPr>
            <w:r>
              <w:rPr>
                <w:bCs/>
                <w:highlight w:val="yellow"/>
                <w:lang w:val="pt-BR"/>
              </w:rPr>
              <w:t xml:space="preserve">Phụ lục 2: Thông tin thu thập thị trường</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27</w:t>
            </w:r>
            <w:r>
              <w:rPr>
                <w:b/>
                <w:bCs/>
                <w:highlight w:val="yellow"/>
              </w:rPr>
              <w:t xml:space="preserve">-32</w:t>
            </w:r>
            <w:r>
              <w:rPr>
                <w:b/>
                <w:bCs/>
                <w:highlight w:val="yellow"/>
              </w:rPr>
            </w:r>
            <w:r>
              <w:rPr>
                <w:b/>
                <w:bCs/>
                <w:highlight w:val="yellow"/>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275/2026/1225/VFI-CT.48.A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08 tháng 8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Giang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275/2026/1225/VFI-HĐTĐ.48.A</w:t>
      </w:r>
      <w:r>
        <w:rPr>
          <w:spacing w:val="-4"/>
          <w:lang w:val="vi-VN"/>
        </w:rPr>
        <w:t xml:space="preserve"> ký ngày 0</w:t>
      </w:r>
      <w:r>
        <w:rPr>
          <w:color w:val="000000" w:themeColor="text1"/>
          <w:spacing w:val="-4"/>
        </w:rPr>
        <w:t xml:space="preserve">4 tháng 8 năm 2026</w:t>
      </w:r>
      <w:r>
        <w:rPr>
          <w:spacing w:val="-4"/>
          <w:lang w:val="vi-VN"/>
        </w:rPr>
        <w:t xml:space="preserve"> </w:t>
      </w:r>
      <w:r>
        <w:rPr>
          <w:spacing w:val="-4"/>
          <w:lang w:val="vi-VN"/>
        </w:rPr>
        <w:t xml:space="preserve">giữa </w:t>
      </w:r>
      <w:r>
        <w:rPr>
          <w:color w:val="000000" w:themeColor="text1"/>
          <w:spacing w:val="-4"/>
        </w:rPr>
        <w:t xml:space="preserve">Bà Nguyễn Thị Giang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275/2026/1225/VFI-BC.48.A</w:t>
      </w:r>
      <w:r>
        <w:rPr>
          <w:spacing w:val="-2"/>
          <w:lang w:val="pt-BR"/>
        </w:rPr>
        <w:t xml:space="preserve"> </w:t>
      </w:r>
      <w:r>
        <w:rPr>
          <w:spacing w:val="-2"/>
          <w:lang w:val="pt-BR"/>
        </w:rPr>
        <w:t xml:space="preserve">ngày</w:t>
      </w:r>
      <w:r>
        <w:rPr>
          <w:spacing w:val="-2"/>
          <w:lang w:val="vi-VN"/>
        </w:rPr>
        <w:t xml:space="preserve"> 0</w:t>
      </w:r>
      <w:r>
        <w:rPr>
          <w:color w:val="000000" w:themeColor="text1"/>
          <w:spacing w:val="-2"/>
        </w:rPr>
        <w:t xml:space="preserve">8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4964" w:type="pct"/>
        <w:tblBorders/>
        <w:tblLayout w:type="fixed"/>
        <w:tblLook w:val="04A0" w:firstRow="1" w:lastRow="0" w:firstColumn="1" w:lastColumn="0" w:noHBand="0" w:noVBand="1"/>
      </w:tblPr>
      <w:tblGrid>
        <w:gridCol w:w="2234"/>
        <w:gridCol w:w="283"/>
        <w:gridCol w:w="6940"/>
      </w:tblGrid>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Tên khách hàng</w:t>
            </w:r>
            <w:r>
              <w:rPr>
                <w:bCs/>
                <w:color w:val="000000" w:themeColor="text1"/>
                <w:highlight w:val="yellow"/>
              </w:rPr>
            </w:r>
            <w:r>
              <w:rPr>
                <w:bCs/>
                <w:color w:val="000000" w:themeColor="text1"/>
                <w:highlight w:val="yellow"/>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0" w:type="dxa"/>
            <w:vAlign w:val="center"/>
            <w:textDirection w:val="lrTb"/>
            <w:noWrap w:val="false"/>
          </w:tcPr>
          <w:p>
            <w:pPr>
              <w:pBdr/>
              <w:spacing/>
              <w:ind/>
              <w:rPr>
                <w:highlight w:val="yellow"/>
              </w:rPr>
            </w:pPr>
            <w:r>
              <w:rPr>
                <w:b/>
                <w:bCs/>
                <w:highlight w:val="yellow"/>
              </w:rPr>
              <w:t xml:space="preserve">Bà Nguyễn Thị Giang</w:t>
            </w:r>
            <w:r>
              <w:rPr>
                <w:highlight w:val="yellow"/>
              </w:rPr>
            </w:r>
            <w:r>
              <w:rPr>
                <w:highlight w:val="yellow"/>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CCCD:</w:t>
            </w:r>
            <w:r>
              <w:rPr>
                <w:bCs/>
                <w:color w:val="000000" w:themeColor="text1"/>
                <w:highlight w:val="yellow"/>
              </w:rPr>
            </w:r>
            <w:r>
              <w:rPr>
                <w:bCs/>
                <w:color w:val="000000" w:themeColor="text1"/>
                <w:highlight w:val="yellow"/>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0" w:type="dxa"/>
            <w:vAlign w:val="center"/>
            <w:textDirection w:val="lrTb"/>
            <w:noWrap w:val="false"/>
          </w:tcPr>
          <w:p>
            <w:pPr>
              <w:pBdr/>
              <w:tabs>
                <w:tab w:val="left" w:leader="none" w:pos="1717"/>
              </w:tabs>
              <w:spacing w:after="40" w:before="40" w:line="276" w:lineRule="auto"/>
              <w:ind/>
              <w:jc w:val="both"/>
              <w:rPr>
                <w:color w:val="ff0000"/>
                <w:highlight w:val="yellow"/>
              </w:rPr>
            </w:pPr>
            <w:r>
              <w:rPr>
                <w:color w:val="000000" w:themeColor="text1"/>
                <w:highlight w:val="yellow"/>
                <w:lang w:val="vi-VN"/>
              </w:rPr>
              <w:t xml:space="preserve">036184000151</w:t>
            </w:r>
            <w:r>
              <w:rPr>
                <w:color w:val="ff0000"/>
                <w:highlight w:val="yellow"/>
                <w:lang w:val="pt-BR"/>
              </w:rPr>
              <w:tab/>
            </w:r>
            <w:r>
              <w:rPr>
                <w:color w:val="ff0000"/>
                <w:highlight w:val="yellow"/>
              </w:rPr>
            </w:r>
            <w:r>
              <w:rPr>
                <w:color w:val="ff0000"/>
                <w:highlight w:val="yellow"/>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yellow"/>
              </w:rPr>
            </w:pPr>
            <w:r>
              <w:rPr>
                <w:bCs/>
                <w:color w:val="000000" w:themeColor="text1"/>
                <w:highlight w:val="yellow"/>
                <w:lang w:val="pt-BR"/>
              </w:rPr>
              <w:t xml:space="preserve">Địa chỉ</w:t>
            </w:r>
            <w:r>
              <w:rPr>
                <w:bCs/>
                <w:color w:val="000000" w:themeColor="text1"/>
                <w:highlight w:val="yellow"/>
              </w:rPr>
            </w:r>
            <w:r>
              <w:rPr>
                <w:bCs/>
                <w:color w:val="000000" w:themeColor="text1"/>
                <w:highlight w:val="yellow"/>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yellow"/>
              </w:rPr>
            </w:pPr>
            <w:r>
              <w:rPr>
                <w:bCs/>
                <w:color w:val="000000"/>
                <w:highlight w:val="yellow"/>
                <w:lang w:val="pt-BR"/>
              </w:rPr>
              <w:t xml:space="preserve">:</w:t>
            </w:r>
            <w:r>
              <w:rPr>
                <w:bCs/>
                <w:color w:val="000000" w:themeColor="text1"/>
                <w:highlight w:val="yellow"/>
              </w:rPr>
            </w:r>
            <w:r>
              <w:rPr>
                <w:bCs/>
                <w:color w:val="000000" w:themeColor="text1"/>
                <w:highlight w:val="yellow"/>
              </w:rPr>
            </w:r>
          </w:p>
        </w:tc>
        <w:tc>
          <w:tcPr>
            <w:tcBorders/>
            <w:tcW w:w="6940" w:type="dxa"/>
            <w:vAlign w:val="center"/>
            <w:textDirection w:val="lrTb"/>
            <w:noWrap w:val="false"/>
          </w:tcPr>
          <w:p>
            <w:pPr>
              <w:pBdr/>
              <w:spacing w:after="40" w:before="40" w:line="276" w:lineRule="auto"/>
              <w:ind/>
              <w:jc w:val="both"/>
              <w:rPr>
                <w:color w:val="ff0000"/>
                <w:highlight w:val="yellow"/>
              </w:rPr>
            </w:pPr>
            <w:r>
              <w:rPr>
                <w:color w:val="000000" w:themeColor="text1"/>
                <w:highlight w:val="yellow"/>
                <w:lang w:val="vi-VN"/>
              </w:rPr>
            </w:r>
            <w:r>
              <w:rPr>
                <w:color w:val="ff0000"/>
                <w:highlight w:val="yellow"/>
              </w:rPr>
            </w:r>
            <w:r>
              <w:rPr>
                <w:color w:val="ff0000"/>
                <w:highlight w:val="yellow"/>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w:t>
      </w:r>
      <w:r>
        <w:rPr>
          <w:color w:val="ff0000"/>
        </w:rPr>
        <w:t xml:space="preserve">và tài sản gắn liền với đất</w:t>
      </w:r>
      <w:r>
        <w:rPr>
          <w:color w:val="ff0000"/>
        </w:rPr>
        <w:t xml:space="preserve"> </w:t>
      </w:r>
      <w:r>
        <w:rPr>
          <w:color w:val="000000"/>
        </w:rPr>
        <w:t xml:space="preserve">tại thửa đất số: </w:t>
      </w:r>
      <w:r>
        <w:rPr>
          <w:color w:val="ff0000"/>
        </w:rPr>
        <w:t xml:space="preserve">93, tờ bản đồ số: 90,</w:t>
      </w:r>
      <w:r>
        <w:rPr>
          <w:color w:val="000000"/>
        </w:rPr>
        <w:t xml:space="preserve"> địa chỉ: Xã Thanh Liệt, huyện Thanh Trì (</w:t>
      </w:r>
      <w:r>
        <w:rPr>
          <w:i/>
          <w:iCs/>
          <w:color w:val="000000"/>
        </w:rPr>
        <w:t xml:space="preserve">nay là phường Thanh Liệt)</w:t>
      </w:r>
      <w:r>
        <w:rPr>
          <w:color w:val="000000"/>
        </w:rPr>
        <w:t xml:space="preserve">, thành phố Hà Nội </w:t>
      </w:r>
      <w:r>
        <w:rPr>
          <w:color w:val="000000"/>
        </w:rPr>
        <w:t xml:space="preserve">theo Giấy chứng nhận quyền sử dụng đất, quyền sở hữu nhà ở và tài sản khác gắn liền với đất số: CE 579513, Số vào sổ cấp GCN: CS-TTR 05260 CH 00698 do Sở Tài nguyên và Môi trường Thành phố Hà Nội  cấp ngày 01/11/2016; Chủ sử dụng đất là Bà Nguyễn Thị Giang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w:t>
      </w:r>
      <w:r>
        <w:rPr>
          <w:bCs/>
          <w:color w:val="000000" w:themeColor="text1"/>
          <w:highlight w:val="yellow"/>
          <w:lang w:val="nl-NL"/>
        </w:rPr>
        <w:t xml:space="preserve">ng 09/</w:t>
      </w:r>
      <w:r>
        <w:rPr>
          <w:bCs/>
          <w:color w:val="000000" w:themeColor="text1"/>
          <w:lang w:val="nl-NL"/>
        </w:rPr>
        <w:t xml:space="preserve">2026</w:t>
      </w:r>
      <w:r>
        <w:rPr>
          <w:lang w:val="vi-VN"/>
        </w:rPr>
        <w:t xml:space="preserve"> ước tính</w:t>
      </w:r>
      <w:r>
        <w:t xml:space="preserve"> </w:t>
      </w:r>
      <w:r>
        <w:rPr>
          <w:lang w:val="vi-VN"/>
        </w:rPr>
        <w:t xml:space="preserve">như sau:</w:t>
      </w:r>
      <w:r/>
    </w:p>
    <w:tbl>
      <w:tblPr>
        <w:tblW w:w="502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96"/>
        <w:gridCol w:w="899"/>
        <w:gridCol w:w="1416"/>
        <w:gridCol w:w="1509"/>
        <w:gridCol w:w="1869"/>
        <w:gridCol w:w="1348"/>
        <w:gridCol w:w="1736"/>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54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918"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384" w:type="dxa"/>
            <w:vAlign w:val="center"/>
            <w:textDirection w:val="lrTb"/>
            <w:noWrap w:val="false"/>
          </w:tcPr>
          <w:p>
            <w:pPr>
              <w:pBdr/>
              <w:spacing/>
              <w:ind/>
              <w:jc w:val="center"/>
              <w:rPr>
                <w:b/>
                <w:bCs/>
              </w:rPr>
            </w:pPr>
            <w:r>
              <w:rPr>
                <w:b/>
                <w:bCs/>
              </w:rPr>
              <w:t xml:space="preserve">Hệ số/CLCL</w:t>
            </w:r>
            <w:r>
              <w:rPr>
                <w:b/>
                <w:bCs/>
              </w:rPr>
            </w:r>
            <w:r>
              <w:rPr>
                <w:b/>
                <w:bCs/>
              </w:rPr>
            </w:r>
          </w:p>
        </w:tc>
        <w:tc>
          <w:tcPr>
            <w:shd w:val="clear" w:color="000000" w:fill="ffffff"/>
            <w:tcBorders/>
            <w:tcW w:w="1736"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7053"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w:t>
            </w:r>
            <w:r>
              <w:rPr>
                <w:b/>
                <w:bCs/>
                <w:color w:val="ff0000"/>
              </w:rPr>
              <w:t xml:space="preserve">và tài sản gắn liền với đất</w:t>
            </w:r>
            <w:r>
              <w:rPr>
                <w:b/>
                <w:bCs/>
                <w:color w:val="ff0000"/>
              </w:rPr>
              <w:t xml:space="preserve"> </w:t>
            </w:r>
            <w:r>
              <w:rPr>
                <w:b/>
                <w:bCs/>
                <w:color w:val="000000"/>
              </w:rPr>
              <w:t xml:space="preserve">tại thửa đất số: </w:t>
            </w:r>
            <w:r>
              <w:rPr>
                <w:b/>
                <w:bCs/>
                <w:color w:val="ff0000"/>
              </w:rPr>
              <w:t xml:space="preserve">93, tờ bản đồ số: 90,</w:t>
            </w:r>
            <w:r>
              <w:rPr>
                <w:b/>
                <w:bCs/>
                <w:color w:val="000000"/>
              </w:rPr>
              <w:t xml:space="preserve"> địa chỉ: Xã Thanh Liệt, huyện Thanh Trì (</w:t>
            </w:r>
            <w:r>
              <w:rPr>
                <w:b/>
                <w:bCs/>
                <w:i/>
                <w:iCs/>
                <w:color w:val="000000"/>
              </w:rPr>
              <w:t xml:space="preserve">nay là phường Thanh Liệt)</w:t>
            </w:r>
            <w:r>
              <w:rPr>
                <w:b/>
                <w:bCs/>
                <w:color w:val="000000"/>
              </w:rPr>
              <w:t xml:space="preserve">, thành phố Hà Nội </w:t>
            </w:r>
            <w:r>
              <w:rPr>
                <w:b/>
                <w:bCs/>
                <w:color w:val="000000"/>
              </w:rPr>
              <w:t xml:space="preserve">theo Giấy chứng nhận quyền sử dụng đất, quyền sở hữu nhà ở và tài sản khác gắn liền với đất số: CE 579513, Số vào sổ cấp GCN: CS-TTR 05260 CH 00698 do Sở Tài nguyên và Môi trường Thành phố Hà Nội  cấp ngày 01/11/2016; Chủ sử dụng đất là Bà Nguyễn Thị Giang</w:t>
            </w:r>
            <w:r>
              <w:rPr>
                <w:b/>
                <w:bCs/>
                <w:i/>
                <w:iCs/>
              </w:rPr>
              <w:t xml:space="preserve">.</w:t>
            </w:r>
            <w:r>
              <w:rPr>
                <w:b/>
                <w:bCs/>
              </w:rPr>
            </w:r>
            <w:r>
              <w:rPr>
                <w:b/>
                <w:bCs/>
              </w:rPr>
            </w:r>
          </w:p>
        </w:tc>
        <w:tc>
          <w:tcPr>
            <w:shd w:val="clear" w:color="000000" w:fill="ffffff"/>
            <w:tcBorders/>
            <w:tcW w:w="1736"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rPr>
            </w:pPr>
            <w:r>
              <w:rPr>
                <w:b w:val="0"/>
                <w:bCs w:val="0"/>
              </w:rPr>
              <w:t xml:space="preserve">01</w:t>
            </w:r>
            <w:r>
              <w:rPr>
                <w:b w:val="0"/>
                <w:bCs w:val="0"/>
              </w:rPr>
            </w:r>
            <w:r>
              <w:rPr>
                <w:b w:val="0"/>
                <w:bCs w:val="0"/>
              </w:rPr>
            </w:r>
          </w:p>
        </w:tc>
        <w:tc>
          <w:tcPr>
            <w:gridSpan w:val="2"/>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549" w:type="dxa"/>
            <w:vAlign w:val="center"/>
            <w:textDirection w:val="lrTb"/>
            <w:noWrap/>
          </w:tcPr>
          <w:p>
            <w:pPr>
              <w:pBdr/>
              <w:spacing w:after="40" w:before="40" w:line="288" w:lineRule="auto"/>
              <w:ind/>
              <w:jc w:val="center"/>
              <w:rPr>
                <w:color w:val="000000"/>
              </w:rPr>
            </w:pPr>
            <w:r>
              <w:rPr>
                <w:color w:val="000000" w:themeColor="text1"/>
              </w:rPr>
              <w:t xml:space="preserve">38,7</w:t>
            </w:r>
            <w:r>
              <w:rPr>
                <w:color w:val="000000"/>
              </w:rPr>
            </w:r>
            <w:r>
              <w:rPr>
                <w:color w:val="000000"/>
              </w:rPr>
            </w:r>
          </w:p>
        </w:tc>
        <w:tc>
          <w:tcPr>
            <w:shd w:val="clear" w:color="000000" w:fill="ffffff"/>
            <w:tcBorders/>
            <w:tcW w:w="1918" w:type="dxa"/>
            <w:vAlign w:val="center"/>
            <w:textDirection w:val="lrTb"/>
            <w:noWrap w:val="false"/>
          </w:tcPr>
          <w:p>
            <w:pPr>
              <w:pBdr/>
              <w:spacing w:after="40" w:before="40" w:line="288" w:lineRule="auto"/>
              <w:ind/>
              <w:jc w:val="center"/>
              <w:rPr/>
            </w:pPr>
            <w:r>
              <w:rPr>
                <w:color w:val="000000" w:themeColor="text1"/>
              </w:rPr>
              <w:t xml:space="preserve">150.581.000</w:t>
            </w:r>
            <w:r/>
          </w:p>
        </w:tc>
        <w:tc>
          <w:tcPr>
            <w:shd w:val="clear" w:color="000000" w:fill="ffffff"/>
            <w:tcBorders/>
            <w:tcW w:w="1384" w:type="dxa"/>
            <w:vAlign w:val="center"/>
            <w:textDirection w:val="lrTb"/>
            <w:noWrap w:val="false"/>
          </w:tcPr>
          <w:p>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1736" w:type="dxa"/>
            <w:vAlign w:val="center"/>
            <w:textDirection w:val="lrTb"/>
            <w:noWrap w:val="false"/>
          </w:tcPr>
          <w:p>
            <w:pPr>
              <w:pBdr/>
              <w:spacing w:after="40" w:before="40" w:line="288" w:lineRule="auto"/>
              <w:ind/>
              <w:jc w:val="center"/>
              <w:rPr/>
            </w:pPr>
            <w:r>
              <w:rPr>
                <w:color w:val="000000" w:themeColor="text1"/>
              </w:rPr>
              <w:t xml:space="preserve">5.827.484.700</w:t>
            </w: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0</w:t>
            </w:r>
            <w:r>
              <w:rPr>
                <w:b w:val="0"/>
                <w:bCs w:val="0"/>
                <w:highlight w:val="white"/>
              </w:rPr>
              <w:t xml:space="preserve">2</w:t>
            </w:r>
            <w:r>
              <w:rPr>
                <w:b w:val="0"/>
                <w:bCs w:val="0"/>
                <w:highlight w:val="white"/>
              </w:rPr>
            </w:r>
            <w:r>
              <w:rPr>
                <w:b w:val="0"/>
                <w:bCs w:val="0"/>
                <w:highlight w:val="white"/>
              </w:rPr>
            </w:r>
          </w:p>
        </w:tc>
        <w:tc>
          <w:tcPr>
            <w:gridSpan w:val="2"/>
            <w:shd w:val="clear" w:color="000000" w:fill="ffffff"/>
            <w:tcBorders/>
            <w:tcW w:w="2376" w:type="dxa"/>
            <w:vAlign w:val="center"/>
            <w:textDirection w:val="lrTb"/>
            <w:noWrap w:val="false"/>
          </w:tcPr>
          <w:p>
            <w:pPr>
              <w:pBdr/>
              <w:spacing w:after="40" w:before="40" w:line="288" w:lineRule="auto"/>
              <w:ind/>
              <w:rPr>
                <w:b w:val="0"/>
                <w:bCs w:val="0"/>
                <w:highlight w:val="white"/>
              </w:rPr>
            </w:pPr>
            <w:r>
              <w:rPr>
                <w:b w:val="0"/>
                <w:bCs w:val="0"/>
                <w:highlight w:val="white"/>
              </w:rPr>
              <w:t xml:space="preserve">Nhà 04 tầng + 01 tum</w:t>
            </w:r>
            <w:r>
              <w:rPr>
                <w:b w:val="0"/>
                <w:bCs w:val="0"/>
                <w:highlight w:val="white"/>
              </w:rPr>
            </w:r>
            <w:r>
              <w:rPr>
                <w:b w:val="0"/>
                <w:bCs w:val="0"/>
                <w:highlight w:val="white"/>
              </w:rPr>
            </w:r>
          </w:p>
        </w:tc>
        <w:tc>
          <w:tcPr>
            <w:tcBorders/>
            <w:tcW w:w="1549"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177,5</w:t>
            </w:r>
            <w:r>
              <w:rPr>
                <w:color w:val="000000"/>
                <w:highlight w:val="white"/>
              </w:rPr>
            </w:r>
            <w:r>
              <w:rPr>
                <w:color w:val="000000"/>
                <w:highlight w:val="white"/>
              </w:rPr>
            </w:r>
          </w:p>
        </w:tc>
        <w:tc>
          <w:tcPr>
            <w:shd w:val="clear" w:color="000000" w:fill="ffffff"/>
            <w:tcBorders/>
            <w:tcW w:w="1918" w:type="dxa"/>
            <w:vAlign w:val="center"/>
            <w:textDirection w:val="lrTb"/>
            <w:noWrap w:val="false"/>
          </w:tcPr>
          <w:p>
            <w:pPr>
              <w:pBdr/>
              <w:spacing w:after="40" w:before="40" w:line="288" w:lineRule="auto"/>
              <w:ind/>
              <w:jc w:val="center"/>
              <w:rPr>
                <w:highlight w:val="white"/>
              </w:rPr>
            </w:pPr>
            <w:r>
              <w:rPr>
                <w:highlight w:val="white"/>
              </w:rPr>
              <w:t xml:space="preserve">8.686.048</w:t>
            </w:r>
            <w:r>
              <w:rPr>
                <w:highlight w:val="white"/>
              </w:rPr>
            </w:r>
            <w:r>
              <w:rPr>
                <w:highlight w:val="white"/>
              </w:rPr>
            </w:r>
          </w:p>
        </w:tc>
        <w:tc>
          <w:tcPr>
            <w:shd w:val="clear" w:color="000000" w:fill="ffffff"/>
            <w:tcBorders/>
            <w:tcW w:w="138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66,0%</w:t>
            </w:r>
            <w:r>
              <w:rPr>
                <w:color w:val="000000" w:themeColor="text1"/>
                <w:highlight w:val="white"/>
              </w:rPr>
            </w:r>
            <w:r>
              <w:rPr>
                <w:color w:val="000000" w:themeColor="text1"/>
                <w:highlight w:val="white"/>
              </w:rPr>
            </w:r>
          </w:p>
        </w:tc>
        <w:tc>
          <w:tcPr>
            <w:shd w:val="clear" w:color="000000" w:fill="ffffff"/>
            <w:tcBorders/>
            <w:tcW w:w="1736"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1.017.570.523</w:t>
            </w:r>
            <w:r>
              <w:rPr>
                <w:highlight w:val="white"/>
              </w:rPr>
            </w:r>
            <w:r>
              <w:rPr>
                <w:highlight w:val="white"/>
              </w:rPr>
            </w:r>
          </w:p>
        </w:tc>
      </w:tr>
      <w:tr>
        <w:trPr>
          <w:trHeight w:val="20"/>
        </w:trPr>
        <w:tc>
          <w:tcPr>
            <w:gridSpan w:val="6"/>
            <w:tcBorders/>
            <w:tcW w:w="7845"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36" w:type="dxa"/>
            <w:vAlign w:val="center"/>
            <w:textDirection w:val="lrTb"/>
            <w:noWrap/>
          </w:tcPr>
          <w:p>
            <w:pPr>
              <w:pBdr/>
              <w:spacing w:after="40" w:before="40" w:line="288" w:lineRule="auto"/>
              <w:ind/>
              <w:jc w:val="center"/>
              <w:rPr>
                <w:b/>
                <w:bCs/>
                <w:color w:val="000000"/>
              </w:rPr>
            </w:pPr>
            <w:r>
              <w:rPr>
                <w:b/>
                <w:bCs/>
              </w:rPr>
              <w:t xml:space="preserve">6.845.055.223</w:t>
            </w:r>
            <w:r>
              <w:rPr>
                <w:b/>
                <w:bCs/>
                <w:color w:val="000000"/>
              </w:rPr>
            </w:r>
            <w:r>
              <w:rPr>
                <w:b/>
                <w:bCs/>
                <w:color w:val="000000"/>
              </w:rPr>
            </w:r>
          </w:p>
        </w:tc>
      </w:tr>
      <w:tr>
        <w:trPr>
          <w:trHeight w:val="20"/>
        </w:trPr>
        <w:tc>
          <w:tcPr>
            <w:gridSpan w:val="6"/>
            <w:tcBorders/>
            <w:tcW w:w="7845"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736" w:type="dxa"/>
            <w:vAlign w:val="center"/>
            <w:textDirection w:val="lrTb"/>
            <w:noWrap/>
          </w:tcPr>
          <w:p>
            <w:pPr>
              <w:pBdr/>
              <w:spacing w:after="40" w:before="40" w:line="288" w:lineRule="auto"/>
              <w:ind/>
              <w:jc w:val="center"/>
              <w:rPr>
                <w:b/>
                <w:bCs/>
                <w:color w:val="000000"/>
              </w:rPr>
            </w:pPr>
            <w:r>
              <w:rPr>
                <w:b/>
                <w:bCs/>
                <w:color w:val="000000"/>
              </w:rPr>
              <w:t xml:space="preserve">6.845.000.000</w:t>
            </w:r>
            <w:r>
              <w:rPr>
                <w:b/>
                <w:bCs/>
                <w:color w:val="000000"/>
              </w:rPr>
            </w:r>
            <w:r>
              <w:rPr>
                <w:b/>
                <w:bCs/>
                <w:color w:val="000000"/>
              </w:rPr>
            </w:r>
          </w:p>
        </w:tc>
      </w:tr>
      <w:tr>
        <w:trPr>
          <w:trHeight w:val="20"/>
        </w:trPr>
        <w:tc>
          <w:tcPr>
            <w:gridSpan w:val="7"/>
            <w:tcBorders/>
            <w:tcW w:w="9574"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tám trăm bốn mươi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highlight w:val="none"/>
          <w:lang w:val="pt-BR"/>
        </w:rPr>
      </w:pPr>
      <w:r>
        <w:rPr>
          <w:lang w:val="pt-BR"/>
        </w:rPr>
        <w:t xml:space="preserve">- </w:t>
      </w:r>
      <w:r>
        <w:rPr>
          <w:lang w:val="pt-BR"/>
        </w:rPr>
        <w:t xml:space="preserve">Chi tiết như Báo cáo kèm theo.</w:t>
      </w:r>
      <w:r>
        <w:rPr>
          <w:rFonts w:eastAsia="Calibri"/>
          <w:b/>
          <w:bCs/>
          <w:spacing w:val="-4"/>
          <w:highlight w:val="none"/>
          <w:lang w:val="pt-BR"/>
        </w:rPr>
      </w:r>
      <w:r>
        <w:rPr>
          <w:rFonts w:eastAsia="Calibri"/>
          <w:b/>
          <w:bCs/>
          <w:spacing w:val="-4"/>
          <w:highlight w:val="none"/>
          <w:lang w:val="pt-BR"/>
        </w:rPr>
      </w:r>
    </w:p>
    <w:p>
      <w:pPr>
        <w:pBdr/>
        <w:spacing w:after="120" w:before="120" w:line="312" w:lineRule="auto"/>
        <w:ind w:firstLine="360"/>
        <w:rPr>
          <w:rFonts w:eastAsia="Calibri"/>
          <w:b/>
          <w:bCs/>
          <w:spacing w:val="-4"/>
          <w:lang w:val="pt-BR"/>
        </w:rPr>
      </w:pPr>
      <w:r>
        <w:rPr>
          <w:rFonts w:eastAsia="Calibri"/>
          <w:b/>
          <w:bCs/>
          <w:spacing w:val="-4"/>
          <w:lang w:val="pt-BR"/>
        </w:rPr>
      </w:r>
      <w:r>
        <w:rPr>
          <w:rFonts w:eastAsia="Calibri"/>
          <w:b/>
          <w:bCs/>
          <w:spacing w:val="-4"/>
          <w:lang w:val="pt-BR"/>
        </w:rPr>
      </w:r>
      <w:r>
        <w:rPr>
          <w:rFonts w:eastAsia="Calibri"/>
          <w:b/>
          <w:bCs/>
          <w:spacing w:val="-4"/>
          <w:lang w:val="pt-BR"/>
        </w:rPr>
      </w:r>
    </w:p>
    <w:p>
      <w:pPr>
        <w:pBdr/>
        <w:spacing w:after="120" w:before="120" w:line="312" w:lineRule="auto"/>
        <w:ind w:firstLine="360"/>
        <w:rPr>
          <w:rFonts w:eastAsia="Calibri"/>
          <w:b/>
          <w:bCs/>
          <w:spacing w:val="-4"/>
          <w:lang w:val="pt-BR"/>
        </w:rPr>
      </w:pPr>
      <w:r>
        <w:rPr>
          <w:rFonts w:eastAsia="Calibri"/>
          <w:b/>
          <w:bCs/>
          <w:spacing w:val="-4"/>
          <w:lang w:val="pt-BR"/>
        </w:rPr>
      </w:r>
      <w:r>
        <w:rPr>
          <w:rFonts w:eastAsia="Calibri"/>
          <w:b/>
          <w:bCs/>
          <w:spacing w:val="-4"/>
          <w:lang w:val="pt-BR"/>
        </w:rPr>
      </w:r>
      <w:r>
        <w:rPr>
          <w:rFonts w:eastAsia="Calibri"/>
          <w:b/>
          <w:bCs/>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29"/>
        <w:gridCol w:w="1787"/>
        <w:gridCol w:w="2335"/>
        <w:gridCol w:w="5799"/>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3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275/2026/1225/VFI-CT.48.A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799"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08 tháng 8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4"/>
              <w:pBdr/>
              <w:spacing w:after="60"/>
              <w:ind/>
              <w:rPr>
                <w:rStyle w:val="1033"/>
                <w:rFonts w:ascii="Times New Roman" w:hAnsi="Times New Roman"/>
                <w:color w:val="000000" w:themeColor="text1"/>
                <w:lang w:val="pt-BR"/>
              </w:rPr>
            </w:pPr>
            <w:r>
              <w:rPr>
                <w:rStyle w:val="1033"/>
                <w:rFonts w:ascii="Times New Roman" w:hAnsi="Times New Roman"/>
                <w:color w:val="000000" w:themeColor="text1"/>
                <w:lang w:val="pt-BR"/>
              </w:rPr>
            </w:r>
            <w:r>
              <w:rPr>
                <w:rStyle w:val="1033"/>
                <w:rFonts w:ascii="Times New Roman" w:hAnsi="Times New Roman"/>
                <w:color w:val="000000" w:themeColor="text1"/>
                <w:lang w:val="pt-BR"/>
              </w:rPr>
            </w:r>
            <w:r>
              <w:rPr>
                <w:rStyle w:val="1033"/>
                <w:rFonts w:ascii="Times New Roman" w:hAnsi="Times New Roman"/>
                <w:color w:val="000000" w:themeColor="text1"/>
                <w:lang w:val="pt-BR"/>
              </w:rPr>
            </w:r>
          </w:p>
        </w:tc>
        <w:tc>
          <w:tcPr>
            <w:shd w:val="clear" w:color="auto" w:fill="auto"/>
            <w:tcBorders/>
            <w:tcMar>
              <w:left w:w="108" w:type="dxa"/>
              <w:top w:w="0" w:type="dxa"/>
              <w:right w:w="108" w:type="dxa"/>
              <w:bottom w:w="0" w:type="dxa"/>
            </w:tcMar>
            <w:tcW w:w="5799" w:type="dxa"/>
            <w:textDirection w:val="lrTb"/>
            <w:noWrap w:val="false"/>
          </w:tcPr>
          <w:p>
            <w:pPr>
              <w:pStyle w:val="1034"/>
              <w:pBdr/>
              <w:spacing w:after="6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275/2026/1225/VFI-CT.48.A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08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highlight w:val="white"/>
              </w:rPr>
            </w:pPr>
            <w:r>
              <w:rPr>
                <w:b/>
                <w:bCs/>
                <w:highlight w:val="white"/>
              </w:rPr>
              <w:t xml:space="preserve">Bà Nguyễn Thị Giang</w:t>
            </w:r>
            <w:r>
              <w:rPr>
                <w:highlight w:val="white"/>
              </w:rPr>
            </w:r>
            <w:r>
              <w:rPr>
                <w:highlight w:val="whit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1717"/>
              </w:tabs>
              <w:spacing w:after="40" w:before="40" w:line="276" w:lineRule="auto"/>
              <w:ind/>
              <w:jc w:val="both"/>
              <w:rPr>
                <w:color w:val="ff0000"/>
                <w:highlight w:val="white"/>
              </w:rPr>
            </w:pPr>
            <w:r>
              <w:rPr>
                <w:color w:val="000000" w:themeColor="text1"/>
                <w:highlight w:val="white"/>
                <w:lang w:val="vi-VN"/>
              </w:rPr>
              <w:t xml:space="preserve">036184000151</w:t>
            </w:r>
            <w:r>
              <w:rPr>
                <w:color w:val="ff0000"/>
                <w:highlight w:val="white"/>
                <w:lang w:val="pt-BR"/>
              </w:rPr>
              <w:tab/>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yellow"/>
              </w:rPr>
            </w:pPr>
            <w:r>
              <w:rPr>
                <w:bCs/>
                <w:color w:val="000000" w:themeColor="text1"/>
                <w:highlight w:val="yellow"/>
                <w:lang w:val="pt-BR"/>
              </w:rPr>
              <w:t xml:space="preserve">Năm sinh:</w:t>
            </w:r>
            <w:r>
              <w:rPr>
                <w:bCs/>
                <w:highlight w:val="yellow"/>
              </w:rPr>
            </w:r>
            <w:r>
              <w:rPr>
                <w:bCs/>
                <w:highlight w:val="yellow"/>
              </w:rPr>
            </w:r>
          </w:p>
        </w:tc>
        <w:tc>
          <w:tcPr>
            <w:tcBorders/>
            <w:tcW w:w="284" w:type="dxa"/>
            <w:vAlign w:val="center"/>
            <w:textDirection w:val="lrTb"/>
            <w:noWrap w:val="false"/>
          </w:tcPr>
          <w:p>
            <w:pPr>
              <w:pStyle w:val="1035"/>
              <w:pBdr/>
              <w:spacing w:after="60" w:before="60" w:line="276" w:lineRule="auto"/>
              <w:ind w:left="0"/>
              <w:rPr>
                <w:bCs/>
                <w:highlight w:val="yellow"/>
              </w:rPr>
            </w:pPr>
            <w:r>
              <w:rPr>
                <w:bCs/>
                <w:highlight w:val="yellow"/>
                <w:lang w:val="pt-BR"/>
              </w:rPr>
              <w:t xml:space="preserve">:</w:t>
            </w:r>
            <w:r>
              <w:rPr>
                <w:bCs/>
                <w:highlight w:val="yellow"/>
              </w:rPr>
            </w:r>
            <w:r>
              <w:rPr>
                <w:bCs/>
                <w:highlight w:val="yellow"/>
              </w:rPr>
            </w:r>
          </w:p>
        </w:tc>
        <w:tc>
          <w:tcPr>
            <w:tcBorders/>
            <w:tcW w:w="6945" w:type="dxa"/>
            <w:vAlign w:val="center"/>
            <w:textDirection w:val="lrTb"/>
            <w:noWrap w:val="false"/>
          </w:tcPr>
          <w:p>
            <w:pPr>
              <w:pBdr/>
              <w:spacing w:after="60" w:before="60" w:line="276" w:lineRule="auto"/>
              <w:ind/>
              <w:rPr>
                <w:b/>
                <w:bCs/>
                <w:highlight w:val="yellow"/>
              </w:rPr>
            </w:pPr>
            <w:r>
              <w:rPr>
                <w:color w:val="000000" w:themeColor="text1"/>
                <w:highlight w:val="yellow"/>
                <w:lang w:val="vi-VN"/>
              </w:rPr>
            </w:r>
            <w:r>
              <w:rPr>
                <w:b/>
                <w:bCs/>
                <w:highlight w:val="yellow"/>
              </w:rPr>
            </w:r>
            <w:r>
              <w:rPr>
                <w:b/>
                <w:bCs/>
                <w:highlight w:val="yellow"/>
              </w:rPr>
            </w:r>
          </w:p>
        </w:tc>
      </w:tr>
      <w:tr>
        <w:trPr>
          <w:trHeight w:val="20"/>
        </w:trPr>
        <w:tc>
          <w:tcPr>
            <w:tcBorders/>
            <w:tcW w:w="2518" w:type="dxa"/>
            <w:vAlign w:val="center"/>
            <w:textDirection w:val="lrTb"/>
            <w:noWrap w:val="false"/>
          </w:tcPr>
          <w:p>
            <w:pPr>
              <w:pBdr/>
              <w:spacing w:after="60" w:before="60" w:line="276" w:lineRule="auto"/>
              <w:ind/>
              <w:rPr>
                <w:bCs/>
                <w:highlight w:val="yellow"/>
              </w:rPr>
            </w:pPr>
            <w:r>
              <w:rPr>
                <w:bCs/>
                <w:color w:val="000000" w:themeColor="text1"/>
                <w:highlight w:val="yellow"/>
                <w:lang w:val="pt-BR"/>
              </w:rPr>
              <w:t xml:space="preserve">Địa chỉ</w:t>
            </w:r>
            <w:r>
              <w:rPr>
                <w:bCs/>
                <w:highlight w:val="yellow"/>
              </w:rPr>
            </w:r>
            <w:r>
              <w:rPr>
                <w:bCs/>
                <w:highlight w:val="yellow"/>
              </w:rPr>
            </w:r>
          </w:p>
        </w:tc>
        <w:tc>
          <w:tcPr>
            <w:tcBorders/>
            <w:tcW w:w="284" w:type="dxa"/>
            <w:vAlign w:val="center"/>
            <w:textDirection w:val="lrTb"/>
            <w:noWrap w:val="false"/>
          </w:tcPr>
          <w:p>
            <w:pPr>
              <w:pStyle w:val="1035"/>
              <w:pBdr/>
              <w:spacing w:after="60" w:before="60" w:line="276" w:lineRule="auto"/>
              <w:ind w:left="0"/>
              <w:rPr>
                <w:bCs/>
                <w:highlight w:val="yellow"/>
              </w:rPr>
            </w:pPr>
            <w:r>
              <w:rPr>
                <w:bCs/>
                <w:highlight w:val="yellow"/>
                <w:lang w:val="pt-BR"/>
              </w:rPr>
              <w:t xml:space="preserve">:</w:t>
            </w:r>
            <w:r>
              <w:rPr>
                <w:bCs/>
                <w:highlight w:val="yellow"/>
              </w:rPr>
            </w:r>
            <w:r>
              <w:rPr>
                <w:bCs/>
                <w:highlight w:val="yellow"/>
              </w:rPr>
            </w:r>
          </w:p>
        </w:tc>
        <w:tc>
          <w:tcPr>
            <w:tcBorders/>
            <w:tcW w:w="6945" w:type="dxa"/>
            <w:vAlign w:val="center"/>
            <w:textDirection w:val="lrTb"/>
            <w:noWrap w:val="false"/>
          </w:tcPr>
          <w:p>
            <w:pPr>
              <w:pBdr/>
              <w:spacing w:after="60" w:before="60" w:line="276" w:lineRule="auto"/>
              <w:ind/>
              <w:rPr>
                <w:b/>
                <w:bCs/>
                <w:highlight w:val="yellow"/>
              </w:rPr>
            </w:pPr>
            <w:r>
              <w:rPr>
                <w:color w:val="000000" w:themeColor="text1"/>
                <w:highlight w:val="yellow"/>
                <w:lang w:val="vi-VN"/>
              </w:rPr>
            </w:r>
            <w:r>
              <w:rPr>
                <w:b/>
                <w:bCs/>
                <w:highlight w:val="yellow"/>
              </w:rPr>
            </w:r>
            <w:r>
              <w:rPr>
                <w:b/>
                <w:bCs/>
                <w:highlight w:val="yellow"/>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w:t>
            </w:r>
            <w:r>
              <w:rPr>
                <w:color w:val="ff0000"/>
              </w:rPr>
              <w:t xml:space="preserve">và tài sản gắn liền với đất</w:t>
            </w:r>
            <w:r>
              <w:rPr>
                <w:color w:val="ff0000"/>
              </w:rPr>
              <w:t xml:space="preserve"> </w:t>
            </w:r>
            <w:r>
              <w:rPr>
                <w:color w:val="000000"/>
              </w:rPr>
              <w:t xml:space="preserve">tại thửa đất số: </w:t>
            </w:r>
            <w:r>
              <w:rPr>
                <w:color w:val="ff0000"/>
              </w:rPr>
              <w:t xml:space="preserve">93, tờ bản đồ số: 90,</w:t>
            </w:r>
            <w:r>
              <w:rPr>
                <w:color w:val="000000"/>
              </w:rPr>
              <w:t xml:space="preserve"> địa chỉ: Xã Thanh Liệt, huyện Thanh Trì (</w:t>
            </w:r>
            <w:r>
              <w:rPr>
                <w:i/>
                <w:iCs/>
                <w:color w:val="000000"/>
              </w:rPr>
              <w:t xml:space="preserve">nay là phường Thanh Liệt)</w:t>
            </w:r>
            <w:r>
              <w:rPr>
                <w:color w:val="000000"/>
              </w:rPr>
              <w:t xml:space="preserve">, thành phố Hà Nội </w:t>
            </w:r>
            <w:r>
              <w:rPr>
                <w:color w:val="000000"/>
              </w:rPr>
              <w:t xml:space="preserve">theo Giấy chứng nhận quyền sử dụng đất, quyền sở hữu nhà ở và tài sản khác gắn liền với đất số: CE 579513, Số vào sổ cấp GCN: CS-TTR 05260 CH 00698 do Sở Tài nguyên và Môi trường Thành phố Hà Nội  cấp ngày 01/11/2016; Chủ sử dụng đất là Bà Nguyễn Thị Giang</w:t>
            </w:r>
            <w:r>
              <w:rPr>
                <w:bCs/>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w:t>
            </w:r>
            <w:r>
              <w:rPr>
                <w:color w:val="000000" w:themeColor="text1"/>
                <w:highlight w:val="yellow"/>
                <w:lang w:val="pt-BR"/>
              </w:rPr>
              <w:t xml:space="preserve">ng 09/</w:t>
            </w:r>
            <w:r>
              <w:rPr>
                <w:color w:val="000000" w:themeColor="text1"/>
                <w:lang w:val="pt-BR"/>
              </w:rPr>
              <w:t xml:space="preserve">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Thanh Trì,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(20.966444444444, 105.82022222222)</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nhà ở và tài sản khác gắn liền với đất số: CE 579513, Số vào sổ cấp GCN: CS-TTR 05260 CH 00698 do Sở Tài nguyên và Môi trường Thành phố Hà Nội  cấp ngày 01/11/2016; Chủ sử dụng đất là Bà Nguyễn Thị Giang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275/2026/1225/VFI-HĐTĐ.48.A ngày 04/08/2026 giữa Nguyễn Thị Giang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Thị trường bất động sản Hà Nội trong năm 2026 đang bước vào giai đoạn phục hồi nhưng có sự sàng lọc rõ rệt. Nguồn cung mới đã tăng trở lại, đặc biệt ở phân khúc căn hộ, tuy nhiên người mua không còn xuống tiền nhanh như giai đoạn 2024–2025. Lãi suất cho va</w:t>
      </w:r>
      <w:r>
        <w:rPr>
          <w:rFonts w:ascii="Times New Roman" w:hAnsi="Times New Roman" w:eastAsia="Times New Roman" w:cs="Times New Roman"/>
          <w:color w:val="0d0d0d"/>
          <w:sz w:val="24"/>
        </w:rPr>
        <w:t xml:space="preserve">y cao hơn và mặt bằng giá nhà tăng mạnh khiến người mua quan tâm nhiều hơn đến giá trị thực, pháp lý và khả năng khai thác của bất động sản.</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Phân khúc căn hộ chung cư vẫn là một trong những phân khúc sôi động nhất. Trong 6 tháng đầu năm 2026, Hà Nội ghi nhận khoảng 16.600 căn hộ mở bán mới, mức cao nhất trong 6 tháng đầu năm kể từ năm 2020. Tuy nhiên, nguồn cung mới đang nghiêng mạnh về phân kh</w:t>
      </w:r>
      <w:r>
        <w:rPr>
          <w:rFonts w:ascii="Times New Roman" w:hAnsi="Times New Roman" w:eastAsia="Times New Roman" w:cs="Times New Roman"/>
          <w:color w:val="0d0d0d"/>
          <w:sz w:val="24"/>
        </w:rPr>
        <w:t xml:space="preserve">úc trung và cao cấp; thị trường gần như không còn sản phẩm mới dưới 60 triệu đồng/m².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Về giá bán, căn hộ sơ cấp tại Hà Nội tiếp tục duy trì ở mức cao. Trong quý II/2026, giá bán sơ cấp trung bình đạt khoảng 95 triệu đồng/m², tăng 12% so với quý trước và 21% so với cùng kỳ năm 2025. Ngược lại, giá căn hộ trên thị trường thứ cấp đã bắt đầu đi</w:t>
      </w:r>
      <w:r>
        <w:rPr>
          <w:rFonts w:ascii="Times New Roman" w:hAnsi="Times New Roman" w:eastAsia="Times New Roman" w:cs="Times New Roman"/>
          <w:color w:val="0d0d0d"/>
          <w:sz w:val="24"/>
        </w:rPr>
        <w:t xml:space="preserve">ều chỉnh, xuống khoảng 60 triệu đồng/m², giảm gần 3% so với quý trước. Điều này cho thấy thị trường đang có sự phân hóa rõ giữa sản phẩm mới và sản phẩm chuyển nhượng. Thanh khoản cũng là vấn đề đáng chú ý. Trong quý II/2026, lượng căn hộ bán được đạt hơn </w:t>
      </w:r>
      <w:r>
        <w:rPr>
          <w:rFonts w:ascii="Times New Roman" w:hAnsi="Times New Roman" w:eastAsia="Times New Roman" w:cs="Times New Roman"/>
          <w:color w:val="0d0d0d"/>
          <w:sz w:val="24"/>
        </w:rPr>
        <w:t xml:space="preserve">5.800 căn, tương đương khoảng 68% nguồn cung mở bán mới. Tỷ lệ này thấp hơn đáng kể so với giai đoạn 2024–2025, khi tỷ lệ hấp thụ thường xuyên trên 90%. Người mua hiện có xu hướng cân nhắc kỹ về dòng tiền và khả năng trả nợ trước khi quyết định mua.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Về khu vực phát triển, nguồn cung đang có xu hướng dịch chuyển từ khu vực lõi trung tâm sang các khu vực rìa trung tâm và ngoại thành. Các khu vực phía Tây, phía Đông và một số huyện ngoại thành tiếp tục được hưởng lợi từ quỹ đất lớn, tốc độ đô thị hóa và </w:t>
      </w:r>
      <w:r>
        <w:rPr>
          <w:rFonts w:ascii="Times New Roman" w:hAnsi="Times New Roman" w:eastAsia="Times New Roman" w:cs="Times New Roman"/>
          <w:color w:val="0d0d0d"/>
          <w:sz w:val="24"/>
        </w:rPr>
        <w:t xml:space="preserve">đầu tư hạ tầng. Cushman &amp; Wakefield nhận định nguồn cung nhà ở trong thời gian tới sẽ tiếp tục dịch chuyển ra ngoài trung tâm, phù hợp với xu hướng phát triển đô thị đa cực của Hà Nội.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Đối với nhà liền thổ và đất nền, thị trường cũng đang có xu hướng mở rộng ra vùng ven. Những khu vực như Đông Anh, Gia Lâm, Hoài Đức, Thường Tín, Đan Phượng và một số khu vực phía Tây Hà Nội được chú ý nhờ quỹ đất và sự phát triển của hệ thống giao thông. </w:t>
      </w:r>
      <w:r>
        <w:rPr>
          <w:rFonts w:ascii="Times New Roman" w:hAnsi="Times New Roman" w:eastAsia="Times New Roman" w:cs="Times New Roman"/>
          <w:color w:val="0d0d0d"/>
          <w:sz w:val="24"/>
        </w:rPr>
        <w:t xml:space="preserve">Tuy nhiên, giá đất tại từng khu vực có sự khác biệt lớn và nhà đầu tư cần đặc biệt quan tâm đến quy hoạch, pháp lý và khả năng hình thành nhu cầu ở thực.</w:t>
      </w:r>
      <w:r/>
    </w:p>
    <w:p>
      <w:pPr>
        <w:pBdr/>
        <w:tabs>
          <w:tab w:val="left" w:leader="none" w:pos="426"/>
        </w:tabs>
        <w:spacing w:after="120" w:before="120" w:line="276" w:lineRule="auto"/>
        <w:ind w:right="0" w:firstLine="283" w:left="0"/>
        <w:jc w:val="both"/>
        <w:rPr>
          <w:bCs/>
          <w:i/>
          <w:lang w:val="pt-BR"/>
        </w:rPr>
      </w:pPr>
      <w:r>
        <w:rPr>
          <w:rFonts w:ascii="Times New Roman" w:hAnsi="Times New Roman" w:eastAsia="Times New Roman" w:cs="Times New Roman"/>
          <w:color w:val="0d0d0d"/>
          <w:sz w:val="24"/>
        </w:rPr>
        <w:t xml:space="preserve">Nhìn chung, thị trường bất động sản Hà Nội hiện không còn là thị trường tăng giá đồng loạt. Cơ hội đang tập trung nhiều hơn vào những dự án có vị trí tốt, pháp lý rõ ràng, hạ tầng hoàn thiện và mức giá phù hợp với khả năng tài chính của người mua. Trong tr</w:t>
      </w:r>
      <w:r>
        <w:rPr>
          <w:rFonts w:ascii="Times New Roman" w:hAnsi="Times New Roman" w:eastAsia="Times New Roman" w:cs="Times New Roman"/>
          <w:color w:val="0d0d0d"/>
          <w:sz w:val="24"/>
        </w:rPr>
        <w:t xml:space="preserve">ung và dài hạn, hạ tầng giao thông, quá trình mở rộng đô thị và sự dịch chuyển dân cư ra các khu vực phía Đông, phía Tây và vùng ven sẽ tiếp tục là những yếu tố quan trọng ảnh hưởng đến giá trị bất động sản</w:t>
      </w:r>
      <w:r>
        <w:rPr>
          <w:i/>
          <w:iCs/>
          <w:lang w:val="pt-BR"/>
        </w:rPr>
        <w:t xml:space="preserve">.</w:t>
      </w:r>
      <w:r>
        <w:rPr>
          <w:bCs/>
          <w:i/>
          <w:lang w:val="pt-BR"/>
        </w:rPr>
      </w:r>
      <w:r>
        <w:rPr>
          <w:bCs/>
          <w:i/>
          <w:lang w:val="pt-BR"/>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19"/>
        <w:gridCol w:w="2431"/>
        <w:gridCol w:w="2359"/>
        <w:gridCol w:w="2790"/>
      </w:tblGrid>
      <w:tr>
        <w:trPr>
          <w:trHeight w:val="1768"/>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jc w:val="both"/>
              <w:rPr>
                <w:b/>
                <w:bCs/>
              </w:rPr>
            </w:pPr>
            <w:r>
              <w:rPr>
                <w:rFonts w:ascii="Times New Roman" w:hAnsi="Times New Roman" w:eastAsia="Times New Roman" w:cs="Times New Roman"/>
                <w:b/>
                <w:bCs/>
                <w:color w:val="000000"/>
                <w:sz w:val="24"/>
              </w:rPr>
            </w:r>
            <w:r>
              <w:rPr>
                <w:b/>
                <w:bCs/>
                <w:color w:val="000000"/>
              </w:rPr>
              <w:t xml:space="preserve">Quyền sử dụng đất </w:t>
            </w:r>
            <w:r>
              <w:rPr>
                <w:b/>
                <w:bCs/>
                <w:color w:val="ff0000"/>
              </w:rPr>
              <w:t xml:space="preserve">và tài sản gắn liền với đất</w:t>
            </w:r>
            <w:r>
              <w:rPr>
                <w:b/>
                <w:bCs/>
                <w:color w:val="ff0000"/>
              </w:rPr>
              <w:t xml:space="preserve"> </w:t>
            </w:r>
            <w:r>
              <w:rPr>
                <w:b/>
                <w:bCs/>
                <w:color w:val="000000"/>
              </w:rPr>
              <w:t xml:space="preserve">tại thửa đất số: </w:t>
            </w:r>
            <w:r>
              <w:rPr>
                <w:b/>
                <w:bCs/>
                <w:color w:val="ff0000"/>
              </w:rPr>
              <w:t xml:space="preserve">93, tờ bản đồ số: 90,</w:t>
            </w:r>
            <w:r>
              <w:rPr>
                <w:b/>
                <w:bCs/>
                <w:color w:val="000000"/>
              </w:rPr>
              <w:t xml:space="preserve"> địa chỉ: Xã Thanh Liệt, huyện Thanh Trì (</w:t>
            </w:r>
            <w:r>
              <w:rPr>
                <w:b/>
                <w:bCs/>
                <w:i/>
                <w:iCs/>
                <w:color w:val="000000"/>
              </w:rPr>
              <w:t xml:space="preserve">nay là phường Thanh Liệt)</w:t>
            </w:r>
            <w:r>
              <w:rPr>
                <w:b/>
                <w:bCs/>
                <w:color w:val="000000"/>
              </w:rPr>
              <w:t xml:space="preserve">, thành phố Hà Nội </w:t>
            </w:r>
            <w:r>
              <w:rPr>
                <w:b/>
                <w:bCs/>
                <w:color w:val="000000"/>
              </w:rPr>
              <w:t xml:space="preserve">theo Giấy chứng nhận quyền sử dụng đất, quyền sở hữu nhà ở và tài sản khác gắn liền với đất số: CE 579513, Số vào sổ cấp GCN: CS-TTR 05260 CH 00698 do Sở Tài nguyên và Môi trường Thành phố Hà Nội  cấp ngày 01/11/2016; Chủ sử dụng đất là Bà Nguyễn Thị Giang</w:t>
            </w:r>
            <w:r>
              <w:rPr>
                <w:b/>
                <w:bCs/>
                <w:i/>
                <w:iCs/>
              </w:rPr>
              <w:t xml:space="preserve">.</w:t>
            </w:r>
            <w:r>
              <w:rPr>
                <w:b/>
                <w:bCs/>
              </w:rPr>
            </w:r>
            <w:r>
              <w:rPr>
                <w:b/>
                <w:bCs/>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93</w:t>
            </w:r>
            <w:r/>
          </w:p>
        </w:tc>
        <w:tc>
          <w:tcPr>
            <w:shd w:val="clear" w:color="ffffff" w:fill="ffffff"/>
            <w:tcBorders>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90</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80" w:type="dxa"/>
            <w:vAlign w:val="center"/>
            <w:textDirection w:val="lrTb"/>
            <w:noWrap w:val="false"/>
          </w:tcPr>
          <w:p>
            <w:pPr>
              <w:pBdr/>
              <w:spacing w:after="0" w:before="0" w:line="240" w:lineRule="auto"/>
              <w:ind w:right="0" w:firstLine="0" w:left="142"/>
              <w:jc w:val="both"/>
              <w:rPr/>
            </w:pPr>
            <w:r>
              <w:rPr>
                <w:rFonts w:ascii="Times New Roman" w:hAnsi="Times New Roman" w:eastAsia="Times New Roman" w:cs="Times New Roman"/>
                <w:color w:val="000000"/>
                <w:sz w:val="24"/>
              </w:rPr>
              <w:t xml:space="preserve">Xã Thanh Liệt, huyện Thanh Trì </w:t>
            </w:r>
            <w:r>
              <w:rPr>
                <w:rFonts w:ascii="Times New Roman" w:hAnsi="Times New Roman" w:eastAsia="Times New Roman" w:cs="Times New Roman"/>
                <w:i/>
                <w:iCs/>
                <w:color w:val="000000"/>
                <w:sz w:val="24"/>
              </w:rPr>
              <w:t xml:space="preserve">(nay là phường Thanh Liệt),</w:t>
            </w:r>
            <w:r>
              <w:rPr>
                <w:rFonts w:ascii="Times New Roman" w:hAnsi="Times New Roman" w:eastAsia="Times New Roman" w:cs="Times New Roman"/>
                <w:color w:val="000000"/>
                <w:sz w:val="24"/>
              </w:rPr>
              <w:t xml:space="preserve"> thành phố Hà Nội</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38,7</w:t>
            </w:r>
            <w:r/>
          </w:p>
        </w:tc>
        <w:tc>
          <w:tcPr>
            <w:tcBorders>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Mục đích sử dụng:</w:t>
            </w:r>
            <w:r/>
          </w:p>
        </w:tc>
        <w:tc>
          <w:tcPr>
            <w:tcBorders/>
            <w:tcMar>
              <w:left w:w="0" w:type="dxa"/>
              <w:top w:w="0" w:type="dxa"/>
              <w:right w:w="0" w:type="dxa"/>
              <w:bottom w:w="0" w:type="dxa"/>
            </w:tcMar>
            <w:tcW w:w="2431" w:type="dxa"/>
            <w:vAlign w:val="bottom"/>
            <w:textDirection w:val="lrTb"/>
            <w:noWrap/>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Đất ở tại nông thôn </w:t>
            </w:r>
            <w:r/>
          </w:p>
        </w:tc>
        <w:tc>
          <w:tcPr>
            <w:tcBorders>
              <w:left w:val="single" w:color="000000" w:sz="6" w:space="0"/>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Lâu dài </w:t>
            </w:r>
            <w:r/>
          </w:p>
        </w:tc>
      </w:tr>
      <w:tr>
        <w:trPr>
          <w:trHeight w:val="69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580"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Nhận tặng cho đất được công nhận quyền sử dụng đất như giao đất có thu tiền sử dụng đất </w:t>
            </w: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tabs>
                <w:tab w:val="right" w:leader="none" w:pos="8908"/>
              </w:tabs>
              <w:spacing w:after="0" w:before="0" w:line="240" w:lineRule="auto"/>
              <w:ind w:right="0" w:firstLine="0" w:left="142"/>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color w:val="000000"/>
                <w:sz w:val="24"/>
              </w:rPr>
              <w:t xml:space="preserve">Ghi chú:</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Bdr/>
              <w:tabs>
                <w:tab w:val="right" w:leader="none" w:pos="8908"/>
              </w:tabs>
              <w:spacing w:after="0" w:before="0" w:line="240" w:lineRule="auto"/>
              <w:ind w:right="0" w:firstLine="0" w:left="142"/>
              <w:jc w:val="both"/>
              <w:rPr>
                <w:rFonts w:ascii="Times New Roman" w:hAnsi="Times New Roman" w:eastAsia="Times New Roman" w:cs="Times New Roman"/>
                <w:b w:val="0"/>
                <w:bCs/>
                <w:i/>
                <w:color w:val="000000"/>
                <w:sz w:val="24"/>
                <w:szCs w:val="24"/>
              </w:rPr>
            </w:pPr>
            <w:r>
              <w:rPr>
                <w:rFonts w:ascii="Times New Roman" w:hAnsi="Times New Roman" w:eastAsia="Times New Roman" w:cs="Times New Roman"/>
                <w:b w:val="0"/>
                <w:bCs w:val="0"/>
                <w:i/>
                <w:iCs/>
                <w:color w:val="000000"/>
                <w:sz w:val="24"/>
              </w:rPr>
              <w:t xml:space="preserve">+ Giấy chứng nhận này được cấp đổi từ Giấy chứng nhận quyền sử dụng đất quyền sở hữu nhà ở và tài sản khác gắn liền với đất số BG 590218, số và sổ 4242/2011/VBTK/CH 00698 do UBND huyện Thanh Trì cấp ngày 01/09/2011.</w:t>
            </w:r>
            <w:r>
              <w:rPr>
                <w:rFonts w:ascii="Times New Roman" w:hAnsi="Times New Roman" w:eastAsia="Times New Roman" w:cs="Times New Roman"/>
                <w:b w:val="0"/>
                <w:bCs/>
                <w:i/>
                <w:color w:val="000000"/>
                <w:sz w:val="24"/>
                <w:szCs w:val="24"/>
              </w:rPr>
            </w:r>
            <w:r>
              <w:rPr>
                <w:rFonts w:ascii="Times New Roman" w:hAnsi="Times New Roman" w:eastAsia="Times New Roman" w:cs="Times New Roman"/>
                <w:b w:val="0"/>
                <w:bCs/>
                <w:i/>
                <w:color w:val="000000"/>
                <w:sz w:val="24"/>
                <w:szCs w:val="24"/>
              </w:rPr>
            </w:r>
          </w:p>
          <w:p>
            <w:pPr>
              <w:pBdr/>
              <w:tabs>
                <w:tab w:val="right" w:leader="none" w:pos="8908"/>
              </w:tabs>
              <w:spacing w:after="0" w:before="0" w:line="240" w:lineRule="auto"/>
              <w:ind w:right="0" w:firstLine="0" w:left="142"/>
              <w:jc w:val="both"/>
              <w:rPr/>
            </w:pPr>
            <w:r>
              <w:rPr>
                <w:rFonts w:ascii="Times New Roman" w:hAnsi="Times New Roman" w:eastAsia="Times New Roman" w:cs="Times New Roman"/>
                <w:b w:val="0"/>
                <w:bCs w:val="0"/>
                <w:i/>
                <w:iCs/>
                <w:color w:val="000000"/>
                <w:sz w:val="24"/>
              </w:rPr>
              <w:t xml:space="preserve">+ Số tờ, số thửa và sơ đồ sẽ đ</w:t>
            </w:r>
            <w:r>
              <w:rPr>
                <w:rFonts w:ascii="Times New Roman" w:hAnsi="Times New Roman" w:eastAsia="Times New Roman" w:cs="Times New Roman"/>
                <w:b w:val="0"/>
                <w:bCs w:val="0"/>
                <w:i/>
                <w:iCs/>
                <w:color w:val="000000"/>
                <w:sz w:val="24"/>
              </w:rPr>
              <w:t xml:space="preserve">ược hiệu chỉnh khi có bản đồ địa chính chính quy.</w:t>
            </w:r>
            <w:r>
              <w:tab/>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b/>
                <w:color w:val="000000"/>
                <w:sz w:val="24"/>
              </w:rPr>
              <w:t xml:space="preserve">Thông tin quy hoạch:</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Tại thời điểm thẩm định giá, Tổ thẩm định không thu thập được bất kỳ thông tin quy hoạch nào của thửa đất.</w:t>
            </w:r>
            <w:r/>
          </w:p>
        </w:tc>
      </w:tr>
      <w:tr>
        <w:trPr>
          <w:trHeight w:val="42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b/>
                <w:color w:val="000000"/>
                <w:sz w:val="24"/>
              </w:rPr>
              <w:t xml:space="preserve">Vị trí; Giao thông:</w:t>
            </w:r>
            <w:r/>
          </w:p>
        </w:tc>
      </w:tr>
      <w:tr>
        <w:trPr>
          <w:trHeight w:val="44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80"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Phường Thanh Liệt, thành phố Hà Nội</w:t>
            </w:r>
            <w:r/>
          </w:p>
        </w:tc>
      </w:tr>
      <w:tr>
        <w:trPr>
          <w:trHeight w:val="38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Ngõ giao thông </w:t>
            </w:r>
            <w:r/>
          </w:p>
        </w:tc>
        <w:tc>
          <w:tcPr>
            <w:tcBorders>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Tiếp giáp 01 mặt tiền</w:t>
            </w:r>
            <w:r/>
          </w:p>
        </w:tc>
      </w:tr>
      <w:tr>
        <w:trPr>
          <w:trHeight w:val="1199"/>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1,9m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2,2m</w:t>
            </w:r>
            <w:r/>
          </w:p>
        </w:tc>
      </w:tr>
      <w:tr>
        <w:trPr>
          <w:trHeight w:val="75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Khoảng cách đến trục đường chính:</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580"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Cách đường Kim Giang khoảng 130m.</w:t>
            </w:r>
            <w:r/>
          </w:p>
        </w:tc>
      </w:tr>
      <w:tr>
        <w:trPr>
          <w:trHeight w:val="112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580"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 Hướng Tây Nam: giáp với ngõ giao thông </w:t>
            </w:r>
            <w:r>
              <w:rPr>
                <w:rFonts w:ascii="Times New Roman" w:hAnsi="Times New Roman" w:eastAsia="Times New Roman" w:cs="Times New Roman"/>
                <w:color w:val="ff0000"/>
                <w:sz w:val="24"/>
                <w:highlight w:val="yellow"/>
              </w:rPr>
              <w:t xml:space="preserve">rộng 1,9m;</w:t>
            </w:r>
            <w:r>
              <w:rPr>
                <w:rFonts w:ascii="Times New Roman" w:hAnsi="Times New Roman" w:eastAsia="Times New Roman" w:cs="Times New Roman"/>
                <w:color w:val="000000"/>
                <w:sz w:val="24"/>
                <w:highlight w:val="yellow"/>
              </w:rPr>
              <w:br/>
              <w:t xml:space="preserve">+ Hướng  Đông Nam: giáp với ngõ giao thông r</w:t>
            </w:r>
            <w:r>
              <w:rPr>
                <w:rFonts w:ascii="Times New Roman" w:hAnsi="Times New Roman" w:eastAsia="Times New Roman" w:cs="Times New Roman"/>
                <w:color w:val="ff0000"/>
                <w:sz w:val="24"/>
                <w:highlight w:val="yellow"/>
              </w:rPr>
              <w:t xml:space="preserve">ộng 2,2m;</w:t>
            </w:r>
            <w:r>
              <w:rPr>
                <w:rFonts w:ascii="Times New Roman" w:hAnsi="Times New Roman" w:eastAsia="Times New Roman" w:cs="Times New Roman"/>
                <w:color w:val="000000"/>
                <w:sz w:val="24"/>
              </w:rPr>
              <w:br/>
              <w:t xml:space="preserve">+ Các hướng còn lại: tiếp giáp với các thửa đất khác.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Vị trí trên bản đồ vệ tinh: (20.966444444444, 105.82022222222) </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486987" cy="2825205"/>
                      <wp:effectExtent l="0" t="0" r="0" b="0"/>
                      <wp:docPr id="5" name=""/>
                      <wp:cNvGraphicFramePr/>
                      <a:graphic xmlns:a="http://schemas.openxmlformats.org/drawingml/2006/main">
                        <a:graphicData uri="http://schemas.openxmlformats.org/drawingml/2006/picture">
                          <pic:pic xmlns:pic="http://schemas.openxmlformats.org/drawingml/2006/picture">
                            <pic:nvPicPr>
                              <pic:cNvPr id="1734801246" name="" descr=""/>
                              <pic:cNvPicPr/>
                              <pic:nvPr/>
                            </pic:nvPicPr>
                            <pic:blipFill rotWithShape="1">
                              <a:blip r:embed="rId17"/>
                              <a:stretch/>
                            </pic:blipFill>
                            <pic:spPr bwMode="auto">
                              <a:xfrm rot="0" flipH="0" flipV="0">
                                <a:off x="0" y="0"/>
                                <a:ext cx="5486987" cy="282520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2.05pt;height:222.46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b/>
                <w:color w:val="000000"/>
                <w:sz w:val="24"/>
              </w:rPr>
              <w:t xml:space="preserve">Diện tích; Kích thước; Hình dáng</w:t>
            </w:r>
            <w:r/>
          </w:p>
        </w:tc>
      </w:tr>
      <w:tr>
        <w:trPr>
          <w:trHeight w:val="54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38,7</w:t>
            </w:r>
            <w:r/>
          </w:p>
        </w:tc>
        <w:tc>
          <w:tcPr>
            <w:shd w:val="clear" w:color="ffffff" w:fill="ffffff"/>
            <w:tcBorders>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0,0</w:t>
            </w:r>
            <w:r/>
          </w:p>
        </w:tc>
      </w:tr>
      <w:tr>
        <w:trPr>
          <w:trHeight w:val="40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3,5</w:t>
            </w:r>
            <w:r/>
          </w:p>
        </w:tc>
        <w:tc>
          <w:tcPr>
            <w:shd w:val="clear" w:color="ffffff" w:fill="ffffff"/>
            <w:tcBorders>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10,0</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Tây Nam </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9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Cao </w:t>
            </w:r>
            <w:r/>
          </w:p>
        </w:tc>
        <w:tc>
          <w:tcPr>
            <w:tcBorders>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Ổn định</w:t>
            </w:r>
            <w:r/>
          </w:p>
        </w:tc>
      </w:tr>
      <w:tr>
        <w:trPr>
          <w:trHeight w:val="709"/>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Trung bình </w:t>
            </w:r>
            <w:r/>
          </w:p>
        </w:tc>
        <w:tc>
          <w:tcPr>
            <w:tcBorders>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Tốt </w:t>
            </w:r>
            <w:r/>
          </w:p>
        </w:tc>
      </w:tr>
      <w:tr>
        <w:trPr>
          <w:trHeight w:val="126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431"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35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79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b/>
                <w:color w:val="000000"/>
                <w:sz w:val="24"/>
              </w:rPr>
              <w:t xml:space="preserve"> Tài sản gắn liền với đất: Nhà 04 tầng+ 01 tum</w:t>
            </w:r>
            <w:r/>
          </w:p>
        </w:tc>
      </w:tr>
      <w:tr>
        <w:trPr>
          <w:trHeight w:val="107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Tại thời điểm khảo sát, dưới sự hướng dẫn của chủ tài sản, trên đất có CTXD nhà 04 tầng + 01 tum, diện tích xây dựng kho</w:t>
            </w:r>
            <w:r>
              <w:rPr>
                <w:rFonts w:ascii="Times New Roman" w:hAnsi="Times New Roman" w:eastAsia="Times New Roman" w:cs="Times New Roman"/>
                <w:color w:val="000000"/>
                <w:sz w:val="24"/>
                <w:highlight w:val="yellow"/>
              </w:rPr>
              <w:t xml:space="preserve">ảng 35,5m</w:t>
            </w:r>
            <w:r>
              <w:rPr>
                <w:rFonts w:ascii="Times New Roman" w:hAnsi="Times New Roman" w:eastAsia="Times New Roman" w:cs="Times New Roman"/>
                <w:color w:val="000000"/>
                <w:sz w:val="24"/>
                <w:highlight w:val="yellow"/>
                <w:vertAlign w:val="superscript"/>
              </w:rPr>
              <w:t xml:space="preserve">2</w:t>
            </w:r>
            <w:r>
              <w:rPr>
                <w:rFonts w:ascii="Times New Roman" w:hAnsi="Times New Roman" w:eastAsia="Times New Roman" w:cs="Times New Roman"/>
                <w:color w:val="000000"/>
                <w:sz w:val="24"/>
                <w:highlight w:val="yellow"/>
              </w:rPr>
              <w:t xml:space="preserve">, tổng diện tích sàn khoảng</w:t>
            </w:r>
            <w:r>
              <w:rPr>
                <w:rFonts w:ascii="Times New Roman" w:hAnsi="Times New Roman" w:eastAsia="Times New Roman" w:cs="Times New Roman"/>
                <w:b/>
                <w:bCs/>
                <w:color w:val="ff0000"/>
                <w:sz w:val="24"/>
                <w:highlight w:val="yellow"/>
              </w:rPr>
              <w:t xml:space="preserve"> 159,75 m</w:t>
            </w:r>
            <w:r>
              <w:rPr>
                <w:rFonts w:ascii="Times New Roman" w:hAnsi="Times New Roman" w:eastAsia="Times New Roman" w:cs="Times New Roman"/>
                <w:b/>
                <w:bCs/>
                <w:color w:val="ff0000"/>
                <w:sz w:val="24"/>
                <w:highlight w:val="yellow"/>
                <w:vertAlign w:val="superscript"/>
              </w:rPr>
              <w:t xml:space="preserve">2</w:t>
            </w:r>
            <w:r>
              <w:rPr>
                <w:rFonts w:ascii="Times New Roman" w:hAnsi="Times New Roman" w:eastAsia="Times New Roman" w:cs="Times New Roman"/>
                <w:b/>
                <w:bCs/>
                <w:color w:val="ff0000"/>
                <w:sz w:val="24"/>
                <w:highlight w:val="yellow"/>
              </w:rPr>
              <w:t xml:space="preserve">,</w:t>
            </w:r>
            <w:r>
              <w:rPr>
                <w:rFonts w:ascii="Times New Roman" w:hAnsi="Times New Roman" w:eastAsia="Times New Roman" w:cs="Times New Roman"/>
                <w:color w:val="000000"/>
                <w:sz w:val="24"/>
                <w:highlight w:val="yellow"/>
              </w:rPr>
              <w:t xml:space="preserve"> </w:t>
            </w:r>
            <w:r>
              <w:rPr>
                <w:rFonts w:ascii="Times New Roman" w:hAnsi="Times New Roman" w:eastAsia="Times New Roman" w:cs="Times New Roman"/>
                <w:color w:val="000000"/>
                <w:sz w:val="24"/>
              </w:rPr>
              <w:t xml:space="preserve">xây năm 2009. Công trình chưa được công nhận trên GCN QSDĐ số: CE 579513.</w:t>
            </w:r>
            <w:r/>
          </w:p>
        </w:tc>
      </w:tr>
    </w:tbl>
    <w:p>
      <w:pPr>
        <w:pBdr/>
        <w:spacing w:line="235" w:lineRule="auto"/>
        <w:ind w:left="0"/>
        <w:jc w:val="both"/>
        <w:rPr>
          <w:color w:val="000000"/>
          <w:highlight w:val="none"/>
        </w:rPr>
      </w:pPr>
      <w:r>
        <w:rPr>
          <w:u w:val="single"/>
        </w:rPr>
      </w:r>
      <w:r>
        <w:rPr>
          <w:color w:val="000000"/>
          <w:highlight w:val="none"/>
        </w:rPr>
      </w:r>
      <w:r>
        <w:rPr>
          <w:color w:val="000000"/>
          <w:highlight w:val="non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741"/>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04 tầng + 01 tum, diện tích xây dựng kho</w:t>
      </w:r>
      <w:r>
        <w:rPr>
          <w:rFonts w:ascii="Times New Roman" w:hAnsi="Times New Roman" w:eastAsia="Times New Roman" w:cs="Times New Roman"/>
          <w:color w:val="000000"/>
          <w:sz w:val="24"/>
          <w:highlight w:val="yellow"/>
        </w:rPr>
        <w:t xml:space="preserve">ảng 35,5m</w:t>
      </w:r>
      <w:r>
        <w:rPr>
          <w:rFonts w:ascii="Times New Roman" w:hAnsi="Times New Roman" w:eastAsia="Times New Roman" w:cs="Times New Roman"/>
          <w:color w:val="000000"/>
          <w:sz w:val="24"/>
          <w:highlight w:val="yellow"/>
          <w:vertAlign w:val="superscript"/>
        </w:rPr>
        <w:t xml:space="preserve">2</w:t>
      </w:r>
      <w:r>
        <w:rPr>
          <w:rFonts w:ascii="Times New Roman" w:hAnsi="Times New Roman" w:eastAsia="Times New Roman" w:cs="Times New Roman"/>
          <w:color w:val="000000"/>
          <w:sz w:val="24"/>
          <w:highlight w:val="yellow"/>
        </w:rPr>
        <w:t xml:space="preserve">, tổng diện tích sàn khoảng</w:t>
      </w:r>
      <w:r>
        <w:rPr>
          <w:rFonts w:ascii="Times New Roman" w:hAnsi="Times New Roman" w:eastAsia="Times New Roman" w:cs="Times New Roman"/>
          <w:b/>
          <w:bCs/>
          <w:color w:val="ff0000"/>
          <w:sz w:val="24"/>
          <w:highlight w:val="yellow"/>
        </w:rPr>
        <w:t xml:space="preserve"> 159,75 m</w:t>
      </w:r>
      <w:r>
        <w:rPr>
          <w:rFonts w:ascii="Times New Roman" w:hAnsi="Times New Roman" w:eastAsia="Times New Roman" w:cs="Times New Roman"/>
          <w:b/>
          <w:bCs/>
          <w:color w:val="ff0000"/>
          <w:sz w:val="24"/>
          <w:highlight w:val="yellow"/>
          <w:vertAlign w:val="superscript"/>
        </w:rPr>
        <w:t xml:space="preserve">2</w:t>
      </w:r>
      <w:r>
        <w:rPr>
          <w:rFonts w:ascii="Times New Roman" w:hAnsi="Times New Roman" w:eastAsia="Times New Roman" w:cs="Times New Roman"/>
          <w:b/>
          <w:bCs/>
          <w:color w:val="ff0000"/>
          <w:sz w:val="24"/>
          <w:highlight w:val="yellow"/>
        </w:rPr>
        <w:t xml:space="preserve">,</w:t>
      </w:r>
      <w:r>
        <w:rPr>
          <w:rFonts w:ascii="Times New Roman" w:hAnsi="Times New Roman" w:eastAsia="Times New Roman" w:cs="Times New Roman"/>
          <w:color w:val="000000"/>
          <w:sz w:val="24"/>
          <w:highlight w:val="yellow"/>
        </w:rPr>
        <w:t xml:space="preserve"> </w:t>
      </w:r>
      <w:r>
        <w:rPr>
          <w:rFonts w:ascii="Times New Roman" w:hAnsi="Times New Roman" w:eastAsia="Times New Roman" w:cs="Times New Roman"/>
          <w:color w:val="000000"/>
          <w:sz w:val="24"/>
        </w:rPr>
        <w:t xml:space="preserve">xây năm 2009. Công trình thực tế chưa được công nhận trên GCN QSDĐ số: CE 579513</w:t>
      </w:r>
      <w:r>
        <w:rPr>
          <w:rFonts w:ascii="Times New Roman" w:hAnsi="Times New Roman" w:eastAsia="Times New Roman" w:cs="Times New Roman"/>
          <w:color w:val="000000"/>
          <w:sz w:val="24"/>
        </w:rPr>
        <w:t xml:space="preserve">. Đồng thời, Tổ thẩm định không nhận được các hồ sơ pháp lý khác liên quan đến công trình xây dựng. Do vậy, theo yêu cầu của Ngân hàng/khách</w:t>
      </w:r>
      <w:r>
        <w:rPr>
          <w:rFonts w:ascii="Times New Roman" w:hAnsi="Times New Roman" w:eastAsia="Times New Roman" w:cs="Times New Roman"/>
          <w:color w:val="000000"/>
          <w:sz w:val="24"/>
        </w:rPr>
        <w:t xml:space="preserve"> hàng, Tổ thẩm định </w:t>
      </w:r>
      <w:r>
        <w:rPr>
          <w:rFonts w:ascii="Times New Roman" w:hAnsi="Times New Roman" w:eastAsia="Times New Roman" w:cs="Times New Roman"/>
          <w:color w:val="000000"/>
          <w:sz w:val="24"/>
          <w:highlight w:val="white"/>
        </w:rPr>
        <w:t xml:space="preserve">ước </w:t>
      </w:r>
      <w:r>
        <w:rPr>
          <w:rFonts w:ascii="Times New Roman" w:hAnsi="Times New Roman" w:eastAsia="Times New Roman" w:cs="Times New Roman"/>
          <w:color w:val="000000"/>
          <w:sz w:val="24"/>
          <w:highlight w:val="white"/>
        </w:rPr>
        <w:t xml:space="preserve">tính giá trị của công trình xây dựng theo khảo sát và đo đạc thực tế với giả định thông số đo đạc</w:t>
      </w:r>
      <w:r>
        <w:rPr>
          <w:rFonts w:ascii="Times New Roman" w:hAnsi="Times New Roman" w:eastAsia="Times New Roman" w:cs="Times New Roman"/>
          <w:color w:val="000000"/>
          <w:sz w:val="24"/>
          <w:highlight w:val="white"/>
        </w:rPr>
        <w:t xml:space="preserve"> được là chính xác, giá trị công trình xây dựng chỉ mang tính chất tham khảo. Ngoài ra, Tổ thẩm định khô</w:t>
      </w:r>
      <w:r>
        <w:rPr>
          <w:rFonts w:ascii="Times New Roman" w:hAnsi="Times New Roman" w:eastAsia="Times New Roman" w:cs="Times New Roman"/>
          <w:color w:val="000000"/>
          <w:sz w:val="24"/>
        </w:rPr>
        <w:t xml:space="preserve">ng có trách nhiệm xác minh chủ sở hữu công trình xây dựng trên. Kính đề nghị đơn vị sử dụng kết quả lưu ý</w:t>
      </w:r>
      <w:r>
        <w:rPr>
          <w:rFonts w:ascii="Times New Roman" w:hAnsi="Times New Roman" w:eastAsia="Times New Roman" w:cs="Times New Roman"/>
          <w:color w:val="000000"/>
          <w:sz w:val="24"/>
        </w:rPr>
        <w:t xml:space="preserve">.</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7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Thanh Liệt,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Thanh Liệt,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Thanh Liệt,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Thanh Liệt, Thành phố Hà Nội</w:t>
            </w:r>
            <w:r>
              <w:rPr>
                <w:sz w:val="22"/>
                <w:szCs w:val="22"/>
              </w:rPr>
            </w:r>
            <w:r>
              <w:rPr>
                <w:sz w:val="22"/>
                <w:szCs w:val="22"/>
              </w:rPr>
            </w:r>
          </w:p>
        </w:tc>
      </w:tr>
      <w:tr>
        <w:trPr>
          <w:trHeight w:val="21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https://alonhadat.com.vn/ngo-750-kim-giang-ngo-to-gan-o-to-tranh-5-tang-8-x-ty-18372079.html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0973.332904</w:t>
            </w:r>
            <w:r>
              <w:rPr>
                <w:sz w:val="22"/>
                <w:szCs w:val="22"/>
              </w:rPr>
              <w:t xml:space="preserve"> </w:t>
            </w:r>
            <w:r>
              <w:rPr>
                <w:sz w:val="22"/>
                <w:szCs w:val="22"/>
              </w:rPr>
              <w:br/>
              <w:t xml:space="preserve">(</w:t>
            </w:r>
            <w:r>
              <w:rPr>
                <w:sz w:val="22"/>
                <w:szCs w:val="22"/>
              </w:rPr>
              <w:t xml:space="preserve">Phan Huệ</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0974.237918</w:t>
            </w:r>
            <w:r>
              <w:rPr>
                <w:sz w:val="22"/>
                <w:szCs w:val="22"/>
              </w:rPr>
              <w:br/>
            </w:r>
            <w:r>
              <w:rPr>
                <w:sz w:val="22"/>
                <w:szCs w:val="22"/>
              </w:rPr>
              <w:t xml:space="preserve">(</w:t>
            </w:r>
            <w:r>
              <w:rPr>
                <w:sz w:val="22"/>
                <w:szCs w:val="22"/>
              </w:rPr>
              <w:t xml:space="preserve">Đỗ Ánh Hồng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0828.691413</w:t>
            </w:r>
            <w:r>
              <w:rPr>
                <w:sz w:val="22"/>
                <w:szCs w:val="22"/>
              </w:rPr>
              <w:br/>
            </w:r>
            <w:r>
              <w:rPr>
                <w:sz w:val="22"/>
                <w:szCs w:val="22"/>
              </w:rPr>
              <w:t xml:space="preserve">(</w:t>
            </w:r>
            <w:r>
              <w:rPr>
                <w:sz w:val="22"/>
                <w:szCs w:val="22"/>
              </w:rPr>
              <w:t xml:space="preserve">Vũ Duy Tiến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Phường Thanh Liệt, Thành phố Hà Nội</w:t>
            </w:r>
            <w:r>
              <w:rPr>
                <w:color w:val="000000" w:themeColor="text1"/>
                <w:sz w:val="22"/>
                <w:szCs w:val="22"/>
              </w:rPr>
              <w:t xml:space="preserve">, độ rộng đường trước mặt tài sản 1,9m, Tài sản cách đường Kim Giang khoảng 150m, mặt tiền 3.5m, 20.966444444444, 105.82022222222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Phường Thanh Liệt, Thành phố Hà Nội</w:t>
            </w:r>
            <w:r>
              <w:rPr>
                <w:color w:val="000000" w:themeColor="text1"/>
                <w:sz w:val="22"/>
                <w:szCs w:val="22"/>
              </w:rPr>
              <w:t xml:space="preserve">, khoảng cách ra đường chính Cách đường Thanh Liệt khoảng 100m, độ rộng đường trước mặt tài sản 2.5m, mặt tiền 5m, 20.966222933006723, 105.81904929712242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Phường Thanh Liệt, Thành phố Hà Nội</w:t>
            </w:r>
            <w:r>
              <w:rPr>
                <w:color w:val="000000" w:themeColor="text1"/>
                <w:sz w:val="22"/>
                <w:szCs w:val="22"/>
              </w:rPr>
              <w:t xml:space="preserve">, khoảng cách ra đường chính 120m, độ rộng đường trước mặt tài sản 3m, Tài sản cách đường Bằng Liệt khoảng 120m, mặt tiền 3.5m, 20.96374696381492, 105.82091250253885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Phường Thanh Liệt, Thành phố Hà Nội</w:t>
            </w:r>
            <w:r>
              <w:rPr>
                <w:color w:val="000000" w:themeColor="text1"/>
                <w:sz w:val="22"/>
                <w:szCs w:val="22"/>
              </w:rPr>
              <w:t xml:space="preserve">, khoảng cách ra đường chính 400m, độ rộng đường trước mặt tài sản 2m, Tài sản nằm trong ngách ngõ 750 Kim Giang, cách đường Kim Giang khoảng 400m, mặt tiền 3.09m, 20.965722222222222, 105.81858333333334</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11.850.000.000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8.360.000.000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10.072.500.000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6.688.000.000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t xml:space="preserve">1.017.570.523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i/>
                <w:color w:val="000000" w:themeColor="text1"/>
                <w:sz w:val="22"/>
                <w:szCs w:val="22"/>
              </w:rPr>
            </w:pPr>
            <w:r>
              <w:rPr>
                <w:b/>
                <w:bCs/>
                <w:i/>
                <w:iCs/>
                <w:color w:val="000000" w:themeColor="text1"/>
                <w:sz w:val="22"/>
                <w:szCs w:val="22"/>
              </w:rPr>
              <w:t xml:space="preserve">2.625.555.327</w:t>
            </w:r>
            <w:r>
              <w:rPr>
                <w:b/>
                <w:bCs/>
                <w:i/>
                <w:color w:val="000000" w:themeColor="text1"/>
                <w:sz w:val="22"/>
                <w:szCs w:val="22"/>
              </w:rPr>
            </w:r>
            <w:r>
              <w:rPr>
                <w:b/>
                <w:bCs/>
                <w:i/>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i/>
                <w:color w:val="000000"/>
                <w:sz w:val="22"/>
                <w:szCs w:val="22"/>
              </w:rPr>
            </w:pPr>
            <w:r>
              <w:rPr>
                <w:b/>
                <w:bCs/>
                <w:i/>
                <w:iCs/>
                <w:color w:val="000000" w:themeColor="text1"/>
                <w:sz w:val="22"/>
                <w:szCs w:val="22"/>
              </w:rPr>
              <w:t xml:space="preserve">1.776.600.000</w:t>
            </w:r>
            <w:r>
              <w:rPr>
                <w:b/>
                <w:bCs/>
                <w:i/>
                <w:color w:val="000000"/>
                <w:sz w:val="22"/>
                <w:szCs w:val="22"/>
              </w:rPr>
            </w:r>
            <w:r>
              <w:rPr>
                <w:b/>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i/>
                <w:color w:val="000000"/>
                <w:sz w:val="22"/>
                <w:szCs w:val="22"/>
              </w:rPr>
            </w:pPr>
            <w:r>
              <w:rPr>
                <w:b/>
                <w:bCs/>
                <w:i/>
                <w:iCs/>
                <w:color w:val="000000" w:themeColor="text1"/>
                <w:sz w:val="22"/>
                <w:szCs w:val="22"/>
              </w:rPr>
              <w:t xml:space="preserve">1.033.639.712</w:t>
            </w:r>
            <w:r>
              <w:rPr>
                <w:b/>
                <w:bCs/>
                <w:i/>
                <w:color w:val="000000"/>
                <w:sz w:val="22"/>
                <w:szCs w:val="22"/>
              </w:rPr>
            </w:r>
            <w:r>
              <w:rPr>
                <w:b/>
                <w:bCs/>
                <w:i/>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425/QĐ-BXD ngày 30/3/2026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8.686.048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7.896.407</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7.896.000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8.686.048</w:t>
            </w:r>
            <w:r>
              <w:rPr>
                <w:bCs/>
                <w:i/>
                <w:color w:val="000000"/>
                <w:sz w:val="22"/>
                <w:szCs w:val="22"/>
              </w:rPr>
            </w:r>
            <w:r>
              <w:rPr>
                <w:bCs/>
                <w:i/>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95</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70</w:t>
            </w:r>
            <w:r>
              <w:rPr>
                <w:bCs/>
                <w:i/>
                <w:color w:val="000000"/>
                <w:sz w:val="22"/>
                <w:szCs w:val="22"/>
              </w:rPr>
            </w:r>
            <w:r>
              <w:rPr>
                <w:bCs/>
                <w:i/>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8.849.444.673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8.295.900.000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5.654.360.288</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176.988.893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184.353.333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166.304.714</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8.849.444.673</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8.295.900.000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5.654.360.288</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176.988.893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184.353.333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166.304.714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176.988.893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184.353.333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166.304.714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Thanh Trì, Thành phố Hà Nội, độ rộng đường trước mặt tài sản 1,9m, Tài sản cách đường Kim Giang khoảng 150m, mặt tiền 3.5m, 20.966444444444, 105.82022222222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Thanh Liệt, Thành phố Hà Nội, khoảng cách ra đường chính Cách đường Thanh Liệt khoảng 100m, độ rộng đường trước mặt tài sản 2,5m, mặt tiền 5m, 20.966222933006723, 105.81904929712242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Ngõ 61, Bằng Liệt A, Phường Hoàng Mai, Thành phố Hà Nội, khoảng cách ra đường chính 120m, độ rộng đường trước mặt tài sản 3m, Tài sản cách đường Bằng Liệt khoảng 120m, mặt tiền 3.5m, 20.96374696381492, 105.82091250253885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Thanh Liệt, Thành phố Hà Nội, khoảng cách ra đường chính 400m, độ rộng đường trước mặt tài sản 2m, Tài sản nằm trong ngách ngõ 750 Kim Giang, cách đường Kim Giang khoảng 400m, mặt tiền 3.09m, 20.965722222222222, 105.81858333333334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-26.548.334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-27.653.000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150.440.559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156.700.333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166.304.714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150.440.559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156.700.333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166.304.714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-9.524.445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-19.752.000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-5.726.789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140.916.114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136.948.333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160.577.925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5.309.667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5.530.600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146.225.781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142.478.933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160.577.925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-7.079.556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139.146.225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142.478.933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160.577.925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9.524.445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9.876.000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9.544.648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148.670.670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152.354.933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170.122.573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ff0000"/>
                <w:sz w:val="22"/>
                <w:szCs w:val="22"/>
                <w:highlight w:val="white"/>
              </w:rPr>
            </w:pPr>
            <w:r>
              <w:rPr>
                <w:color w:val="ff0000"/>
                <w:sz w:val="22"/>
                <w:szCs w:val="22"/>
                <w:highlight w:val="white"/>
              </w:rPr>
              <w:t xml:space="preserve">Tương đối vuông vức</w:t>
            </w:r>
            <w:r>
              <w:rPr>
                <w:b/>
                <w:bCs/>
                <w:color w:val="ff0000"/>
                <w:sz w:val="22"/>
                <w:szCs w:val="22"/>
                <w:highlight w:val="white"/>
              </w:rPr>
            </w:r>
            <w:r>
              <w:rPr>
                <w:b/>
                <w:bCs/>
                <w:color w:val="ff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ff0000"/>
                <w:sz w:val="22"/>
                <w:szCs w:val="22"/>
                <w:highlight w:val="white"/>
              </w:rPr>
            </w:pPr>
            <w:r>
              <w:rPr>
                <w:color w:val="ff0000"/>
                <w:sz w:val="22"/>
                <w:szCs w:val="22"/>
                <w:highlight w:val="white"/>
              </w:rPr>
              <w:t xml:space="preserve">Tương đối vuông vức</w:t>
            </w:r>
            <w:r>
              <w:rPr>
                <w:b/>
                <w:bCs/>
                <w:color w:val="ff0000"/>
                <w:sz w:val="22"/>
                <w:szCs w:val="22"/>
                <w:highlight w:val="white"/>
              </w:rPr>
            </w:r>
            <w:r>
              <w:rPr>
                <w:b/>
                <w:bCs/>
                <w:color w:val="ff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ff0000"/>
                <w:sz w:val="22"/>
                <w:szCs w:val="22"/>
                <w:highlight w:val="white"/>
              </w:rPr>
            </w:pPr>
            <w:r>
              <w:rPr>
                <w:color w:val="ff0000"/>
                <w:sz w:val="22"/>
                <w:szCs w:val="22"/>
                <w:highlight w:val="white"/>
              </w:rPr>
              <w:t xml:space="preserve">Tương đối vuông vức</w:t>
            </w:r>
            <w:r>
              <w:rPr>
                <w:b/>
                <w:bCs/>
                <w:color w:val="ff0000"/>
                <w:sz w:val="22"/>
                <w:szCs w:val="22"/>
                <w:highlight w:val="white"/>
              </w:rPr>
            </w:r>
            <w:r>
              <w:rPr>
                <w:b/>
                <w:bCs/>
                <w:color w:val="ff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ff0000"/>
                <w:sz w:val="22"/>
                <w:szCs w:val="22"/>
                <w:highlight w:val="white"/>
              </w:rPr>
            </w:pPr>
            <w:r>
              <w:rPr>
                <w:color w:val="ff0000"/>
                <w:sz w:val="22"/>
                <w:szCs w:val="22"/>
                <w:highlight w:val="white"/>
              </w:rPr>
              <w:t xml:space="preserve">Tương đối vuông vức</w:t>
            </w:r>
            <w:r>
              <w:rPr>
                <w:b/>
                <w:bCs/>
                <w:color w:val="ff0000"/>
                <w:sz w:val="22"/>
                <w:szCs w:val="22"/>
                <w:highlight w:val="white"/>
              </w:rPr>
            </w:r>
            <w:r>
              <w:rPr>
                <w:b/>
                <w:bCs/>
                <w:color w:val="ff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ff0000"/>
                <w:sz w:val="22"/>
                <w:szCs w:val="22"/>
                <w:highlight w:val="white"/>
              </w:rPr>
            </w:pPr>
            <w:r>
              <w:rPr>
                <w:color w:val="ff0000"/>
                <w:sz w:val="22"/>
                <w:szCs w:val="22"/>
                <w:highlight w:val="white"/>
              </w:rPr>
              <w:t xml:space="preserve"> </w:t>
            </w:r>
            <w:r>
              <w:rPr>
                <w:color w:val="ff0000"/>
                <w:sz w:val="22"/>
                <w:szCs w:val="22"/>
                <w:highlight w:val="white"/>
              </w:rPr>
            </w:r>
            <w:r>
              <w:rPr>
                <w:color w:val="ff0000"/>
                <w:sz w:val="22"/>
                <w:szCs w:val="22"/>
                <w:highlight w:val="white"/>
              </w:rPr>
            </w:r>
          </w:p>
        </w:tc>
        <w:tc>
          <w:tcPr>
            <w:shd w:val="clear" w:color="000000" w:fill="ffffff"/>
            <w:tcBorders/>
            <w:tcW w:w="1522" w:type="dxa"/>
            <w:vAlign w:val="center"/>
            <w:textDirection w:val="lrTb"/>
            <w:noWrap w:val="false"/>
          </w:tcPr>
          <w:p>
            <w:pPr>
              <w:pBdr/>
              <w:spacing/>
              <w:ind/>
              <w:jc w:val="center"/>
              <w:rPr>
                <w:color w:val="ff0000"/>
                <w:sz w:val="22"/>
                <w:szCs w:val="22"/>
                <w:highlight w:val="white"/>
              </w:rPr>
            </w:pPr>
            <w:r>
              <w:rPr>
                <w:color w:val="ff0000"/>
                <w:sz w:val="22"/>
                <w:szCs w:val="22"/>
                <w:highlight w:val="white"/>
              </w:rPr>
              <w:t xml:space="preserve">0%</w:t>
            </w:r>
            <w:r>
              <w:rPr>
                <w:color w:val="ff0000"/>
                <w:sz w:val="22"/>
                <w:szCs w:val="22"/>
                <w:highlight w:val="white"/>
              </w:rPr>
            </w:r>
            <w:r>
              <w:rPr>
                <w:color w:val="ff0000"/>
                <w:sz w:val="22"/>
                <w:szCs w:val="22"/>
                <w:highlight w:val="white"/>
              </w:rPr>
            </w:r>
          </w:p>
        </w:tc>
        <w:tc>
          <w:tcPr>
            <w:shd w:val="clear" w:color="000000" w:fill="ffffff"/>
            <w:tcBorders/>
            <w:tcW w:w="1522" w:type="dxa"/>
            <w:vAlign w:val="center"/>
            <w:textDirection w:val="lrTb"/>
            <w:noWrap w:val="false"/>
          </w:tcPr>
          <w:p>
            <w:pPr>
              <w:pBdr/>
              <w:spacing/>
              <w:ind/>
              <w:jc w:val="center"/>
              <w:rPr>
                <w:color w:val="ff0000"/>
                <w:sz w:val="22"/>
                <w:szCs w:val="22"/>
                <w:highlight w:val="white"/>
              </w:rPr>
            </w:pPr>
            <w:r>
              <w:rPr>
                <w:color w:val="ff0000"/>
                <w:sz w:val="22"/>
                <w:szCs w:val="22"/>
                <w:highlight w:val="white"/>
              </w:rPr>
              <w:t xml:space="preserve">0%</w:t>
            </w:r>
            <w:r>
              <w:rPr>
                <w:color w:val="ff0000"/>
                <w:sz w:val="22"/>
                <w:szCs w:val="22"/>
                <w:highlight w:val="white"/>
              </w:rPr>
            </w:r>
            <w:r>
              <w:rPr>
                <w:color w:val="ff0000"/>
                <w:sz w:val="22"/>
                <w:szCs w:val="22"/>
                <w:highlight w:val="white"/>
              </w:rPr>
            </w:r>
          </w:p>
        </w:tc>
        <w:tc>
          <w:tcPr>
            <w:shd w:val="clear" w:color="000000" w:fill="ffffff"/>
            <w:tcBorders/>
            <w:tcW w:w="1522" w:type="dxa"/>
            <w:vAlign w:val="center"/>
            <w:textDirection w:val="lrTb"/>
            <w:noWrap w:val="false"/>
          </w:tcPr>
          <w:p>
            <w:pPr>
              <w:pBdr/>
              <w:spacing/>
              <w:ind/>
              <w:jc w:val="center"/>
              <w:rPr>
                <w:color w:val="ff0000"/>
                <w:sz w:val="22"/>
                <w:szCs w:val="22"/>
                <w:highlight w:val="white"/>
              </w:rPr>
            </w:pPr>
            <w:r>
              <w:rPr>
                <w:color w:val="ff0000"/>
                <w:sz w:val="22"/>
                <w:szCs w:val="22"/>
                <w:highlight w:val="white"/>
              </w:rPr>
              <w:t xml:space="preserve">0%</w:t>
            </w:r>
            <w:r>
              <w:rPr>
                <w:color w:val="ff0000"/>
                <w:sz w:val="22"/>
                <w:szCs w:val="22"/>
                <w:highlight w:val="white"/>
              </w:rPr>
            </w:r>
            <w:r>
              <w:rPr>
                <w:color w:val="ff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148.670.670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152.354.933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170.122.573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-9.524.445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-9.876.000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139.146.225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142.478.933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170.122.573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139.146.225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142.478.933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170.122.573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150.582.577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-5,38%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12,98%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67.510.892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72.687.600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15.271.437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37.842.668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41.874.400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3.817.859</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-7,59</w:t>
      </w:r>
      <w:r>
        <w:t xml:space="preserve">% đến </w:t>
      </w:r>
      <w:r>
        <w:t xml:space="preserve">12,98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139.146.225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46.391.351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142.478.933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47.488.228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170.122.573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56.701.854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150.581.433</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150.581.000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150.581.000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35"/>
        <w:numPr>
          <w:ilvl w:val="0"/>
          <w:numId w:val="26"/>
        </w:numPr>
        <w:pBdr/>
        <w:spacing w:after="120" w:before="120" w:line="276" w:lineRule="auto"/>
        <w:ind w:hanging="357" w:left="357"/>
        <w:jc w:val="both"/>
        <w:rPr>
          <w:b/>
          <w:bCs/>
          <w:highlight w:val="white"/>
        </w:rPr>
      </w:pPr>
      <w:r>
        <w:rPr>
          <w:b/>
          <w:bCs/>
          <w:highlight w:val="white"/>
        </w:rPr>
        <w:t xml:space="preserve">Xác định giá trị tài sản gắn liền với đất</w:t>
      </w:r>
      <w:r>
        <w:rPr>
          <w:b/>
          <w:bCs/>
          <w:highlight w:val="white"/>
        </w:rPr>
      </w:r>
      <w:r>
        <w:rPr>
          <w:b/>
          <w:bCs/>
          <w:highlight w:val="white"/>
        </w:rPr>
      </w:r>
    </w:p>
    <w:p>
      <w:pPr>
        <w:numPr>
          <w:ilvl w:val="0"/>
          <w:numId w:val="3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highlight w:val="white"/>
        </w:rPr>
        <w:t xml:space="preserve">Qua tham </w:t>
      </w:r>
      <w:r>
        <w:rPr>
          <w:rFonts w:ascii="Times New Roman" w:hAnsi="Times New Roman" w:eastAsia="Times New Roman" w:cs="Times New Roman"/>
          <w:color w:val="000000"/>
          <w:sz w:val="24"/>
          <w:highlight w:val="white"/>
        </w:rPr>
        <w:t xml:space="preserve">khảo thị trường về đơn giá xây dựng mới đối với công trình Nhà 04 tầng + 01 tum, cân nhắc và xem xét với mức độ hoàn thiện của công trình xây dựng hiện có, Tổ thẩm định nhận thấy đơn giá vận dụng theo Quyết định số 425/QĐ-BXD ngày 30/3/2026 của Bộ Xây dựng</w:t>
      </w:r>
      <w:r>
        <w:rPr>
          <w:rFonts w:ascii="Times New Roman" w:hAnsi="Times New Roman" w:eastAsia="Times New Roman" w:cs="Times New Roman"/>
          <w:color w:val="000000"/>
          <w:sz w:val="24"/>
          <w:highlight w:val="white"/>
        </w:rPr>
        <w:t xml:space="preserve"> về việc Công bố suất vốn đầu tư xây dựng công trình và giá xây dựng tổng hợp bộ phận kết cấu công trình năm 2025 là khá phù hợp với thị trường, theo đó:</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jc w:val="both"/>
        <w:rPr/>
      </w:pPr>
      <w:r>
        <w:rPr>
          <w:rFonts w:ascii="Times New Roman" w:hAnsi="Times New Roman" w:eastAsia="Times New Roman" w:cs="Times New Roman"/>
          <w:i/>
          <w:color w:val="000000"/>
          <w:sz w:val="24"/>
          <w:highlight w:val="white"/>
        </w:rPr>
        <w:t xml:space="preserve">“Suất vốn đầu tư xây dựng </w:t>
      </w:r>
      <w:r>
        <w:rPr>
          <w:rFonts w:ascii="Times New Roman" w:hAnsi="Times New Roman" w:eastAsia="Times New Roman" w:cs="Times New Roman"/>
          <w:i/>
          <w:color w:val="000000"/>
          <w:sz w:val="24"/>
        </w:rPr>
        <w:t xml:space="preserve">của Nhà từ 4 đến 5 tầng, kết cấu khung chịu lực BTCT; tường bao xây gạch; sàn, mái BTCT đổ tại chỗ có </w:t>
      </w:r>
      <w:r>
        <w:rPr>
          <w:rFonts w:ascii="Arial" w:hAnsi="Arial" w:eastAsia="Arial" w:cs="Arial"/>
          <w:color w:val="000000"/>
          <w:sz w:val="20"/>
          <w:highlight w:val="white"/>
        </w:rPr>
        <w:t xml:space="preserve">Diện tích xây dựng dưới 50m</w:t>
      </w:r>
      <w:r>
        <w:rPr>
          <w:rFonts w:ascii="Arial" w:hAnsi="Arial" w:eastAsia="Arial" w:cs="Arial"/>
          <w:color w:val="000000"/>
          <w:sz w:val="20"/>
          <w:highlight w:val="white"/>
          <w:vertAlign w:val="superscript"/>
        </w:rPr>
        <w:t xml:space="preserve">2</w:t>
      </w:r>
      <w:r>
        <w:rPr>
          <w:rFonts w:ascii="Times New Roman" w:hAnsi="Times New Roman" w:eastAsia="Times New Roman" w:cs="Times New Roman"/>
          <w:i/>
          <w:color w:val="000000"/>
          <w:sz w:val="24"/>
        </w:rPr>
        <w:t xml:space="preserve"> </w:t>
      </w:r>
      <w:r>
        <w:rPr>
          <w:rFonts w:ascii="Times New Roman" w:hAnsi="Times New Roman" w:eastAsia="Times New Roman" w:cs="Times New Roman"/>
          <w:i/>
          <w:color w:val="000000"/>
          <w:sz w:val="24"/>
          <w:highlight w:val="white"/>
        </w:rPr>
        <w:t xml:space="preserve">có đơn giá là </w:t>
      </w:r>
      <w:r>
        <w:rPr>
          <w:rFonts w:ascii="Times New Roman" w:hAnsi="Times New Roman" w:eastAsia="Times New Roman" w:cs="Times New Roman"/>
          <w:b/>
          <w:i/>
          <w:color w:val="000000"/>
          <w:sz w:val="24"/>
          <w:highlight w:val="white"/>
        </w:rPr>
        <w:t xml:space="preserve">9.124.000 </w:t>
      </w:r>
      <w:r>
        <w:rPr>
          <w:rFonts w:ascii="Times New Roman" w:hAnsi="Times New Roman" w:eastAsia="Times New Roman" w:cs="Times New Roman"/>
          <w:i/>
          <w:color w:val="000000"/>
          <w:sz w:val="24"/>
          <w:highlight w:val="white"/>
        </w:rPr>
        <w:t xml:space="preserve">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Thành phố Hà Nội thuộc vùng 7 có hệ số điều chỉnh là </w:t>
      </w:r>
      <w:r>
        <w:rPr>
          <w:rFonts w:ascii="Times New Roman" w:hAnsi="Times New Roman" w:eastAsia="Times New Roman" w:cs="Times New Roman"/>
          <w:b/>
          <w:i/>
          <w:color w:val="000000"/>
          <w:sz w:val="24"/>
        </w:rPr>
        <w:t xml:space="preserve">0,952</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b/>
          <w:bCs/>
          <w:i/>
          <w:color w:val="000000"/>
          <w:sz w:val="24"/>
          <w:szCs w:val="24"/>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w:t>
      </w:r>
      <w:r>
        <w:rPr>
          <w:rFonts w:ascii="Times New Roman" w:hAnsi="Times New Roman" w:eastAsia="Times New Roman" w:cs="Times New Roman"/>
          <w:b/>
          <w:i/>
          <w:color w:val="000000"/>
          <w:sz w:val="24"/>
          <w:highlight w:val="white"/>
        </w:rPr>
        <w:t xml:space="preserve">9.124.000</w:t>
      </w:r>
      <w:r>
        <w:rPr>
          <w:rFonts w:ascii="Times New Roman" w:hAnsi="Times New Roman" w:eastAsia="Times New Roman" w:cs="Times New Roman"/>
          <w:i/>
          <w:color w:val="000000"/>
          <w:sz w:val="24"/>
        </w:rPr>
        <w:t xml:space="preserve"> x</w:t>
      </w:r>
      <w:r>
        <w:rPr>
          <w:rFonts w:ascii="Times New Roman" w:hAnsi="Times New Roman" w:eastAsia="Times New Roman" w:cs="Times New Roman"/>
          <w:b/>
          <w:bCs/>
          <w:i/>
          <w:color w:val="000000"/>
          <w:sz w:val="24"/>
        </w:rPr>
        <w:t xml:space="preserve"> 0,952 </w:t>
      </w:r>
      <w:r>
        <w:rPr>
          <w:rFonts w:ascii="Times New Roman" w:hAnsi="Times New Roman" w:eastAsia="Times New Roman" w:cs="Times New Roman"/>
          <w:i/>
          <w:color w:val="000000"/>
          <w:sz w:val="24"/>
        </w:rPr>
        <w:t xml:space="preserve">=</w:t>
      </w:r>
      <w:r>
        <w:rPr>
          <w:rFonts w:ascii="Times New Roman" w:hAnsi="Times New Roman" w:eastAsia="Times New Roman" w:cs="Times New Roman"/>
          <w:b/>
          <w:i/>
          <w:color w:val="000000"/>
          <w:sz w:val="24"/>
        </w:rPr>
        <w:t xml:space="preserve">8.686.048 đồng/m² sàn. </w:t>
      </w:r>
      <w:r>
        <w:rPr>
          <w:rFonts w:ascii="Times New Roman" w:hAnsi="Times New Roman" w:eastAsia="Times New Roman" w:cs="Times New Roman"/>
          <w:b/>
          <w:bCs/>
          <w:i/>
          <w:color w:val="000000"/>
          <w:sz w:val="24"/>
          <w:szCs w:val="24"/>
        </w:rPr>
      </w:r>
      <w:r>
        <w:rPr>
          <w:rFonts w:ascii="Times New Roman" w:hAnsi="Times New Roman" w:eastAsia="Times New Roman" w:cs="Times New Roman"/>
          <w:b/>
          <w:bCs/>
          <w:i/>
          <w:color w:val="000000"/>
          <w:sz w:val="24"/>
          <w:szCs w:val="24"/>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pacing w:val="2"/>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được hoàn thành năm 20</w:t>
      </w:r>
      <w:r>
        <w:rPr>
          <w:rFonts w:ascii="Times New Roman" w:hAnsi="Times New Roman" w:eastAsia="Times New Roman" w:cs="Times New Roman"/>
          <w:color w:val="000000"/>
          <w:spacing w:val="2"/>
          <w:sz w:val="24"/>
          <w:highlight w:val="none"/>
        </w:rPr>
        <w:t xml:space="preserve">09</w:t>
      </w:r>
      <w:r>
        <w:rPr>
          <w:rFonts w:ascii="Times New Roman" w:hAnsi="Times New Roman" w:eastAsia="Times New Roman" w:cs="Times New Roman"/>
          <w:color w:val="000000"/>
          <w:spacing w:val="2"/>
          <w:sz w:val="24"/>
          <w:highlight w:val="white"/>
        </w:rPr>
        <w:t xml:space="preserve">, do đó, Tổ thẩm định ước tính tuổi đời hiệu quả của công trình là khoảng 17 năm</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rPr>
        <w:t xml:space="preserve">ông trình, Tổ thẩm định xác định tuổi đời kinh tế của tài sản thẩm định là 50 năm.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spacing w:after="60" w:before="60"/>
              <w:ind/>
              <w:jc w:val="center"/>
              <w:rPr>
                <w:sz w:val="22"/>
                <w:szCs w:val="22"/>
                <w:highlight w:val="white"/>
              </w:rPr>
            </w:pPr>
            <w:r>
              <w:rPr>
                <w:sz w:val="22"/>
                <w:szCs w:val="22"/>
                <w:highlight w:val="white"/>
              </w:rPr>
              <w:t xml:space="preserve">Nhà 04 tầng + 1 tum</w:t>
            </w:r>
            <w:r>
              <w:rPr>
                <w:rFonts w:ascii="Times New Roman" w:hAnsi="Times New Roman" w:eastAsia="Times New Roman" w:cs="Times New Roman"/>
                <w:color w:val="000000"/>
                <w:sz w:val="24"/>
                <w:highlight w:val="white"/>
              </w:rPr>
              <w:t xml:space="preserve"> </w:t>
            </w:r>
            <w:r>
              <w:rPr>
                <w:sz w:val="22"/>
                <w:szCs w:val="22"/>
                <w:highlight w:val="white"/>
              </w:rPr>
            </w:r>
            <w:r>
              <w:rPr>
                <w:sz w:val="22"/>
                <w:szCs w:val="22"/>
                <w:highlight w:val="white"/>
              </w:rP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2009</w:t>
            </w: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4"/>
              </w:rPr>
              <w:t xml:space="preserve">2026</w:t>
            </w: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4"/>
              </w:rPr>
              <w:t xml:space="preserve">17</w:t>
            </w: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34%</w:t>
            </w: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highlight w:val="white"/>
        </w:rPr>
        <w:t xml:space="preserve">Tổ thẩm định xác định tỉ lệ hao mòn của tài sản thẩm định là: 34%, theo đó tỷ lệ chất lượng còn lại của tài sản là: </w:t>
      </w:r>
      <w:r>
        <w:rPr>
          <w:rFonts w:ascii="Times New Roman" w:hAnsi="Times New Roman" w:eastAsia="Times New Roman" w:cs="Times New Roman"/>
          <w:b/>
          <w:color w:val="000000"/>
          <w:sz w:val="24"/>
          <w:highlight w:val="white"/>
        </w:rPr>
        <w:t xml:space="preserve">66%</w:t>
      </w:r>
      <w:r>
        <w:rPr>
          <w:rFonts w:ascii="Times New Roman" w:hAnsi="Times New Roman" w:eastAsia="Times New Roman" w:cs="Times New Roman"/>
          <w:color w:val="000000"/>
          <w:sz w:val="24"/>
          <w:highlight w:val="white"/>
        </w:rPr>
        <w:t xml:space="preserve">.</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9"/>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rFonts w:ascii="Times New Roman" w:hAnsi="Times New Roman" w:eastAsia="Times New Roman" w:cs="Times New Roman"/>
          <w:sz w:val="12"/>
          <w:szCs w:val="12"/>
        </w:rPr>
      </w:pPr>
      <w:r>
        <w:rPr>
          <w:rFonts w:ascii="Times New Roman" w:hAnsi="Times New Roman" w:eastAsia="Times New Roman" w:cs="Times New Roman"/>
          <w:color w:val="000000"/>
          <w:sz w:val="12"/>
          <w:szCs w:val="12"/>
          <w:highlight w:val="none"/>
        </w:rPr>
      </w:r>
      <w:r>
        <w:rPr>
          <w:rFonts w:ascii="Times New Roman" w:hAnsi="Times New Roman" w:eastAsia="Times New Roman" w:cs="Times New Roman"/>
          <w:sz w:val="12"/>
          <w:szCs w:val="12"/>
        </w:rPr>
      </w:r>
      <w:r>
        <w:rPr>
          <w:rFonts w:ascii="Times New Roman" w:hAnsi="Times New Roman" w:eastAsia="Times New Roman" w:cs="Times New Roman"/>
          <w:sz w:val="12"/>
          <w:szCs w:val="12"/>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Tài sản</w:t>
            </w:r>
            <w:r>
              <w:rPr>
                <w:b/>
                <w:bCs/>
                <w:sz w:val="22"/>
                <w:szCs w:val="22"/>
                <w:highlight w:val="white"/>
              </w:rPr>
            </w:r>
            <w:r>
              <w:rPr>
                <w:b/>
                <w:bCs/>
                <w:sz w:val="22"/>
                <w:szCs w:val="22"/>
                <w:highlight w:val="white"/>
              </w:rPr>
            </w:r>
          </w:p>
        </w:tc>
        <w:tc>
          <w:tcPr>
            <w:shd w:val="clear" w:color="000000" w:fill="ffffff"/>
            <w:tcBorders/>
            <w:tcW w:w="1275"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Diện tích sàn (m²)</w:t>
            </w:r>
            <w:r>
              <w:rPr>
                <w:b/>
                <w:bCs/>
                <w:sz w:val="22"/>
                <w:szCs w:val="22"/>
                <w:highlight w:val="white"/>
              </w:rPr>
            </w:r>
            <w:r>
              <w:rPr>
                <w:b/>
                <w:bCs/>
                <w:sz w:val="22"/>
                <w:szCs w:val="22"/>
                <w:highlight w:val="white"/>
              </w:rPr>
            </w:r>
          </w:p>
        </w:tc>
        <w:tc>
          <w:tcPr>
            <w:shd w:val="clear" w:color="000000" w:fill="ffffff"/>
            <w:tcBorders/>
            <w:tcW w:w="1560"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Đơn giá xây dựng mới (đồng/m² sàn)</w:t>
            </w:r>
            <w:r>
              <w:rPr>
                <w:b/>
                <w:bCs/>
                <w:sz w:val="22"/>
                <w:szCs w:val="22"/>
                <w:highlight w:val="white"/>
              </w:rPr>
            </w:r>
            <w:r>
              <w:rPr>
                <w:b/>
                <w:bCs/>
                <w:sz w:val="22"/>
                <w:szCs w:val="22"/>
                <w:highlight w:val="white"/>
              </w:rPr>
            </w:r>
          </w:p>
        </w:tc>
        <w:tc>
          <w:tcPr>
            <w:shd w:val="clear" w:color="000000" w:fill="ffffff"/>
            <w:tcBorders/>
            <w:tcW w:w="1701"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Chi phí thay thế (đồng)</w:t>
            </w:r>
            <w:r>
              <w:rPr>
                <w:b/>
                <w:bCs/>
                <w:sz w:val="22"/>
                <w:szCs w:val="22"/>
                <w:highlight w:val="white"/>
              </w:rPr>
            </w:r>
            <w:r>
              <w:rPr>
                <w:b/>
                <w:bCs/>
                <w:sz w:val="22"/>
                <w:szCs w:val="22"/>
                <w:highlight w:val="white"/>
              </w:rPr>
            </w:r>
          </w:p>
        </w:tc>
        <w:tc>
          <w:tcPr>
            <w:shd w:val="clear" w:color="000000" w:fill="ffffff"/>
            <w:tcBorders/>
            <w:tcW w:w="1139"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Tỷ lệ hao mòn (%)</w:t>
            </w:r>
            <w:r>
              <w:rPr>
                <w:b/>
                <w:bCs/>
                <w:sz w:val="22"/>
                <w:szCs w:val="22"/>
                <w:highlight w:val="white"/>
              </w:rPr>
            </w:r>
            <w:r>
              <w:rPr>
                <w:b/>
                <w:bCs/>
                <w:sz w:val="22"/>
                <w:szCs w:val="22"/>
                <w:highlight w:val="white"/>
              </w:rPr>
            </w:r>
          </w:p>
        </w:tc>
        <w:tc>
          <w:tcPr>
            <w:shd w:val="clear" w:color="000000" w:fill="ffffff"/>
            <w:tcBorders/>
            <w:tcW w:w="1559"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Giá trị hao mòn (đồng)</w:t>
            </w:r>
            <w:r>
              <w:rPr>
                <w:b/>
                <w:bCs/>
                <w:sz w:val="22"/>
                <w:szCs w:val="22"/>
                <w:highlight w:val="white"/>
              </w:rPr>
            </w:r>
            <w:r>
              <w:rPr>
                <w:b/>
                <w:bCs/>
                <w:sz w:val="22"/>
                <w:szCs w:val="22"/>
                <w:highlight w:val="white"/>
              </w:rPr>
            </w:r>
          </w:p>
        </w:tc>
        <w:tc>
          <w:tcPr>
            <w:shd w:val="clear" w:color="000000" w:fill="ffffff"/>
            <w:tcBorders/>
            <w:tcW w:w="1968"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Giá trị thẩm định tại thời điểm thẩm định giá (đồng)</w:t>
            </w:r>
            <w:r>
              <w:rPr>
                <w:b/>
                <w:bCs/>
                <w:sz w:val="22"/>
                <w:szCs w:val="22"/>
                <w:highlight w:val="white"/>
              </w:rPr>
            </w:r>
            <w:r>
              <w:rPr>
                <w:b/>
                <w:bCs/>
                <w:sz w:val="22"/>
                <w:szCs w:val="22"/>
                <w:highlight w:val="white"/>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(1)</w:t>
            </w:r>
            <w:r>
              <w:rPr>
                <w:b/>
                <w:bCs/>
                <w:sz w:val="22"/>
                <w:szCs w:val="22"/>
                <w:highlight w:val="white"/>
              </w:rPr>
            </w:r>
            <w:r>
              <w:rPr>
                <w:b/>
                <w:bCs/>
                <w:sz w:val="22"/>
                <w:szCs w:val="22"/>
                <w:highlight w:val="white"/>
              </w:rPr>
            </w:r>
          </w:p>
        </w:tc>
        <w:tc>
          <w:tcPr>
            <w:shd w:val="clear" w:color="000000" w:fill="ffffff"/>
            <w:tcBorders/>
            <w:tcW w:w="1275"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(2)</w:t>
            </w:r>
            <w:r>
              <w:rPr>
                <w:b/>
                <w:bCs/>
                <w:sz w:val="22"/>
                <w:szCs w:val="22"/>
                <w:highlight w:val="white"/>
              </w:rPr>
            </w:r>
            <w:r>
              <w:rPr>
                <w:b/>
                <w:bCs/>
                <w:sz w:val="22"/>
                <w:szCs w:val="22"/>
                <w:highlight w:val="white"/>
              </w:rPr>
            </w:r>
          </w:p>
        </w:tc>
        <w:tc>
          <w:tcPr>
            <w:shd w:val="clear" w:color="000000" w:fill="ffffff"/>
            <w:tcBorders/>
            <w:tcW w:w="1560"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(3)</w:t>
            </w:r>
            <w:r>
              <w:rPr>
                <w:b/>
                <w:bCs/>
                <w:sz w:val="22"/>
                <w:szCs w:val="22"/>
                <w:highlight w:val="white"/>
              </w:rPr>
            </w:r>
            <w:r>
              <w:rPr>
                <w:b/>
                <w:bCs/>
                <w:sz w:val="22"/>
                <w:szCs w:val="22"/>
                <w:highlight w:val="white"/>
              </w:rPr>
            </w:r>
          </w:p>
        </w:tc>
        <w:tc>
          <w:tcPr>
            <w:shd w:val="clear" w:color="000000" w:fill="ffffff"/>
            <w:tcBorders/>
            <w:tcW w:w="1701"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(4) = (2) * (3)</w:t>
            </w:r>
            <w:r>
              <w:rPr>
                <w:b/>
                <w:bCs/>
                <w:sz w:val="22"/>
                <w:szCs w:val="22"/>
                <w:highlight w:val="white"/>
              </w:rPr>
            </w:r>
            <w:r>
              <w:rPr>
                <w:b/>
                <w:bCs/>
                <w:sz w:val="22"/>
                <w:szCs w:val="22"/>
                <w:highlight w:val="white"/>
              </w:rPr>
            </w:r>
          </w:p>
        </w:tc>
        <w:tc>
          <w:tcPr>
            <w:shd w:val="clear" w:color="000000" w:fill="ffffff"/>
            <w:tcBorders/>
            <w:tcW w:w="1139"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(5)</w:t>
            </w:r>
            <w:r>
              <w:rPr>
                <w:b/>
                <w:bCs/>
                <w:sz w:val="22"/>
                <w:szCs w:val="22"/>
                <w:highlight w:val="white"/>
              </w:rPr>
            </w:r>
            <w:r>
              <w:rPr>
                <w:b/>
                <w:bCs/>
                <w:sz w:val="22"/>
                <w:szCs w:val="22"/>
                <w:highlight w:val="white"/>
              </w:rPr>
            </w:r>
          </w:p>
        </w:tc>
        <w:tc>
          <w:tcPr>
            <w:shd w:val="clear" w:color="000000" w:fill="ffffff"/>
            <w:tcBorders/>
            <w:tcW w:w="1559"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w:t>
            </w:r>
            <w:r>
              <w:rPr>
                <w:b/>
                <w:bCs/>
                <w:sz w:val="22"/>
                <w:szCs w:val="22"/>
                <w:highlight w:val="white"/>
              </w:rPr>
              <w:t xml:space="preserve">6</w:t>
            </w:r>
            <w:r>
              <w:rPr>
                <w:b/>
                <w:bCs/>
                <w:sz w:val="22"/>
                <w:szCs w:val="22"/>
                <w:highlight w:val="white"/>
              </w:rPr>
              <w:t xml:space="preserve">)</w:t>
            </w:r>
            <w:r>
              <w:rPr>
                <w:b/>
                <w:bCs/>
                <w:sz w:val="22"/>
                <w:szCs w:val="22"/>
                <w:highlight w:val="white"/>
              </w:rPr>
              <w:t xml:space="preserve">=(4)*(5)</w:t>
            </w:r>
            <w:r>
              <w:rPr>
                <w:b/>
                <w:bCs/>
                <w:sz w:val="22"/>
                <w:szCs w:val="22"/>
                <w:highlight w:val="white"/>
              </w:rPr>
            </w:r>
            <w:r>
              <w:rPr>
                <w:b/>
                <w:bCs/>
                <w:sz w:val="22"/>
                <w:szCs w:val="22"/>
                <w:highlight w:val="white"/>
              </w:rPr>
            </w:r>
          </w:p>
        </w:tc>
        <w:tc>
          <w:tcPr>
            <w:shd w:val="clear" w:color="000000" w:fill="ffffff"/>
            <w:tcBorders/>
            <w:tcW w:w="1968" w:type="dxa"/>
            <w:vAlign w:val="center"/>
            <w:textDirection w:val="lrTb"/>
            <w:noWrap w:val="false"/>
          </w:tcPr>
          <w:p>
            <w:pPr>
              <w:pBdr/>
              <w:spacing w:after="60" w:before="60"/>
              <w:ind/>
              <w:jc w:val="center"/>
              <w:rPr>
                <w:b/>
                <w:bCs/>
                <w:sz w:val="22"/>
                <w:szCs w:val="22"/>
                <w:highlight w:val="white"/>
              </w:rPr>
            </w:pPr>
            <w:r>
              <w:rPr>
                <w:b/>
                <w:bCs/>
                <w:sz w:val="22"/>
                <w:szCs w:val="22"/>
                <w:highlight w:val="white"/>
              </w:rPr>
              <w:t xml:space="preserve">(</w:t>
            </w:r>
            <w:r>
              <w:rPr>
                <w:b/>
                <w:bCs/>
                <w:sz w:val="22"/>
                <w:szCs w:val="22"/>
                <w:highlight w:val="white"/>
              </w:rPr>
              <w:t xml:space="preserve">7</w:t>
            </w:r>
            <w:r>
              <w:rPr>
                <w:b/>
                <w:bCs/>
                <w:sz w:val="22"/>
                <w:szCs w:val="22"/>
                <w:highlight w:val="white"/>
              </w:rPr>
              <w:t xml:space="preserve">) = (4) - (</w:t>
            </w:r>
            <w:r>
              <w:rPr>
                <w:b/>
                <w:bCs/>
                <w:sz w:val="22"/>
                <w:szCs w:val="22"/>
                <w:highlight w:val="white"/>
              </w:rPr>
              <w:t xml:space="preserve">6</w:t>
            </w:r>
            <w:r>
              <w:rPr>
                <w:b/>
                <w:bCs/>
                <w:sz w:val="22"/>
                <w:szCs w:val="22"/>
                <w:highlight w:val="white"/>
              </w:rPr>
              <w:t xml:space="preserve">)</w:t>
            </w:r>
            <w:r>
              <w:rPr>
                <w:b/>
                <w:bCs/>
                <w:sz w:val="22"/>
                <w:szCs w:val="22"/>
                <w:highlight w:val="white"/>
              </w:rPr>
            </w:r>
            <w:r>
              <w:rPr>
                <w:b/>
                <w:bCs/>
                <w:sz w:val="22"/>
                <w:szCs w:val="22"/>
                <w:highlight w:val="white"/>
              </w:rPr>
            </w:r>
          </w:p>
        </w:tc>
      </w:tr>
      <w:tr>
        <w:trPr>
          <w:trHeight w:val="312"/>
        </w:trPr>
        <w:tc>
          <w:tcPr>
            <w:tcBorders/>
            <w:tcW w:w="1418" w:type="dxa"/>
            <w:vAlign w:val="center"/>
            <w:textDirection w:val="lrTb"/>
            <w:noWrap w:val="false"/>
          </w:tcPr>
          <w:p>
            <w:pPr>
              <w:pBdr/>
              <w:spacing w:after="60" w:before="60"/>
              <w:ind/>
              <w:jc w:val="center"/>
              <w:rPr>
                <w:sz w:val="22"/>
                <w:szCs w:val="22"/>
                <w:highlight w:val="white"/>
              </w:rPr>
            </w:pPr>
            <w:r>
              <w:rPr>
                <w:sz w:val="22"/>
                <w:szCs w:val="22"/>
                <w:highlight w:val="white"/>
              </w:rPr>
              <w:t xml:space="preserve">Nhà 4 tầng + 1 tum</w:t>
            </w:r>
            <w:r>
              <w:rPr>
                <w:sz w:val="22"/>
                <w:szCs w:val="22"/>
                <w:highlight w:val="white"/>
              </w:rPr>
            </w:r>
            <w:r>
              <w:rPr>
                <w:sz w:val="22"/>
                <w:szCs w:val="22"/>
                <w:highlight w:val="white"/>
              </w:rPr>
            </w:r>
          </w:p>
        </w:tc>
        <w:tc>
          <w:tcPr>
            <w:tcBorders/>
            <w:tcW w:w="1275" w:type="dxa"/>
            <w:vAlign w:val="center"/>
            <w:textDirection w:val="lrTb"/>
            <w:noWrap/>
          </w:tcPr>
          <w:p>
            <w:pPr>
              <w:pBdr/>
              <w:spacing w:after="60" w:before="60"/>
              <w:ind/>
              <w:jc w:val="center"/>
              <w:rPr>
                <w:sz w:val="22"/>
                <w:szCs w:val="22"/>
                <w:highlight w:val="white"/>
              </w:rPr>
            </w:pPr>
            <w:r>
              <w:rPr>
                <w:sz w:val="22"/>
                <w:szCs w:val="22"/>
                <w:highlight w:val="white"/>
              </w:rPr>
              <w:t xml:space="preserve">177,5</w:t>
            </w:r>
            <w:r>
              <w:rPr>
                <w:sz w:val="22"/>
                <w:szCs w:val="22"/>
                <w:highlight w:val="white"/>
              </w:rPr>
            </w:r>
            <w:r>
              <w:rPr>
                <w:sz w:val="22"/>
                <w:szCs w:val="22"/>
                <w:highlight w:val="white"/>
              </w:rPr>
            </w:r>
          </w:p>
        </w:tc>
        <w:tc>
          <w:tcPr>
            <w:tcBorders/>
            <w:tcW w:w="1560" w:type="dxa"/>
            <w:vAlign w:val="center"/>
            <w:textDirection w:val="lrTb"/>
            <w:noWrap/>
          </w:tcPr>
          <w:p>
            <w:pPr>
              <w:pBdr/>
              <w:spacing w:after="60" w:before="60"/>
              <w:ind/>
              <w:jc w:val="center"/>
              <w:rPr>
                <w:sz w:val="22"/>
                <w:szCs w:val="22"/>
                <w:highlight w:val="white"/>
              </w:rPr>
            </w:pPr>
            <w:r>
              <w:rPr>
                <w:sz w:val="22"/>
                <w:szCs w:val="22"/>
                <w:highlight w:val="white"/>
              </w:rPr>
              <w:t xml:space="preserve">8.686.048</w:t>
            </w:r>
            <w:r>
              <w:rPr>
                <w:sz w:val="22"/>
                <w:szCs w:val="22"/>
                <w:highlight w:val="white"/>
              </w:rPr>
            </w:r>
            <w:r>
              <w:rPr>
                <w:sz w:val="22"/>
                <w:szCs w:val="22"/>
                <w:highlight w:val="white"/>
              </w:rPr>
            </w:r>
          </w:p>
        </w:tc>
        <w:tc>
          <w:tcPr>
            <w:tcBorders/>
            <w:tcW w:w="1701" w:type="dxa"/>
            <w:vAlign w:val="center"/>
            <w:textDirection w:val="lrTb"/>
            <w:noWrap/>
          </w:tcPr>
          <w:p>
            <w:pPr>
              <w:pBdr/>
              <w:spacing w:after="60" w:before="60"/>
              <w:ind/>
              <w:jc w:val="center"/>
              <w:rPr>
                <w:sz w:val="22"/>
                <w:szCs w:val="22"/>
                <w:highlight w:val="white"/>
              </w:rPr>
            </w:pPr>
            <w:r>
              <w:rPr>
                <w:sz w:val="22"/>
                <w:szCs w:val="22"/>
                <w:highlight w:val="white"/>
              </w:rPr>
              <w:t xml:space="preserve">1.541.773.520</w:t>
            </w:r>
            <w:r>
              <w:rPr>
                <w:sz w:val="22"/>
                <w:szCs w:val="22"/>
                <w:highlight w:val="white"/>
              </w:rPr>
            </w:r>
            <w:r>
              <w:rPr>
                <w:sz w:val="22"/>
                <w:szCs w:val="22"/>
                <w:highlight w:val="white"/>
              </w:rPr>
            </w:r>
          </w:p>
        </w:tc>
        <w:tc>
          <w:tcPr>
            <w:tcBorders/>
            <w:tcW w:w="1139" w:type="dxa"/>
            <w:vAlign w:val="center"/>
            <w:textDirection w:val="lrTb"/>
            <w:noWrap w:val="false"/>
          </w:tcPr>
          <w:p>
            <w:pPr>
              <w:pBdr/>
              <w:spacing w:after="60" w:before="60"/>
              <w:ind/>
              <w:jc w:val="center"/>
              <w:rPr>
                <w:sz w:val="22"/>
                <w:szCs w:val="22"/>
                <w:highlight w:val="white"/>
              </w:rPr>
            </w:pPr>
            <w:r>
              <w:rPr>
                <w:sz w:val="22"/>
                <w:szCs w:val="22"/>
                <w:highlight w:val="white"/>
              </w:rPr>
              <w:t xml:space="preserve">34%</w:t>
            </w:r>
            <w:r>
              <w:rPr>
                <w:sz w:val="22"/>
                <w:szCs w:val="22"/>
                <w:highlight w:val="white"/>
              </w:rPr>
            </w:r>
            <w:r>
              <w:rPr>
                <w:sz w:val="22"/>
                <w:szCs w:val="22"/>
                <w:highlight w:val="white"/>
              </w:rPr>
            </w:r>
          </w:p>
        </w:tc>
        <w:tc>
          <w:tcPr>
            <w:tcBorders/>
            <w:tcW w:w="1559" w:type="dxa"/>
            <w:vAlign w:val="center"/>
            <w:textDirection w:val="lrTb"/>
            <w:noWrap/>
          </w:tcPr>
          <w:p>
            <w:pPr>
              <w:pBdr/>
              <w:spacing w:after="60" w:before="60"/>
              <w:ind/>
              <w:jc w:val="center"/>
              <w:rPr>
                <w:sz w:val="22"/>
                <w:szCs w:val="22"/>
                <w:highlight w:val="white"/>
              </w:rPr>
            </w:pPr>
            <w:r>
              <w:rPr>
                <w:sz w:val="22"/>
                <w:szCs w:val="22"/>
                <w:highlight w:val="white"/>
              </w:rPr>
              <w:t xml:space="preserve">524.202.997</w:t>
            </w:r>
            <w:r>
              <w:rPr>
                <w:sz w:val="22"/>
                <w:szCs w:val="22"/>
                <w:highlight w:val="white"/>
              </w:rPr>
            </w:r>
            <w:r>
              <w:rPr>
                <w:sz w:val="22"/>
                <w:szCs w:val="22"/>
                <w:highlight w:val="white"/>
              </w:rPr>
            </w:r>
          </w:p>
        </w:tc>
        <w:tc>
          <w:tcPr>
            <w:tcBorders/>
            <w:tcW w:w="1968" w:type="dxa"/>
            <w:vAlign w:val="center"/>
            <w:textDirection w:val="lrTb"/>
            <w:noWrap w:val="false"/>
          </w:tcPr>
          <w:p>
            <w:pPr>
              <w:pBdr/>
              <w:spacing w:after="60" w:before="60"/>
              <w:ind/>
              <w:jc w:val="center"/>
              <w:rPr>
                <w:sz w:val="22"/>
                <w:szCs w:val="22"/>
                <w:highlight w:val="white"/>
              </w:rPr>
            </w:pPr>
            <w:r>
              <w:rPr>
                <w:sz w:val="22"/>
                <w:szCs w:val="22"/>
                <w:highlight w:val="white"/>
              </w:rPr>
              <w:t xml:space="preserve">1.017.570.523</w:t>
            </w:r>
            <w:r>
              <w:rPr>
                <w:sz w:val="22"/>
                <w:szCs w:val="22"/>
                <w:highlight w:val="white"/>
              </w:rPr>
            </w:r>
            <w:r>
              <w:rPr>
                <w:sz w:val="22"/>
                <w:szCs w:val="22"/>
                <w:highlight w:val="white"/>
              </w:rPr>
            </w:r>
          </w:p>
        </w:tc>
      </w:tr>
    </w:tbl>
    <w:p>
      <w:pPr>
        <w:pStyle w:val="1035"/>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rPr>
      </w:r>
      <w:r>
        <w:rPr>
          <w:b/>
          <w:highlight w:val="white"/>
        </w:rPr>
      </w:r>
    </w:p>
    <w:p>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w:t>
      </w:r>
      <w:r>
        <w:rPr>
          <w:color w:val="000000" w:themeColor="text1"/>
          <w:highlight w:val="yellow"/>
          <w:lang w:val="pt-BR"/>
        </w:rPr>
        <w:t xml:space="preserve">09/20</w:t>
      </w:r>
      <w:r>
        <w:rPr>
          <w:color w:val="000000" w:themeColor="text1"/>
          <w:lang w:val="pt-BR"/>
        </w:rPr>
        <w:t xml:space="preserve">26</w:t>
      </w:r>
      <w:r>
        <w:t xml:space="preserve"> </w:t>
      </w:r>
      <w:r>
        <w:t xml:space="preserve">ước tính </w:t>
      </w:r>
      <w:r>
        <w:t xml:space="preserve">như sau</w:t>
      </w:r>
      <w:r>
        <w:t xml:space="preserve">:</w:t>
      </w:r>
      <w:r>
        <w:rPr>
          <w:highlight w:val="none"/>
        </w:rPr>
      </w:r>
      <w:r>
        <w:rPr>
          <w:highlight w:val="none"/>
        </w:rPr>
      </w:r>
    </w:p>
    <w:tbl>
      <w:tblPr>
        <w:tblW w:w="5026"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96"/>
        <w:gridCol w:w="899"/>
        <w:gridCol w:w="1416"/>
        <w:gridCol w:w="1509"/>
        <w:gridCol w:w="1869"/>
        <w:gridCol w:w="1348"/>
        <w:gridCol w:w="1736"/>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highlight w:val="yellow"/>
              </w:rPr>
            </w:pPr>
            <w:r>
              <w:rPr>
                <w:b/>
                <w:bCs/>
                <w:highlight w:val="yellow"/>
              </w:rPr>
              <w:t xml:space="preserve">TT</w:t>
            </w:r>
            <w:r>
              <w:rPr>
                <w:b/>
                <w:bCs/>
                <w:highlight w:val="yellow"/>
              </w:rPr>
            </w:r>
            <w:r>
              <w:rPr>
                <w:b/>
                <w:bCs/>
                <w:highlight w:val="yellow"/>
              </w:rPr>
            </w:r>
          </w:p>
        </w:tc>
        <w:tc>
          <w:tcPr>
            <w:gridSpan w:val="2"/>
            <w:shd w:val="clear" w:color="000000" w:fill="ffffff"/>
            <w:tcBorders/>
            <w:tcW w:w="2376" w:type="dxa"/>
            <w:vAlign w:val="center"/>
            <w:textDirection w:val="lrTb"/>
            <w:noWrap w:val="false"/>
          </w:tcPr>
          <w:p>
            <w:pPr>
              <w:pBdr/>
              <w:spacing w:after="40" w:before="40" w:line="288" w:lineRule="auto"/>
              <w:ind/>
              <w:jc w:val="center"/>
              <w:rPr>
                <w:b/>
                <w:bCs/>
                <w:highlight w:val="yellow"/>
              </w:rPr>
            </w:pPr>
            <w:r>
              <w:rPr>
                <w:b/>
                <w:bCs/>
                <w:highlight w:val="yellow"/>
              </w:rPr>
              <w:t xml:space="preserve">Tài sản</w:t>
            </w:r>
            <w:r>
              <w:rPr>
                <w:b/>
                <w:bCs/>
                <w:highlight w:val="yellow"/>
              </w:rPr>
            </w:r>
            <w:r>
              <w:rPr>
                <w:b/>
                <w:bCs/>
                <w:highlight w:val="yellow"/>
              </w:rPr>
            </w:r>
          </w:p>
        </w:tc>
        <w:tc>
          <w:tcPr>
            <w:shd w:val="clear" w:color="000000" w:fill="ffffff"/>
            <w:tcBorders/>
            <w:tcW w:w="1549" w:type="dxa"/>
            <w:vAlign w:val="center"/>
            <w:textDirection w:val="lrTb"/>
            <w:noWrap w:val="false"/>
          </w:tcPr>
          <w:p>
            <w:pPr>
              <w:pBdr/>
              <w:spacing w:after="40" w:before="40" w:line="288" w:lineRule="auto"/>
              <w:ind/>
              <w:jc w:val="center"/>
              <w:rPr>
                <w:b/>
                <w:bCs/>
                <w:highlight w:val="yellow"/>
              </w:rPr>
            </w:pPr>
            <w:r>
              <w:rPr>
                <w:b/>
                <w:bCs/>
                <w:highlight w:val="yellow"/>
              </w:rPr>
              <w:t xml:space="preserve">Diện tích (m²)</w:t>
            </w:r>
            <w:r>
              <w:rPr>
                <w:b/>
                <w:bCs/>
                <w:highlight w:val="yellow"/>
              </w:rPr>
            </w:r>
            <w:r>
              <w:rPr>
                <w:b/>
                <w:bCs/>
                <w:highlight w:val="yellow"/>
              </w:rPr>
            </w:r>
          </w:p>
        </w:tc>
        <w:tc>
          <w:tcPr>
            <w:shd w:val="clear" w:color="000000" w:fill="ffffff"/>
            <w:tcBorders/>
            <w:tcW w:w="1918" w:type="dxa"/>
            <w:vAlign w:val="center"/>
            <w:textDirection w:val="lrTb"/>
            <w:noWrap w:val="false"/>
          </w:tcPr>
          <w:p>
            <w:pPr>
              <w:pBdr/>
              <w:spacing w:after="40" w:before="40" w:line="288" w:lineRule="auto"/>
              <w:ind/>
              <w:jc w:val="center"/>
              <w:rPr>
                <w:b/>
                <w:bCs/>
                <w:highlight w:val="yellow"/>
              </w:rPr>
            </w:pPr>
            <w:r>
              <w:rPr>
                <w:b/>
                <w:bCs/>
                <w:highlight w:val="yellow"/>
              </w:rPr>
              <w:t xml:space="preserve">Đơn giá (đồng/m²)</w:t>
            </w:r>
            <w:r>
              <w:rPr>
                <w:b/>
                <w:bCs/>
                <w:highlight w:val="yellow"/>
              </w:rPr>
            </w:r>
            <w:r>
              <w:rPr>
                <w:b/>
                <w:bCs/>
                <w:highlight w:val="yellow"/>
              </w:rPr>
            </w:r>
          </w:p>
        </w:tc>
        <w:tc>
          <w:tcPr>
            <w:shd w:val="clear" w:color="000000" w:fill="ffffff"/>
            <w:tcBorders/>
            <w:tcW w:w="1384" w:type="dxa"/>
            <w:vAlign w:val="center"/>
            <w:textDirection w:val="lrTb"/>
            <w:noWrap w:val="false"/>
          </w:tcPr>
          <w:p>
            <w:pPr>
              <w:pBdr/>
              <w:spacing/>
              <w:ind/>
              <w:jc w:val="center"/>
              <w:rPr>
                <w:b/>
                <w:bCs/>
                <w:highlight w:val="yellow"/>
              </w:rPr>
            </w:pPr>
            <w:r>
              <w:rPr>
                <w:b/>
                <w:bCs/>
                <w:highlight w:val="yellow"/>
              </w:rPr>
              <w:t xml:space="preserve">Hệ số/CLCL</w:t>
            </w:r>
            <w:r>
              <w:rPr>
                <w:b/>
                <w:bCs/>
                <w:highlight w:val="yellow"/>
              </w:rPr>
            </w:r>
            <w:r>
              <w:rPr>
                <w:b/>
                <w:bCs/>
                <w:highlight w:val="yellow"/>
              </w:rPr>
            </w:r>
          </w:p>
        </w:tc>
        <w:tc>
          <w:tcPr>
            <w:shd w:val="clear" w:color="000000" w:fill="ffffff"/>
            <w:tcBorders/>
            <w:tcW w:w="1736" w:type="dxa"/>
            <w:vAlign w:val="center"/>
            <w:textDirection w:val="lrTb"/>
            <w:noWrap w:val="false"/>
          </w:tcPr>
          <w:p>
            <w:pPr>
              <w:pBdr/>
              <w:spacing w:after="40" w:before="40" w:line="288" w:lineRule="auto"/>
              <w:ind/>
              <w:jc w:val="center"/>
              <w:rPr>
                <w:b/>
                <w:bCs/>
                <w:highlight w:val="yellow"/>
              </w:rPr>
            </w:pPr>
            <w:r>
              <w:rPr>
                <w:b/>
                <w:bCs/>
                <w:highlight w:val="yellow"/>
              </w:rPr>
              <w:t xml:space="preserve">Thành tiền (đồng)</w:t>
            </w:r>
            <w:r>
              <w:rPr>
                <w:b/>
                <w:bCs/>
                <w:highlight w:val="yellow"/>
              </w:rPr>
            </w:r>
            <w:r>
              <w:rPr>
                <w:b/>
                <w:bCs/>
                <w:highlight w:val="yellow"/>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highlight w:val="yellow"/>
              </w:rPr>
            </w:pPr>
            <w:r>
              <w:rPr>
                <w:b/>
                <w:bCs/>
                <w:highlight w:val="yellow"/>
              </w:rPr>
              <w:t xml:space="preserve"> </w:t>
            </w:r>
            <w:r>
              <w:rPr>
                <w:b/>
                <w:bCs/>
                <w:highlight w:val="yellow"/>
              </w:rPr>
            </w:r>
            <w:r>
              <w:rPr>
                <w:b/>
                <w:bCs/>
                <w:highlight w:val="yellow"/>
              </w:rPr>
            </w:r>
          </w:p>
        </w:tc>
        <w:tc>
          <w:tcPr>
            <w:gridSpan w:val="5"/>
            <w:shd w:val="clear" w:color="000000" w:fill="ffffff"/>
            <w:tcBorders/>
            <w:tcW w:w="7053" w:type="dxa"/>
            <w:vAlign w:val="center"/>
            <w:textDirection w:val="lrTb"/>
            <w:noWrap w:val="false"/>
          </w:tcPr>
          <w:p>
            <w:pPr>
              <w:pBdr/>
              <w:spacing w:after="40" w:before="40" w:line="288" w:lineRule="auto"/>
              <w:ind/>
              <w:jc w:val="both"/>
              <w:rPr>
                <w:b/>
                <w:bCs/>
                <w:highlight w:val="yellow"/>
              </w:rPr>
            </w:pPr>
            <w:r>
              <w:rPr>
                <w:color w:val="000000"/>
                <w:highlight w:val="yellow"/>
              </w:rPr>
            </w:r>
            <w:r>
              <w:rPr>
                <w:b/>
                <w:bCs/>
                <w:color w:val="000000"/>
                <w:highlight w:val="yellow"/>
              </w:rPr>
              <w:t xml:space="preserve">Quyền sử dụng đất </w:t>
            </w:r>
            <w:r>
              <w:rPr>
                <w:b/>
                <w:bCs/>
                <w:color w:val="ff0000"/>
                <w:highlight w:val="yellow"/>
              </w:rPr>
              <w:t xml:space="preserve">và tài sản gắn liền với đất</w:t>
            </w:r>
            <w:r>
              <w:rPr>
                <w:b/>
                <w:bCs/>
                <w:color w:val="ff0000"/>
                <w:highlight w:val="yellow"/>
              </w:rPr>
              <w:t xml:space="preserve"> </w:t>
            </w:r>
            <w:r>
              <w:rPr>
                <w:b/>
                <w:bCs/>
                <w:color w:val="000000"/>
                <w:highlight w:val="yellow"/>
              </w:rPr>
              <w:t xml:space="preserve">tại thửa đất số: </w:t>
            </w:r>
            <w:r>
              <w:rPr>
                <w:b/>
                <w:bCs/>
                <w:color w:val="ff0000"/>
                <w:highlight w:val="yellow"/>
              </w:rPr>
              <w:t xml:space="preserve">93, tờ bản đồ số: 90,</w:t>
            </w:r>
            <w:r>
              <w:rPr>
                <w:b/>
                <w:bCs/>
                <w:color w:val="000000"/>
                <w:highlight w:val="yellow"/>
              </w:rPr>
              <w:t xml:space="preserve"> địa chỉ: Xã Thanh Liệt, huyện Thanh Trì (</w:t>
            </w:r>
            <w:r>
              <w:rPr>
                <w:b/>
                <w:bCs/>
                <w:i/>
                <w:iCs/>
                <w:color w:val="000000"/>
                <w:highlight w:val="yellow"/>
              </w:rPr>
              <w:t xml:space="preserve">nay là phường Thanh Liệt)</w:t>
            </w:r>
            <w:r>
              <w:rPr>
                <w:b/>
                <w:bCs/>
                <w:color w:val="000000"/>
                <w:highlight w:val="yellow"/>
              </w:rPr>
              <w:t xml:space="preserve">, thành phố Hà Nội </w:t>
            </w:r>
            <w:r>
              <w:rPr>
                <w:b/>
                <w:bCs/>
                <w:color w:val="000000"/>
                <w:highlight w:val="yellow"/>
              </w:rPr>
              <w:t xml:space="preserve">theo Giấy chứng nhận quyền sử dụng đất, quyền sở hữu nhà ở và tài sản khác gắn liền với đất số: CE 579513, Số vào sổ cấp GCN: CS-TTR 05260 CH 00698 do Sở Tài nguyên và Môi trường Thành phố Hà Nội  cấp ngày 01/11/2016; Chủ sử dụng đất là Bà Nguyễn Thị Giang</w:t>
            </w:r>
            <w:r>
              <w:rPr>
                <w:b/>
                <w:bCs/>
                <w:i/>
                <w:iCs/>
                <w:highlight w:val="yellow"/>
              </w:rPr>
              <w:t xml:space="preserve">.</w:t>
            </w:r>
            <w:r>
              <w:rPr>
                <w:b/>
                <w:bCs/>
                <w:highlight w:val="yellow"/>
              </w:rPr>
            </w:r>
            <w:r>
              <w:rPr>
                <w:b/>
                <w:bCs/>
                <w:highlight w:val="yellow"/>
              </w:rPr>
            </w:r>
          </w:p>
        </w:tc>
        <w:tc>
          <w:tcPr>
            <w:shd w:val="clear" w:color="000000" w:fill="ffffff"/>
            <w:tcBorders/>
            <w:tcW w:w="1736" w:type="dxa"/>
            <w:vAlign w:val="center"/>
            <w:textDirection w:val="lrTb"/>
            <w:noWrap w:val="false"/>
          </w:tcPr>
          <w:p>
            <w:pPr>
              <w:pBdr/>
              <w:spacing w:after="40" w:before="40" w:line="288" w:lineRule="auto"/>
              <w:ind/>
              <w:jc w:val="right"/>
              <w:rPr>
                <w:b/>
                <w:bCs/>
                <w:highlight w:val="yellow"/>
              </w:rPr>
            </w:pPr>
            <w:r>
              <w:rPr>
                <w:b/>
                <w:bCs/>
                <w:highlight w:val="yellow"/>
              </w:rPr>
              <w:t xml:space="preserve"> </w:t>
            </w:r>
            <w:r>
              <w:rPr>
                <w:b/>
                <w:bCs/>
                <w:highlight w:val="yellow"/>
              </w:rPr>
            </w:r>
            <w:r>
              <w:rPr>
                <w:b/>
                <w:bCs/>
                <w:highlight w:val="yellow"/>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highlight w:val="yellow"/>
              </w:rPr>
            </w:pPr>
            <w:r>
              <w:rPr>
                <w:b w:val="0"/>
                <w:bCs w:val="0"/>
                <w:highlight w:val="yellow"/>
              </w:rPr>
              <w:t xml:space="preserve">01</w:t>
            </w:r>
            <w:r>
              <w:rPr>
                <w:b w:val="0"/>
                <w:bCs w:val="0"/>
                <w:highlight w:val="yellow"/>
              </w:rPr>
            </w:r>
            <w:r>
              <w:rPr>
                <w:b w:val="0"/>
                <w:bCs w:val="0"/>
                <w:highlight w:val="yellow"/>
              </w:rPr>
            </w:r>
          </w:p>
        </w:tc>
        <w:tc>
          <w:tcPr>
            <w:gridSpan w:val="2"/>
            <w:shd w:val="clear" w:color="000000" w:fill="ffffff"/>
            <w:tcBorders/>
            <w:tcW w:w="2376" w:type="dxa"/>
            <w:vAlign w:val="center"/>
            <w:textDirection w:val="lrTb"/>
            <w:noWrap w:val="false"/>
          </w:tcPr>
          <w:p>
            <w:pPr>
              <w:pBdr/>
              <w:spacing w:after="40" w:before="40" w:line="288" w:lineRule="auto"/>
              <w:ind/>
              <w:rPr>
                <w:b w:val="0"/>
                <w:bCs w:val="0"/>
                <w:highlight w:val="yellow"/>
              </w:rPr>
            </w:pPr>
            <w:r>
              <w:rPr>
                <w:b w:val="0"/>
                <w:bCs w:val="0"/>
                <w:highlight w:val="yellow"/>
              </w:rPr>
              <w:t xml:space="preserve">Đất ở tại nông thôn</w:t>
            </w:r>
            <w:r>
              <w:rPr>
                <w:b w:val="0"/>
                <w:bCs w:val="0"/>
                <w:highlight w:val="yellow"/>
              </w:rPr>
            </w:r>
            <w:r>
              <w:rPr>
                <w:b w:val="0"/>
                <w:bCs w:val="0"/>
                <w:highlight w:val="yellow"/>
              </w:rPr>
            </w:r>
          </w:p>
        </w:tc>
        <w:tc>
          <w:tcPr>
            <w:tcBorders/>
            <w:tcW w:w="1549" w:type="dxa"/>
            <w:vAlign w:val="center"/>
            <w:textDirection w:val="lrTb"/>
            <w:noWrap/>
          </w:tcPr>
          <w:p>
            <w:pPr>
              <w:pBdr/>
              <w:spacing w:after="40" w:before="40" w:line="288" w:lineRule="auto"/>
              <w:ind/>
              <w:jc w:val="center"/>
              <w:rPr>
                <w:color w:val="000000"/>
                <w:highlight w:val="yellow"/>
              </w:rPr>
            </w:pPr>
            <w:r>
              <w:rPr>
                <w:color w:val="000000" w:themeColor="text1"/>
                <w:highlight w:val="yellow"/>
              </w:rPr>
              <w:t xml:space="preserve">38,7</w:t>
            </w:r>
            <w:r>
              <w:rPr>
                <w:color w:val="000000"/>
                <w:highlight w:val="yellow"/>
              </w:rPr>
            </w:r>
            <w:r>
              <w:rPr>
                <w:color w:val="000000"/>
                <w:highlight w:val="yellow"/>
              </w:rPr>
            </w:r>
          </w:p>
        </w:tc>
        <w:tc>
          <w:tcPr>
            <w:shd w:val="clear" w:color="000000" w:fill="ffffff"/>
            <w:tcBorders/>
            <w:tcW w:w="1918" w:type="dxa"/>
            <w:vAlign w:val="center"/>
            <w:textDirection w:val="lrTb"/>
            <w:noWrap w:val="false"/>
          </w:tcPr>
          <w:p>
            <w:pPr>
              <w:pBdr/>
              <w:spacing w:after="40" w:before="40" w:line="288" w:lineRule="auto"/>
              <w:ind/>
              <w:jc w:val="center"/>
              <w:rPr>
                <w:highlight w:val="yellow"/>
              </w:rPr>
            </w:pPr>
            <w:r>
              <w:rPr>
                <w:color w:val="000000" w:themeColor="text1"/>
                <w:highlight w:val="yellow"/>
              </w:rPr>
              <w:t xml:space="preserve">150.581.000</w:t>
            </w:r>
            <w:r>
              <w:rPr>
                <w:highlight w:val="yellow"/>
              </w:rPr>
            </w:r>
            <w:r>
              <w:rPr>
                <w:highlight w:val="yellow"/>
              </w:rPr>
            </w:r>
          </w:p>
        </w:tc>
        <w:tc>
          <w:tcPr>
            <w:shd w:val="clear" w:color="000000" w:fill="ffffff"/>
            <w:tcBorders/>
            <w:tcW w:w="1384" w:type="dxa"/>
            <w:vAlign w:val="center"/>
            <w:textDirection w:val="lrTb"/>
            <w:noWrap w:val="false"/>
          </w:tcPr>
          <w:p>
            <w:pPr>
              <w:pBdr/>
              <w:spacing/>
              <w:ind/>
              <w:jc w:val="center"/>
              <w:rPr>
                <w:color w:val="000000" w:themeColor="text1"/>
                <w:highlight w:val="yellow"/>
              </w:rPr>
            </w:pPr>
            <w:r>
              <w:rPr>
                <w:color w:val="000000" w:themeColor="text1"/>
                <w:highlight w:val="yellow"/>
              </w:rPr>
              <w:t xml:space="preserve">100%</w:t>
            </w:r>
            <w:r>
              <w:rPr>
                <w:color w:val="000000" w:themeColor="text1"/>
                <w:highlight w:val="yellow"/>
              </w:rPr>
            </w:r>
            <w:r>
              <w:rPr>
                <w:color w:val="000000" w:themeColor="text1"/>
                <w:highlight w:val="yellow"/>
              </w:rPr>
            </w:r>
          </w:p>
        </w:tc>
        <w:tc>
          <w:tcPr>
            <w:shd w:val="clear" w:color="000000" w:fill="ffffff"/>
            <w:tcBorders/>
            <w:tcW w:w="1736" w:type="dxa"/>
            <w:vAlign w:val="center"/>
            <w:textDirection w:val="lrTb"/>
            <w:noWrap w:val="false"/>
          </w:tcPr>
          <w:p>
            <w:pPr>
              <w:pBdr/>
              <w:spacing w:after="40" w:before="40" w:line="288" w:lineRule="auto"/>
              <w:ind/>
              <w:jc w:val="center"/>
              <w:rPr>
                <w:highlight w:val="yellow"/>
              </w:rPr>
            </w:pPr>
            <w:r>
              <w:rPr>
                <w:color w:val="000000" w:themeColor="text1"/>
                <w:highlight w:val="yellow"/>
              </w:rPr>
              <w:t xml:space="preserve">5.827.484.700</w:t>
            </w:r>
            <w:r>
              <w:rPr>
                <w:highlight w:val="yellow"/>
              </w:rPr>
            </w:r>
            <w:r>
              <w:rPr>
                <w:highlight w:val="yellow"/>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highlight w:val="yellow"/>
              </w:rPr>
            </w:pPr>
            <w:r>
              <w:rPr>
                <w:b w:val="0"/>
                <w:bCs w:val="0"/>
                <w:highlight w:val="yellow"/>
              </w:rPr>
              <w:t xml:space="preserve">0</w:t>
            </w:r>
            <w:r>
              <w:rPr>
                <w:b w:val="0"/>
                <w:bCs w:val="0"/>
                <w:highlight w:val="yellow"/>
              </w:rPr>
              <w:t xml:space="preserve">2</w:t>
            </w:r>
            <w:r>
              <w:rPr>
                <w:b w:val="0"/>
                <w:bCs w:val="0"/>
                <w:highlight w:val="yellow"/>
              </w:rPr>
            </w:r>
            <w:r>
              <w:rPr>
                <w:b w:val="0"/>
                <w:bCs w:val="0"/>
                <w:highlight w:val="yellow"/>
              </w:rPr>
            </w:r>
          </w:p>
        </w:tc>
        <w:tc>
          <w:tcPr>
            <w:gridSpan w:val="2"/>
            <w:shd w:val="clear" w:color="000000" w:fill="ffffff"/>
            <w:tcBorders/>
            <w:tcW w:w="2376" w:type="dxa"/>
            <w:vAlign w:val="center"/>
            <w:textDirection w:val="lrTb"/>
            <w:noWrap w:val="false"/>
          </w:tcPr>
          <w:p>
            <w:pPr>
              <w:pBdr/>
              <w:spacing w:after="40" w:before="40" w:line="288" w:lineRule="auto"/>
              <w:ind/>
              <w:rPr>
                <w:b w:val="0"/>
                <w:bCs w:val="0"/>
                <w:highlight w:val="yellow"/>
              </w:rPr>
            </w:pPr>
            <w:r>
              <w:rPr>
                <w:b w:val="0"/>
                <w:bCs w:val="0"/>
                <w:highlight w:val="yellow"/>
              </w:rPr>
              <w:t xml:space="preserve">Nhà 04 tầng + 01 tum</w:t>
            </w:r>
            <w:r>
              <w:rPr>
                <w:b w:val="0"/>
                <w:bCs w:val="0"/>
                <w:highlight w:val="yellow"/>
              </w:rPr>
            </w:r>
            <w:r>
              <w:rPr>
                <w:b w:val="0"/>
                <w:bCs w:val="0"/>
                <w:highlight w:val="yellow"/>
              </w:rPr>
            </w:r>
          </w:p>
        </w:tc>
        <w:tc>
          <w:tcPr>
            <w:tcBorders/>
            <w:tcW w:w="1549" w:type="dxa"/>
            <w:vAlign w:val="center"/>
            <w:textDirection w:val="lrTb"/>
            <w:noWrap/>
          </w:tcPr>
          <w:p>
            <w:pPr>
              <w:pBdr/>
              <w:spacing w:after="40" w:before="40" w:line="288" w:lineRule="auto"/>
              <w:ind/>
              <w:jc w:val="center"/>
              <w:rPr>
                <w:color w:val="000000"/>
                <w:highlight w:val="yellow"/>
              </w:rPr>
            </w:pPr>
            <w:r>
              <w:rPr>
                <w:color w:val="000000" w:themeColor="text1"/>
                <w:highlight w:val="yellow"/>
              </w:rPr>
              <w:t xml:space="preserve">177,5</w:t>
            </w:r>
            <w:r>
              <w:rPr>
                <w:color w:val="000000"/>
                <w:highlight w:val="yellow"/>
              </w:rPr>
            </w:r>
            <w:r>
              <w:rPr>
                <w:color w:val="000000"/>
                <w:highlight w:val="yellow"/>
              </w:rPr>
            </w:r>
          </w:p>
        </w:tc>
        <w:tc>
          <w:tcPr>
            <w:shd w:val="clear" w:color="000000" w:fill="ffffff"/>
            <w:tcBorders/>
            <w:tcW w:w="1918" w:type="dxa"/>
            <w:vAlign w:val="center"/>
            <w:textDirection w:val="lrTb"/>
            <w:noWrap w:val="false"/>
          </w:tcPr>
          <w:p>
            <w:pPr>
              <w:pBdr/>
              <w:spacing w:after="40" w:before="40" w:line="288" w:lineRule="auto"/>
              <w:ind/>
              <w:jc w:val="center"/>
              <w:rPr>
                <w:highlight w:val="yellow"/>
              </w:rPr>
            </w:pPr>
            <w:r>
              <w:rPr>
                <w:highlight w:val="yellow"/>
              </w:rPr>
              <w:t xml:space="preserve">8.686.048</w:t>
            </w:r>
            <w:r>
              <w:rPr>
                <w:highlight w:val="yellow"/>
              </w:rPr>
            </w:r>
            <w:r>
              <w:rPr>
                <w:highlight w:val="yellow"/>
              </w:rPr>
            </w:r>
          </w:p>
        </w:tc>
        <w:tc>
          <w:tcPr>
            <w:shd w:val="clear" w:color="000000" w:fill="ffffff"/>
            <w:tcBorders/>
            <w:tcW w:w="1384" w:type="dxa"/>
            <w:vAlign w:val="center"/>
            <w:textDirection w:val="lrTb"/>
            <w:noWrap w:val="false"/>
          </w:tcPr>
          <w:p>
            <w:pPr>
              <w:pBdr/>
              <w:spacing/>
              <w:ind/>
              <w:jc w:val="center"/>
              <w:rPr>
                <w:color w:val="000000" w:themeColor="text1"/>
                <w:highlight w:val="yellow"/>
              </w:rPr>
            </w:pPr>
            <w:r>
              <w:rPr>
                <w:color w:val="000000" w:themeColor="text1"/>
                <w:highlight w:val="yellow"/>
              </w:rPr>
              <w:t xml:space="preserve">66,0%</w:t>
            </w:r>
            <w:r>
              <w:rPr>
                <w:color w:val="000000" w:themeColor="text1"/>
                <w:highlight w:val="yellow"/>
              </w:rPr>
            </w:r>
            <w:r>
              <w:rPr>
                <w:color w:val="000000" w:themeColor="text1"/>
                <w:highlight w:val="yellow"/>
              </w:rPr>
            </w:r>
          </w:p>
        </w:tc>
        <w:tc>
          <w:tcPr>
            <w:shd w:val="clear" w:color="000000" w:fill="ffffff"/>
            <w:tcBorders/>
            <w:tcW w:w="1736" w:type="dxa"/>
            <w:vAlign w:val="center"/>
            <w:textDirection w:val="lrTb"/>
            <w:noWrap w:val="false"/>
          </w:tcPr>
          <w:p>
            <w:pPr>
              <w:pBdr/>
              <w:spacing w:after="40" w:before="40" w:line="288" w:lineRule="auto"/>
              <w:ind/>
              <w:jc w:val="center"/>
              <w:rPr>
                <w:highlight w:val="yellow"/>
              </w:rPr>
            </w:pPr>
            <w:r>
              <w:rPr>
                <w:color w:val="000000" w:themeColor="text1"/>
                <w:highlight w:val="yellow"/>
              </w:rPr>
              <w:t xml:space="preserve">1.017.570.523</w:t>
            </w:r>
            <w:r>
              <w:rPr>
                <w:highlight w:val="yellow"/>
              </w:rPr>
            </w:r>
            <w:r>
              <w:rPr>
                <w:highlight w:val="yellow"/>
              </w:rPr>
            </w:r>
          </w:p>
        </w:tc>
      </w:tr>
      <w:tr>
        <w:trPr>
          <w:trHeight w:val="20"/>
        </w:trPr>
        <w:tc>
          <w:tcPr>
            <w:gridSpan w:val="6"/>
            <w:tcBorders/>
            <w:tcW w:w="7845" w:type="dxa"/>
            <w:vAlign w:val="center"/>
            <w:textDirection w:val="lrTb"/>
            <w:noWrap/>
          </w:tcPr>
          <w:p>
            <w:pPr>
              <w:pBdr/>
              <w:spacing w:after="40" w:before="40" w:line="288" w:lineRule="auto"/>
              <w:ind/>
              <w:jc w:val="center"/>
              <w:rPr>
                <w:b/>
                <w:bCs/>
                <w:color w:val="000000"/>
                <w:highlight w:val="yellow"/>
              </w:rPr>
            </w:pPr>
            <w:r>
              <w:rPr>
                <w:b/>
                <w:bCs/>
                <w:color w:val="000000"/>
                <w:highlight w:val="yellow"/>
              </w:rPr>
              <w:t xml:space="preserve">TỔNG CỘNG:</w:t>
            </w:r>
            <w:r>
              <w:rPr>
                <w:b/>
                <w:bCs/>
                <w:color w:val="000000"/>
                <w:highlight w:val="yellow"/>
              </w:rPr>
            </w:r>
            <w:r>
              <w:rPr>
                <w:b/>
                <w:bCs/>
                <w:color w:val="000000"/>
                <w:highlight w:val="yellow"/>
              </w:rPr>
            </w:r>
          </w:p>
        </w:tc>
        <w:tc>
          <w:tcPr>
            <w:tcBorders/>
            <w:tcW w:w="1736" w:type="dxa"/>
            <w:vAlign w:val="center"/>
            <w:textDirection w:val="lrTb"/>
            <w:noWrap/>
          </w:tcPr>
          <w:p>
            <w:pPr>
              <w:pBdr/>
              <w:spacing w:after="40" w:before="40" w:line="288" w:lineRule="auto"/>
              <w:ind/>
              <w:jc w:val="center"/>
              <w:rPr>
                <w:b/>
                <w:bCs/>
                <w:color w:val="000000"/>
                <w:highlight w:val="yellow"/>
              </w:rPr>
            </w:pPr>
            <w:r>
              <w:rPr>
                <w:b/>
                <w:bCs/>
                <w:highlight w:val="yellow"/>
              </w:rPr>
              <w:t xml:space="preserve">6.845.055.223</w:t>
            </w:r>
            <w:r>
              <w:rPr>
                <w:b/>
                <w:bCs/>
                <w:color w:val="000000"/>
                <w:highlight w:val="yellow"/>
              </w:rPr>
            </w:r>
            <w:r>
              <w:rPr>
                <w:b/>
                <w:bCs/>
                <w:color w:val="000000"/>
                <w:highlight w:val="yellow"/>
              </w:rPr>
            </w:r>
          </w:p>
        </w:tc>
      </w:tr>
      <w:tr>
        <w:trPr>
          <w:trHeight w:val="20"/>
        </w:trPr>
        <w:tc>
          <w:tcPr>
            <w:gridSpan w:val="6"/>
            <w:tcBorders/>
            <w:tcW w:w="7845" w:type="dxa"/>
            <w:vAlign w:val="center"/>
            <w:textDirection w:val="lrTb"/>
            <w:noWrap/>
          </w:tcPr>
          <w:p>
            <w:pPr>
              <w:pBdr/>
              <w:spacing w:after="40" w:before="40" w:line="288" w:lineRule="auto"/>
              <w:ind/>
              <w:jc w:val="center"/>
              <w:rPr>
                <w:b/>
                <w:bCs/>
                <w:color w:val="000000"/>
                <w:highlight w:val="yellow"/>
              </w:rPr>
            </w:pPr>
            <w:r>
              <w:rPr>
                <w:b/>
                <w:bCs/>
                <w:color w:val="000000"/>
                <w:highlight w:val="yellow"/>
              </w:rPr>
              <w:t xml:space="preserve">LÀM TRÒN:</w:t>
            </w:r>
            <w:r>
              <w:rPr>
                <w:b/>
                <w:bCs/>
                <w:color w:val="000000"/>
                <w:highlight w:val="yellow"/>
              </w:rPr>
            </w:r>
            <w:r>
              <w:rPr>
                <w:b/>
                <w:bCs/>
                <w:color w:val="000000"/>
                <w:highlight w:val="yellow"/>
              </w:rPr>
            </w:r>
          </w:p>
        </w:tc>
        <w:tc>
          <w:tcPr>
            <w:tcBorders/>
            <w:tcW w:w="1736" w:type="dxa"/>
            <w:vAlign w:val="center"/>
            <w:textDirection w:val="lrTb"/>
            <w:noWrap/>
          </w:tcPr>
          <w:p>
            <w:pPr>
              <w:pBdr/>
              <w:spacing w:after="40" w:before="40" w:line="288" w:lineRule="auto"/>
              <w:ind/>
              <w:jc w:val="center"/>
              <w:rPr>
                <w:b/>
                <w:bCs/>
                <w:color w:val="000000"/>
                <w:highlight w:val="yellow"/>
              </w:rPr>
            </w:pPr>
            <w:r>
              <w:rPr>
                <w:b/>
                <w:bCs/>
                <w:color w:val="000000"/>
                <w:highlight w:val="yellow"/>
              </w:rPr>
              <w:t xml:space="preserve">6.845.000.000</w:t>
            </w:r>
            <w:r>
              <w:rPr>
                <w:b/>
                <w:bCs/>
                <w:color w:val="000000"/>
                <w:highlight w:val="yellow"/>
              </w:rPr>
            </w:r>
            <w:r>
              <w:rPr>
                <w:b/>
                <w:bCs/>
                <w:color w:val="000000"/>
                <w:highlight w:val="yellow"/>
              </w:rPr>
            </w:r>
          </w:p>
        </w:tc>
      </w:tr>
      <w:tr>
        <w:trPr>
          <w:trHeight w:val="20"/>
        </w:trPr>
        <w:tc>
          <w:tcPr>
            <w:gridSpan w:val="7"/>
            <w:tcBorders/>
            <w:tcW w:w="9574" w:type="dxa"/>
            <w:vAlign w:val="center"/>
            <w:textDirection w:val="lrTb"/>
            <w:noWrap w:val="false"/>
          </w:tcPr>
          <w:p>
            <w:pPr>
              <w:pBdr/>
              <w:spacing w:after="40" w:before="40" w:line="288" w:lineRule="auto"/>
              <w:ind/>
              <w:jc w:val="center"/>
              <w:rPr>
                <w:b/>
                <w:bCs/>
                <w:i/>
                <w:iCs/>
                <w:color w:val="000000"/>
                <w:highlight w:val="yellow"/>
              </w:rPr>
            </w:pPr>
            <w:r>
              <w:rPr>
                <w:b/>
                <w:bCs/>
                <w:i/>
                <w:iCs/>
                <w:color w:val="000000"/>
                <w:highlight w:val="yellow"/>
              </w:rPr>
              <w:t xml:space="preserve">(Bằng chữ: </w:t>
            </w:r>
            <w:r>
              <w:rPr>
                <w:b/>
                <w:bCs/>
                <w:i/>
                <w:iCs/>
                <w:color w:val="000000"/>
                <w:highlight w:val="yellow"/>
              </w:rPr>
              <w:t xml:space="preserve">Sáu tỷ, tám trăm bốn mươi lăm triệu đồng</w:t>
            </w:r>
            <w:r>
              <w:rPr>
                <w:b/>
                <w:bCs/>
                <w:i/>
                <w:iCs/>
                <w:color w:val="000000"/>
                <w:highlight w:val="yellow"/>
              </w:rPr>
              <w:t xml:space="preserve">./.)</w:t>
            </w:r>
            <w:r>
              <w:rPr>
                <w:b/>
                <w:bCs/>
                <w:i/>
                <w:iCs/>
                <w:color w:val="000000"/>
                <w:highlight w:val="yellow"/>
              </w:rPr>
            </w:r>
            <w:r>
              <w:rPr>
                <w:b/>
                <w:bCs/>
                <w:i/>
                <w:iCs/>
                <w:color w:val="000000"/>
                <w:highlight w:val="yellow"/>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42"/>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04 tầng + 01 tum, diện tích xây dựng kho</w:t>
      </w:r>
      <w:r>
        <w:rPr>
          <w:rFonts w:ascii="Times New Roman" w:hAnsi="Times New Roman" w:eastAsia="Times New Roman" w:cs="Times New Roman"/>
          <w:color w:val="000000"/>
          <w:sz w:val="24"/>
          <w:highlight w:val="yellow"/>
        </w:rPr>
        <w:t xml:space="preserve">ảng 35,5m</w:t>
      </w:r>
      <w:r>
        <w:rPr>
          <w:rFonts w:ascii="Times New Roman" w:hAnsi="Times New Roman" w:eastAsia="Times New Roman" w:cs="Times New Roman"/>
          <w:color w:val="000000"/>
          <w:sz w:val="24"/>
          <w:highlight w:val="yellow"/>
          <w:vertAlign w:val="superscript"/>
        </w:rPr>
        <w:t xml:space="preserve">2</w:t>
      </w:r>
      <w:r>
        <w:rPr>
          <w:rFonts w:ascii="Times New Roman" w:hAnsi="Times New Roman" w:eastAsia="Times New Roman" w:cs="Times New Roman"/>
          <w:color w:val="000000"/>
          <w:sz w:val="24"/>
          <w:highlight w:val="yellow"/>
        </w:rPr>
        <w:t xml:space="preserve">, tổng diện tích sàn khoảng</w:t>
      </w:r>
      <w:r>
        <w:rPr>
          <w:rFonts w:ascii="Times New Roman" w:hAnsi="Times New Roman" w:eastAsia="Times New Roman" w:cs="Times New Roman"/>
          <w:b/>
          <w:bCs/>
          <w:color w:val="ff0000"/>
          <w:sz w:val="24"/>
          <w:highlight w:val="yellow"/>
        </w:rPr>
        <w:t xml:space="preserve"> 159,75 m</w:t>
      </w:r>
      <w:r>
        <w:rPr>
          <w:rFonts w:ascii="Times New Roman" w:hAnsi="Times New Roman" w:eastAsia="Times New Roman" w:cs="Times New Roman"/>
          <w:b/>
          <w:bCs/>
          <w:color w:val="ff0000"/>
          <w:sz w:val="24"/>
          <w:highlight w:val="yellow"/>
          <w:vertAlign w:val="superscript"/>
        </w:rPr>
        <w:t xml:space="preserve">2</w:t>
      </w:r>
      <w:r>
        <w:rPr>
          <w:rFonts w:ascii="Times New Roman" w:hAnsi="Times New Roman" w:eastAsia="Times New Roman" w:cs="Times New Roman"/>
          <w:b/>
          <w:bCs/>
          <w:color w:val="ff0000"/>
          <w:sz w:val="24"/>
          <w:highlight w:val="yellow"/>
        </w:rPr>
        <w:t xml:space="preserve">,</w:t>
      </w:r>
      <w:r>
        <w:rPr>
          <w:rFonts w:ascii="Times New Roman" w:hAnsi="Times New Roman" w:eastAsia="Times New Roman" w:cs="Times New Roman"/>
          <w:color w:val="000000"/>
          <w:sz w:val="24"/>
          <w:highlight w:val="yellow"/>
        </w:rPr>
        <w:t xml:space="preserve"> </w:t>
      </w:r>
      <w:r>
        <w:rPr>
          <w:rFonts w:ascii="Times New Roman" w:hAnsi="Times New Roman" w:eastAsia="Times New Roman" w:cs="Times New Roman"/>
          <w:color w:val="000000"/>
          <w:sz w:val="24"/>
        </w:rPr>
        <w:t xml:space="preserve">xây năm 2009. Công trình thực tế chưa được công nhận trên GCN QSDĐ số: CE 579513</w:t>
      </w:r>
      <w:r>
        <w:rPr>
          <w:rFonts w:ascii="Times New Roman" w:hAnsi="Times New Roman" w:eastAsia="Times New Roman" w:cs="Times New Roman"/>
          <w:color w:val="000000"/>
          <w:sz w:val="24"/>
        </w:rPr>
        <w:t xml:space="preserve">. Đồng thời, Tổ thẩm định không nhận được các hồ sơ pháp lý khác liên quan đến công trình xây dựng. Do vậy, theo yêu cầu của Ngân hàng/khách</w:t>
      </w:r>
      <w:r>
        <w:rPr>
          <w:rFonts w:ascii="Times New Roman" w:hAnsi="Times New Roman" w:eastAsia="Times New Roman" w:cs="Times New Roman"/>
          <w:color w:val="000000"/>
          <w:sz w:val="24"/>
        </w:rPr>
        <w:t xml:space="preserve"> hàng, Tổ thẩm định </w:t>
      </w:r>
      <w:r>
        <w:rPr>
          <w:rFonts w:ascii="Times New Roman" w:hAnsi="Times New Roman" w:eastAsia="Times New Roman" w:cs="Times New Roman"/>
          <w:color w:val="000000"/>
          <w:sz w:val="24"/>
          <w:highlight w:val="white"/>
        </w:rPr>
        <w:t xml:space="preserve">ước </w:t>
      </w:r>
      <w:r>
        <w:rPr>
          <w:rFonts w:ascii="Times New Roman" w:hAnsi="Times New Roman" w:eastAsia="Times New Roman" w:cs="Times New Roman"/>
          <w:color w:val="000000"/>
          <w:sz w:val="24"/>
          <w:highlight w:val="white"/>
        </w:rPr>
        <w:t xml:space="preserve">tính giá trị của công trình xây dựng theo khảo sát và đo đạc thực tế với giả định thông số đo đạc</w:t>
      </w:r>
      <w:r>
        <w:rPr>
          <w:rFonts w:ascii="Times New Roman" w:hAnsi="Times New Roman" w:eastAsia="Times New Roman" w:cs="Times New Roman"/>
          <w:color w:val="000000"/>
          <w:sz w:val="24"/>
          <w:highlight w:val="white"/>
        </w:rPr>
        <w:t xml:space="preserve"> được là chính xác, giá trị công trình xây dựng chỉ mang tính chất tham khảo. Ngoài ra, Tổ thẩm định khô</w:t>
      </w:r>
      <w:r>
        <w:rPr>
          <w:rFonts w:ascii="Times New Roman" w:hAnsi="Times New Roman" w:eastAsia="Times New Roman" w:cs="Times New Roman"/>
          <w:color w:val="000000"/>
          <w:sz w:val="24"/>
        </w:rPr>
        <w:t xml:space="preserve">ng có trách nhiệm xác minh chủ sở hữu công trình xây dựng trên. Kính đề nghị đơn vị sử dụng kết quả lưu ý.</w:t>
      </w:r>
      <w:r>
        <w:rPr>
          <w:spacing w:val="-2"/>
          <w:lang w:val="pt-BR"/>
        </w:rPr>
      </w:r>
      <w:r>
        <w:rPr>
          <w:spacing w:val="-2"/>
          <w:lang w:val="pt-BR"/>
        </w:rPr>
      </w:r>
    </w:p>
    <w:p>
      <w:pPr>
        <w:pStyle w:val="103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pt-BR"/>
        </w:rPr>
      </w:pPr>
      <w:r>
        <w:rPr>
          <w:highlight w:val="none"/>
          <w:lang w:val="vi-VN"/>
        </w:rPr>
      </w:r>
      <w:r>
        <w:rPr>
          <w:lang w:val="pt-BR"/>
        </w:rPr>
      </w:r>
      <w:r>
        <w:rPr>
          <w:lang w:val="pt-BR"/>
        </w:rPr>
      </w:r>
    </w:p>
    <w:p>
      <w:pPr>
        <w:pStyle w:val="103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275/2026/1225/VFI-CT.48.A</w:t>
      </w:r>
      <w:r>
        <w:rPr>
          <w:color w:val="ff0000"/>
          <w:lang w:val="vi-VN"/>
        </w:rPr>
        <w:t xml:space="preserve"> </w:t>
      </w:r>
      <w:r>
        <w:rPr>
          <w:color w:val="000000" w:themeColor="text1"/>
        </w:rPr>
        <w:t xml:space="preserve">ngày 8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275/2026/1225/VFI-BC.48.A</w:t>
      </w:r>
      <w:r>
        <w:rPr>
          <w:i/>
        </w:rPr>
        <w:t xml:space="preserve"> ngày</w:t>
      </w:r>
      <w:r>
        <w:rPr>
          <w:i/>
          <w:lang w:val="pt-BR"/>
        </w:rPr>
        <w:t xml:space="preserve"> 0</w:t>
      </w:r>
      <w:r>
        <w:rPr>
          <w:i/>
          <w:lang w:val="pt-BR"/>
        </w:rPr>
        <w:t xml:space="preserve">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03262" cy="241756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24934" name=""/>
                              <pic:cNvPicPr>
                                <a:picLocks noChangeAspect="1"/>
                              </pic:cNvPicPr>
                              <pic:nvPr/>
                            </pic:nvPicPr>
                            <pic:blipFill rotWithShape="1">
                              <a:blip r:embed="rId18"/>
                              <a:stretch/>
                            </pic:blipFill>
                            <pic:spPr bwMode="auto">
                              <a:xfrm flipH="0" flipV="0">
                                <a:off x="0" y="0"/>
                                <a:ext cx="2603261" cy="24175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4.98pt;height:190.36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47877" cy="232536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51769" name=""/>
                              <pic:cNvPicPr>
                                <a:picLocks noChangeAspect="1"/>
                              </pic:cNvPicPr>
                              <pic:nvPr/>
                            </pic:nvPicPr>
                            <pic:blipFill rotWithShape="1">
                              <a:blip r:embed="rId19"/>
                              <a:stretch/>
                            </pic:blipFill>
                            <pic:spPr bwMode="auto">
                              <a:xfrm flipH="0" flipV="0">
                                <a:off x="0" y="0"/>
                                <a:ext cx="2947877" cy="23253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2.12pt;height:183.10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722674" cy="2063130"/>
                      <wp:effectExtent l="0" t="0" r="0" b="0"/>
                      <wp:docPr id="8" name=""/>
                      <wp:cNvGraphicFramePr/>
                      <a:graphic xmlns:a="http://schemas.openxmlformats.org/drawingml/2006/main">
                        <a:graphicData uri="http://schemas.openxmlformats.org/drawingml/2006/picture">
                          <pic:pic xmlns:pic="http://schemas.openxmlformats.org/drawingml/2006/picture">
                            <pic:nvPicPr>
                              <pic:cNvPr id="1764460338" name="" descr=""/>
                              <pic:cNvPicPr/>
                              <pic:nvPr/>
                            </pic:nvPicPr>
                            <pic:blipFill rotWithShape="1">
                              <a:blip r:embed="rId20"/>
                              <a:stretch/>
                            </pic:blipFill>
                            <pic:spPr bwMode="auto">
                              <a:xfrm flipH="0" flipV="0">
                                <a:off x="0" y="0"/>
                                <a:ext cx="2722673" cy="20631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4.38pt;height:162.45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02947" cy="196983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34727" name=""/>
                              <pic:cNvPicPr>
                                <a:picLocks noChangeAspect="1"/>
                              </pic:cNvPicPr>
                              <pic:nvPr/>
                            </pic:nvPicPr>
                            <pic:blipFill rotWithShape="1">
                              <a:blip r:embed="rId21"/>
                              <a:stretch/>
                            </pic:blipFill>
                            <pic:spPr bwMode="auto">
                              <a:xfrm flipH="0" flipV="0">
                                <a:off x="0" y="0"/>
                                <a:ext cx="3002947" cy="19698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6.45pt;height:155.11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94017" cy="203775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01669" name=""/>
                              <pic:cNvPicPr>
                                <a:picLocks noChangeAspect="1"/>
                              </pic:cNvPicPr>
                              <pic:nvPr/>
                            </pic:nvPicPr>
                            <pic:blipFill rotWithShape="1">
                              <a:blip r:embed="rId22"/>
                              <a:stretch/>
                            </pic:blipFill>
                            <pic:spPr bwMode="auto">
                              <a:xfrm flipH="0" flipV="0">
                                <a:off x="0" y="0"/>
                                <a:ext cx="2894016" cy="20377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7.88pt;height:160.45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77907" cy="208696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83631" name=""/>
                              <pic:cNvPicPr>
                                <a:picLocks noChangeAspect="1"/>
                              </pic:cNvPicPr>
                              <pic:nvPr/>
                            </pic:nvPicPr>
                            <pic:blipFill rotWithShape="1">
                              <a:blip r:embed="rId23"/>
                              <a:stretch/>
                            </pic:blipFill>
                            <pic:spPr bwMode="auto">
                              <a:xfrm flipH="0" flipV="0">
                                <a:off x="0" y="0"/>
                                <a:ext cx="3077906" cy="20869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2.35pt;height:164.3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b/>
          <w:bCs/>
          <w:highlight w:val="none"/>
        </w:rPr>
      </w:pPr>
      <w:r>
        <w:rPr>
          <w:b/>
          <w:bCs/>
          <w:highlight w:val="none"/>
        </w:rPr>
        <w:t xml:space="preserve">Giấy chứng nhận quyền sử dụng đất </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339734" cy="845297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02319" name=""/>
                        <pic:cNvPicPr>
                          <a:picLocks noChangeAspect="1"/>
                        </pic:cNvPicPr>
                        <pic:nvPr/>
                      </pic:nvPicPr>
                      <pic:blipFill rotWithShape="1">
                        <a:blip r:embed="rId24"/>
                        <a:stretch/>
                      </pic:blipFill>
                      <pic:spPr bwMode="auto">
                        <a:xfrm flipH="0" flipV="0">
                          <a:off x="0" y="0"/>
                          <a:ext cx="6339733" cy="84529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99.19pt;height:665.59pt;mso-wrap-distance-left:0.00pt;mso-wrap-distance-top:0.00pt;mso-wrap-distance-right:0.00pt;mso-wrap-distance-bottom:0.00pt;z-index:1;" stroked="false">
                <v:imagedata r:id="rId24"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336101" cy="869578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0170" name=""/>
                        <pic:cNvPicPr>
                          <a:picLocks noChangeAspect="1"/>
                        </pic:cNvPicPr>
                        <pic:nvPr/>
                      </pic:nvPicPr>
                      <pic:blipFill rotWithShape="1">
                        <a:blip r:embed="rId25"/>
                        <a:stretch/>
                      </pic:blipFill>
                      <pic:spPr bwMode="auto">
                        <a:xfrm flipH="0" flipV="0">
                          <a:off x="0" y="0"/>
                          <a:ext cx="6336101" cy="8695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98.91pt;height:684.71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t xml:space="preserve">Biên bản khảo sát </w:t>
      </w:r>
      <w:r>
        <w:rPr>
          <w:b/>
          <w:bCs/>
          <w:highlight w:val="none"/>
        </w:rPr>
      </w:r>
      <w:r>
        <w:rPr>
          <w:b/>
          <w:bCs/>
          <w:highlight w:val="none"/>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048375" cy="892438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69081" name=""/>
                        <pic:cNvPicPr>
                          <a:picLocks noChangeAspect="1"/>
                        </pic:cNvPicPr>
                        <pic:nvPr/>
                      </pic:nvPicPr>
                      <pic:blipFill rotWithShape="1">
                        <a:blip r:embed="rId26"/>
                        <a:stretch/>
                      </pic:blipFill>
                      <pic:spPr bwMode="auto">
                        <a:xfrm flipH="0" flipV="0">
                          <a:off x="0" y="0"/>
                          <a:ext cx="6048374" cy="89243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702.71pt;mso-wrap-distance-left:0.00pt;mso-wrap-distance-top:0.00pt;mso-wrap-distance-right:0.00pt;mso-wrap-distance-bottom:0.00pt;z-index:1;" stroked="false">
                <v:imagedata r:id="rId26" o:title=""/>
                <o:lock v:ext="edit" rotation="t"/>
              </v:shape>
            </w:pict>
          </mc:Fallback>
        </mc:AlternateContent>
      </w:r>
      <w:r>
        <w:rPr>
          <w:b/>
          <w:bCs/>
        </w:rPr>
      </w:r>
      <w:r>
        <w:rPr>
          <w:b/>
          <w:bCs/>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275/2026/1225/VFI-BC.48.A</w:t>
      </w:r>
      <w:r>
        <w:rPr>
          <w:i/>
        </w:rPr>
        <w:t xml:space="preserve"> ngày</w:t>
      </w:r>
      <w:r>
        <w:rPr>
          <w:i/>
          <w:lang w:val="pt-BR"/>
        </w:rPr>
        <w:t xml:space="preserve"> </w:t>
      </w:r>
      <w:r>
        <w:rPr>
          <w:i/>
          <w:lang w:val="pt-BR"/>
        </w:rPr>
        <w:t xml:space="preserve">08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0973.332904</w:t>
            </w:r>
            <w:r>
              <w:rPr>
                <w:sz w:val="22"/>
                <w:szCs w:val="22"/>
              </w:rPr>
              <w:t xml:space="preserve"> </w:t>
            </w:r>
            <w:r>
              <w:rPr>
                <w:sz w:val="22"/>
                <w:szCs w:val="22"/>
              </w:rPr>
              <w:br/>
              <w:t xml:space="preserve">(Phan Huệ</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Thanh Liệt, Thành phố Hà Nội, khoảng cách ra đường chính Cách đường Thanh Liệt khoảng 100m, độ rộng đường trước mặt tài sản 2,5m, mặt tiền 5m, 20.966222933006723, 105.81904929712242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26065" cy="2841085"/>
                      <wp:effectExtent l="0" t="0" r="0" b="0"/>
                      <wp:docPr id="15" name=""/>
                      <wp:cNvGraphicFramePr/>
                      <a:graphic xmlns:a="http://schemas.openxmlformats.org/drawingml/2006/main">
                        <a:graphicData uri="http://schemas.openxmlformats.org/drawingml/2006/picture">
                          <pic:pic xmlns:pic="http://schemas.openxmlformats.org/drawingml/2006/picture">
                            <pic:nvPicPr>
                              <pic:cNvPr id="222054542" name="" descr=""/>
                              <pic:cNvPicPr/>
                              <pic:nvPr/>
                            </pic:nvPicPr>
                            <pic:blipFill rotWithShape="1">
                              <a:blip r:embed="rId27"/>
                              <a:stretch/>
                            </pic:blipFill>
                            <pic:spPr bwMode="auto">
                              <a:xfrm flipH="0" flipV="0">
                                <a:off x="0" y="0"/>
                                <a:ext cx="2626064" cy="28410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6.78pt;height:223.71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26065" cy="2764885"/>
                      <wp:effectExtent l="0" t="0" r="0" b="0"/>
                      <wp:docPr id="16" name=""/>
                      <wp:cNvGraphicFramePr/>
                      <a:graphic xmlns:a="http://schemas.openxmlformats.org/drawingml/2006/main">
                        <a:graphicData uri="http://schemas.openxmlformats.org/drawingml/2006/picture">
                          <pic:pic xmlns:pic="http://schemas.openxmlformats.org/drawingml/2006/picture">
                            <pic:nvPicPr>
                              <pic:cNvPr id="757329472" name="" descr=""/>
                              <pic:cNvPicPr/>
                              <pic:nvPr/>
                            </pic:nvPicPr>
                            <pic:blipFill rotWithShape="1">
                              <a:blip r:embed="rId28"/>
                              <a:stretch/>
                            </pic:blipFill>
                            <pic:spPr bwMode="auto">
                              <a:xfrm flipH="0" flipV="0">
                                <a:off x="0" y="0"/>
                                <a:ext cx="2626064" cy="27648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6.78pt;height:217.71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5939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5593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1.5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86392"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68639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1.5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0974.237918</w:t>
            </w:r>
            <w:r>
              <w:rPr>
                <w:sz w:val="22"/>
                <w:szCs w:val="22"/>
              </w:rPr>
              <w:t xml:space="preserve"> </w:t>
            </w:r>
            <w:r>
              <w:rPr>
                <w:sz w:val="22"/>
                <w:szCs w:val="22"/>
              </w:rPr>
              <w:br/>
              <w:t xml:space="preserve">(Đỗ Ánh Hồng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10.072.500.000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Phường Thanh Liệt, Thành phố Hà Nội</w:t>
            </w:r>
            <w:r>
              <w:rPr>
                <w:color w:val="000000" w:themeColor="text1"/>
                <w:sz w:val="22"/>
                <w:szCs w:val="22"/>
              </w:rPr>
              <w:t xml:space="preserve">, khoảng cách ra đường chính 120m, độ rộng đường trước mặt tài sản 3m, Tài sản cách đường Bằng Liệt khoảng 120m, mặt tiền 3.5m, 20.96374696381492, 105.82091250253885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6889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36889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6.53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13027"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1170875592" name="" descr=""/>
                              <pic:cNvPicPr/>
                              <pic:nvPr/>
                            </pic:nvPicPr>
                            <pic:blipFill rotWithShape="1">
                              <a:blip r:embed="rId32"/>
                              <a:stretch/>
                            </pic:blipFill>
                            <pic:spPr bwMode="auto">
                              <a:xfrm flipH="0" flipV="0">
                                <a:off x="0" y="0"/>
                                <a:ext cx="261302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5.75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7369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6736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0.53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7369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818057088" name="" descr=""/>
                              <pic:cNvPicPr/>
                              <pic:nvPr/>
                            </pic:nvPicPr>
                            <pic:blipFill rotWithShape="1">
                              <a:blip r:embed="rId34"/>
                              <a:stretch/>
                            </pic:blipFill>
                            <pic:spPr bwMode="auto">
                              <a:xfrm flipH="0" flipV="0">
                                <a:off x="0" y="0"/>
                                <a:ext cx="26736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0.53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https://alonhadat.com.vn/ngo-750-kim-giang-ngo-to-gan-o-to-tranh-5-tang-8-x-ty-18372079.html</w:t>
            </w:r>
            <w:r>
              <w:rPr>
                <w:color w:val="000000" w:themeColor="text1"/>
                <w:sz w:val="22"/>
                <w:szCs w:val="22"/>
              </w:rPr>
              <w:br/>
            </w:r>
            <w:r>
              <w:rPr>
                <w:sz w:val="22"/>
                <w:szCs w:val="22"/>
              </w:rPr>
              <w:t xml:space="preserve">SĐT: </w:t>
            </w:r>
            <w:r>
              <w:rPr>
                <w:color w:val="000000" w:themeColor="text1"/>
                <w:sz w:val="22"/>
                <w:szCs w:val="22"/>
              </w:rPr>
              <w:t xml:space="preserve">0828.691.413</w:t>
            </w:r>
            <w:r>
              <w:rPr>
                <w:sz w:val="22"/>
                <w:szCs w:val="22"/>
              </w:rPr>
              <w:t xml:space="preserve"> </w:t>
            </w:r>
            <w:r>
              <w:rPr>
                <w:sz w:val="22"/>
                <w:szCs w:val="22"/>
              </w:rPr>
              <w:br/>
              <w:t xml:space="preserve">(Vũ Duy Tiến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6.688.000.000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(34m²)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Thanh Liệt, Thành phố Hà Nội, khoảng cách ra đường chính 400m, độ rộng đường trước mặt tài sản 2m, Tài sản nằm trong ngách ngõ 750 Kim Giang, cách đường Kim Giang khoảng 400m, mặt tiền 3.09m, 20.965722222222222, 105.81858333333334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493090" cy="2967745"/>
                      <wp:effectExtent l="0" t="0" r="0" b="0"/>
                      <wp:docPr id="23" name=""/>
                      <wp:cNvGraphicFramePr/>
                      <a:graphic xmlns:a="http://schemas.openxmlformats.org/drawingml/2006/main">
                        <a:graphicData uri="http://schemas.openxmlformats.org/drawingml/2006/picture">
                          <pic:pic xmlns:pic="http://schemas.openxmlformats.org/drawingml/2006/picture">
                            <pic:nvPicPr>
                              <pic:cNvPr id="398297174" name="" descr=""/>
                              <pic:cNvPicPr/>
                              <pic:nvPr/>
                            </pic:nvPicPr>
                            <pic:blipFill rotWithShape="1">
                              <a:blip r:embed="rId35"/>
                              <a:stretch/>
                            </pic:blipFill>
                            <pic:spPr bwMode="auto">
                              <a:xfrm flipH="0" flipV="0">
                                <a:off x="0" y="0"/>
                                <a:ext cx="5493089" cy="29677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2.53pt;height:233.68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85168" cy="2399172"/>
                      <wp:effectExtent l="0" t="0" r="0" b="0"/>
                      <wp:docPr id="24" name=""/>
                      <wp:cNvGraphicFramePr/>
                      <a:graphic xmlns:a="http://schemas.openxmlformats.org/drawingml/2006/main">
                        <a:graphicData uri="http://schemas.openxmlformats.org/drawingml/2006/picture">
                          <pic:pic xmlns:pic="http://schemas.openxmlformats.org/drawingml/2006/picture">
                            <pic:nvPicPr>
                              <pic:cNvPr id="1443827215" name="" descr=""/>
                              <pic:cNvPicPr/>
                              <pic:nvPr/>
                            </pic:nvPicPr>
                            <pic:blipFill rotWithShape="1">
                              <a:blip r:embed="rId36"/>
                              <a:stretch/>
                            </pic:blipFill>
                            <pic:spPr bwMode="auto">
                              <a:xfrm flipH="0" flipV="0">
                                <a:off x="0" y="0"/>
                                <a:ext cx="5585168" cy="23991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39.78pt;height:188.91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291"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46429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15.3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78881"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7.31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580071"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2015249838" name="" descr=""/>
                              <pic:cNvPicPr/>
                              <pic:nvPr/>
                            </pic:nvPicPr>
                            <pic:blipFill rotWithShape="1">
                              <a:blip r:embed="rId39"/>
                              <a:stretch/>
                            </pic:blipFill>
                            <pic:spPr bwMode="auto">
                              <a:xfrm flipH="0" flipV="0">
                                <a:off x="0" y="0"/>
                                <a:ext cx="158007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24.42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Lê Đình Duy </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D70C360"/>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4E590D23"/>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5066BC51"/>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517</cp:revision>
  <dcterms:created xsi:type="dcterms:W3CDTF">2025-09-15T02:01:00Z</dcterms:created>
  <dcterms:modified xsi:type="dcterms:W3CDTF">2026-09-23T03:34:49Z</dcterms:modified>
</cp:coreProperties>
</file>