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151810</wp:posOffset>
                </wp:positionH>
                <wp:positionV relativeFrom="paragraph">
                  <wp:posOffset>37005</wp:posOffset>
                </wp:positionV>
                <wp:extent cx="5467350" cy="3209285"/>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209285"/>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rFonts w:ascii="Times New Roman" w:hAnsi="Times New Roman" w:cs="Times New Roman"/>
                                <w:b/>
                                <w:bCs/>
                                <w:color w:val="000000" w:themeColor="text1"/>
                                <w:sz w:val="24"/>
                                <w:szCs w:val="24"/>
                              </w:rPr>
                            </w:pPr>
                            <w:r>
                              <w:rPr>
                                <w:b/>
                                <w:color w:val="000000" w:themeColor="text1"/>
                              </w:rPr>
                              <w:t xml:space="preserve">Số: </w:t>
                            </w:r>
                            <w:r>
                              <w:rPr>
                                <w:b/>
                                <w:color w:val="000000" w:themeColor="text1"/>
                              </w:rPr>
                              <w:t xml:space="preserve"> </w:t>
                            </w:r>
                            <w:r>
                              <w:rPr>
                                <w:rFonts w:ascii="Times New Roman" w:hAnsi="Times New Roman" w:eastAsia="Times New Roman" w:cs="Times New Roman"/>
                                <w:b/>
                                <w:bCs/>
                                <w:color w:val="081b3a"/>
                                <w:spacing w:val="3"/>
                                <w:sz w:val="24"/>
                                <w:szCs w:val="24"/>
                                <w:highlight w:val="white"/>
                              </w:rPr>
                              <w:t xml:space="preserve">275/2026/1142/VFI-CT.65.A</w:t>
                            </w:r>
                            <w:r>
                              <w:rPr>
                                <w:rFonts w:ascii="Times New Roman" w:hAnsi="Times New Roman" w:eastAsia="Times New Roman" w:cs="Times New Roman"/>
                                <w:b/>
                                <w:bCs/>
                                <w:color w:val="000000" w:themeColor="text1"/>
                                <w:sz w:val="24"/>
                                <w:szCs w:val="24"/>
                              </w:rPr>
                            </w:r>
                            <w:r>
                              <w:rPr>
                                <w:rFonts w:ascii="Times New Roman" w:hAnsi="Times New Roman" w:eastAsia="Times New Roman" w:cs="Times New Roman"/>
                                <w:b/>
                                <w:bCs/>
                                <w:color w:val="000000" w:themeColor="text1"/>
                                <w:sz w:val="24"/>
                                <w:szCs w:val="24"/>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ÔNG PHÙNG VĂN MẠNH</w:t>
                            </w:r>
                            <w:r>
                              <w:rPr>
                                <w:rFonts w:ascii="Times New Roman Bold" w:hAnsi="Times New Roman Bold"/>
                                <w:b/>
                                <w:color w:val="000000" w:themeColor="text1"/>
                                <w:lang w:val="pt-BR"/>
                              </w:rPr>
                            </w:r>
                            <w:r>
                              <w:rPr>
                                <w:rFonts w:ascii="Times New Roman Bold" w:hAnsi="Times New Roman Bold"/>
                                <w:b/>
                                <w:color w:val="000000" w:themeColor="text1"/>
                              </w:rPr>
                            </w:r>
                          </w:p>
                          <w:p>
                            <w:pPr>
                              <w:pBdr/>
                              <w:spacing w:after="120" w:before="120" w:line="360" w:lineRule="auto"/>
                              <w:ind/>
                              <w:jc w:val="both"/>
                              <w:rPr>
                                <w:bCs/>
                                <w:i/>
                                <w:iCs/>
                                <w:highlight w:val="white"/>
                              </w:rPr>
                            </w:pPr>
                            <w:r>
                              <w:rPr>
                                <w:b/>
                                <w:color w:val="000000" w:themeColor="text1"/>
                                <w:highlight w:val="white"/>
                              </w:rPr>
                              <w:t xml:space="preserve">Tài sản thẩm </w:t>
                            </w:r>
                            <w:r>
                              <w:rPr>
                                <w:b/>
                                <w:color w:val="000000" w:themeColor="text1"/>
                                <w:highlight w:val="white"/>
                              </w:rPr>
                              <w:t xml:space="preserve">định: </w:t>
                            </w:r>
                            <w:r>
                              <w:rPr>
                                <w:rFonts w:ascii="Times New Roman" w:hAnsi="Times New Roman" w:eastAsia="Times New Roman" w:cs="Times New Roman"/>
                                <w:color w:val="000000" w:themeColor="text1"/>
                                <w:sz w:val="24"/>
                                <w:highlight w:val="white"/>
                              </w:rPr>
                              <w:t xml:space="preserve">Q</w:t>
                            </w:r>
                            <w:r>
                              <w:rPr>
                                <w:rFonts w:ascii="Times New Roman" w:hAnsi="Times New Roman" w:eastAsia="Times New Roman" w:cs="Times New Roman"/>
                                <w:color w:val="000000" w:themeColor="text1"/>
                                <w:sz w:val="24"/>
                                <w:highlight w:val="white"/>
                              </w:rPr>
                              <w:t xml:space="preserve">uyền sử dụng đất tại </w:t>
                            </w:r>
                            <w:r>
                              <w:rPr>
                                <w:rFonts w:ascii="Times New Roman" w:hAnsi="Times New Roman" w:eastAsia="Times New Roman" w:cs="Times New Roman"/>
                                <w:color w:val="000000" w:themeColor="text1"/>
                                <w:sz w:val="24"/>
                                <w:highlight w:val="white"/>
                              </w:rPr>
                              <w:t xml:space="preserve">thửa đất số: 340, tờ bản đồ số: 133, có địa chỉ: Tổ</w:t>
                            </w:r>
                            <w:r>
                              <w:rPr>
                                <w:rFonts w:ascii="Times New Roman" w:hAnsi="Times New Roman" w:eastAsia="Times New Roman" w:cs="Times New Roman"/>
                                <w:color w:val="000000" w:themeColor="text1"/>
                                <w:sz w:val="24"/>
                                <w:highlight w:val="white"/>
                              </w:rPr>
                              <w:t xml:space="preserve"> d</w:t>
                            </w:r>
                            <w:r>
                              <w:rPr>
                                <w:rFonts w:ascii="Times New Roman" w:hAnsi="Times New Roman" w:eastAsia="Times New Roman" w:cs="Times New Roman"/>
                                <w:color w:val="000000" w:themeColor="text1"/>
                                <w:sz w:val="24"/>
                                <w:highlight w:val="white"/>
                              </w:rPr>
                              <w:t xml:space="preserve">ân phố Thanh Vị, phường Tùng Thiện, thành phố Hà Nội, theo Giấy chứng nhận quyền sử dụng đất, quyền sở hữu tài sản gắn li</w:t>
                            </w:r>
                            <w:r>
                              <w:rPr>
                                <w:rFonts w:ascii="Times New Roman" w:hAnsi="Times New Roman" w:eastAsia="Times New Roman" w:cs="Times New Roman"/>
                                <w:color w:val="000000"/>
                                <w:sz w:val="24"/>
                                <w:highlight w:val="white"/>
                              </w:rPr>
                              <w:t xml:space="preserve">ền với đất số: AA 08168280, số vào sổ cấp GCN: 8777 do Chi nh</w:t>
                            </w:r>
                            <w:r>
                              <w:rPr>
                                <w:rFonts w:ascii="Times New Roman" w:hAnsi="Times New Roman" w:eastAsia="Times New Roman" w:cs="Times New Roman"/>
                                <w:color w:val="000000"/>
                                <w:sz w:val="24"/>
                                <w:highlight w:val="white"/>
                              </w:rPr>
                              <w:t xml:space="preserve">ánh Văn phòng Đăng ký đất đai Sơn Tây cấp ngày 07/7/2026; Chủ tài sản là ông: Phùng Văn Mạnh</w:t>
                            </w:r>
                            <w:r>
                              <w:rPr>
                                <w:rFonts w:ascii="Times New Roman" w:hAnsi="Times New Roman" w:eastAsia="Times New Roman" w:cs="Times New Roman"/>
                                <w:color w:val="000000"/>
                                <w:sz w:val="24"/>
                                <w:highlight w:val="white"/>
                              </w:rPr>
                              <w:t xml:space="preserve"> và vợ: </w:t>
                            </w:r>
                            <w:r>
                              <w:rPr>
                                <w:rFonts w:ascii="Times New Roman" w:hAnsi="Times New Roman" w:eastAsia="Times New Roman" w:cs="Times New Roman"/>
                                <w:color w:val="000000"/>
                                <w:sz w:val="24"/>
                                <w:highlight w:val="white"/>
                              </w:rPr>
                              <w:t xml:space="preserve">Kiều Thị Trang</w:t>
                            </w:r>
                            <w:r>
                              <w:rPr>
                                <w:bCs/>
                                <w:i/>
                                <w:iCs/>
                                <w:highlight w:val="white"/>
                              </w:rPr>
                              <w:t xml:space="preserve">.</w:t>
                            </w:r>
                            <w:r>
                              <w:rPr>
                                <w:bCs/>
                                <w:i/>
                                <w:iCs/>
                                <w:highlight w:val="white"/>
                              </w:rPr>
                            </w:r>
                            <w:r>
                              <w:rPr>
                                <w:bCs/>
                                <w:i/>
                                <w:iCs/>
                                <w:highlight w:val="white"/>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07/2026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11.95pt;mso-position-horizontal:absolute;mso-position-vertical-relative:text;margin-top:2.91pt;mso-position-vertical:absolute;width:430.50pt;height:252.7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rFonts w:ascii="Times New Roman" w:hAnsi="Times New Roman" w:cs="Times New Roman"/>
                          <w:b/>
                          <w:bCs/>
                          <w:color w:val="000000" w:themeColor="text1"/>
                          <w:sz w:val="24"/>
                          <w:szCs w:val="24"/>
                        </w:rPr>
                      </w:pPr>
                      <w:r>
                        <w:rPr>
                          <w:b/>
                          <w:color w:val="000000" w:themeColor="text1"/>
                        </w:rPr>
                        <w:t xml:space="preserve">Số: </w:t>
                      </w:r>
                      <w:r>
                        <w:rPr>
                          <w:b/>
                          <w:color w:val="000000" w:themeColor="text1"/>
                        </w:rPr>
                        <w:t xml:space="preserve"> </w:t>
                      </w:r>
                      <w:r>
                        <w:rPr>
                          <w:rFonts w:ascii="Times New Roman" w:hAnsi="Times New Roman" w:eastAsia="Times New Roman" w:cs="Times New Roman"/>
                          <w:b/>
                          <w:bCs/>
                          <w:color w:val="081b3a"/>
                          <w:spacing w:val="3"/>
                          <w:sz w:val="24"/>
                          <w:szCs w:val="24"/>
                          <w:highlight w:val="white"/>
                        </w:rPr>
                        <w:t xml:space="preserve">275/2026/1142/VFI-CT.65.A</w:t>
                      </w:r>
                      <w:r>
                        <w:rPr>
                          <w:rFonts w:ascii="Times New Roman" w:hAnsi="Times New Roman" w:eastAsia="Times New Roman" w:cs="Times New Roman"/>
                          <w:b/>
                          <w:bCs/>
                          <w:color w:val="000000" w:themeColor="text1"/>
                          <w:sz w:val="24"/>
                          <w:szCs w:val="24"/>
                        </w:rPr>
                      </w:r>
                      <w:r>
                        <w:rPr>
                          <w:rFonts w:ascii="Times New Roman" w:hAnsi="Times New Roman" w:eastAsia="Times New Roman" w:cs="Times New Roman"/>
                          <w:b/>
                          <w:bCs/>
                          <w:color w:val="000000" w:themeColor="text1"/>
                          <w:sz w:val="24"/>
                          <w:szCs w:val="24"/>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ÔNG PHÙNG VĂN MẠNH</w:t>
                      </w:r>
                      <w:r>
                        <w:rPr>
                          <w:rFonts w:ascii="Times New Roman Bold" w:hAnsi="Times New Roman Bold"/>
                          <w:b/>
                          <w:color w:val="000000" w:themeColor="text1"/>
                          <w:lang w:val="pt-BR"/>
                        </w:rPr>
                      </w:r>
                      <w:r>
                        <w:rPr>
                          <w:rFonts w:ascii="Times New Roman Bold" w:hAnsi="Times New Roman Bold"/>
                          <w:b/>
                          <w:color w:val="000000" w:themeColor="text1"/>
                        </w:rPr>
                      </w:r>
                    </w:p>
                    <w:p>
                      <w:pPr>
                        <w:pBdr/>
                        <w:spacing w:after="120" w:before="120" w:line="360" w:lineRule="auto"/>
                        <w:ind/>
                        <w:jc w:val="both"/>
                        <w:rPr>
                          <w:bCs/>
                          <w:i/>
                          <w:iCs/>
                          <w:highlight w:val="white"/>
                        </w:rPr>
                      </w:pPr>
                      <w:r>
                        <w:rPr>
                          <w:b/>
                          <w:color w:val="000000" w:themeColor="text1"/>
                          <w:highlight w:val="white"/>
                        </w:rPr>
                        <w:t xml:space="preserve">Tài sản thẩm </w:t>
                      </w:r>
                      <w:r>
                        <w:rPr>
                          <w:b/>
                          <w:color w:val="000000" w:themeColor="text1"/>
                          <w:highlight w:val="white"/>
                        </w:rPr>
                        <w:t xml:space="preserve">định: </w:t>
                      </w:r>
                      <w:r>
                        <w:rPr>
                          <w:rFonts w:ascii="Times New Roman" w:hAnsi="Times New Roman" w:eastAsia="Times New Roman" w:cs="Times New Roman"/>
                          <w:color w:val="000000" w:themeColor="text1"/>
                          <w:sz w:val="24"/>
                          <w:highlight w:val="white"/>
                        </w:rPr>
                        <w:t xml:space="preserve">Q</w:t>
                      </w:r>
                      <w:r>
                        <w:rPr>
                          <w:rFonts w:ascii="Times New Roman" w:hAnsi="Times New Roman" w:eastAsia="Times New Roman" w:cs="Times New Roman"/>
                          <w:color w:val="000000" w:themeColor="text1"/>
                          <w:sz w:val="24"/>
                          <w:highlight w:val="white"/>
                        </w:rPr>
                        <w:t xml:space="preserve">uyền sử dụng đất tại </w:t>
                      </w:r>
                      <w:r>
                        <w:rPr>
                          <w:rFonts w:ascii="Times New Roman" w:hAnsi="Times New Roman" w:eastAsia="Times New Roman" w:cs="Times New Roman"/>
                          <w:color w:val="000000" w:themeColor="text1"/>
                          <w:sz w:val="24"/>
                          <w:highlight w:val="white"/>
                        </w:rPr>
                        <w:t xml:space="preserve">thửa đất số: 340, tờ bản đồ số: 133, có địa chỉ: Tổ</w:t>
                      </w:r>
                      <w:r>
                        <w:rPr>
                          <w:rFonts w:ascii="Times New Roman" w:hAnsi="Times New Roman" w:eastAsia="Times New Roman" w:cs="Times New Roman"/>
                          <w:color w:val="000000" w:themeColor="text1"/>
                          <w:sz w:val="24"/>
                          <w:highlight w:val="white"/>
                        </w:rPr>
                        <w:t xml:space="preserve"> d</w:t>
                      </w:r>
                      <w:r>
                        <w:rPr>
                          <w:rFonts w:ascii="Times New Roman" w:hAnsi="Times New Roman" w:eastAsia="Times New Roman" w:cs="Times New Roman"/>
                          <w:color w:val="000000" w:themeColor="text1"/>
                          <w:sz w:val="24"/>
                          <w:highlight w:val="white"/>
                        </w:rPr>
                        <w:t xml:space="preserve">ân phố Thanh Vị, phường Tùng Thiện, thành phố Hà Nội, theo Giấy chứng nhận quyền sử dụng đất, quyền sở hữu tài sản gắn li</w:t>
                      </w:r>
                      <w:r>
                        <w:rPr>
                          <w:rFonts w:ascii="Times New Roman" w:hAnsi="Times New Roman" w:eastAsia="Times New Roman" w:cs="Times New Roman"/>
                          <w:color w:val="000000"/>
                          <w:sz w:val="24"/>
                          <w:highlight w:val="white"/>
                        </w:rPr>
                        <w:t xml:space="preserve">ền với đất số: AA 08168280, số vào sổ cấp GCN: 8777 do Chi nh</w:t>
                      </w:r>
                      <w:r>
                        <w:rPr>
                          <w:rFonts w:ascii="Times New Roman" w:hAnsi="Times New Roman" w:eastAsia="Times New Roman" w:cs="Times New Roman"/>
                          <w:color w:val="000000"/>
                          <w:sz w:val="24"/>
                          <w:highlight w:val="white"/>
                        </w:rPr>
                        <w:t xml:space="preserve">ánh Văn phòng Đăng ký đất đai Sơn Tây cấp ngày 07/7/2026; Chủ tài sản là ông: Phùng Văn Mạnh</w:t>
                      </w:r>
                      <w:r>
                        <w:rPr>
                          <w:rFonts w:ascii="Times New Roman" w:hAnsi="Times New Roman" w:eastAsia="Times New Roman" w:cs="Times New Roman"/>
                          <w:color w:val="000000"/>
                          <w:sz w:val="24"/>
                          <w:highlight w:val="white"/>
                        </w:rPr>
                        <w:t xml:space="preserve"> và vợ: </w:t>
                      </w:r>
                      <w:r>
                        <w:rPr>
                          <w:rFonts w:ascii="Times New Roman" w:hAnsi="Times New Roman" w:eastAsia="Times New Roman" w:cs="Times New Roman"/>
                          <w:color w:val="000000"/>
                          <w:sz w:val="24"/>
                          <w:highlight w:val="white"/>
                        </w:rPr>
                        <w:t xml:space="preserve">Kiều Thị Trang</w:t>
                      </w:r>
                      <w:r>
                        <w:rPr>
                          <w:bCs/>
                          <w:i/>
                          <w:iCs/>
                          <w:highlight w:val="white"/>
                        </w:rPr>
                        <w:t xml:space="preserve">.</w:t>
                      </w:r>
                      <w:r>
                        <w:rPr>
                          <w:bCs/>
                          <w:i/>
                          <w:iCs/>
                          <w:highlight w:val="white"/>
                        </w:rPr>
                      </w:r>
                      <w:r>
                        <w:rPr>
                          <w:bCs/>
                          <w:i/>
                          <w:iCs/>
                          <w:highlight w:val="white"/>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07/2026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color w:val="000000" w:themeColor="text1"/>
                <w:highlight w:val="white"/>
              </w:rPr>
              <w:t xml:space="preserve">1-3</w:t>
            </w:r>
            <w:r>
              <w:rPr>
                <w:b/>
                <w:highlight w:val="white"/>
              </w:rPr>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color w:val="000000" w:themeColor="text1"/>
                <w:highlight w:val="white"/>
              </w:rPr>
              <w:t xml:space="preserve">4-21</w:t>
            </w:r>
            <w:r>
              <w:rPr>
                <w:b/>
                <w:highlight w:val="white"/>
                <w:lang w:val="vi-VN"/>
              </w:rPr>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highlight w:val="yellow"/>
              </w:rPr>
            </w:pPr>
            <w:r>
              <w:rPr>
                <w:b/>
                <w:bCs/>
                <w:highlight w:val="yellow"/>
              </w:rPr>
            </w:r>
            <w:r>
              <w:rPr>
                <w:b/>
                <w:bCs/>
                <w:highlight w:val="yellow"/>
              </w:rPr>
            </w:r>
            <w:r>
              <w:rPr>
                <w:b/>
                <w:bCs/>
                <w:highlight w:val="yellow"/>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88" w:lineRule="auto"/>
              <w:ind w:left="0"/>
              <w:jc w:val="both"/>
              <w:rPr>
                <w:bCs/>
                <w:lang w:val="pt-BR"/>
              </w:rPr>
            </w:pPr>
            <w:r>
              <w:rPr>
                <w:bCs/>
                <w:lang w:val="pt-BR"/>
              </w:rPr>
              <w:t xml:space="preserve">Phụ lục 1: Thông tin hiện trạng và pháp lý tài sản</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yellow"/>
              </w:rPr>
            </w:pPr>
            <w:r>
              <w:rPr>
                <w:b/>
                <w:bCs/>
                <w:highlight w:val="none"/>
              </w:rPr>
              <w:t xml:space="preserve">22-25</w:t>
            </w:r>
            <w:r>
              <w:rPr>
                <w:b/>
                <w:bCs/>
                <w:highlight w:val="yellow"/>
              </w:rPr>
            </w:r>
            <w:r>
              <w:rPr>
                <w:b/>
                <w:bCs/>
                <w:highlight w:val="yellow"/>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yellow"/>
              </w:rPr>
            </w:pPr>
            <w:r>
              <w:rPr>
                <w:b/>
                <w:bCs/>
                <w:highlight w:val="none"/>
              </w:rPr>
              <w:t xml:space="preserve">26-31</w:t>
            </w:r>
            <w:r>
              <w:rPr>
                <w:b/>
                <w:bCs/>
                <w:highlight w:val="yellow"/>
              </w:rPr>
            </w:r>
            <w:r>
              <w:rPr>
                <w:b/>
                <w:bCs/>
                <w:highlight w:val="yellow"/>
              </w:rPr>
            </w:r>
          </w:p>
        </w:tc>
      </w:tr>
    </w:tbl>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9822" w:type="dxa"/>
        <w:tblBorders/>
        <w:tblLayout w:type="fixed"/>
        <w:tblLook w:val="04A0" w:firstRow="1" w:lastRow="0" w:firstColumn="1" w:lastColumn="0" w:noHBand="0" w:noVBand="1"/>
      </w:tblPr>
      <w:tblGrid>
        <w:gridCol w:w="170"/>
        <w:gridCol w:w="1843"/>
        <w:gridCol w:w="2693"/>
        <w:gridCol w:w="5116"/>
      </w:tblGrid>
      <w:tr>
        <w:trPr>
          <w:trHeight w:val="1984"/>
        </w:trPr>
        <w:tc>
          <w:tcPr>
            <w:gridSpan w:val="2"/>
            <w:tcBorders/>
            <w:tcW w:w="2013"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7809"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1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51"/>
        </w:trPr>
        <w:tc>
          <w:tcPr>
            <w:gridSpan w:val="2"/>
            <w:shd w:val="clear" w:color="auto" w:fill="auto"/>
            <w:tcBorders/>
            <w:tcMar>
              <w:left w:w="108" w:type="dxa"/>
              <w:top w:w="0" w:type="dxa"/>
              <w:right w:w="108" w:type="dxa"/>
              <w:bottom w:w="0" w:type="dxa"/>
            </w:tcMar>
            <w:tcW w:w="4535" w:type="dxa"/>
            <w:textDirection w:val="lrTb"/>
            <w:noWrap w:val="false"/>
          </w:tcPr>
          <w:p>
            <w:pPr>
              <w:pStyle w:val="1024"/>
              <w:pBdr/>
              <w:spacing w:after="60"/>
              <w:ind/>
              <w:rPr>
                <w:color w:val="000000" w:themeColor="text1"/>
                <w:sz w:val="24"/>
                <w:szCs w:val="24"/>
              </w:rPr>
            </w:pPr>
            <w:r>
              <w:rPr>
                <w:rStyle w:val="1023"/>
                <w:rFonts w:ascii="Times New Roman" w:hAnsi="Times New Roman"/>
                <w:color w:val="000000" w:themeColor="text1"/>
                <w:lang w:val="pt-BR"/>
              </w:rPr>
              <w:t xml:space="preserve">Số: </w:t>
            </w:r>
            <w:r>
              <w:rPr>
                <w:rStyle w:val="1023"/>
                <w:rFonts w:ascii="Times New Roman" w:hAnsi="Times New Roman"/>
                <w:color w:val="000000" w:themeColor="text1"/>
                <w:lang w:val="pt-BR"/>
              </w:rPr>
              <w:t xml:space="preserve">275/2026/1142/VFI-CT.65.A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116" w:type="dxa"/>
            <w:textDirection w:val="lrTb"/>
            <w:noWrap w:val="false"/>
          </w:tcPr>
          <w:p>
            <w:pPr>
              <w:pStyle w:val="1024"/>
              <w:pBdr/>
              <w:spacing w:after="60"/>
              <w:ind w:right="-56"/>
              <w:jc w:val="right"/>
              <w:rPr>
                <w:color w:val="000000" w:themeColor="text1"/>
                <w:sz w:val="24"/>
                <w:szCs w:val="24"/>
                <w:lang w:val="vi-VN"/>
              </w:rPr>
            </w:pPr>
            <w:r>
              <w:rPr>
                <w:rStyle w:val="1023"/>
                <w:rFonts w:ascii="Times New Roman" w:hAnsi="Times New Roman"/>
                <w:i/>
                <w:color w:val="auto"/>
              </w:rPr>
              <w:t xml:space="preserve">TP. Hà Nội</w:t>
            </w:r>
            <w:r>
              <w:rPr>
                <w:rStyle w:val="1023"/>
                <w:rFonts w:ascii="Times New Roman" w:hAnsi="Times New Roman"/>
                <w:i/>
                <w:color w:val="auto"/>
                <w:lang w:val="vi-VN"/>
              </w:rPr>
              <w:t xml:space="preserve">, </w:t>
            </w:r>
            <w:r>
              <w:rPr>
                <w:rStyle w:val="1023"/>
                <w:rFonts w:ascii="Times New Roman" w:hAnsi="Times New Roman"/>
                <w:i/>
                <w:color w:val="000000" w:themeColor="text1"/>
                <w:lang w:val="vi-VN"/>
              </w:rPr>
              <w:t xml:space="preserve">ngày 27 tháng 7 năm 2026</w:t>
            </w:r>
            <w:r>
              <w:rPr>
                <w:color w:val="000000" w:themeColor="text1"/>
                <w:sz w:val="24"/>
                <w:szCs w:val="24"/>
                <w:lang w:val="vi-VN"/>
              </w:rPr>
            </w:r>
            <w:r>
              <w:rPr>
                <w:color w:val="000000" w:themeColor="text1"/>
                <w:sz w:val="24"/>
                <w:szCs w:val="24"/>
                <w:lang w:val="vi-VN"/>
              </w:rPr>
            </w:r>
          </w:p>
        </w:tc>
      </w:tr>
    </w:tbl>
    <w:p>
      <w:pPr>
        <w:pStyle w:val="1024"/>
        <w:pBdr/>
        <w:spacing w:after="120" w:before="200" w:line="288" w:lineRule="auto"/>
        <w:ind/>
        <w:jc w:val="center"/>
        <w:rPr>
          <w:rStyle w:val="1023"/>
          <w:rFonts w:ascii="Times New Roman" w:hAnsi="Times New Roman"/>
          <w:b/>
          <w:bCs/>
          <w:color w:val="auto"/>
          <w:sz w:val="30"/>
          <w:szCs w:val="30"/>
          <w:lang w:val="vi-VN"/>
        </w:rPr>
      </w:pPr>
      <w:r>
        <w:rPr>
          <w:rStyle w:val="1023"/>
          <w:rFonts w:ascii="Times New Roman" w:hAnsi="Times New Roman"/>
          <w:b/>
          <w:bCs/>
          <w:color w:val="auto"/>
          <w:sz w:val="30"/>
          <w:szCs w:val="30"/>
          <w:lang w:val="vi-VN"/>
        </w:rPr>
        <w:t xml:space="preserve">CHỨNG THƯ THẨM ĐỊNH GIÁ</w:t>
      </w:r>
      <w:r>
        <w:rPr>
          <w:rStyle w:val="1023"/>
          <w:rFonts w:ascii="Times New Roman" w:hAnsi="Times New Roman"/>
          <w:b/>
          <w:bCs/>
          <w:color w:val="auto"/>
          <w:sz w:val="30"/>
          <w:szCs w:val="30"/>
          <w:lang w:val="vi-VN"/>
        </w:rPr>
      </w:r>
      <w:r>
        <w:rPr>
          <w:rStyle w:val="1023"/>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ÔNG PHÙNG VĂN MẠNH</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275/2026/1142/VFI-HĐTĐ.65.A</w:t>
      </w:r>
      <w:r>
        <w:rPr>
          <w:spacing w:val="-4"/>
          <w:lang w:val="vi-VN"/>
        </w:rPr>
        <w:t xml:space="preserve"> ký ngày </w:t>
      </w:r>
      <w:r>
        <w:rPr>
          <w:color w:val="000000" w:themeColor="text1"/>
          <w:spacing w:val="-4"/>
        </w:rPr>
        <w:t xml:space="preserve">22 tháng 7 năm 2026</w:t>
      </w:r>
      <w:r>
        <w:rPr>
          <w:spacing w:val="-4"/>
          <w:lang w:val="vi-VN"/>
        </w:rPr>
        <w:t xml:space="preserve"> </w:t>
      </w:r>
      <w:r>
        <w:rPr>
          <w:spacing w:val="-4"/>
          <w:lang w:val="vi-VN"/>
        </w:rPr>
        <w:t xml:space="preserve">giữa </w:t>
      </w:r>
      <w:r>
        <w:rPr>
          <w:bCs/>
        </w:rPr>
        <w:t xml:space="preserve">ông Phùng Văn Mạnh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275/2026/1142/VFI-BC.65.A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27 tháng 7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430"/>
        <w:gridCol w:w="463"/>
        <w:gridCol w:w="6632"/>
        <w:gridCol w:w="4"/>
      </w:tblGrid>
      <w:tr>
        <w:trPr>
          <w:trHeight w:val="20"/>
        </w:trPr>
        <w:tc>
          <w:tcPr>
            <w:shd w:val="clear" w:color="auto" w:fill="auto"/>
            <w:tcBorders/>
            <w:tcW w:w="2430"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rPr/>
            </w:pPr>
            <w:r>
              <w:rPr>
                <w:rFonts w:ascii="Times New Roman" w:hAnsi="Times New Roman" w:eastAsia="Times New Roman" w:cs="Times New Roman"/>
                <w:color w:val="000000"/>
                <w:sz w:val="24"/>
              </w:rPr>
              <w:t xml:space="preserve">Tên khách hàng</w:t>
            </w:r>
            <w:r/>
          </w:p>
        </w:tc>
        <w:tc>
          <w:tcPr>
            <w:shd w:val="clear" w:color="auto" w:fill="auto"/>
            <w:tcBorders/>
            <w:tcW w:w="463"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rPr/>
            </w:pPr>
            <w:r>
              <w:rPr>
                <w:rFonts w:ascii="Times New Roman" w:hAnsi="Times New Roman" w:eastAsia="Times New Roman" w:cs="Times New Roman"/>
                <w:color w:val="000000"/>
                <w:sz w:val="24"/>
              </w:rPr>
              <w:t xml:space="preserve">:</w:t>
            </w:r>
            <w:r/>
          </w:p>
        </w:tc>
        <w:tc>
          <w:tcPr>
            <w:tcBorders/>
            <w:tcW w:w="663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pacing w:val="3"/>
                <w:sz w:val="24"/>
                <w:highlight w:val="white"/>
              </w:rPr>
              <w:t xml:space="preserve">ÔNG PHÙNG VĂN MẠNH</w:t>
            </w:r>
            <w:r/>
          </w:p>
        </w:tc>
        <w:tc>
          <w:tcPr>
            <w:tcBorders/>
            <w:tcMar>
              <w:left w:w="0" w:type="dxa"/>
              <w:top w:w="0" w:type="dxa"/>
              <w:right w:w="0" w:type="dxa"/>
              <w:bottom w:w="0" w:type="dxa"/>
            </w:tcMar>
            <w:tcW w:w="4" w:type="dxa"/>
            <w:vAlign w:val="center"/>
            <w:textDirection w:val="lrTb"/>
            <w:noWrap w:val="false"/>
          </w:tcPr>
          <w:p>
            <w:pPr>
              <w:pBdr/>
              <w:spacing w:after="0" w:before="0" w:line="240" w:lineRule="auto"/>
              <w:ind/>
              <w:rPr/>
            </w:pPr>
            <w:r/>
            <w:r/>
          </w:p>
        </w:tc>
      </w:tr>
      <w:tr>
        <w:trPr>
          <w:trHeight w:val="20"/>
        </w:trPr>
        <w:tc>
          <w:tcPr>
            <w:shd w:val="clear" w:color="auto" w:fill="auto"/>
            <w:tcBorders/>
            <w:tcW w:w="24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rPr/>
            </w:pPr>
            <w:r>
              <w:rPr>
                <w:rFonts w:ascii="Times New Roman" w:hAnsi="Times New Roman" w:eastAsia="Times New Roman" w:cs="Times New Roman"/>
                <w:color w:val="000000"/>
                <w:sz w:val="24"/>
              </w:rPr>
              <w:t xml:space="preserve">CCCD</w:t>
            </w:r>
            <w:r/>
          </w:p>
        </w:tc>
        <w:tc>
          <w:tcPr>
            <w:shd w:val="clear" w:color="auto" w:fill="auto"/>
            <w:tcBorders/>
            <w:tcW w:w="46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rPr/>
            </w:pPr>
            <w:r>
              <w:rPr>
                <w:rFonts w:ascii="Times New Roman" w:hAnsi="Times New Roman" w:eastAsia="Times New Roman" w:cs="Times New Roman"/>
                <w:color w:val="000000"/>
                <w:sz w:val="24"/>
              </w:rPr>
              <w:t xml:space="preserve">:</w:t>
            </w:r>
            <w:r/>
          </w:p>
        </w:tc>
        <w:tc>
          <w:tcPr>
            <w:tcBorders/>
            <w:tcW w:w="6632"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line="288" w:lineRule="auto"/>
              <w:ind w:right="0" w:firstLine="0" w:left="0"/>
              <w:rPr/>
            </w:pPr>
            <w:r>
              <w:rPr>
                <w:rFonts w:ascii="Times New Roman" w:hAnsi="Times New Roman" w:eastAsia="Times New Roman" w:cs="Times New Roman"/>
                <w:color w:val="000000"/>
                <w:spacing w:val="3"/>
                <w:sz w:val="24"/>
                <w:highlight w:val="white"/>
              </w:rPr>
              <w:t xml:space="preserve">001083032977</w:t>
            </w:r>
            <w:r/>
          </w:p>
        </w:tc>
        <w:tc>
          <w:tcPr>
            <w:tcBorders/>
            <w:tcMar>
              <w:left w:w="0" w:type="dxa"/>
              <w:top w:w="0" w:type="dxa"/>
              <w:right w:w="0" w:type="dxa"/>
              <w:bottom w:w="0" w:type="dxa"/>
            </w:tcMar>
            <w:tcW w:w="4" w:type="dxa"/>
            <w:vAlign w:val="center"/>
            <w:textDirection w:val="lrTb"/>
            <w:noWrap w:val="false"/>
          </w:tcPr>
          <w:p>
            <w:pPr>
              <w:pBdr/>
              <w:spacing w:after="0" w:before="0" w:line="240" w:lineRule="auto"/>
              <w:ind/>
              <w:rPr/>
            </w:pPr>
            <w:r/>
            <w:r/>
          </w:p>
        </w:tc>
      </w:tr>
      <w:tr>
        <w:trPr>
          <w:trHeight w:val="20"/>
        </w:trPr>
        <w:tc>
          <w:tcPr>
            <w:shd w:val="clear" w:color="auto" w:fill="auto"/>
            <w:tcBorders/>
            <w:tcW w:w="2430"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rPr/>
            </w:pPr>
            <w:r>
              <w:rPr>
                <w:rFonts w:ascii="Times New Roman" w:hAnsi="Times New Roman" w:eastAsia="Times New Roman" w:cs="Times New Roman"/>
                <w:color w:val="000000"/>
                <w:sz w:val="24"/>
              </w:rPr>
              <w:t xml:space="preserve">Năm sinh</w:t>
            </w:r>
            <w:r/>
          </w:p>
        </w:tc>
        <w:tc>
          <w:tcPr>
            <w:shd w:val="clear" w:color="auto" w:fill="auto"/>
            <w:tcBorders/>
            <w:tcW w:w="463"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rPr/>
            </w:pPr>
            <w:r>
              <w:rPr>
                <w:rFonts w:ascii="Times New Roman" w:hAnsi="Times New Roman" w:eastAsia="Times New Roman" w:cs="Times New Roman"/>
                <w:color w:val="000000"/>
                <w:sz w:val="24"/>
              </w:rPr>
              <w:t xml:space="preserve">:</w:t>
            </w:r>
            <w:r/>
          </w:p>
        </w:tc>
        <w:tc>
          <w:tcPr>
            <w:tcBorders/>
            <w:tcW w:w="6632"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line="288" w:lineRule="auto"/>
              <w:ind w:right="0" w:firstLine="0" w:left="0"/>
              <w:rPr/>
            </w:pPr>
            <w:r>
              <w:rPr>
                <w:rFonts w:ascii="Times New Roman" w:hAnsi="Times New Roman" w:eastAsia="Times New Roman" w:cs="Times New Roman"/>
                <w:color w:val="000000"/>
                <w:spacing w:val="3"/>
                <w:sz w:val="24"/>
                <w:highlight w:val="white"/>
              </w:rPr>
              <w:t xml:space="preserve">1983</w:t>
            </w:r>
            <w:r/>
          </w:p>
        </w:tc>
        <w:tc>
          <w:tcPr>
            <w:tcBorders/>
            <w:tcMar>
              <w:left w:w="0" w:type="dxa"/>
              <w:top w:w="0" w:type="dxa"/>
              <w:right w:w="0" w:type="dxa"/>
              <w:bottom w:w="0" w:type="dxa"/>
            </w:tcMar>
            <w:tcW w:w="4" w:type="dxa"/>
            <w:vAlign w:val="center"/>
            <w:textDirection w:val="lrTb"/>
            <w:noWrap w:val="false"/>
          </w:tcPr>
          <w:p>
            <w:pPr>
              <w:pBdr/>
              <w:spacing w:after="0" w:before="0" w:line="240" w:lineRule="auto"/>
              <w:ind/>
              <w:rPr/>
            </w:pPr>
            <w:r/>
            <w:r/>
          </w:p>
        </w:tc>
      </w:tr>
      <w:tr>
        <w:trPr>
          <w:trHeight w:val="20"/>
        </w:trPr>
        <w:tc>
          <w:tcPr>
            <w:shd w:val="clear" w:color="auto" w:fill="auto"/>
            <w:tcBorders/>
            <w:tcW w:w="243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Địa chỉ</w:t>
            </w:r>
            <w:r/>
          </w:p>
        </w:tc>
        <w:tc>
          <w:tcPr>
            <w:shd w:val="clear" w:color="auto" w:fill="auto"/>
            <w:tcBorders/>
            <w:tcW w:w="46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6632"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pacing w:val="3"/>
                <w:sz w:val="24"/>
                <w:highlight w:val="white"/>
              </w:rPr>
              <w:t xml:space="preserve">Thanh vị, Thanh Mỹ, Thị xã Sơn Tây, Hà Nội</w:t>
            </w:r>
            <w:r/>
          </w:p>
        </w:tc>
        <w:tc>
          <w:tcPr>
            <w:tcBorders/>
            <w:tcMar>
              <w:left w:w="0" w:type="dxa"/>
              <w:top w:w="0" w:type="dxa"/>
              <w:right w:w="0" w:type="dxa"/>
              <w:bottom w:w="0" w:type="dxa"/>
            </w:tcMar>
            <w:tcW w:w="4" w:type="dxa"/>
            <w:vAlign w:val="center"/>
            <w:textDirection w:val="lrTb"/>
            <w:noWrap w:val="false"/>
          </w:tcPr>
          <w:p>
            <w:pPr>
              <w:pBdr/>
              <w:spacing w:after="0" w:before="0" w:line="240" w:lineRule="auto"/>
              <w:ind/>
              <w:rPr/>
            </w:pPr>
            <w: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rPr>
            </w:pPr>
            <w:r>
              <w:rPr>
                <w:b/>
                <w:bCs/>
                <w:lang w:val="vi-VN"/>
              </w:rPr>
              <w:t xml:space="preserve">Ông</w:t>
            </w:r>
            <w:r>
              <w:rPr>
                <w:b/>
                <w:bCs/>
              </w:rPr>
              <w:t xml:space="preserve"> Vũ Văn Quân</w:t>
            </w:r>
            <w:r>
              <w:rPr>
                <w:b/>
                <w:bCs/>
                <w:lang w:val="vi-VN"/>
              </w:rPr>
              <w:tab/>
            </w:r>
            <w:r>
              <w:rPr>
                <w:b/>
                <w:bCs/>
              </w:rPr>
              <w:t xml:space="preserve">        </w:t>
            </w:r>
            <w:r>
              <w:rPr>
                <w:b/>
                <w:bCs/>
              </w:rPr>
            </w:r>
            <w:r>
              <w:rPr>
                <w:b/>
                <w:bCs/>
              </w:rPr>
            </w:r>
          </w:p>
          <w:p>
            <w:pPr>
              <w:pBdr/>
              <w:spacing w:after="40" w:before="40" w:line="276" w:lineRule="auto"/>
              <w:ind/>
              <w:rPr>
                <w:b/>
                <w:bCs/>
                <w:lang w:val="vi-VN"/>
              </w:rPr>
            </w:pPr>
            <w:r>
              <w:rPr>
                <w:b/>
                <w:bCs/>
              </w:rPr>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rFonts w:ascii="Times New Roman" w:hAnsi="Times New Roman" w:eastAsia="Times New Roman" w:cs="Times New Roman"/>
          <w:color w:val="000000"/>
          <w:sz w:val="24"/>
        </w:rPr>
      </w:r>
      <w:r>
        <w:rPr>
          <w:rFonts w:ascii="Times New Roman" w:hAnsi="Times New Roman" w:eastAsia="Times New Roman" w:cs="Times New Roman"/>
          <w:color w:val="000000" w:themeColor="text1"/>
          <w:sz w:val="24"/>
          <w:highlight w:val="white"/>
        </w:rPr>
        <w:t xml:space="preserve">Q</w:t>
      </w:r>
      <w:r>
        <w:rPr>
          <w:rFonts w:ascii="Times New Roman" w:hAnsi="Times New Roman" w:eastAsia="Times New Roman" w:cs="Times New Roman"/>
          <w:color w:val="000000" w:themeColor="text1"/>
          <w:sz w:val="24"/>
          <w:highlight w:val="white"/>
        </w:rPr>
        <w:t xml:space="preserve">uyền sử dụng đất tại </w:t>
      </w:r>
      <w:r>
        <w:rPr>
          <w:rFonts w:ascii="Times New Roman" w:hAnsi="Times New Roman" w:eastAsia="Times New Roman" w:cs="Times New Roman"/>
          <w:color w:val="000000" w:themeColor="text1"/>
          <w:sz w:val="24"/>
          <w:highlight w:val="white"/>
        </w:rPr>
        <w:t xml:space="preserve">thửa đất số: 340, tờ bản đồ số: 133, có địa chỉ: Tổ</w:t>
      </w:r>
      <w:r>
        <w:rPr>
          <w:rFonts w:ascii="Times New Roman" w:hAnsi="Times New Roman" w:eastAsia="Times New Roman" w:cs="Times New Roman"/>
          <w:color w:val="000000" w:themeColor="text1"/>
          <w:sz w:val="24"/>
          <w:highlight w:val="white"/>
        </w:rPr>
        <w:t xml:space="preserve"> d</w:t>
      </w:r>
      <w:r>
        <w:rPr>
          <w:rFonts w:ascii="Times New Roman" w:hAnsi="Times New Roman" w:eastAsia="Times New Roman" w:cs="Times New Roman"/>
          <w:color w:val="000000" w:themeColor="text1"/>
          <w:sz w:val="24"/>
          <w:highlight w:val="white"/>
        </w:rPr>
        <w:t xml:space="preserve">ân phố Thanh Vị, phường Tùng Thiện, thành phố Hà Nội, theo Giấy chứng nhận quyền sử dụng đất, quyền sở hữu tài sản gắn li</w:t>
      </w:r>
      <w:r>
        <w:rPr>
          <w:rFonts w:ascii="Times New Roman" w:hAnsi="Times New Roman" w:eastAsia="Times New Roman" w:cs="Times New Roman"/>
          <w:color w:val="000000"/>
          <w:sz w:val="24"/>
          <w:highlight w:val="white"/>
        </w:rPr>
        <w:t xml:space="preserve">ền với đất số: AA 08168280, số vào sổ cấp GCN: 8777 do Chi nh</w:t>
      </w:r>
      <w:r>
        <w:rPr>
          <w:rFonts w:ascii="Times New Roman" w:hAnsi="Times New Roman" w:eastAsia="Times New Roman" w:cs="Times New Roman"/>
          <w:color w:val="000000"/>
          <w:sz w:val="24"/>
          <w:highlight w:val="white"/>
        </w:rPr>
        <w:t xml:space="preserve">ánh Văn phòng Đăng ký đất đai Sơn Tây cấp ngày 07/7/2026; Chủ tài sản là ông: Phùng Văn Mạnh</w:t>
      </w:r>
      <w:r>
        <w:rPr>
          <w:rFonts w:ascii="Times New Roman" w:hAnsi="Times New Roman" w:eastAsia="Times New Roman" w:cs="Times New Roman"/>
          <w:color w:val="000000"/>
          <w:sz w:val="24"/>
          <w:highlight w:val="white"/>
        </w:rPr>
        <w:t xml:space="preserve"> và vợ: </w:t>
      </w:r>
      <w:r>
        <w:rPr>
          <w:rFonts w:ascii="Times New Roman" w:hAnsi="Times New Roman" w:eastAsia="Times New Roman" w:cs="Times New Roman"/>
          <w:color w:val="000000"/>
          <w:sz w:val="24"/>
          <w:highlight w:val="white"/>
        </w:rPr>
        <w:t xml:space="preserve">Kiều Thị Trang</w:t>
      </w:r>
      <w:r/>
      <w:r>
        <w:rPr>
          <w:rFonts w:ascii="Times New Roman" w:hAnsi="Times New Roman" w:eastAsia="Times New Roman" w:cs="Times New Roman"/>
          <w:color w:val="000000"/>
          <w:sz w:val="24"/>
        </w:rPr>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07/2026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07/2026</w:t>
      </w:r>
      <w:r>
        <w:rPr>
          <w:lang w:val="vi-VN"/>
        </w:rPr>
        <w:t xml:space="preserve"> ước tính</w:t>
      </w:r>
      <w:r>
        <w:t xml:space="preserve"> </w:t>
      </w:r>
      <w:r>
        <w:rPr>
          <w:lang w:val="vi-VN"/>
        </w:rPr>
        <w:t xml:space="preserve">như sau:</w:t>
      </w:r>
      <w:r/>
    </w:p>
    <w:tbl>
      <w:tblPr>
        <w:tblStyle w:val="1029"/>
        <w:tblInd w:w="113"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704"/>
        <w:gridCol w:w="3147"/>
        <w:gridCol w:w="1560"/>
        <w:gridCol w:w="1984"/>
        <w:gridCol w:w="1985"/>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314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b/>
                <w:color w:val="000000"/>
                <w:sz w:val="24"/>
              </w:rPr>
              <w:t xml:space="preserve">Diện tích (m²)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b/>
                <w:color w:val="000000"/>
                <w:sz w:val="24"/>
              </w:rPr>
              <w:t xml:space="preserve">Đơn giá (đồng/m²)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98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b/>
                <w:color w:val="000000"/>
                <w:sz w:val="24"/>
              </w:rPr>
              <w:t xml:space="preserve">Thành tiền (đồng)</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b/>
                <w:color w:val="000000"/>
                <w:sz w:val="24"/>
              </w:rPr>
              <w:t xml:space="preserve">01</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669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both"/>
              <w:rPr>
                <w:b/>
                <w:bCs/>
              </w:rPr>
            </w:pPr>
            <w:r>
              <w:rPr>
                <w:rFonts w:ascii="Times New Roman" w:hAnsi="Times New Roman" w:eastAsia="Times New Roman" w:cs="Times New Roman"/>
                <w:b/>
                <w:bCs/>
                <w:color w:val="000000"/>
                <w:sz w:val="24"/>
              </w:rPr>
            </w:r>
            <w:r>
              <w:rPr>
                <w:rFonts w:ascii="Times New Roman" w:hAnsi="Times New Roman" w:eastAsia="Times New Roman" w:cs="Times New Roman"/>
                <w:b/>
                <w:bCs/>
                <w:color w:val="000000" w:themeColor="text1"/>
                <w:sz w:val="24"/>
                <w:highlight w:val="white"/>
              </w:rPr>
              <w:t xml:space="preserve">Q</w:t>
            </w:r>
            <w:r>
              <w:rPr>
                <w:rFonts w:ascii="Times New Roman" w:hAnsi="Times New Roman" w:eastAsia="Times New Roman" w:cs="Times New Roman"/>
                <w:b/>
                <w:bCs/>
                <w:color w:val="000000" w:themeColor="text1"/>
                <w:sz w:val="24"/>
                <w:highlight w:val="white"/>
              </w:rPr>
              <w:t xml:space="preserve">uyền sử dụng đất tại </w:t>
            </w:r>
            <w:r>
              <w:rPr>
                <w:rFonts w:ascii="Times New Roman" w:hAnsi="Times New Roman" w:eastAsia="Times New Roman" w:cs="Times New Roman"/>
                <w:b/>
                <w:bCs/>
                <w:color w:val="000000" w:themeColor="text1"/>
                <w:sz w:val="24"/>
                <w:highlight w:val="white"/>
              </w:rPr>
              <w:t xml:space="preserve">thửa đất số: 340, tờ bản đồ số: 133, có địa chỉ: Tổ</w:t>
            </w:r>
            <w:r>
              <w:rPr>
                <w:rFonts w:ascii="Times New Roman" w:hAnsi="Times New Roman" w:eastAsia="Times New Roman" w:cs="Times New Roman"/>
                <w:b/>
                <w:bCs/>
                <w:color w:val="000000" w:themeColor="text1"/>
                <w:sz w:val="24"/>
                <w:highlight w:val="white"/>
              </w:rPr>
              <w:t xml:space="preserve"> d</w:t>
            </w:r>
            <w:r>
              <w:rPr>
                <w:rFonts w:ascii="Times New Roman" w:hAnsi="Times New Roman" w:eastAsia="Times New Roman" w:cs="Times New Roman"/>
                <w:b/>
                <w:bCs/>
                <w:color w:val="000000" w:themeColor="text1"/>
                <w:sz w:val="24"/>
                <w:highlight w:val="white"/>
              </w:rPr>
              <w:t xml:space="preserve">ân phố Thanh Vị, phường Tùng Thiện, thành phố Hà Nội, theo Giấy chứng nhận quyền sử dụng đất, quyền sở hữu tài sản gắn li</w:t>
            </w:r>
            <w:r>
              <w:rPr>
                <w:rFonts w:ascii="Times New Roman" w:hAnsi="Times New Roman" w:eastAsia="Times New Roman" w:cs="Times New Roman"/>
                <w:b/>
                <w:bCs/>
                <w:color w:val="000000"/>
                <w:sz w:val="24"/>
                <w:highlight w:val="white"/>
              </w:rPr>
              <w:t xml:space="preserve">ền với đất số: AA 08168280, số vào sổ cấp GCN: 8777 do Chi nh</w:t>
            </w:r>
            <w:r>
              <w:rPr>
                <w:rFonts w:ascii="Times New Roman" w:hAnsi="Times New Roman" w:eastAsia="Times New Roman" w:cs="Times New Roman"/>
                <w:b/>
                <w:bCs/>
                <w:color w:val="000000"/>
                <w:sz w:val="24"/>
                <w:highlight w:val="white"/>
              </w:rPr>
              <w:t xml:space="preserve">ánh Văn phòng Đăng ký đất đai Sơn Tây cấp ngày 07/7/2026; Chủ tài sản là ông: Phùng Văn Mạnh</w:t>
            </w:r>
            <w:r>
              <w:rPr>
                <w:rFonts w:ascii="Times New Roman" w:hAnsi="Times New Roman" w:eastAsia="Times New Roman" w:cs="Times New Roman"/>
                <w:b/>
                <w:bCs/>
                <w:color w:val="000000"/>
                <w:sz w:val="24"/>
                <w:highlight w:val="white"/>
              </w:rPr>
              <w:t xml:space="preserve"> và vợ: </w:t>
            </w:r>
            <w:r>
              <w:rPr>
                <w:rFonts w:ascii="Times New Roman" w:hAnsi="Times New Roman" w:eastAsia="Times New Roman" w:cs="Times New Roman"/>
                <w:b/>
                <w:bCs/>
                <w:color w:val="000000"/>
                <w:sz w:val="24"/>
                <w:highlight w:val="white"/>
              </w:rPr>
              <w:t xml:space="preserve">Kiều Thị Trang</w:t>
            </w:r>
            <w:r>
              <w:rPr>
                <w:rFonts w:ascii="Times New Roman" w:hAnsi="Times New Roman" w:eastAsia="Times New Roman" w:cs="Times New Roman"/>
                <w:b/>
                <w:bCs/>
                <w:color w:val="000000"/>
                <w:sz w:val="24"/>
              </w:rPr>
              <w:t xml:space="preserve">.</w:t>
            </w:r>
            <w:r>
              <w:rPr>
                <w:b/>
                <w:bCs/>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98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right"/>
              <w:rPr/>
            </w:pPr>
            <w:r>
              <w:rPr>
                <w:rFonts w:ascii="Times New Roman" w:hAnsi="Times New Roman" w:eastAsia="Times New Roman" w:cs="Times New Roman"/>
                <w:b/>
                <w:color w:val="000000"/>
                <w:sz w:val="24"/>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b w:val="0"/>
                <w:bCs w:val="0"/>
              </w:rPr>
            </w:pPr>
            <w:r>
              <w:rPr>
                <w:rFonts w:ascii="Times New Roman" w:hAnsi="Times New Roman" w:eastAsia="Times New Roman" w:cs="Times New Roman"/>
                <w:b w:val="0"/>
                <w:bCs w:val="0"/>
                <w:color w:val="000000"/>
                <w:sz w:val="24"/>
              </w:rPr>
              <w:t xml:space="preserve">-</w:t>
            </w:r>
            <w:r>
              <w:rPr>
                <w:b w:val="0"/>
                <w:bCs w:val="0"/>
              </w:rPr>
            </w:r>
            <w:r>
              <w:rPr>
                <w:b w:val="0"/>
                <w:bCs w:val="0"/>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314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rPr>
                <w:b w:val="0"/>
                <w:bCs w:val="0"/>
              </w:rPr>
            </w:pPr>
            <w:r>
              <w:rPr>
                <w:rFonts w:ascii="Times New Roman" w:hAnsi="Times New Roman" w:eastAsia="Times New Roman" w:cs="Times New Roman"/>
                <w:b w:val="0"/>
                <w:bCs w:val="0"/>
                <w:color w:val="000000"/>
                <w:sz w:val="24"/>
              </w:rPr>
              <w:t xml:space="preserve">Đất ở tại đô thị nằm ngoài quy hoạch HLGT</w:t>
            </w:r>
            <w:r>
              <w:rPr>
                <w:b w:val="0"/>
                <w:bCs w:val="0"/>
              </w:rPr>
            </w:r>
            <w:r>
              <w:rPr>
                <w:b w:val="0"/>
                <w:bCs w:val="0"/>
              </w:rP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276,2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color w:val="000000"/>
                <w:sz w:val="24"/>
              </w:rPr>
              <w:t xml:space="preserve">43.000.000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8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right"/>
              <w:rPr/>
            </w:pPr>
            <w:r>
              <w:rPr>
                <w:rFonts w:ascii="Times New Roman" w:hAnsi="Times New Roman" w:eastAsia="Times New Roman" w:cs="Times New Roman"/>
                <w:color w:val="000000"/>
                <w:sz w:val="24"/>
              </w:rPr>
              <w:t xml:space="preserve">11.876.600.000</w:t>
            </w:r>
            <w:r/>
          </w:p>
        </w:tc>
      </w:tr>
      <w:tr>
        <w:trPr>
          <w:trHeight w:val="357"/>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b w:val="0"/>
                <w:bCs w:val="0"/>
              </w:rPr>
            </w:pPr>
            <w:r>
              <w:rPr>
                <w:rFonts w:ascii="Times New Roman" w:hAnsi="Times New Roman" w:eastAsia="Times New Roman" w:cs="Times New Roman"/>
                <w:b w:val="0"/>
                <w:bCs w:val="0"/>
                <w:color w:val="000000"/>
                <w:sz w:val="24"/>
              </w:rPr>
              <w:t xml:space="preserve">-</w:t>
            </w:r>
            <w:r>
              <w:rPr>
                <w:b w:val="0"/>
                <w:bCs w:val="0"/>
              </w:rPr>
            </w:r>
            <w:r>
              <w:rPr>
                <w:b w:val="0"/>
                <w:bCs w:val="0"/>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314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rPr>
                <w:b w:val="0"/>
                <w:bCs w:val="0"/>
              </w:rPr>
            </w:pPr>
            <w:r>
              <w:rPr>
                <w:rFonts w:ascii="Times New Roman" w:hAnsi="Times New Roman" w:eastAsia="Times New Roman" w:cs="Times New Roman"/>
                <w:b w:val="0"/>
                <w:bCs w:val="0"/>
                <w:color w:val="000000"/>
                <w:sz w:val="24"/>
              </w:rPr>
              <w:t xml:space="preserve">Đất ở tại đô thị nằm trong quy hoạch HLGT</w:t>
            </w:r>
            <w:r>
              <w:rPr>
                <w:b w:val="0"/>
                <w:bCs w:val="0"/>
              </w:rPr>
            </w:r>
            <w:r>
              <w:rPr>
                <w:b w:val="0"/>
                <w:bCs w:val="0"/>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color w:val="000000"/>
                <w:sz w:val="24"/>
              </w:rPr>
              <w:t xml:space="preserve">55,8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color w:val="000000"/>
                <w:sz w:val="24"/>
              </w:rPr>
              <w:t xml:space="preserve">20.987.000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8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right"/>
              <w:rPr/>
            </w:pPr>
            <w:r>
              <w:rPr>
                <w:rFonts w:ascii="Times New Roman" w:hAnsi="Times New Roman" w:eastAsia="Times New Roman" w:cs="Times New Roman"/>
                <w:color w:val="000000"/>
                <w:sz w:val="24"/>
              </w:rPr>
              <w:t xml:space="preserve">1.171.074.600</w:t>
            </w:r>
            <w:r/>
          </w:p>
        </w:tc>
      </w:tr>
      <w:tr>
        <w:trPr>
          <w:trHeight w:val="357"/>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b w:val="0"/>
                <w:bCs w:val="0"/>
              </w:rPr>
            </w:pPr>
            <w:r>
              <w:rPr>
                <w:rFonts w:ascii="Times New Roman" w:hAnsi="Times New Roman" w:eastAsia="Times New Roman" w:cs="Times New Roman"/>
                <w:b w:val="0"/>
                <w:bCs w:val="0"/>
                <w:color w:val="000000"/>
                <w:sz w:val="24"/>
              </w:rPr>
              <w:t xml:space="preserve">-</w:t>
            </w:r>
            <w:r>
              <w:rPr>
                <w:b w:val="0"/>
                <w:bCs w:val="0"/>
              </w:rPr>
            </w:r>
            <w:r>
              <w:rPr>
                <w:b w:val="0"/>
                <w:bCs w:val="0"/>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314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rPr>
                <w:b w:val="0"/>
                <w:bCs w:val="0"/>
              </w:rPr>
            </w:pPr>
            <w:r>
              <w:rPr>
                <w:rFonts w:ascii="Times New Roman" w:hAnsi="Times New Roman" w:eastAsia="Times New Roman" w:cs="Times New Roman"/>
                <w:b w:val="0"/>
                <w:bCs w:val="0"/>
                <w:color w:val="000000"/>
                <w:sz w:val="24"/>
              </w:rPr>
              <w:t xml:space="preserve">Đất ở trồng cây lâu năm trong quy hoạch HLGT</w:t>
            </w:r>
            <w:r>
              <w:rPr>
                <w:b w:val="0"/>
                <w:bCs w:val="0"/>
              </w:rPr>
            </w:r>
            <w:r>
              <w:rPr>
                <w:b w:val="0"/>
                <w:bCs w:val="0"/>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color w:val="000000"/>
                <w:sz w:val="24"/>
              </w:rPr>
              <w:t xml:space="preserve">182,7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color w:val="000000"/>
                <w:sz w:val="24"/>
              </w:rPr>
              <w:t xml:space="preserve">182.000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8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right"/>
              <w:rPr/>
            </w:pPr>
            <w:r>
              <w:rPr>
                <w:rFonts w:ascii="Times New Roman" w:hAnsi="Times New Roman" w:eastAsia="Times New Roman" w:cs="Times New Roman"/>
                <w:color w:val="000000"/>
                <w:sz w:val="24"/>
              </w:rPr>
              <w:t xml:space="preserve">33.251.400</w:t>
            </w:r>
            <w:r/>
          </w:p>
        </w:tc>
      </w:tr>
      <w:tr>
        <w:trPr>
          <w:trHeight w:val="20"/>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7395"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b/>
                <w:color w:val="000000"/>
                <w:sz w:val="24"/>
              </w:rPr>
              <w:t xml:space="preserve">TỔNG CỘNG</w:t>
            </w:r>
            <w:r/>
          </w:p>
        </w:tc>
        <w:tc>
          <w:tcPr>
            <w:tcBorders>
              <w:bottom w:val="single" w:color="000000" w:sz="8" w:space="0"/>
              <w:right w:val="single" w:color="000000" w:sz="8" w:space="0"/>
            </w:tcBorders>
            <w:tcMar>
              <w:left w:w="108" w:type="dxa"/>
              <w:top w:w="0" w:type="dxa"/>
              <w:right w:w="108" w:type="dxa"/>
              <w:bottom w:w="0" w:type="dxa"/>
            </w:tcMar>
            <w:tcW w:w="1985"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right"/>
              <w:rPr/>
            </w:pPr>
            <w:r>
              <w:rPr>
                <w:rFonts w:ascii="Times New Roman" w:hAnsi="Times New Roman" w:eastAsia="Times New Roman" w:cs="Times New Roman"/>
                <w:b/>
                <w:color w:val="000000"/>
                <w:sz w:val="24"/>
              </w:rPr>
              <w:t xml:space="preserve">13.080.926.000</w:t>
            </w:r>
            <w:r/>
          </w:p>
        </w:tc>
      </w:tr>
      <w:tr>
        <w:trPr>
          <w:trHeight w:val="20"/>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7395"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b/>
                <w:color w:val="000000"/>
                <w:sz w:val="24"/>
              </w:rPr>
              <w:t xml:space="preserve">LÀM TRÒN</w:t>
            </w:r>
            <w:r/>
          </w:p>
        </w:tc>
        <w:tc>
          <w:tcPr>
            <w:tcBorders>
              <w:bottom w:val="single" w:color="000000" w:sz="8" w:space="0"/>
              <w:right w:val="single" w:color="000000" w:sz="8" w:space="0"/>
            </w:tcBorders>
            <w:tcMar>
              <w:left w:w="108" w:type="dxa"/>
              <w:top w:w="0" w:type="dxa"/>
              <w:right w:w="108" w:type="dxa"/>
              <w:bottom w:w="0" w:type="dxa"/>
            </w:tcMar>
            <w:tcW w:w="1985"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right"/>
              <w:rPr/>
            </w:pPr>
            <w:r>
              <w:rPr>
                <w:rFonts w:ascii="Times New Roman" w:hAnsi="Times New Roman" w:eastAsia="Times New Roman" w:cs="Times New Roman"/>
                <w:b/>
                <w:color w:val="000000"/>
                <w:sz w:val="24"/>
              </w:rPr>
              <w:t xml:space="preserve">13.081.000.000</w:t>
            </w:r>
            <w:r/>
          </w:p>
        </w:tc>
      </w:tr>
      <w:tr>
        <w:trPr>
          <w:trHeight w:val="20"/>
        </w:trPr>
        <w:tc>
          <w:tcPr>
            <w:gridSpan w:val="5"/>
            <w:tcBorders>
              <w:left w:val="single" w:color="000000" w:sz="8" w:space="0"/>
              <w:bottom w:val="single" w:color="000000" w:sz="8" w:space="0"/>
              <w:right w:val="single" w:color="000000" w:sz="8" w:space="0"/>
            </w:tcBorders>
            <w:tcMar>
              <w:left w:w="108" w:type="dxa"/>
              <w:top w:w="0" w:type="dxa"/>
              <w:right w:w="108" w:type="dxa"/>
              <w:bottom w:w="0" w:type="dxa"/>
            </w:tcMar>
            <w:tcW w:w="938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b/>
                <w:i/>
                <w:color w:val="000000"/>
                <w:sz w:val="24"/>
              </w:rPr>
              <w:t xml:space="preserve">(Bằng chữ:</w:t>
            </w:r>
            <w:r>
              <w:rPr>
                <w:rFonts w:ascii="Times New Roman" w:hAnsi="Times New Roman" w:eastAsia="Times New Roman" w:cs="Times New Roman"/>
                <w:b/>
                <w:color w:val="000000"/>
                <w:sz w:val="24"/>
              </w:rPr>
              <w:t xml:space="preserve"> </w:t>
            </w:r>
            <w:r>
              <w:rPr>
                <w:rFonts w:ascii="Times New Roman" w:hAnsi="Times New Roman" w:eastAsia="Times New Roman" w:cs="Times New Roman"/>
                <w:b/>
                <w:i/>
                <w:color w:val="000000"/>
                <w:sz w:val="24"/>
              </w:rPr>
              <w:t xml:space="preserve">Mười ba tỷ tám mươi mốt triệu đồng./.)</w:t>
            </w: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bCs/>
          <w:spacing w:val="-4"/>
          <w:lang w:val="pt-BR"/>
        </w:rPr>
      </w:pPr>
      <w:r>
        <w:rPr>
          <w:lang w:val="pt-BR"/>
        </w:rPr>
        <w:t xml:space="preserve">- </w:t>
      </w:r>
      <w:r>
        <w:rPr>
          <w:lang w:val="pt-BR"/>
        </w:rPr>
        <w:t xml:space="preserve">Chi tiết như Báo cáo kèm theo.</w:t>
      </w:r>
      <w:r>
        <w:rPr>
          <w:rFonts w:eastAsia="Calibri"/>
          <w:b/>
          <w:bCs/>
          <w:spacing w:val="-4"/>
          <w:lang w:val="pt-BR"/>
        </w:rPr>
      </w:r>
      <w:r>
        <w:rPr>
          <w:rFonts w:eastAsia="Calibri"/>
          <w:b/>
          <w:bCs/>
          <w:spacing w:val="-4"/>
          <w:lang w:val="pt-BR"/>
        </w:rPr>
      </w:r>
    </w:p>
    <w:p>
      <w:pPr>
        <w:pBdr/>
        <w:spacing w:after="120" w:before="120" w:line="312" w:lineRule="auto"/>
        <w:ind w:firstLine="360"/>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0039" w:type="dxa"/>
        <w:tblBorders/>
        <w:tblLayout w:type="fixed"/>
        <w:tblLook w:val="04A0" w:firstRow="1" w:lastRow="0" w:firstColumn="1" w:lastColumn="0" w:noHBand="0" w:noVBand="1"/>
      </w:tblPr>
      <w:tblGrid>
        <w:gridCol w:w="29"/>
        <w:gridCol w:w="1701"/>
        <w:gridCol w:w="3118"/>
        <w:gridCol w:w="5191"/>
      </w:tblGrid>
      <w:tr>
        <w:trPr>
          <w:trHeight w:val="1701"/>
        </w:trPr>
        <w:tc>
          <w:tcPr>
            <w:gridSpan w:val="2"/>
            <w:tcBorders/>
            <w:tcW w:w="1729"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8309"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1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324"/>
        </w:trPr>
        <w:tc>
          <w:tcPr>
            <w:gridSpan w:val="2"/>
            <w:shd w:val="clear" w:color="auto" w:fill="auto"/>
            <w:tcBorders/>
            <w:tcMar>
              <w:left w:w="108" w:type="dxa"/>
              <w:top w:w="0" w:type="dxa"/>
              <w:right w:w="108" w:type="dxa"/>
              <w:bottom w:w="0" w:type="dxa"/>
            </w:tcMar>
            <w:tcW w:w="4819" w:type="dxa"/>
            <w:textDirection w:val="lrTb"/>
            <w:noWrap w:val="false"/>
          </w:tcPr>
          <w:p>
            <w:pPr>
              <w:pStyle w:val="1024"/>
              <w:pBdr/>
              <w:spacing w:after="60"/>
              <w:ind/>
              <w:rPr>
                <w:color w:val="000000" w:themeColor="text1"/>
                <w:sz w:val="24"/>
                <w:szCs w:val="24"/>
                <w:highlight w:val="white"/>
              </w:rPr>
            </w:pPr>
            <w:r>
              <w:rPr>
                <w:rStyle w:val="1023"/>
                <w:rFonts w:ascii="Times New Roman" w:hAnsi="Times New Roman"/>
                <w:color w:val="000000" w:themeColor="text1"/>
                <w:lang w:val="pt-BR"/>
              </w:rPr>
              <w:t xml:space="preserve">Số: </w:t>
            </w:r>
            <w:r>
              <w:rPr>
                <w:rStyle w:val="1023"/>
                <w:rFonts w:ascii="Times New Roman" w:hAnsi="Times New Roman"/>
                <w:color w:val="000000" w:themeColor="text1"/>
                <w:lang w:val="pt-BR"/>
              </w:rPr>
              <w:t xml:space="preserve">275/2026/1</w:t>
            </w:r>
            <w:r>
              <w:rPr>
                <w:rStyle w:val="1023"/>
                <w:rFonts w:ascii="Times New Roman" w:hAnsi="Times New Roman"/>
                <w:color w:val="000000" w:themeColor="text1"/>
                <w:highlight w:val="white"/>
                <w:lang w:val="pt-BR"/>
              </w:rPr>
              <w:t xml:space="preserve">1</w:t>
            </w:r>
            <w:r>
              <w:rPr>
                <w:rStyle w:val="1023"/>
                <w:rFonts w:ascii="Times New Roman" w:hAnsi="Times New Roman"/>
                <w:color w:val="000000" w:themeColor="text1"/>
                <w:highlight w:val="white"/>
                <w:lang w:val="pt-BR"/>
              </w:rPr>
              <w:t xml:space="preserve">42/VFI-CT.65.A</w:t>
            </w:r>
            <w:r>
              <w:rPr>
                <w:color w:val="000000" w:themeColor="text1"/>
                <w:sz w:val="24"/>
                <w:szCs w:val="24"/>
                <w:highlight w:val="white"/>
              </w:rPr>
            </w:r>
            <w:r>
              <w:rPr>
                <w:color w:val="000000" w:themeColor="text1"/>
                <w:sz w:val="24"/>
                <w:szCs w:val="24"/>
                <w:highlight w:val="white"/>
              </w:rPr>
            </w:r>
          </w:p>
        </w:tc>
        <w:tc>
          <w:tcPr>
            <w:shd w:val="clear" w:color="auto" w:fill="auto"/>
            <w:tcBorders/>
            <w:tcMar>
              <w:left w:w="108" w:type="dxa"/>
              <w:top w:w="0" w:type="dxa"/>
              <w:right w:w="108" w:type="dxa"/>
              <w:bottom w:w="0" w:type="dxa"/>
            </w:tcMar>
            <w:tcW w:w="5191" w:type="dxa"/>
            <w:textDirection w:val="lrTb"/>
            <w:noWrap w:val="false"/>
          </w:tcPr>
          <w:p>
            <w:pPr>
              <w:pStyle w:val="1024"/>
              <w:pBdr/>
              <w:spacing w:after="60"/>
              <w:ind w:right="-56"/>
              <w:jc w:val="right"/>
              <w:rPr>
                <w:color w:val="000000" w:themeColor="text1"/>
                <w:sz w:val="24"/>
                <w:szCs w:val="24"/>
                <w:lang w:val="vi-VN"/>
              </w:rPr>
            </w:pPr>
            <w:r>
              <w:rPr>
                <w:rStyle w:val="1023"/>
                <w:rFonts w:ascii="Times New Roman" w:hAnsi="Times New Roman"/>
                <w:i/>
                <w:color w:val="auto"/>
              </w:rPr>
              <w:t xml:space="preserve">TP. Hà Nội</w:t>
            </w:r>
            <w:r>
              <w:rPr>
                <w:rStyle w:val="1023"/>
                <w:rFonts w:ascii="Times New Roman" w:hAnsi="Times New Roman"/>
                <w:i/>
                <w:color w:val="auto"/>
                <w:lang w:val="vi-VN"/>
              </w:rPr>
              <w:t xml:space="preserve">, </w:t>
            </w:r>
            <w:r>
              <w:rPr>
                <w:rStyle w:val="1023"/>
                <w:rFonts w:ascii="Times New Roman" w:hAnsi="Times New Roman"/>
                <w:i/>
                <w:color w:val="000000" w:themeColor="text1"/>
                <w:lang w:val="vi-VN"/>
              </w:rPr>
              <w:t xml:space="preserve">ngày 27 tháng 7 năm 2026</w:t>
            </w:r>
            <w:r>
              <w:rPr>
                <w:color w:val="000000" w:themeColor="text1"/>
                <w:sz w:val="24"/>
                <w:szCs w:val="24"/>
                <w:lang w:val="vi-VN"/>
              </w:rPr>
            </w:r>
            <w:r>
              <w:rPr>
                <w:color w:val="000000" w:themeColor="text1"/>
                <w:sz w:val="24"/>
                <w:szCs w:val="24"/>
                <w:lang w:val="vi-VN"/>
              </w:rPr>
            </w:r>
          </w:p>
        </w:tc>
      </w:tr>
    </w:tbl>
    <w:p>
      <w:pPr>
        <w:pStyle w:val="1024"/>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4"/>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275/2026/1142/VFI-CT.65.A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27 tháng 7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4"/>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r>
            <w:r>
              <w:rPr>
                <w:b/>
                <w:bCs/>
                <w:lang w:val="vi-VN"/>
              </w:rPr>
            </w:r>
            <w:r>
              <w:rPr>
                <w:b/>
                <w:bCs/>
                <w:lang w:val="vi-VN"/>
              </w:rPr>
            </w:r>
          </w:p>
          <w:p>
            <w:pPr>
              <w:pBdr/>
              <w:spacing w:after="60" w:before="60" w:line="276" w:lineRule="auto"/>
              <w:ind/>
              <w:rPr>
                <w:b/>
                <w:bCs/>
                <w:lang w:val="vi-VN"/>
              </w:rPr>
            </w:pPr>
            <w:r>
              <w:rPr>
                <w:b/>
                <w:bCs/>
                <w:lang w:val="vi-VN"/>
              </w:rPr>
              <w:t xml:space="preserve">Chức vụ: </w:t>
            </w:r>
            <w:r>
              <w:rPr>
                <w:b/>
                <w:bCs/>
              </w:rPr>
              <w:t xml:space="preserve">Chủ tịch HĐQT kiêm Tổng Giám Đốc</w:t>
            </w:r>
            <w:r>
              <w:rPr>
                <w:b/>
                <w:bCs/>
                <w:lang w:val="vi-VN"/>
              </w:rPr>
            </w:r>
            <w:r>
              <w:rPr>
                <w:b/>
                <w:bCs/>
                <w:lang w:val="vi-VN"/>
              </w:rPr>
            </w:r>
          </w:p>
        </w:tc>
      </w:tr>
    </w:tbl>
    <w:p>
      <w:pPr>
        <w:pStyle w:val="1025"/>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gridCol w:w="4"/>
      </w:tblGrid>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rPr/>
            </w:pPr>
            <w:r>
              <w:rPr>
                <w:rFonts w:ascii="Times New Roman" w:hAnsi="Times New Roman" w:eastAsia="Times New Roman" w:cs="Times New Roman"/>
                <w:color w:val="000000"/>
                <w:sz w:val="24"/>
              </w:rPr>
              <w:t xml:space="preserve">Tên khách hàng</w:t>
            </w: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rPr/>
            </w:pPr>
            <w:r>
              <w:rPr>
                <w:rFonts w:ascii="Times New Roman" w:hAnsi="Times New Roman" w:eastAsia="Times New Roman" w:cs="Times New Roman"/>
                <w:color w:val="000000"/>
                <w:sz w:val="24"/>
              </w:rPr>
              <w:t xml:space="preserve">:</w:t>
            </w: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pacing w:val="3"/>
                <w:sz w:val="24"/>
                <w:highlight w:val="white"/>
              </w:rPr>
              <w:t xml:space="preserve">ÔNG PHÙNG VĂN MẠNH</w:t>
            </w:r>
            <w:r/>
          </w:p>
        </w:tc>
        <w:tc>
          <w:tcPr>
            <w:tcBorders/>
            <w:tcMar>
              <w:left w:w="0" w:type="dxa"/>
              <w:top w:w="0" w:type="dxa"/>
              <w:right w:w="0" w:type="dxa"/>
              <w:bottom w:w="0" w:type="dxa"/>
            </w:tcMar>
            <w:tcW w:w="4" w:type="dxa"/>
            <w:vAlign w:val="center"/>
            <w:textDirection w:val="lrTb"/>
            <w:noWrap w:val="false"/>
          </w:tcPr>
          <w:p>
            <w:pPr>
              <w:pBdr/>
              <w:spacing w:after="0" w:before="0" w:line="240" w:lineRule="auto"/>
              <w:ind/>
              <w:rPr/>
            </w:pPr>
            <w: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rPr/>
            </w:pPr>
            <w:r>
              <w:rPr>
                <w:rFonts w:ascii="Times New Roman" w:hAnsi="Times New Roman" w:eastAsia="Times New Roman" w:cs="Times New Roman"/>
                <w:color w:val="000000"/>
                <w:sz w:val="24"/>
              </w:rPr>
              <w:t xml:space="preserve">CCCD</w:t>
            </w: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rPr/>
            </w:pPr>
            <w:r>
              <w:rPr>
                <w:rFonts w:ascii="Times New Roman" w:hAnsi="Times New Roman" w:eastAsia="Times New Roman" w:cs="Times New Roman"/>
                <w:color w:val="000000"/>
                <w:sz w:val="24"/>
              </w:rPr>
              <w:t xml:space="preserve">:</w:t>
            </w: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line="288" w:lineRule="auto"/>
              <w:ind w:right="0" w:firstLine="0" w:left="0"/>
              <w:rPr/>
            </w:pPr>
            <w:r>
              <w:rPr>
                <w:rFonts w:ascii="Times New Roman" w:hAnsi="Times New Roman" w:eastAsia="Times New Roman" w:cs="Times New Roman"/>
                <w:color w:val="000000"/>
                <w:spacing w:val="3"/>
                <w:sz w:val="24"/>
                <w:highlight w:val="white"/>
              </w:rPr>
              <w:t xml:space="preserve">001083032977</w:t>
            </w:r>
            <w:r/>
          </w:p>
        </w:tc>
        <w:tc>
          <w:tcPr>
            <w:tcBorders/>
            <w:tcMar>
              <w:left w:w="0" w:type="dxa"/>
              <w:top w:w="0" w:type="dxa"/>
              <w:right w:w="0" w:type="dxa"/>
              <w:bottom w:w="0" w:type="dxa"/>
            </w:tcMar>
            <w:tcW w:w="4" w:type="dxa"/>
            <w:vAlign w:val="center"/>
            <w:textDirection w:val="lrTb"/>
            <w:noWrap w:val="false"/>
          </w:tcPr>
          <w:p>
            <w:pPr>
              <w:pBdr/>
              <w:spacing w:after="0" w:before="0" w:line="240" w:lineRule="auto"/>
              <w:ind/>
              <w:rPr/>
            </w:pPr>
            <w: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rPr/>
            </w:pPr>
            <w:r>
              <w:rPr>
                <w:rFonts w:ascii="Times New Roman" w:hAnsi="Times New Roman" w:eastAsia="Times New Roman" w:cs="Times New Roman"/>
                <w:color w:val="000000"/>
                <w:sz w:val="24"/>
              </w:rPr>
              <w:t xml:space="preserve">Năm sinh</w:t>
            </w: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rPr/>
            </w:pPr>
            <w:r>
              <w:rPr>
                <w:rFonts w:ascii="Times New Roman" w:hAnsi="Times New Roman" w:eastAsia="Times New Roman" w:cs="Times New Roman"/>
                <w:color w:val="000000"/>
                <w:sz w:val="24"/>
              </w:rPr>
              <w:t xml:space="preserve">:</w:t>
            </w: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line="288" w:lineRule="auto"/>
              <w:ind w:right="0" w:firstLine="0" w:left="0"/>
              <w:rPr/>
            </w:pPr>
            <w:r>
              <w:rPr>
                <w:rFonts w:ascii="Times New Roman" w:hAnsi="Times New Roman" w:eastAsia="Times New Roman" w:cs="Times New Roman"/>
                <w:color w:val="000000"/>
                <w:spacing w:val="3"/>
                <w:sz w:val="24"/>
                <w:highlight w:val="white"/>
              </w:rPr>
              <w:t xml:space="preserve">1983</w:t>
            </w:r>
            <w:r/>
          </w:p>
        </w:tc>
        <w:tc>
          <w:tcPr>
            <w:tcBorders/>
            <w:tcMar>
              <w:left w:w="0" w:type="dxa"/>
              <w:top w:w="0" w:type="dxa"/>
              <w:right w:w="0" w:type="dxa"/>
              <w:bottom w:w="0" w:type="dxa"/>
            </w:tcMar>
            <w:tcW w:w="4" w:type="dxa"/>
            <w:vAlign w:val="center"/>
            <w:textDirection w:val="lrTb"/>
            <w:noWrap w:val="false"/>
          </w:tcPr>
          <w:p>
            <w:pPr>
              <w:pBdr/>
              <w:spacing w:after="0" w:before="0" w:line="240" w:lineRule="auto"/>
              <w:ind/>
              <w:rPr/>
            </w:pPr>
            <w: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Địa chỉ</w:t>
            </w: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pacing w:val="3"/>
                <w:sz w:val="24"/>
                <w:highlight w:val="white"/>
              </w:rPr>
            </w:r>
            <w:r>
              <w:rPr>
                <w:rFonts w:ascii="Times New Roman" w:hAnsi="Times New Roman" w:eastAsia="Times New Roman" w:cs="Times New Roman"/>
                <w:color w:val="000000" w:themeColor="text1"/>
                <w:sz w:val="24"/>
                <w:highlight w:val="white"/>
              </w:rPr>
              <w:t xml:space="preserve">Tổ</w:t>
            </w:r>
            <w:r>
              <w:rPr>
                <w:rFonts w:ascii="Times New Roman" w:hAnsi="Times New Roman" w:eastAsia="Times New Roman" w:cs="Times New Roman"/>
                <w:color w:val="000000" w:themeColor="text1"/>
                <w:sz w:val="24"/>
                <w:highlight w:val="white"/>
              </w:rPr>
              <w:t xml:space="preserve"> d</w:t>
            </w:r>
            <w:r>
              <w:rPr>
                <w:rFonts w:ascii="Times New Roman" w:hAnsi="Times New Roman" w:eastAsia="Times New Roman" w:cs="Times New Roman"/>
                <w:color w:val="000000" w:themeColor="text1"/>
                <w:sz w:val="24"/>
                <w:highlight w:val="white"/>
              </w:rPr>
              <w:t xml:space="preserve">ân phố Thanh Vị, phường Tùng Thiện, thành phố Hà Nội</w:t>
            </w:r>
            <w:r/>
            <w:r>
              <w:rPr>
                <w:rFonts w:ascii="Times New Roman" w:hAnsi="Times New Roman" w:eastAsia="Times New Roman" w:cs="Times New Roman"/>
                <w:color w:val="000000"/>
                <w:spacing w:val="3"/>
                <w:sz w:val="24"/>
                <w:highlight w:val="white"/>
              </w:rPr>
            </w:r>
            <w:r/>
          </w:p>
        </w:tc>
        <w:tc>
          <w:tcPr>
            <w:tcBorders/>
            <w:tcMar>
              <w:left w:w="0" w:type="dxa"/>
              <w:top w:w="0" w:type="dxa"/>
              <w:right w:w="0" w:type="dxa"/>
              <w:bottom w:w="0" w:type="dxa"/>
            </w:tcMar>
            <w:tcW w:w="4" w:type="dxa"/>
            <w:vAlign w:val="center"/>
            <w:textDirection w:val="lrTb"/>
            <w:noWrap w:val="false"/>
          </w:tcPr>
          <w:p>
            <w:pPr>
              <w:pBdr/>
              <w:spacing w:after="0" w:before="0" w:line="240" w:lineRule="auto"/>
              <w:ind/>
              <w:rPr/>
            </w:pPr>
            <w:r/>
            <w:r/>
          </w:p>
        </w:tc>
      </w:tr>
      <w:tr>
        <w:trPr>
          <w:gridAfter w:val="1"/>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r>
            <w:r>
              <w:rPr>
                <w:rFonts w:ascii="Times New Roman" w:hAnsi="Times New Roman" w:eastAsia="Times New Roman" w:cs="Times New Roman"/>
                <w:color w:val="000000"/>
                <w:sz w:val="24"/>
              </w:rPr>
            </w:r>
            <w:r>
              <w:rPr>
                <w:rFonts w:ascii="Times New Roman" w:hAnsi="Times New Roman" w:eastAsia="Times New Roman" w:cs="Times New Roman"/>
                <w:color w:val="000000" w:themeColor="text1"/>
                <w:sz w:val="24"/>
                <w:highlight w:val="white"/>
              </w:rPr>
              <w:t xml:space="preserve">Q</w:t>
            </w:r>
            <w:r>
              <w:rPr>
                <w:rFonts w:ascii="Times New Roman" w:hAnsi="Times New Roman" w:eastAsia="Times New Roman" w:cs="Times New Roman"/>
                <w:color w:val="000000" w:themeColor="text1"/>
                <w:sz w:val="24"/>
                <w:highlight w:val="white"/>
              </w:rPr>
              <w:t xml:space="preserve">uyền sử dụng đất tại </w:t>
            </w:r>
            <w:r>
              <w:rPr>
                <w:rFonts w:ascii="Times New Roman" w:hAnsi="Times New Roman" w:eastAsia="Times New Roman" w:cs="Times New Roman"/>
                <w:color w:val="000000" w:themeColor="text1"/>
                <w:sz w:val="24"/>
                <w:highlight w:val="white"/>
              </w:rPr>
              <w:t xml:space="preserve">thửa đất số: 340, tờ bản đồ số: 133, có địa chỉ: Tổ</w:t>
            </w:r>
            <w:r>
              <w:rPr>
                <w:rFonts w:ascii="Times New Roman" w:hAnsi="Times New Roman" w:eastAsia="Times New Roman" w:cs="Times New Roman"/>
                <w:color w:val="000000" w:themeColor="text1"/>
                <w:sz w:val="24"/>
                <w:highlight w:val="white"/>
              </w:rPr>
              <w:t xml:space="preserve"> d</w:t>
            </w:r>
            <w:r>
              <w:rPr>
                <w:rFonts w:ascii="Times New Roman" w:hAnsi="Times New Roman" w:eastAsia="Times New Roman" w:cs="Times New Roman"/>
                <w:color w:val="000000" w:themeColor="text1"/>
                <w:sz w:val="24"/>
                <w:highlight w:val="white"/>
              </w:rPr>
              <w:t xml:space="preserve">ân phố Thanh Vị, phường Tùng Thiện, thành phố Hà Nội, theo Giấy chứng nhận quyền sử dụng đất, quyền sở hữu tài sản gắn li</w:t>
            </w:r>
            <w:r>
              <w:rPr>
                <w:rFonts w:ascii="Times New Roman" w:hAnsi="Times New Roman" w:eastAsia="Times New Roman" w:cs="Times New Roman"/>
                <w:color w:val="000000"/>
                <w:sz w:val="24"/>
                <w:highlight w:val="white"/>
              </w:rPr>
              <w:t xml:space="preserve">ền với đất số: AA 08168280, số vào sổ cấp GCN: 8777 do Chi nh</w:t>
            </w:r>
            <w:r>
              <w:rPr>
                <w:rFonts w:ascii="Times New Roman" w:hAnsi="Times New Roman" w:eastAsia="Times New Roman" w:cs="Times New Roman"/>
                <w:color w:val="000000"/>
                <w:sz w:val="24"/>
                <w:highlight w:val="white"/>
              </w:rPr>
              <w:t xml:space="preserve">ánh Văn phòng Đăng ký đất đai Sơn Tây cấp ngày 07/7/2026; Chủ tài sản là ông: Phùng Văn Mạnh</w:t>
            </w:r>
            <w:r>
              <w:rPr>
                <w:rFonts w:ascii="Times New Roman" w:hAnsi="Times New Roman" w:eastAsia="Times New Roman" w:cs="Times New Roman"/>
                <w:color w:val="000000"/>
                <w:sz w:val="24"/>
                <w:highlight w:val="white"/>
              </w:rPr>
              <w:t xml:space="preserve"> và vợ: </w:t>
            </w:r>
            <w:r>
              <w:rPr>
                <w:rFonts w:ascii="Times New Roman" w:hAnsi="Times New Roman" w:eastAsia="Times New Roman" w:cs="Times New Roman"/>
                <w:color w:val="000000"/>
                <w:sz w:val="24"/>
                <w:highlight w:val="white"/>
              </w:rPr>
              <w:t xml:space="preserve">Kiều Thị Trang</w:t>
            </w:r>
            <w:r/>
            <w:r>
              <w:rPr>
                <w:rFonts w:ascii="Times New Roman" w:hAnsi="Times New Roman" w:eastAsia="Times New Roman" w:cs="Times New Roman"/>
                <w:color w:val="000000"/>
                <w:sz w:val="24"/>
              </w:rPr>
            </w:r>
            <w:r>
              <w:rPr>
                <w:bCs/>
                <w:spacing w:val="2"/>
              </w:rPr>
              <w:t xml:space="preserve">.</w:t>
            </w:r>
            <w:r>
              <w:rPr>
                <w:b/>
                <w:bCs/>
                <w:spacing w:val="2"/>
                <w:lang w:val="vi-VN"/>
              </w:rPr>
            </w:r>
            <w:r>
              <w:rPr>
                <w:b/>
                <w:bCs/>
                <w:spacing w:val="2"/>
                <w:lang w:val="vi-VN"/>
              </w:rPr>
            </w:r>
          </w:p>
        </w:tc>
      </w:tr>
      <w:tr>
        <w:trPr>
          <w:gridAfter w:val="1"/>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gridAfter w:val="1"/>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gridAfter w:val="1"/>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07/2026</w:t>
            </w:r>
            <w:r>
              <w:rPr>
                <w:lang w:val="pt-BR"/>
              </w:rPr>
              <w:t xml:space="preserve">.</w:t>
            </w:r>
            <w:r>
              <w:rPr>
                <w:bCs/>
                <w:spacing w:val="-4"/>
                <w:lang w:val="pt-BR"/>
              </w:rPr>
            </w:r>
            <w:r>
              <w:rPr>
                <w:bCs/>
                <w:spacing w:val="-4"/>
                <w:lang w:val="pt-BR"/>
              </w:rPr>
            </w:r>
          </w:p>
        </w:tc>
      </w:tr>
      <w:tr>
        <w:trPr>
          <w:gridAfter w:val="1"/>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pacing w:val="3"/>
                <w:sz w:val="24"/>
                <w:highlight w:val="white"/>
              </w:rPr>
            </w:r>
            <w:r>
              <w:rPr>
                <w:rFonts w:ascii="Times New Roman" w:hAnsi="Times New Roman" w:eastAsia="Times New Roman" w:cs="Times New Roman"/>
                <w:color w:val="000000" w:themeColor="text1"/>
                <w:sz w:val="24"/>
                <w:highlight w:val="white"/>
              </w:rPr>
              <w:t xml:space="preserve">Tổ</w:t>
            </w:r>
            <w:r>
              <w:rPr>
                <w:rFonts w:ascii="Times New Roman" w:hAnsi="Times New Roman" w:eastAsia="Times New Roman" w:cs="Times New Roman"/>
                <w:color w:val="000000" w:themeColor="text1"/>
                <w:sz w:val="24"/>
                <w:highlight w:val="white"/>
              </w:rPr>
              <w:t xml:space="preserve"> d</w:t>
            </w:r>
            <w:r>
              <w:rPr>
                <w:rFonts w:ascii="Times New Roman" w:hAnsi="Times New Roman" w:eastAsia="Times New Roman" w:cs="Times New Roman"/>
                <w:color w:val="000000" w:themeColor="text1"/>
                <w:sz w:val="24"/>
                <w:highlight w:val="white"/>
              </w:rPr>
              <w:t xml:space="preserve">ân phố Thanh Vị, phường Tùng Thiện, thành phố Hà Nộ</w:t>
            </w:r>
            <w:r>
              <w:rPr>
                <w:rFonts w:ascii="Times New Roman" w:hAnsi="Times New Roman" w:eastAsia="Times New Roman" w:cs="Times New Roman"/>
                <w:color w:val="000000" w:themeColor="text1"/>
                <w:sz w:val="24"/>
                <w:highlight w:val="none"/>
              </w:rPr>
              <w:t xml:space="preserve">i</w:t>
            </w:r>
            <w:r/>
            <w:r>
              <w:rPr>
                <w:color w:val="000000" w:themeColor="text1"/>
                <w:lang w:val="pt-BR"/>
              </w:rPr>
            </w:r>
            <w:r>
              <w:rPr>
                <w:color w:val="ee0000"/>
                <w:lang w:val="pt-BR"/>
              </w:rPr>
            </w:r>
            <w:r/>
          </w:p>
        </w:tc>
      </w:tr>
      <w:tr>
        <w:trPr>
          <w:gridAfter w:val="1"/>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05"/>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21.113944444444, 105.47869444444</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gridAfter w:val="1"/>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27/07/2026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25"/>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25"/>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25"/>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25"/>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25"/>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25"/>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25"/>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25"/>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r>
        <w:rPr>
          <w:bCs/>
          <w:spacing w:val="-4"/>
          <w:lang w:val="pt-BR"/>
        </w:rPr>
      </w:r>
    </w:p>
    <w:p>
      <w:pPr>
        <w:pStyle w:val="1025"/>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25"/>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25"/>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25"/>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25"/>
        <w:numPr>
          <w:ilvl w:val="0"/>
          <w:numId w:val="2"/>
        </w:numPr>
        <w:pBdr/>
        <w:tabs>
          <w:tab w:val="left" w:leader="none" w:pos="993"/>
        </w:tabs>
        <w:spacing w:after="120" w:before="120" w:line="276" w:lineRule="auto"/>
        <w:ind/>
        <w:jc w:val="both"/>
        <w:rPr>
          <w:i/>
          <w:iCs/>
          <w:lang w:val="pt-BR"/>
        </w:rPr>
      </w:pPr>
      <w:r>
        <w:rPr>
          <w:bCs/>
          <w:color w:val="000000" w:themeColor="text1"/>
          <w:lang w:val="pt-BR"/>
        </w:rPr>
      </w:r>
      <w:r>
        <w:rPr>
          <w:rFonts w:ascii="Times New Roman" w:hAnsi="Times New Roman" w:eastAsia="Times New Roman" w:cs="Times New Roman"/>
          <w:color w:val="000000"/>
          <w:sz w:val="24"/>
        </w:rPr>
        <w:t xml:space="preserve">Giấy chứng nhận quyền sử dụng đất, quyền sở hữu tài sản gắn liền với đất số: AA 08168280, số vào sổ cấp GCN: 8777 do Chi nh</w:t>
      </w:r>
      <w:r>
        <w:rPr>
          <w:rFonts w:ascii="Times New Roman" w:hAnsi="Times New Roman" w:eastAsia="Times New Roman" w:cs="Times New Roman"/>
          <w:color w:val="000000"/>
          <w:sz w:val="24"/>
        </w:rPr>
        <w:t xml:space="preserve">ánh Văn phòng Đăng ký đất đai Sơn Tây cấp ngày 07/7/2026; Chủ tài sản là ông: Phùng Văn Mạnh và bà: bà Kiều Thị Trang</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25"/>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275/2026/1142/VFI-HĐTĐ.65 ngày 22/07/2026 giữa ông Phùng Văn Mạnh với Công ty Cổ phần Thẩm định và Đầu tư Tài chính Hoa Sen.</w:t>
      </w:r>
      <w:r>
        <w:rPr>
          <w:b/>
          <w:lang w:val="pt-BR"/>
        </w:rPr>
      </w:r>
      <w:r>
        <w:rPr>
          <w:b/>
          <w:lang w:val="pt-BR"/>
        </w:rPr>
      </w:r>
    </w:p>
    <w:p>
      <w:pPr>
        <w:pStyle w:val="1025"/>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highlight w:val="white"/>
        </w:rPr>
      </w:pPr>
      <w:r>
        <w:rPr>
          <w:b/>
          <w:bCs/>
          <w:highlight w:val="white"/>
          <w:lang w:val="pt-BR"/>
        </w:rPr>
      </w:r>
      <w:r>
        <w:rPr>
          <w:b/>
          <w:bCs/>
          <w:highlight w:val="white"/>
          <w:lang w:val="pt-BR"/>
        </w:rPr>
        <w:t xml:space="preserve">III</w:t>
      </w:r>
      <w:r>
        <w:rPr>
          <w:b/>
          <w:bCs/>
          <w:highlight w:val="white"/>
          <w:lang w:val="pt-BR"/>
        </w:rPr>
        <w:t xml:space="preserve">. TỔNG QUAN VỀ THỊ TRƯỜNG CỦA TÀI SẢN THẨM ĐỊNH GIÁ</w:t>
      </w:r>
      <w:r>
        <w:rPr>
          <w:b/>
          <w:bCs/>
          <w:highlight w:val="white"/>
          <w:lang w:val="pt-BR"/>
        </w:rPr>
      </w:r>
      <w:r>
        <w:rPr>
          <w:b/>
          <w:bCs/>
          <w:highlight w:val="white"/>
        </w:rPr>
      </w:r>
    </w:p>
    <w:p>
      <w:pPr>
        <w:pBdr>
          <w:top w:val="none" w:color="000000" w:sz="4" w:space="0"/>
          <w:left w:val="none" w:color="000000" w:sz="4" w:space="0"/>
          <w:bottom w:val="none" w:color="000000" w:sz="4" w:space="0"/>
          <w:right w:val="none" w:color="000000" w:sz="4" w:space="0"/>
        </w:pBdr>
        <w:shd w:val="clear" w:color="ffffff" w:fill="ffffff"/>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Thị xã Sơn Tây là trung tâm kinh tế, văn hóa, chính trị, quốc phòng, an ninh khu vực phía Tây của Thủ đô Hà Nội, là nơi có nhiều di tích lịch sử, văn hóa như thành cổ Sơn Tây, làng cổ Đường Lâm, đền Phùng Hưng, lăng Ngô Quyền, nhà thờ Giang Văn Minh, đề</w:t>
      </w:r>
      <w:r>
        <w:rPr>
          <w:rFonts w:ascii="Times New Roman" w:hAnsi="Times New Roman" w:eastAsia="Times New Roman" w:cs="Times New Roman"/>
          <w:color w:val="000000"/>
          <w:sz w:val="24"/>
          <w:highlight w:val="white"/>
        </w:rPr>
        <w:t xml:space="preserve">n Và, chùa Mía, di tích Văn Miếu…, nơi có nhiều khu du lịch nghỉ dưỡng nổi tiếng như khu du lịch hồ Đồng Mô, hồ Xuân Khanh, khu nghỉ dưỡng ASEAN, sân gôn Thung Lũng Vua, làng văn hóa du lịch các dân tộc Việt Nam…</w:t>
      </w:r>
      <w:r/>
    </w:p>
    <w:p>
      <w:pPr>
        <w:pBdr>
          <w:top w:val="none" w:color="000000" w:sz="4" w:space="0"/>
          <w:left w:val="none" w:color="000000" w:sz="4" w:space="0"/>
          <w:bottom w:val="none" w:color="000000" w:sz="4" w:space="0"/>
          <w:right w:val="none" w:color="000000" w:sz="4" w:space="0"/>
        </w:pBdr>
        <w:shd w:val="clear" w:color="ffffff" w:fill="ffffff"/>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Đây cũng là nơi có nhiều tuyến giao thông quan trọng đi qua, như các tuyến quốc lộ 32, 21A, 2C, cầu Vĩnh Thịnh, đường cao tốc Láng – Hòa Lạc; các tuyến đường tỉnh lộ như 413, 414, 414B, 416, 417, 418; có tuyến đường thủy sông Hồng; có hệ thống kết cấu hạ t</w:t>
      </w:r>
      <w:r>
        <w:rPr>
          <w:rFonts w:ascii="Times New Roman" w:hAnsi="Times New Roman" w:eastAsia="Times New Roman" w:cs="Times New Roman"/>
          <w:color w:val="000000"/>
          <w:sz w:val="24"/>
          <w:highlight w:val="white"/>
        </w:rPr>
        <w:t xml:space="preserve">ầng khá phát triển…;</w:t>
      </w:r>
      <w:r/>
    </w:p>
    <w:p>
      <w:pPr>
        <w:pBdr>
          <w:top w:val="none" w:color="000000" w:sz="4" w:space="0"/>
          <w:left w:val="none" w:color="000000" w:sz="4" w:space="0"/>
          <w:bottom w:val="none" w:color="000000" w:sz="4" w:space="0"/>
          <w:right w:val="none" w:color="000000" w:sz="4" w:space="0"/>
        </w:pBdr>
        <w:shd w:val="clear" w:color="ffffff" w:fill="ffffff"/>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Trong thời gian tới, đường trục phát triển Sơn Tây – Phúc Thọ – Đan Phượng, đường Hồ Chí Minh đoạn giáp Thị xã, các tuyến đường và nhiều công trình quan trọng trên địa bàn Thị xã sẽ được xây dựng, nâng cấp. Bên cạnh đó, theo định hướng chung xây dựng Thủ đ</w:t>
      </w:r>
      <w:r>
        <w:rPr>
          <w:rFonts w:ascii="Times New Roman" w:hAnsi="Times New Roman" w:eastAsia="Times New Roman" w:cs="Times New Roman"/>
          <w:color w:val="000000"/>
          <w:sz w:val="24"/>
          <w:highlight w:val="white"/>
        </w:rPr>
        <w:t xml:space="preserve">ô Hà Nội đến năm 2030, tầm nhìn đến năm 2050, Thị xã Sơn Tây trong tương lai là một trong chuỗi 5 đô thị vệ tinh của Thủ đô Hà Nội, với chức năng chính là đô thị văn hóa lịch sử và du lịch nghỉ dưỡng… Đây là các yếu tố quan trọng, đã, đang thúc đẩy Thị xã </w:t>
      </w:r>
      <w:r>
        <w:rPr>
          <w:rFonts w:ascii="Times New Roman" w:hAnsi="Times New Roman" w:eastAsia="Times New Roman" w:cs="Times New Roman"/>
          <w:color w:val="000000"/>
          <w:sz w:val="24"/>
          <w:highlight w:val="white"/>
        </w:rPr>
        <w:t xml:space="preserve">Sơn Tây phát triển nhanh và bền vững. Thị trường bất động sản Sơn Tây cũng vì thế mà có những dấu hiệu tăng trưởng tích cực với lượt người quan tâm tìm mua, lượng giao dịch và giá đều tăng nhẹ so với trước.</w:t>
      </w:r>
      <w:r/>
    </w:p>
    <w:p>
      <w:pPr>
        <w:pBdr>
          <w:top w:val="none" w:color="000000" w:sz="4" w:space="0"/>
          <w:left w:val="none" w:color="000000" w:sz="4" w:space="0"/>
          <w:bottom w:val="none" w:color="000000" w:sz="4" w:space="0"/>
          <w:right w:val="none" w:color="000000" w:sz="4" w:space="0"/>
        </w:pBdr>
        <w:shd w:val="clear" w:color="ffffff" w:fill="ffffff"/>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Được xác định là vùng đất – đô thị có thế mạnh về cảnh sắc thiên nhiên, di sản văn hóa lịch sử nên bất động sản Sơn Tây được dự đoán sẽ phát triển theo mô hình các trung tâm du lịch đô thị dịch vụ, nghỉ dưỡng. Khi bất động sản nghỉ dưỡng phát triển sẽ kéo </w:t>
      </w:r>
      <w:r>
        <w:rPr>
          <w:rFonts w:ascii="Times New Roman" w:hAnsi="Times New Roman" w:eastAsia="Times New Roman" w:cs="Times New Roman"/>
          <w:color w:val="000000"/>
          <w:sz w:val="24"/>
          <w:highlight w:val="white"/>
        </w:rPr>
        <w:t xml:space="preserve">theo các phân khúc khác được hưởng lợi, đặc biệt là đất thổ cư, đất nền dự án, nhà phố biệt thự.ị xã Sơn Tây là trung tâm kinh tế, văn hóa, chính trị, quốc phòng, an ninh khu vực phía Tây của Thủ đô Hà Nội, là nơi có nhiều di tích lịch sử, văn hóa như thàn</w:t>
      </w:r>
      <w:r>
        <w:rPr>
          <w:rFonts w:ascii="Times New Roman" w:hAnsi="Times New Roman" w:eastAsia="Times New Roman" w:cs="Times New Roman"/>
          <w:color w:val="000000"/>
          <w:sz w:val="24"/>
          <w:highlight w:val="white"/>
        </w:rPr>
        <w:t xml:space="preserve">h cổ Sơn Tây, làng cổ Đường Lâm, đền Phùng Hưng, lăng Ngô Quyền, nhà thờ Giang Văn Minh, đền Và, chùa Mía, di tích Văn Miếu…, nơi có nhiều khu du lịch nghỉ dưỡng nổi tiếng như khu du lịch hồ Đồng Mô, hồ Xuân Khanh, khu nghỉ dưỡng ASEAN, sân gôn Thung </w:t>
      </w:r>
      <w:r>
        <w:rPr>
          <w:rFonts w:ascii="Times New Roman" w:hAnsi="Times New Roman" w:eastAsia="Times New Roman" w:cs="Times New Roman"/>
          <w:color w:val="000000"/>
          <w:sz w:val="24"/>
          <w:highlight w:val="white"/>
        </w:rPr>
        <w:t xml:space="preserve">Lũng Vua, làng văn hóa du lịch các dân tộc Việt Nam…</w:t>
      </w:r>
      <w:r/>
    </w:p>
    <w:p>
      <w:pPr>
        <w:pBdr>
          <w:top w:val="none" w:color="000000" w:sz="4" w:space="0"/>
          <w:left w:val="none" w:color="000000" w:sz="4" w:space="0"/>
          <w:bottom w:val="none" w:color="000000" w:sz="4" w:space="0"/>
          <w:right w:val="none" w:color="000000" w:sz="4" w:space="0"/>
        </w:pBdr>
        <w:shd w:val="clear" w:color="ffffff" w:fill="ffffff"/>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Đây cũng là nơi có nhiều tuyến giao thông quan trọng đi qua, như các tuyến quốc lộ 32, 21A, 2C, cầu Vĩnh Thịnh, đường cao tốc Láng – Hòa Lạc; các tuyến đường tỉnh lộ như 413, 414, 414B, 416, 417, 418; có tuyến đường thủy sông Hồng; có hệ thống kết cấu hạ t</w:t>
      </w:r>
      <w:r>
        <w:rPr>
          <w:rFonts w:ascii="Times New Roman" w:hAnsi="Times New Roman" w:eastAsia="Times New Roman" w:cs="Times New Roman"/>
          <w:color w:val="000000"/>
          <w:sz w:val="24"/>
          <w:highlight w:val="white"/>
        </w:rPr>
        <w:t xml:space="preserve">ầng khá phát triển…;</w:t>
      </w:r>
      <w:r/>
    </w:p>
    <w:p>
      <w:pPr>
        <w:pBdr>
          <w:top w:val="none" w:color="000000" w:sz="4" w:space="0"/>
          <w:left w:val="none" w:color="000000" w:sz="4" w:space="0"/>
          <w:bottom w:val="none" w:color="000000" w:sz="4" w:space="0"/>
          <w:right w:val="none" w:color="000000" w:sz="4" w:space="0"/>
        </w:pBdr>
        <w:shd w:val="clear" w:color="ffffff" w:fill="ffffff"/>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Trong thời gian tới, đường trục phát triển Sơn Tây – Phúc Thọ – Đan Phượng, đường Hồ Chí Minh đoạn giáp Thị xã, các tuyến đường và nhiều công trình quan trọng trên địa bàn Thị xã sẽ được xây dựng, nâng cấp. Bên cạnh đó, theo định hướng chung xây dựng Thủ đ</w:t>
      </w:r>
      <w:r>
        <w:rPr>
          <w:rFonts w:ascii="Times New Roman" w:hAnsi="Times New Roman" w:eastAsia="Times New Roman" w:cs="Times New Roman"/>
          <w:color w:val="000000"/>
          <w:sz w:val="24"/>
          <w:highlight w:val="white"/>
        </w:rPr>
        <w:t xml:space="preserve">ô Hà Nội đến năm 2030, tầm nhìn đến năm 2050, Thị xã Sơn Tây trong tương lai là một trong chuỗi 5 đô thị vệ tinh của Thủ đô Hà Nội, với chức năng chính là đô thị văn hóa lịch sử và du lịch nghỉ dưỡng… Đây là các yếu tố quan trọng, đã, đang thúc đẩy Thị xã </w:t>
      </w:r>
      <w:r>
        <w:rPr>
          <w:rFonts w:ascii="Times New Roman" w:hAnsi="Times New Roman" w:eastAsia="Times New Roman" w:cs="Times New Roman"/>
          <w:color w:val="000000"/>
          <w:sz w:val="24"/>
          <w:highlight w:val="white"/>
        </w:rPr>
        <w:t xml:space="preserve">Sơn Tây phát triển nhanh và bền vững. Thị trường bất động sản Sơn Tây cũng vì thế mà có những dấu hiệu tăng trưởng tích cực với lượt người quan tâm tìm mua, lượng giao dịch và giá đều tăng nhẹ so với trước.</w:t>
      </w:r>
      <w:r/>
    </w:p>
    <w:p>
      <w:pPr>
        <w:pBdr>
          <w:top w:val="none" w:color="000000" w:sz="4" w:space="0"/>
          <w:left w:val="none" w:color="000000" w:sz="4" w:space="0"/>
          <w:bottom w:val="none" w:color="000000" w:sz="4" w:space="0"/>
          <w:right w:val="none" w:color="000000" w:sz="4" w:space="0"/>
        </w:pBdr>
        <w:shd w:val="clear" w:color="ffffff" w:fill="ffffff"/>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Được xác định là vùng đất – đô thị có thế mạnh về cảnh sắc thiên nhiên, di sản văn hóa lịch sử nên bất động sản Sơn Tây được dự đoán sẽ phát triển theo mô hình các trung tâm du lịch đô thị dịch vụ, nghỉ dưỡng. Khi bất động sản nghỉ dưỡng phát triển sẽ kéo </w:t>
      </w:r>
      <w:r>
        <w:rPr>
          <w:rFonts w:ascii="Times New Roman" w:hAnsi="Times New Roman" w:eastAsia="Times New Roman" w:cs="Times New Roman"/>
          <w:color w:val="000000"/>
          <w:sz w:val="24"/>
          <w:highlight w:val="white"/>
        </w:rPr>
        <w:t xml:space="preserve">theo các phân khúc khác được hưởng lợi, đặc biệt là đất thổ cư, đất nền dự án, nhà phố biệt thự.</w:t>
      </w:r>
      <w:r/>
    </w:p>
    <w:p>
      <w:pPr>
        <w:pStyle w:val="1025"/>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r>
            <w:r>
              <w:rPr>
                <w:rFonts w:ascii="Times New Roman" w:hAnsi="Times New Roman" w:eastAsia="Times New Roman" w:cs="Times New Roman"/>
                <w:b/>
                <w:bCs/>
                <w:color w:val="000000" w:themeColor="text1"/>
                <w:sz w:val="24"/>
                <w:highlight w:val="white"/>
              </w:rPr>
              <w:t xml:space="preserve">Q</w:t>
            </w:r>
            <w:r>
              <w:rPr>
                <w:rFonts w:ascii="Times New Roman" w:hAnsi="Times New Roman" w:eastAsia="Times New Roman" w:cs="Times New Roman"/>
                <w:b/>
                <w:bCs/>
                <w:color w:val="000000" w:themeColor="text1"/>
                <w:sz w:val="24"/>
                <w:highlight w:val="white"/>
              </w:rPr>
              <w:t xml:space="preserve">uyền sử dụng đất tại </w:t>
            </w:r>
            <w:r>
              <w:rPr>
                <w:rFonts w:ascii="Times New Roman" w:hAnsi="Times New Roman" w:eastAsia="Times New Roman" w:cs="Times New Roman"/>
                <w:b/>
                <w:bCs/>
                <w:color w:val="000000" w:themeColor="text1"/>
                <w:sz w:val="24"/>
                <w:highlight w:val="white"/>
              </w:rPr>
              <w:t xml:space="preserve">thửa đất số: 340, tờ bản đồ số: 133, có địa chỉ: Tổ</w:t>
            </w:r>
            <w:r>
              <w:rPr>
                <w:rFonts w:ascii="Times New Roman" w:hAnsi="Times New Roman" w:eastAsia="Times New Roman" w:cs="Times New Roman"/>
                <w:b/>
                <w:bCs/>
                <w:color w:val="000000" w:themeColor="text1"/>
                <w:sz w:val="24"/>
                <w:highlight w:val="white"/>
              </w:rPr>
              <w:t xml:space="preserve"> d</w:t>
            </w:r>
            <w:r>
              <w:rPr>
                <w:rFonts w:ascii="Times New Roman" w:hAnsi="Times New Roman" w:eastAsia="Times New Roman" w:cs="Times New Roman"/>
                <w:b/>
                <w:bCs/>
                <w:color w:val="000000" w:themeColor="text1"/>
                <w:sz w:val="24"/>
                <w:highlight w:val="white"/>
              </w:rPr>
              <w:t xml:space="preserve">ân phố Thanh Vị, phường Tùng Thiện, thành phố Hà Nội, theo Giấy chứng nhận quyền sử dụng đất, quyền sở hữu tài sản gắn li</w:t>
            </w:r>
            <w:r>
              <w:rPr>
                <w:rFonts w:ascii="Times New Roman" w:hAnsi="Times New Roman" w:eastAsia="Times New Roman" w:cs="Times New Roman"/>
                <w:b/>
                <w:bCs/>
                <w:color w:val="000000"/>
                <w:sz w:val="24"/>
                <w:highlight w:val="white"/>
              </w:rPr>
              <w:t xml:space="preserve">ền với đất số: AA 08168280, số vào sổ cấp GCN: 8777 do Chi nh</w:t>
            </w:r>
            <w:r>
              <w:rPr>
                <w:rFonts w:ascii="Times New Roman" w:hAnsi="Times New Roman" w:eastAsia="Times New Roman" w:cs="Times New Roman"/>
                <w:b/>
                <w:bCs/>
                <w:color w:val="000000"/>
                <w:sz w:val="24"/>
                <w:highlight w:val="white"/>
              </w:rPr>
              <w:t xml:space="preserve">ánh Văn phòng Đăng ký đất đai Sơn Tây cấp ngày 07/7/2026; Chủ tài sản là ông: Phùng Văn Mạnh</w:t>
            </w:r>
            <w:r>
              <w:rPr>
                <w:rFonts w:ascii="Times New Roman" w:hAnsi="Times New Roman" w:eastAsia="Times New Roman" w:cs="Times New Roman"/>
                <w:b/>
                <w:bCs/>
                <w:color w:val="000000"/>
                <w:sz w:val="24"/>
                <w:highlight w:val="white"/>
              </w:rPr>
              <w:t xml:space="preserve"> và vợ: </w:t>
            </w:r>
            <w:r>
              <w:rPr>
                <w:rFonts w:ascii="Times New Roman" w:hAnsi="Times New Roman" w:eastAsia="Times New Roman" w:cs="Times New Roman"/>
                <w:b/>
                <w:bCs/>
                <w:color w:val="000000"/>
                <w:sz w:val="24"/>
                <w:highlight w:val="white"/>
              </w:rPr>
              <w:t xml:space="preserve">Kiều Thị Trang</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w:t>
            </w:r>
            <w:r/>
          </w:p>
        </w:tc>
        <w:tc>
          <w:tcPr>
            <w:gridSpan w:val="4"/>
            <w:tcBorders/>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Nội dung Thửa đất theo Hồ sơ pháp lý</w:t>
            </w:r>
            <w:r/>
          </w:p>
        </w:tc>
      </w:tr>
      <w:tr>
        <w:trPr>
          <w:trHeight w:val="20"/>
        </w:trPr>
        <w:tc>
          <w:tcPr>
            <w:tcBorders/>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Thửa đất số:</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340</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Tờ bản đồ số:</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133</w:t>
            </w:r>
            <w:r/>
          </w:p>
        </w:tc>
      </w:tr>
      <w:tr>
        <w:trPr>
          <w:trHeight w:val="20"/>
        </w:trPr>
        <w:tc>
          <w:tcPr>
            <w:tcBorders/>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Địa chỉ:</w:t>
            </w: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Tổ dân phố Thanh vị, phường Tùng Thiện, Thành phố Hà Nội</w:t>
            </w:r>
            <w:r/>
          </w:p>
        </w:tc>
      </w:tr>
      <w:tr>
        <w:trPr>
          <w:trHeight w:val="20"/>
        </w:trPr>
        <w:tc>
          <w:tcPr>
            <w:tcBorders/>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(m²):</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514,7</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Hình thức sử dụng:</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Chung của vợ và chồng</w:t>
            </w:r>
            <w:r/>
          </w:p>
        </w:tc>
      </w:tr>
      <w:tr>
        <w:trPr>
          <w:trHeight w:val="20"/>
        </w:trPr>
        <w:tc>
          <w:tcPr>
            <w:tcBorders/>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Mục đích sử dụng:</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ở tại đô thị 332,0m²; Đất trồng cây lâu năm 182,7m²</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Thời hạn sử dụng:</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ở tại đô thị: Lâu dài; Đất trồng cây lâu năm: Đến 02/06/2026</w:t>
            </w:r>
            <w:r/>
          </w:p>
        </w:tc>
      </w:tr>
      <w:tr>
        <w:trPr>
          <w:trHeight w:val="20"/>
        </w:trPr>
        <w:tc>
          <w:tcPr>
            <w:tcBorders/>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Ghi chú:</w:t>
            </w: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-Số tờ số thửa được xác định theo Bản đồ dự án Tổng thể.</w:t>
            </w:r>
            <w:r/>
          </w:p>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-Giấy chứng nhận này được cấp đổi từ GCN số AA 06679672 đã được UBND phường Tùng Thiện cấp ngày 02/6/2026</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các trang mạng như Guland/Meeymap, xác </w:t>
            </w:r>
            <w:r>
              <w:rPr>
                <w:rFonts w:ascii="Times New Roman" w:hAnsi="Times New Roman" w:eastAsia="Times New Roman" w:cs="Times New Roman"/>
                <w:color w:val="000000"/>
                <w:sz w:val="24"/>
              </w:rPr>
              <w:t xml:space="preserve">định vị trí thửa đất hiện có </w:t>
            </w:r>
            <w:r>
              <w:rPr>
                <w:rFonts w:ascii="Times New Roman" w:hAnsi="Times New Roman" w:eastAsia="Times New Roman" w:cs="Times New Roman"/>
                <w:color w:val="ff0000"/>
                <w:sz w:val="24"/>
              </w:rPr>
              <w:t xml:space="preserve">238,5m</w:t>
            </w:r>
            <w:r>
              <w:rPr>
                <w:rFonts w:ascii="Times New Roman" w:hAnsi="Times New Roman" w:eastAsia="Times New Roman" w:cs="Times New Roman"/>
                <w:color w:val="000000"/>
                <w:sz w:val="24"/>
              </w:rPr>
              <w:t xml:space="preserve">² đất thuộc quy hoạch hành lang giao thông.</w:t>
            </w:r>
            <w:r/>
          </w:p>
        </w:tc>
      </w:tr>
      <w:tr>
        <w:trPr>
          <w:trHeight w:val="20"/>
        </w:trPr>
        <w:tc>
          <w:tcPr>
            <w:tcBorders/>
            <w:tcW w:w="734" w:type="dxa"/>
            <w:vAlign w:val="center"/>
            <w:vMerge w:val="restart"/>
            <w:textDirection w:val="lrTb"/>
            <w:noWrap w:val="false"/>
          </w:tcPr>
          <w:p>
            <w:pPr>
              <w:pBdr/>
              <w:spacing/>
              <w:ind/>
              <w:jc w:val="center"/>
              <w:rPr>
                <w:b/>
                <w:bCs/>
                <w:color w:val="000000"/>
              </w:rPr>
            </w:pPr>
            <w:r>
              <w:rPr>
                <w:b/>
                <w:bCs/>
                <w:color w:val="000000"/>
              </w:rPr>
            </w:r>
            <w:r>
              <w:rPr>
                <w:b/>
                <w:bCs/>
                <w:color w:val="000000"/>
              </w:rPr>
            </w:r>
            <w:r>
              <w:rPr>
                <w:b/>
                <w:bCs/>
                <w:color w:val="000000"/>
              </w:rPr>
            </w:r>
          </w:p>
        </w:tc>
        <w:tc>
          <w:tcPr>
            <w:gridSpan w:val="4"/>
            <w:tcBorders/>
            <w:tcW w:w="8781" w:type="dxa"/>
            <w:vAlign w:val="center"/>
            <w:vMerge w:val="restart"/>
            <w:textDirection w:val="lrTb"/>
            <w:noWrap w:val="false"/>
          </w:tcPr>
          <w:p>
            <w:pPr>
              <w:pBdr/>
              <w:spacing/>
              <w:ind/>
              <w:jc w:val="center"/>
              <w:rPr>
                <w:b/>
                <w:bCs/>
                <w:color w:val="000000"/>
              </w:rPr>
            </w:pPr>
            <w:r>
              <w:rPr>
                <w:b/>
                <w:bCs/>
                <w:color w:val="000000"/>
              </w:rPr>
            </w:r>
            <w:r>
              <mc:AlternateContent>
                <mc:Choice Requires="wpg">
                  <w:drawing>
                    <wp:inline xmlns:wp="http://schemas.openxmlformats.org/drawingml/2006/wordprocessingDrawing" distT="0" distB="0" distL="0" distR="0">
                      <wp:extent cx="5364270" cy="2210584"/>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52264" name=""/>
                              <pic:cNvPicPr>
                                <a:picLocks noChangeAspect="1"/>
                              </pic:cNvPicPr>
                              <pic:nvPr/>
                            </pic:nvPicPr>
                            <pic:blipFill rotWithShape="1">
                              <a:blip r:embed="rId17"/>
                              <a:stretch/>
                            </pic:blipFill>
                            <pic:spPr bwMode="auto">
                              <a:xfrm flipH="0" flipV="0">
                                <a:off x="0" y="0"/>
                                <a:ext cx="5364270" cy="221058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22.38pt;height:174.06pt;mso-wrap-distance-left:0.00pt;mso-wrap-distance-top:0.00pt;mso-wrap-distance-right:0.00pt;mso-wrap-distance-bottom:0.00pt;z-index:1;" stroked="false">
                      <v:imagedata r:id="rId17" o:title=""/>
                      <o:lock v:ext="edit" rotation="t"/>
                    </v:shape>
                  </w:pict>
                </mc:Fallback>
              </mc:AlternateConten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Đường tiếp giáp chính:</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Đường nhựa có vỉa hè</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Số mặt tiền:</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Tiếp giáp 2 mặt đường trước sau</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Mặt cắt đường/ngõ nhỏ nhất từ đường chính dẫn đến tài sản thẩm định giá (m):</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Khoảng 17m</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Mặt cắt đường/ngõ trước mặt tài sản thẩm định giá (m):</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Khoảng 17m</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Khoảng cách đến trục đường chính (m):</w:t>
            </w: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Tài sản tiếp giáp đường DT414</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Các hướng tiếp giáp: </w:t>
            </w: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Hướng Nam: Tiếp giáp với đường giao thông</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Hướng Đông: Tiếp giáp với đường giao thông</w:t>
              <w:br/>
              <w:t xml:space="preserve">Các hướng khác: Tiếp giáp các thửa đất khác.</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color w:val="000000"/>
              </w:rPr>
              <w:t xml:space="preserve">21.113944444444</w:t>
            </w:r>
            <w:r>
              <w:rPr>
                <w:color w:val="000000"/>
              </w:rPr>
              <w:t xml:space="preserve">, </w:t>
            </w:r>
            <w:r>
              <w:rPr>
                <w:color w:val="000000"/>
              </w:rPr>
              <w:t xml:space="preserve">105.47869444444</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jc w:val="center"/>
              <w:rPr>
                <w:color w:val="000000"/>
              </w:rPr>
            </w:pPr>
            <w:r>
              <w:rPr>
                <w:color w:val="000000"/>
              </w:rPr>
            </w:r>
            <w:r>
              <mc:AlternateContent>
                <mc:Choice Requires="wpg">
                  <w:drawing>
                    <wp:inline xmlns:wp="http://schemas.openxmlformats.org/drawingml/2006/wordprocessingDrawing" distT="0" distB="0" distL="0" distR="0">
                      <wp:extent cx="5233301" cy="3264700"/>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654974" name=""/>
                              <pic:cNvPicPr>
                                <a:picLocks noChangeAspect="1"/>
                              </pic:cNvPicPr>
                              <pic:nvPr/>
                            </pic:nvPicPr>
                            <pic:blipFill rotWithShape="1">
                              <a:blip r:embed="rId18"/>
                              <a:stretch/>
                            </pic:blipFill>
                            <pic:spPr bwMode="auto">
                              <a:xfrm flipH="0" flipV="0">
                                <a:off x="0" y="0"/>
                                <a:ext cx="5233300" cy="32646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12.07pt;height:257.06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sử dụng riêng thực tế (m²):</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514,7</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sử dụng chung thực tế (m²):</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Mặt tiền (m):</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11,45</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Chiều sâu (m): </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36,78</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Hình dáng:</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Đa giác</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Hướng:</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Nam</w:t>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nội bộ:</w:t>
            </w: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Cấp điện, cấp nước sạch, mạng internet,…hoàn thiện</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xung quanh:</w:t>
            </w: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Môi trường trong lành, an ninh đảm bảo, dân trí tốt</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Mật độ dân cư:</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Đông đúc</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Đời sống dân cư:</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Ổn định</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Lợi thế kinh doanh:</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Thích hợp để ở/ kinh doanh</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Khả năng chuyển nhượng:</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Tốt </w:t>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 Tại thời điểm khảo sát, CTXD gắn liền với đất gồm là 01 nhà 3 tầng xây dựng năm 2016, diện tích xây dựng khoảng 137,5 m²; phần diện tích còn lại sử dụng làm xưởng. CTXD tại thời điểm khảo sát chưa được chứng nhận trên Giấy chứng nhận quyền sử dụng đất. </w:t>
            </w:r>
            <w:r>
              <w:rPr>
                <w:rFonts w:ascii="Times New Roman" w:hAnsi="Times New Roman" w:eastAsia="Times New Roman" w:cs="Times New Roman"/>
                <w:color w:val="000000"/>
                <w:sz w:val="24"/>
              </w:rPr>
              <w:t xml:space="preserve">Do vậy, theo đề nghị của Ngân hàng/Khách hàng, tổ thẩm định không xác định giá trị của công trình xây dựng vào tổng giá trị, nhưng vẫn coi đó là phần không thể tách rời của tài sản thẩm định. Kính đề nghị đơn vị sử dụng kết quả lưu ý.</w:t>
            </w:r>
            <w:r/>
          </w:p>
        </w:tc>
      </w:tr>
    </w:tbl>
    <w:p>
      <w:pPr>
        <w:pBdr/>
        <w:spacing w:line="235" w:lineRule="auto"/>
        <w:ind w:left="0"/>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25"/>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5"/>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25"/>
        <w:numPr>
          <w:ilvl w:val="0"/>
          <w:numId w:val="3"/>
        </w:numPr>
        <w:pBdr/>
        <w:tabs>
          <w:tab w:val="left" w:leader="none" w:pos="993"/>
        </w:tabs>
        <w:spacing w:after="120" w:before="120" w:line="264" w:lineRule="auto"/>
        <w:ind/>
        <w:jc w:val="both"/>
        <w:rPr>
          <w:spacing w:val="-2"/>
          <w:lang w:val="pt-BR"/>
        </w:rPr>
      </w:pPr>
      <w:r>
        <w:rPr>
          <w:spacing w:val="-2"/>
          <w:highlight w:val="none"/>
          <w:lang w:val="pt-BR" w:bidi="pt-BR"/>
        </w:rPr>
      </w:r>
      <w:r>
        <w:rPr>
          <w:spacing w:val="-2"/>
          <w:highlight w:val="none"/>
          <w:lang w:val="pt-BR" w:bidi="pt-BR"/>
        </w:rPr>
      </w:r>
      <w:r>
        <w:rPr>
          <w:rFonts w:ascii="Times New Roman" w:hAnsi="Times New Roman" w:eastAsia="Times New Roman" w:cs="Times New Roman"/>
          <w:color w:val="000000"/>
          <w:sz w:val="24"/>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rFonts w:ascii="Times New Roman" w:hAnsi="Times New Roman" w:eastAsia="Times New Roman" w:cs="Times New Roman"/>
          <w:color w:val="000000"/>
          <w:sz w:val="24"/>
        </w:rPr>
        <w:t xml:space="preserve"> vị trí thửa đất hiện có </w:t>
      </w:r>
      <w:r>
        <w:rPr>
          <w:rFonts w:ascii="Times New Roman" w:hAnsi="Times New Roman" w:eastAsia="Times New Roman" w:cs="Times New Roman"/>
          <w:color w:val="ff0000"/>
          <w:sz w:val="24"/>
        </w:rPr>
        <w:t xml:space="preserve">238,5m</w:t>
      </w:r>
      <w:r>
        <w:rPr>
          <w:rFonts w:ascii="Times New Roman" w:hAnsi="Times New Roman" w:eastAsia="Times New Roman" w:cs="Times New Roman"/>
          <w:color w:val="000000"/>
          <w:sz w:val="24"/>
        </w:rPr>
        <w:t xml:space="preserve">² đất thuộc quy hoạch hành lang giao thông. Đề nghị Khách hàng sử dụng kết quả lưu ý kiểm tra xác minh thêm thông tin quy hoạch nếu thấy cần thiết. Trong trường hợp Khách hàng/Ngân hàng cung cấp được Văn bản xác nhận rõ tình trạng quy hoạch thì kết quả thẩ</w:t>
      </w:r>
      <w:r>
        <w:rPr>
          <w:rFonts w:ascii="Times New Roman" w:hAnsi="Times New Roman" w:eastAsia="Times New Roman" w:cs="Times New Roman"/>
          <w:color w:val="000000"/>
          <w:sz w:val="24"/>
        </w:rPr>
        <w:t xml:space="preserve">m định giá cần được xem xét, điều chỉnh phù hợp, đồng thời chúng tôi bảo lưu quyền xem xét lại kết quả thẩm định giá</w:t>
      </w:r>
      <w:r>
        <w:rPr>
          <w:spacing w:val="-2"/>
          <w:highlight w:val="none"/>
          <w:lang w:val="pt-BR" w:bidi="pt-BR"/>
        </w:rPr>
        <w:t xml:space="preserve">.</w:t>
      </w:r>
      <w:r>
        <w:rPr>
          <w:spacing w:val="-2"/>
          <w:lang w:val="pt-BR"/>
        </w:rPr>
      </w:r>
    </w:p>
    <w:p>
      <w:pPr>
        <w:pStyle w:val="1025"/>
        <w:numPr>
          <w:ilvl w:val="0"/>
          <w:numId w:val="3"/>
        </w:numPr>
        <w:pBdr/>
        <w:tabs>
          <w:tab w:val="left" w:leader="none" w:pos="993"/>
        </w:tabs>
        <w:spacing w:after="120" w:before="120" w:line="264" w:lineRule="auto"/>
        <w:ind/>
        <w:jc w:val="both"/>
        <w:rPr>
          <w:rFonts w:ascii="Times New Roman" w:hAnsi="Times New Roman" w:cs="Times New Roman"/>
          <w:color w:val="000000" w:themeColor="text1"/>
          <w:spacing w:val="-2"/>
          <w:sz w:val="24"/>
          <w:szCs w:val="24"/>
        </w:rPr>
      </w:pPr>
      <w:r>
        <w:rPr>
          <w:rFonts w:ascii="Times New Roman" w:hAnsi="Times New Roman" w:eastAsia="Times New Roman" w:cs="Times New Roman"/>
          <w:color w:val="000000" w:themeColor="text1"/>
          <w:spacing w:val="-2"/>
          <w:sz w:val="24"/>
          <w:szCs w:val="24"/>
          <w:highlight w:val="none"/>
          <w:lang w:val="pt-BR" w:bidi="pt-BR"/>
        </w:rPr>
      </w:r>
      <w:r>
        <w:rPr>
          <w:rFonts w:ascii="Times New Roman" w:hAnsi="Times New Roman" w:eastAsia="Times New Roman" w:cs="Times New Roman"/>
          <w:color w:val="000000" w:themeColor="text1"/>
          <w:spacing w:val="3"/>
          <w:sz w:val="24"/>
          <w:szCs w:val="24"/>
          <w:highlight w:val="white"/>
        </w:rPr>
        <w:t xml:space="preserve">Theo thông tin tại mục sơ đồ thửa đất, tài sản gắn liền với đất GCN số AA 08168280; Tại trang sơ đồ thửa đất không thể hiện vị trí đất ở và đất trồng cây lâu năm, do vậy, theo nguyên tắc sử dụng tốt nhấ</w:t>
      </w:r>
      <w:r>
        <w:rPr>
          <w:rFonts w:ascii="Times New Roman" w:hAnsi="Times New Roman" w:eastAsia="Times New Roman" w:cs="Times New Roman"/>
          <w:color w:val="000000" w:themeColor="text1"/>
          <w:spacing w:val="3"/>
          <w:sz w:val="24"/>
          <w:szCs w:val="24"/>
          <w:highlight w:val="white"/>
        </w:rPr>
        <w:t xml:space="preserve">t và hiệu quả nhất, Tổ thẩm định giả định phần đất ở diện tích </w:t>
      </w:r>
      <w:r>
        <w:rPr>
          <w:rFonts w:ascii="Times New Roman" w:hAnsi="Times New Roman" w:eastAsia="Times New Roman" w:cs="Times New Roman"/>
          <w:color w:val="000000" w:themeColor="text1"/>
          <w:sz w:val="24"/>
          <w:szCs w:val="24"/>
        </w:rPr>
        <w:t xml:space="preserve">238,5m</w:t>
      </w:r>
      <w:r>
        <w:rPr>
          <w:rFonts w:ascii="Times New Roman" w:hAnsi="Times New Roman" w:eastAsia="Times New Roman" w:cs="Times New Roman"/>
          <w:color w:val="000000" w:themeColor="text1"/>
          <w:sz w:val="24"/>
          <w:szCs w:val="24"/>
        </w:rPr>
        <w:t xml:space="preserve">²</w:t>
      </w:r>
      <w:r>
        <w:rPr>
          <w:rFonts w:ascii="Times New Roman" w:hAnsi="Times New Roman" w:eastAsia="Times New Roman" w:cs="Times New Roman"/>
          <w:color w:val="000000" w:themeColor="text1"/>
          <w:spacing w:val="3"/>
          <w:sz w:val="24"/>
          <w:szCs w:val="24"/>
          <w:highlight w:val="white"/>
        </w:rPr>
        <w:t xml:space="preserve"> nằm trong quy hoạch giao thông có mục đích sử dụng là đất trồng cây lâu năm và một phần đất ở tại đô thị. Hiện nay chưa có thông báo thu hồi đất/quyết định thu hồi đất/phương án giải tỏa bồi thường. Theo đề nghị của</w:t>
      </w:r>
      <w:r>
        <w:rPr>
          <w:rFonts w:ascii="Times New Roman" w:hAnsi="Times New Roman" w:eastAsia="Times New Roman" w:cs="Times New Roman"/>
          <w:color w:val="000000" w:themeColor="text1"/>
          <w:spacing w:val="3"/>
          <w:sz w:val="24"/>
          <w:szCs w:val="24"/>
          <w:highlight w:val="white"/>
        </w:rPr>
        <w:t xml:space="preserve"> Ngân hàng/Khách hàng, tổ thẩm định xác định giá trị tài sản theo thông tin quy hoạch nêu trên, đối với diện tích nằm ngoài quy hoạch tổ thẩm định đánh giá theo giá trị thị trường, đối với phần nằm trong quy hoạch tổ thẩm định đánh giá theo giá khung UBND </w:t>
      </w:r>
      <w:r>
        <w:rPr>
          <w:rFonts w:ascii="Times New Roman" w:hAnsi="Times New Roman" w:eastAsia="Times New Roman" w:cs="Times New Roman"/>
          <w:color w:val="000000" w:themeColor="text1"/>
          <w:spacing w:val="3"/>
          <w:sz w:val="24"/>
          <w:szCs w:val="24"/>
          <w:highlight w:val="white"/>
        </w:rPr>
        <w:t xml:space="preserve">từng thời kỳ, giá trị đền bù thực tế còn phụ thuộc vào thỏa thuận các bên tại thời điểm Nhà nước giải phóng mặt bằng thực hiện quy hoạch. Đề nghị đơn vị sử dụng kết quả lưu ý kiểm tra xác minh thêm thông tin quy hoạch nếu thấy cần thiết. Trong trường hợp K</w:t>
      </w:r>
      <w:r>
        <w:rPr>
          <w:rFonts w:ascii="Times New Roman" w:hAnsi="Times New Roman" w:eastAsia="Times New Roman" w:cs="Times New Roman"/>
          <w:color w:val="000000" w:themeColor="text1"/>
          <w:spacing w:val="3"/>
          <w:sz w:val="24"/>
          <w:szCs w:val="24"/>
          <w:highlight w:val="white"/>
        </w:rPr>
        <w:t xml:space="preserve">hách hàng/Ngân hàng cung cấp được Văn bản xác nhận rõ phần diện tích thuộc quy hoạch mà có sự sai khác so với số liệu nêu trên thì kết quả thẩm định giá cần được xem xét, điều chỉnh phù hợp, chúng tôi bảo lưu quyền xem xét lại kết quả thẩm định gi</w:t>
      </w:r>
      <w:r>
        <w:rPr>
          <w:rFonts w:ascii="Times New Roman" w:hAnsi="Times New Roman" w:eastAsia="Times New Roman" w:cs="Times New Roman"/>
          <w:color w:val="000000" w:themeColor="text1"/>
          <w:spacing w:val="-2"/>
          <w:sz w:val="24"/>
          <w:szCs w:val="24"/>
          <w:highlight w:val="none"/>
          <w:lang w:val="pt-BR" w:bidi="pt-BR"/>
        </w:rPr>
        <w:t xml:space="preserve">á</w:t>
      </w:r>
      <w:r>
        <w:rPr>
          <w:rFonts w:ascii="Times New Roman" w:hAnsi="Times New Roman" w:eastAsia="Times New Roman" w:cs="Times New Roman"/>
          <w:color w:val="000000" w:themeColor="text1"/>
          <w:spacing w:val="-2"/>
          <w:sz w:val="24"/>
          <w:szCs w:val="24"/>
          <w:highlight w:val="none"/>
          <w:lang w:val="pt-BR" w:bidi="pt-BR"/>
        </w:rPr>
        <w:t xml:space="preserve">.</w:t>
      </w:r>
      <w:r>
        <w:rPr>
          <w:rFonts w:ascii="Times New Roman" w:hAnsi="Times New Roman" w:eastAsia="Times New Roman" w:cs="Times New Roman"/>
          <w:color w:val="000000" w:themeColor="text1"/>
          <w:spacing w:val="-2"/>
          <w:sz w:val="24"/>
          <w:szCs w:val="24"/>
          <w:highlight w:val="none"/>
          <w:lang w:val="pt-BR" w:bidi="pt-BR"/>
        </w:rPr>
      </w:r>
    </w:p>
    <w:p>
      <w:pPr>
        <w:pStyle w:val="1025"/>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5"/>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5"/>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25"/>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25"/>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25"/>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25"/>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25"/>
        <w:numPr>
          <w:ilvl w:val="0"/>
          <w:numId w:val="3"/>
        </w:numPr>
        <w:pBdr/>
        <w:spacing w:after="120" w:before="120" w:line="276" w:lineRule="auto"/>
        <w:ind/>
        <w:jc w:val="both"/>
        <w:rPr>
          <w:lang w:val="de-DE"/>
        </w:rPr>
      </w:pPr>
      <w:r>
        <w:rPr>
          <w:spacing w:val="-4"/>
          <w:lang w:val="pt-BR"/>
        </w:rPr>
      </w:r>
      <w:r>
        <w:rPr>
          <w:rFonts w:ascii="Times New Roman" w:hAnsi="Times New Roman" w:eastAsia="Times New Roman" w:cs="Times New Roman"/>
          <w:color w:val="000000"/>
          <w:sz w:val="24"/>
        </w:rPr>
        <w:t xml:space="preserve">Tại thời điểm khảo sát, CTXD gắn liền với đất gồm là 01 nhà 3 tầng xây dựng năm 2016, diện tích xây dựng khoảng 137,5 m²; phần diện tích còn lại sử dụng làm xưởng. CTXD tại thời điểm khảo sát chưa được chứng nhận trên Giấy chứng nhận quyền sử dụng đất. Do </w:t>
      </w:r>
      <w:r>
        <w:rPr>
          <w:rFonts w:ascii="Times New Roman" w:hAnsi="Times New Roman" w:eastAsia="Times New Roman" w:cs="Times New Roman"/>
          <w:color w:val="000000"/>
          <w:sz w:val="24"/>
        </w:rPr>
        <w:t xml:space="preserve">vậy, theo đề nghị của Ngân hàng/Khách hàng, tổ thẩm định không xác định giá trị của công trình xây dựng vào tổng giá trị, nhưng vẫn coi đó là phần không thể tách rời của tài sản thẩm định. Kính đề nghị đơn vị sử dụng kết quả lưu ý</w:t>
      </w:r>
      <w:r>
        <w:rPr>
          <w:spacing w:val="-2"/>
          <w:lang w:val="pt-BR"/>
        </w:rPr>
        <w:t xml:space="preserve">.</w:t>
      </w:r>
      <w:r>
        <w:rPr>
          <w:lang w:val="de-DE"/>
        </w:rPr>
      </w:r>
      <w:r>
        <w:rPr>
          <w:lang w:val="de-DE"/>
        </w:rPr>
      </w:r>
    </w:p>
    <w:p>
      <w:pPr>
        <w:pStyle w:val="1025"/>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Bdr/>
        <w:spacing w:after="120" w:before="120" w:line="276" w:lineRule="auto"/>
        <w:ind w:firstLine="0" w:left="357"/>
        <w:jc w:val="both"/>
        <w:rPr>
          <w:b/>
          <w:bCs/>
          <w:highlight w:val="yellow"/>
        </w:rPr>
      </w:pPr>
      <w:r>
        <w:rPr>
          <w:highlight w:val="yellow"/>
        </w:rPr>
      </w:r>
      <w:r>
        <w:rPr>
          <w:rFonts w:ascii="Times New Roman" w:hAnsi="Times New Roman" w:eastAsia="Times New Roman" w:cs="Times New Roman"/>
          <w:color w:val="000000" w:themeColor="text1"/>
          <w:spacing w:val="3"/>
          <w:sz w:val="24"/>
          <w:szCs w:val="24"/>
          <w:highlight w:val="white"/>
        </w:rPr>
        <w:t xml:space="preserve">Theo thông tin tại mục sơ đồ thửa đất, tài sản gắn liền với đất GCN số AA 08168280; Tại trang sơ đồ thửa đất không thể hiện vị trí đất ở và đất trồng cây lâu năm, do vậy, theo nguyên tắc sử dụng tốt nhấ</w:t>
      </w:r>
      <w:r>
        <w:rPr>
          <w:rFonts w:ascii="Times New Roman" w:hAnsi="Times New Roman" w:eastAsia="Times New Roman" w:cs="Times New Roman"/>
          <w:color w:val="000000" w:themeColor="text1"/>
          <w:spacing w:val="3"/>
          <w:sz w:val="24"/>
          <w:szCs w:val="24"/>
          <w:highlight w:val="white"/>
        </w:rPr>
        <w:t xml:space="preserve">t và hiệu quả nhất, Tổ thẩm định giả định phần đất ở diện tích </w:t>
      </w:r>
      <w:r>
        <w:rPr>
          <w:rFonts w:ascii="Times New Roman" w:hAnsi="Times New Roman" w:eastAsia="Times New Roman" w:cs="Times New Roman"/>
          <w:color w:val="000000" w:themeColor="text1"/>
          <w:sz w:val="24"/>
          <w:szCs w:val="24"/>
        </w:rPr>
        <w:t xml:space="preserve">238,5m</w:t>
      </w:r>
      <w:r>
        <w:rPr>
          <w:rFonts w:ascii="Times New Roman" w:hAnsi="Times New Roman" w:eastAsia="Times New Roman" w:cs="Times New Roman"/>
          <w:color w:val="000000" w:themeColor="text1"/>
          <w:sz w:val="24"/>
          <w:szCs w:val="24"/>
        </w:rPr>
        <w:t xml:space="preserve">²</w:t>
      </w:r>
      <w:r>
        <w:rPr>
          <w:rFonts w:ascii="Times New Roman" w:hAnsi="Times New Roman" w:eastAsia="Times New Roman" w:cs="Times New Roman"/>
          <w:color w:val="000000" w:themeColor="text1"/>
          <w:spacing w:val="3"/>
          <w:sz w:val="24"/>
          <w:szCs w:val="24"/>
          <w:highlight w:val="white"/>
        </w:rPr>
        <w:t xml:space="preserve"> nằm trong quy hoạch giao thông có mục đích sử dụng là đất trồng cây lâu năm và một phần đất ở tại đô thị. Hiện nay chưa có thông báo thu hồi đất/quyết định thu hồi đất/phương án giải tỏa bồi thường. Theo đề nghị của</w:t>
      </w:r>
      <w:r>
        <w:rPr>
          <w:rFonts w:ascii="Times New Roman" w:hAnsi="Times New Roman" w:eastAsia="Times New Roman" w:cs="Times New Roman"/>
          <w:color w:val="000000" w:themeColor="text1"/>
          <w:spacing w:val="3"/>
          <w:sz w:val="24"/>
          <w:szCs w:val="24"/>
          <w:highlight w:val="white"/>
        </w:rPr>
        <w:t xml:space="preserve"> Ngân hàng/Khách hàng, tổ thẩm định xác định giá trị tài sản theo thông tin quy hoạch nêu trên, đối với diện tích nằm ngoài quy hoạch tổ thẩm định đánh giá theo giá trị thị trường, đối với phần nằm trong quy hoạch tổ thẩm định đánh giá theo giá khung UBND </w:t>
      </w:r>
      <w:r>
        <w:rPr>
          <w:rFonts w:ascii="Times New Roman" w:hAnsi="Times New Roman" w:eastAsia="Times New Roman" w:cs="Times New Roman"/>
          <w:color w:val="000000" w:themeColor="text1"/>
          <w:spacing w:val="3"/>
          <w:sz w:val="24"/>
          <w:szCs w:val="24"/>
          <w:highlight w:val="white"/>
        </w:rPr>
        <w:t xml:space="preserve">từng thời kỳ, giá trị đền bù thực tế còn phụ thuộc vào thỏa thuận các bên tại thời điểm Nhà nước giải phóng mặt bằng thực hiện quy hoạch. Đề nghị đơn vị sử dụng kết quả lưu ý kiểm tra xác minh thêm thông tin quy hoạch nếu thấy cần thiết. Trong trường hợp K</w:t>
      </w:r>
      <w:r>
        <w:rPr>
          <w:rFonts w:ascii="Times New Roman" w:hAnsi="Times New Roman" w:eastAsia="Times New Roman" w:cs="Times New Roman"/>
          <w:color w:val="000000" w:themeColor="text1"/>
          <w:spacing w:val="3"/>
          <w:sz w:val="24"/>
          <w:szCs w:val="24"/>
          <w:highlight w:val="white"/>
        </w:rPr>
        <w:t xml:space="preserve">hách hàng/Ngân hàng cung cấp được Văn bản xác nhận rõ phần diện tích thuộc quy hoạch mà có sự sai khác so với số liệu nêu trên thì kết quả thẩm định giá cần được xem xét, điều chỉnh phù hợp, chúng tôi bảo lưu quyền xem xét lại kết quả thẩm định gi</w:t>
      </w:r>
      <w:r>
        <w:rPr>
          <w:rFonts w:ascii="Times New Roman" w:hAnsi="Times New Roman" w:eastAsia="Times New Roman" w:cs="Times New Roman"/>
          <w:color w:val="000000" w:themeColor="text1"/>
          <w:spacing w:val="-2"/>
          <w:sz w:val="24"/>
          <w:szCs w:val="24"/>
          <w:highlight w:val="none"/>
          <w:lang w:val="pt-BR" w:bidi="pt-BR"/>
        </w:rPr>
        <w:t xml:space="preserve">á</w:t>
      </w:r>
      <w:r/>
      <w:r>
        <w:rPr>
          <w:highlight w:val="none"/>
        </w:rPr>
        <w:t xml:space="preserve">.</w:t>
      </w:r>
      <w:r>
        <w:rPr>
          <w:highlight w:val="yellow"/>
        </w:rPr>
      </w:r>
      <w:r>
        <w:rPr>
          <w:b/>
          <w:bCs/>
          <w:highlight w:val="yellow"/>
        </w:rPr>
      </w:r>
    </w:p>
    <w:p>
      <w:pPr>
        <w:pStyle w:val="1025"/>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w:t>
      </w:r>
      <w:r>
        <w:rPr>
          <w:b/>
          <w:lang w:val="pt-BR"/>
        </w:rPr>
        <w:t xml:space="preserve">iá</w:t>
      </w:r>
      <w:r>
        <w:rPr>
          <w:b/>
          <w:lang w:val="pt-BR"/>
        </w:rPr>
        <w:t xml:space="preserve"> quyền sử dụng đấ</w:t>
      </w:r>
      <w:r>
        <w:rPr>
          <w:b/>
          <w:lang w:val="pt-BR"/>
        </w:rPr>
        <w:t xml:space="preserve">t ngoài quy hoạch HLGT</w:t>
      </w:r>
      <w:r>
        <w:rPr>
          <w:b/>
          <w:lang w:val="pt-BR"/>
        </w:rPr>
        <w:t xml:space="preserve">:</w:t>
      </w:r>
      <w:r>
        <w:rPr>
          <w:b/>
          <w:lang w:val="pt-BR"/>
        </w:rPr>
      </w:r>
      <w:r>
        <w:rPr>
          <w:b/>
          <w:lang w:val="pt-BR"/>
        </w:rPr>
      </w:r>
      <w:r>
        <w:rPr>
          <w:b/>
          <w:lang w:val="pt-BR"/>
        </w:rPr>
      </w:r>
    </w:p>
    <w:p>
      <w:pPr>
        <w:pStyle w:val="1025"/>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25"/>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Style w:val="1029"/>
        <w:tblInd w:w="-147"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600"/>
        <w:gridCol w:w="1843"/>
        <w:gridCol w:w="1984"/>
        <w:gridCol w:w="1843"/>
        <w:gridCol w:w="1701"/>
        <w:gridCol w:w="1702"/>
      </w:tblGrid>
      <w:tr>
        <w:trPr>
          <w:trHeight w:val="30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d0d0d"/>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d0d0d"/>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d0d0d"/>
                <w:sz w:val="22"/>
              </w:rPr>
              <w:t xml:space="preserve">TSTĐ</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d0d0d"/>
                <w:sz w:val="22"/>
              </w:rPr>
              <w:t xml:space="preserve">TSSS1</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d0d0d"/>
                <w:sz w:val="22"/>
              </w:rPr>
              <w:t xml:space="preserve">TSSS2</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d0d0d"/>
                <w:sz w:val="22"/>
              </w:rPr>
              <w:t xml:space="preserve">TSSS3</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00"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d0d0d"/>
                <w:sz w:val="22"/>
              </w:rPr>
              <w:t xml:space="preserve">A</w:t>
            </w:r>
            <w:r/>
          </w:p>
        </w:tc>
        <w:tc>
          <w:tcPr>
            <w:tcBorders>
              <w:bottom w:val="single" w:color="000000" w:sz="8" w:space="0"/>
              <w:right w:val="single" w:color="000000" w:sz="8" w:space="0"/>
            </w:tcBorders>
            <w:tcMar>
              <w:left w:w="108" w:type="dxa"/>
              <w:top w:w="0" w:type="dxa"/>
              <w:right w:w="108" w:type="dxa"/>
              <w:bottom w:w="0" w:type="dxa"/>
            </w:tcMar>
            <w:tcW w:w="1843"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d0d0d"/>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1984"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d0d0d"/>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d0d0d"/>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d0d0d"/>
                <w:sz w:val="22"/>
              </w:rPr>
              <w:t xml:space="preserve"> </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1</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d0d0d"/>
                <w:sz w:val="22"/>
              </w:rPr>
              <w:t xml:space="preserve">Địa chỉ</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Phường Tùng Thiện, Thành phố Hà Nội</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Phường Tùng Thiện, Thành phố Hà Nội (nay là Phường Tùng Thiện, Thành phố Hà Nội)</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Phường Tùng Thiện, Thành phố Hà Nội (nay là Phường Tùng Thiện, Thành phố Hà Nội)</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Phường Tùng Thiện, Thành phố Hà Nội</w:t>
            </w:r>
            <w:r/>
          </w:p>
        </w:tc>
      </w:tr>
      <w:tr>
        <w:trPr>
          <w:trHeight w:val="1691"/>
        </w:trPr>
        <w:tc>
          <w:tcPr>
            <w:tcBorders>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2</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d0d0d"/>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https://www.facebook.com/groups/batdongsansontay/permalink/2433296713765465/</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https://www.facebook.com/groups/batdongsansontay/permalink/2411299065965230/?rdid=enEwuJZidUIMZMYv#</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highlight w:val="white"/>
              </w:rPr>
              <w:t xml:space="preserve">https://www.facebook.com/groups/1886684784704800/permalink/27891462303800359/?sale_post_id=27891462303800359&amp;mibextid=wwXIfr&amp;rdid=2pponhBL19iKhLhO#</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d0d0d"/>
                <w:sz w:val="22"/>
              </w:rPr>
              <w:t xml:space="preserve">Thông tin liên lạc</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0981511686 </w:t>
              <w:br/>
              <w:t xml:space="preserve"> (Trung)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0988513531</w:t>
              <w:br/>
              <w:t xml:space="preserve"> (Huyền)</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 0372262613</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(Tuấn)</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3</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d0d0d"/>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 Đang giao dịch</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 Đang giao dịch</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Đang giao dịch </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4</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d0d0d"/>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 Tháng 7/2025</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 Tháng 7/2025</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 Tháng 7/2026</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5</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d0d0d"/>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Có giấy chứng nhận quyền sử dụng đất</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Có giấy chứng nhận quyền sử dụng đất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Có giấy chứng nhận quyền sử dụng đất </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Có giấy chứng nhận quyền sử dụng đất </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6</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d0d0d"/>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Đất ở tại đô thị</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Đất ở tại đô thị</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Đất ở tại đô thị</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Đất ở tại đô thị</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7</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d0d0d"/>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Lâu dài</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Lâu dài</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Lâu dài</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Lâu dài</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8</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d0d0d"/>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Tài sản tiếp giáp đường 87A (DT414), cách bênh viện Quân Y 105 khoảng 2 km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Tài sản tiếp giáp đường 87A (DT414), cách bệnh viện Quân Y 105 khoảng 1km</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Tài sản tiếp giáp đường 87A (DT414), cách bệnh viện Quân Y 105 khoảng 2,2km</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Tài sả</w:t>
            </w:r>
            <w:r>
              <w:rPr>
                <w:rFonts w:ascii="Times New Roman" w:hAnsi="Times New Roman" w:eastAsia="Times New Roman" w:cs="Times New Roman"/>
                <w:color w:val="0d0d0d"/>
                <w:sz w:val="24"/>
              </w:rPr>
              <w:t xml:space="preserve">n</w:t>
            </w:r>
            <w:r>
              <w:rPr>
                <w:rFonts w:ascii="Times New Roman" w:hAnsi="Times New Roman" w:eastAsia="Times New Roman" w:cs="Times New Roman"/>
                <w:color w:val="0d0d0d"/>
                <w:sz w:val="22"/>
              </w:rPr>
              <w:t xml:space="preserve"> tiếp giáp đường 87A (DT414), cách bệnh viện Quân Y 105 khoảng 2,2km</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9</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d0d0d"/>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Đường nhựa có vỉa hè</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Đường nhựa có vỉa hè</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Đường nhựa có vỉa hè</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Đường nhựa có vỉa hè</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10</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d0d0d"/>
                <w:sz w:val="22"/>
              </w:rPr>
              <w:t xml:space="preserve">Độ rộng đường trước tài sản (m)</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Khoảng 17m</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 Khoảng 17,5</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Khoảng 17,5</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Khoảng 17,5</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11</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d0d0d"/>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276,2</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80</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139,9</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80</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12</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d0d0d"/>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11,45</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4</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7,55</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4</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13</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d0d0d"/>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Tiếp giáp 2 mặt tiền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Tiếp giáp 1 mặt tiền 1 mặt thoáng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Tiếp giáp 1 mặt tiền</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Tiếp giáp 1 mặt tiền 1 mặt thoáng</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14</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d0d0d"/>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Đa giác</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Hình chữ nhật</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Hình chữ nhật</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Hình chữ nhật</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15</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d0d0d"/>
                <w:sz w:val="22"/>
              </w:rPr>
              <w:t xml:space="preserve">Cơ sở hạ tầng kỹ thuật</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Hạ tầng khu dân cư thông thường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Hạ tầng khu dân cư thông thường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Hạ tầng khu dân cư thông thường</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Hạ tầng khu dân cư thông thường</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16</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d0d0d"/>
                <w:sz w:val="22"/>
              </w:rPr>
              <w:t xml:space="preserve">Lợi thế thương mại</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Không có lợi thế thương mại</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Không có lợi thế thương mại</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Không có lợi thế thương mại</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Không có lợi thế thương mại</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17</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d0d0d"/>
                <w:sz w:val="22"/>
              </w:rPr>
              <w:t xml:space="preserve">Bất lợi thương mại</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Không có bất lợi thương mại</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Không có bất lợi thương mại</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Không có bất lợi thương mại</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Không có bất lợi thương mại</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18</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d0d0d"/>
                <w:sz w:val="22"/>
              </w:rPr>
              <w:t xml:space="preserve">Tài sản trên đất</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Đất trống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Đất trống</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Đất trống</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19</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d0d0d"/>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5.100.000.000</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7.834.000.000</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highlight w:val="white"/>
              </w:rPr>
              <w:t xml:space="preserve">4.900.000.000</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20</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d0d0d"/>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4.590.000.000</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7.050.600.000</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4.165.000.000</w:t>
            </w:r>
            <w:r/>
          </w:p>
        </w:tc>
      </w:tr>
      <w:tr>
        <w:trPr>
          <w:trHeight w:val="315"/>
        </w:trPr>
        <w:tc>
          <w:tcPr>
            <w:tcBorders>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d0d0d"/>
                <w:sz w:val="22"/>
              </w:rPr>
              <w:t xml:space="preserve">B</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d0d0d"/>
                <w:sz w:val="22"/>
              </w:rPr>
              <w:t xml:space="preserve">Chi tiết tính toán</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 </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d0d0d"/>
                <w:sz w:val="22"/>
              </w:rPr>
              <w:t xml:space="preserve">1</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d0d0d"/>
                <w:sz w:val="22"/>
              </w:rPr>
              <w:t xml:space="preserve">Giá trị tài sản trên đất (đồng)</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0</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0</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0</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d0d0d"/>
                <w:sz w:val="22"/>
              </w:rPr>
              <w:t xml:space="preserve">2</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d0d0d"/>
                <w:sz w:val="22"/>
              </w:rPr>
              <w:t xml:space="preserve">Giá trị đất (đồng)</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4.590.000.000</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7.050.600.000</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4.165.000.000</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d0d0d"/>
                <w:sz w:val="22"/>
              </w:rPr>
              <w:t xml:space="preserve">3</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d0d0d"/>
                <w:sz w:val="22"/>
              </w:rPr>
              <w:t xml:space="preserve">Đơn giá QSDĐ (đồng/m²)</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57.375.000</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50.397.427</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highlight w:val="white"/>
              </w:rPr>
              <w:t xml:space="preserve">52.062.500</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d0d0d"/>
                <w:sz w:val="22"/>
              </w:rPr>
              <w:t xml:space="preserve">C</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d0d0d"/>
                <w:sz w:val="22"/>
              </w:rPr>
              <w:t xml:space="preserve">NHẬN XÉT</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1</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d0d0d"/>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2</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d0d0d"/>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3</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d0d0d"/>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4</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d0d0d"/>
                <w:sz w:val="22"/>
              </w:rPr>
              <w:t xml:space="preserve">Độ rộng đường</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5</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d0d0d"/>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Lợi thế hơn</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6</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d0d0d"/>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Kém lợi thế hơn</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4"/>
              </w:rPr>
              <w:t xml:space="preserve">7</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d0d0d"/>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Kém lợi thế hơn</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4"/>
              </w:rPr>
              <w:t xml:space="preserve">8</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d0d0d"/>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2"/>
              </w:rPr>
              <w:t xml:space="preserve">Lợi thế hơn</w:t>
            </w: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25"/>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Style w:val="102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632"/>
        <w:gridCol w:w="1765"/>
        <w:gridCol w:w="1030"/>
        <w:gridCol w:w="1522"/>
        <w:gridCol w:w="1522"/>
        <w:gridCol w:w="1522"/>
        <w:gridCol w:w="1522"/>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d0d0d"/>
                <w:sz w:val="22"/>
              </w:rPr>
              <w:t xml:space="preserve">STT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d0d0d"/>
                <w:sz w:val="22"/>
              </w:rPr>
              <w:t xml:space="preserve">Yếu tố so sánh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d0d0d"/>
                <w:sz w:val="22"/>
              </w:rPr>
              <w:t xml:space="preserve">Đơn vị tính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d0d0d"/>
                <w:sz w:val="22"/>
              </w:rPr>
              <w:t xml:space="preserve">TSTĐ</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d0d0d"/>
                <w:sz w:val="22"/>
              </w:rPr>
              <w:t xml:space="preserve">TSSS1</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d0d0d"/>
                <w:sz w:val="22"/>
              </w:rPr>
              <w:t xml:space="preserve">TSSS2</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d0d0d"/>
                <w:sz w:val="22"/>
              </w:rPr>
              <w:t xml:space="preserve">TSSS3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d0d0d"/>
                <w:sz w:val="22"/>
              </w:rPr>
              <w:t xml:space="preserve">A</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d0d0d"/>
                <w:sz w:val="22"/>
              </w:rPr>
              <w:t xml:space="preserve">Giá trị QSDĐ thị trường (Ước tính sau thương lượng)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d0d0d"/>
                <w:sz w:val="22"/>
              </w:rPr>
              <w:t xml:space="preserve">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4.590.000.000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7.050.600.000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4.165.000.000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d0d0d"/>
                <w:sz w:val="22"/>
              </w:rPr>
              <w:t xml:space="preserve">B</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d0d0d"/>
                <w:sz w:val="22"/>
              </w:rPr>
              <w:t xml:space="preserve">Đơn giá đất ước tính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d0d0d"/>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57.375.000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50.397.427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highlight w:val="white"/>
              </w:rPr>
              <w:t xml:space="preserve">52.062.500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d0d0d"/>
                <w:sz w:val="22"/>
              </w:rPr>
              <w:t xml:space="preserve">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d0d0d"/>
                <w:sz w:val="22"/>
              </w:rPr>
              <w:t xml:space="preserve">Điều chỉnh các yếu tố so sánh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d0d0d"/>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d0d0d"/>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d0d0d"/>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d0d0d"/>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d0d0d"/>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C.1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d0d0d"/>
                <w:sz w:val="22"/>
              </w:rPr>
              <w:t xml:space="preserve">Pháp lý</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d0d0d"/>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Có giấy chứng nhận quyền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Có giấy chứng nhận quyền sử dụng đất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Có giấy chứng nhận quyền sử dụng đất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Có giấy chứng nhận quyền sử dụng đất </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d0d0d"/>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d0d0d"/>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d0d0d"/>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57.375.000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50.397.427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highlight w:val="white"/>
              </w:rPr>
              <w:t xml:space="preserve">52.062.500</w:t>
            </w:r>
            <w:r/>
          </w:p>
        </w:tc>
      </w:tr>
      <w:tr>
        <w:trPr>
          <w:trHeight w:val="309"/>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C.2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d0d0d"/>
                <w:sz w:val="22"/>
              </w:rPr>
              <w:t xml:space="preserve">Mục đích sử dụng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d0d0d"/>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Đất ở tại đô thị</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Đất ở tại đô thị</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Đất ở tại đô thị</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Đất ở tại đô thị</w:t>
            </w:r>
            <w:r/>
          </w:p>
        </w:tc>
      </w:tr>
      <w:tr>
        <w:trPr>
          <w:trHeight w:val="272"/>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d0d0d"/>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0%</w:t>
            </w:r>
            <w:r/>
          </w:p>
        </w:tc>
      </w:tr>
      <w:tr>
        <w:trPr>
          <w:trHeight w:val="58"/>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d0d0d"/>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0</w:t>
            </w:r>
            <w:r/>
          </w:p>
        </w:tc>
      </w:tr>
      <w:tr>
        <w:trPr>
          <w:trHeight w:val="58"/>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d0d0d"/>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57.375.000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50.397.427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highlight w:val="white"/>
              </w:rPr>
              <w:t xml:space="preserve">52.062.500</w:t>
            </w:r>
            <w:r/>
          </w:p>
        </w:tc>
      </w:tr>
      <w:tr>
        <w:trPr>
          <w:trHeight w:val="761"/>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C.3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d0d0d"/>
                <w:sz w:val="22"/>
              </w:rPr>
              <w:t xml:space="preserve">Vị trí</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d0d0d"/>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Tài sản tiếp giáp đường 87A (DT414), cách bênh viện Quân Y 105 khoảng 2 km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Tài sản tiếp giáp đường 87A (DT414), cách bệnh viện Quân Y 105 khoảng 1km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Tài sản tiếp giáp đường 87A (DT414), cách bệnh viện Quân Y 105 khoảng 2,2km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Tài sản tiếp giáp đường 87A (DT414), cách bệnh viện Quân Y 105 khoảng 2,2km</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d0d0d"/>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d0d0d"/>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highlight w:val="white"/>
              </w:rPr>
              <w:t xml:space="preserve">-2.868.750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d0d0d"/>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highlight w:val="white"/>
              </w:rPr>
              <w:t xml:space="preserve">54.506.250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50.397.427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highlight w:val="white"/>
              </w:rPr>
              <w:t xml:space="preserve">52.062.500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C.4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d0d0d"/>
                <w:sz w:val="22"/>
              </w:rPr>
              <w:t xml:space="preserve">Độ rộng đường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d0d0d"/>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Khoảng 17m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 Khoảng 17,5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Khoảng 17,5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Khoảng 17,5</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d0d0d"/>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d0d0d"/>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d0d0d"/>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highlight w:val="white"/>
              </w:rPr>
              <w:t xml:space="preserve">54.506.250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50.397.427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highlight w:val="white"/>
              </w:rPr>
              <w:t xml:space="preserve">52.062.500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C.5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d0d0d"/>
                <w:sz w:val="22"/>
              </w:rPr>
              <w:t xml:space="preserve">Diện tích đất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d0d0d"/>
                <w:sz w:val="22"/>
              </w:rPr>
              <w:t xml:space="preserve">(m2)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276,2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80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139,9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80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d0d0d"/>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-25%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-16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-25</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d0d0d"/>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highlight w:val="white"/>
              </w:rPr>
              <w:t xml:space="preserve">-14.343.750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highlight w:val="white"/>
              </w:rPr>
              <w:t xml:space="preserve">-8.063.588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highlight w:val="white"/>
              </w:rPr>
              <w:t xml:space="preserve">-13.015.625</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d0d0d"/>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highlight w:val="white"/>
              </w:rPr>
              <w:t xml:space="preserve">40.162.500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highlight w:val="white"/>
              </w:rPr>
              <w:t xml:space="preserve">42.333.839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highlight w:val="white"/>
              </w:rPr>
              <w:t xml:space="preserve">39.046.875</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C.6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d0d0d"/>
                <w:sz w:val="22"/>
              </w:rPr>
              <w:t xml:space="preserve">Mặt tiền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d0d0d"/>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11,45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7,55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4</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d0d0d"/>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7%</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d0d0d"/>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highlight w:val="white"/>
              </w:rPr>
              <w:t xml:space="preserve">4.016.250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highlight w:val="white"/>
              </w:rPr>
              <w:t xml:space="preserve">2.015.897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highlight w:val="white"/>
              </w:rPr>
              <w:t xml:space="preserve">3.858.750</w:t>
            </w:r>
            <w:r/>
          </w:p>
        </w:tc>
      </w:tr>
      <w:tr>
        <w:trPr>
          <w:trHeight w:val="543"/>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d0d0d"/>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highlight w:val="white"/>
              </w:rPr>
              <w:t xml:space="preserve">44.178.750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highlight w:val="white"/>
              </w:rPr>
              <w:t xml:space="preserve">44.349.736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highlight w:val="white"/>
              </w:rPr>
              <w:t xml:space="preserve">42.905.625</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C.7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d0d0d"/>
                <w:sz w:val="22"/>
              </w:rPr>
              <w:t xml:space="preserve">Số lượng mặt tiếp giáp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d0d0d"/>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Tiếp giáp 2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Tiếp giáp 1 mặt tiền 1 mặt thoáng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Tiếp giáp 1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Tiếp giáp 1 mặt tiền 1 mặt thoáng</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d0d0d"/>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2%</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d0d0d"/>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highlight w:val="white"/>
              </w:rPr>
              <w:t xml:space="preserve">1.147.500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highlight w:val="white"/>
              </w:rPr>
              <w:t xml:space="preserve">1.511.923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highlight w:val="white"/>
              </w:rPr>
              <w:t xml:space="preserve">1.041.250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d0d0d"/>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highlight w:val="white"/>
              </w:rPr>
              <w:t xml:space="preserve">45.326.250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highlight w:val="white"/>
              </w:rPr>
              <w:t xml:space="preserve">45.861.659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tabs>
                <w:tab w:val="left" w:leader="none" w:pos="653"/>
              </w:tabs>
              <w:spacing/>
              <w:ind w:right="0" w:firstLine="0" w:left="0"/>
              <w:jc w:val="center"/>
              <w:rPr/>
            </w:pPr>
            <w:r>
              <w:rPr>
                <w:rFonts w:ascii="Times New Roman" w:hAnsi="Times New Roman" w:eastAsia="Times New Roman" w:cs="Times New Roman"/>
                <w:color w:val="0d0d0d"/>
                <w:sz w:val="22"/>
                <w:highlight w:val="white"/>
              </w:rPr>
              <w:t xml:space="preserve">43.946.875</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C.8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d0d0d"/>
                <w:sz w:val="22"/>
              </w:rPr>
              <w:t xml:space="preserve">Hình dáng thửa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d0d0d"/>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Đa giác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Hình chữ nhật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Hình chữ nhật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Hình chữ nhật</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d0d0d"/>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-3%</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d0d0d"/>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highlight w:val="white"/>
              </w:rPr>
              <w:t xml:space="preserve">-1.721.250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highlight w:val="white"/>
              </w:rPr>
              <w:t xml:space="preserve">-1.511.923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highlight w:val="white"/>
              </w:rPr>
              <w:t xml:space="preserve">-1.561.875</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d0d0d"/>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highlight w:val="white"/>
              </w:rPr>
              <w:t xml:space="preserve">43.605.000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highlight w:val="white"/>
              </w:rPr>
              <w:t xml:space="preserve">44.349.736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highlight w:val="white"/>
              </w:rPr>
              <w:t xml:space="preserve">42.385.000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d0d0d"/>
                <w:sz w:val="22"/>
              </w:rPr>
              <w:t xml:space="preserve">D</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d0d0d"/>
                <w:sz w:val="22"/>
              </w:rPr>
              <w:t xml:space="preserve">Mức giá chỉ dẫn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d0d0d"/>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d0d0d"/>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d0d0d"/>
                <w:sz w:val="22"/>
                <w:highlight w:val="white"/>
              </w:rPr>
              <w:t xml:space="preserve">43.605.000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d0d0d"/>
                <w:sz w:val="22"/>
                <w:highlight w:val="white"/>
              </w:rPr>
              <w:t xml:space="preserve">44.349.736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d0d0d"/>
                <w:sz w:val="22"/>
                <w:highlight w:val="white"/>
              </w:rPr>
              <w:t xml:space="preserve">42.385.000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D1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d0d0d"/>
                <w:sz w:val="22"/>
              </w:rPr>
              <w:t xml:space="preserve">Giá trị trung bình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 </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456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d0d0d"/>
                <w:sz w:val="22"/>
                <w:highlight w:val="white"/>
              </w:rPr>
              <w:t xml:space="preserve">43.446.579</w:t>
            </w:r>
            <w:r/>
          </w:p>
        </w:tc>
      </w:tr>
      <w:tr>
        <w:trPr>
          <w:trHeight w:val="58"/>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D2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d0d0d"/>
                <w:sz w:val="22"/>
              </w:rPr>
              <w:t xml:space="preserve">Mức độ chênh lệch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0,36%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-2,08%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2,44%</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d0d0d"/>
                <w:sz w:val="22"/>
              </w:rPr>
              <w:t xml:space="preserve">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d0d0d"/>
                <w:sz w:val="22"/>
              </w:rPr>
              <w:t xml:space="preserve">Tổng hợp các số liệu điều chỉnh tại mục 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d0d0d"/>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d0d0d"/>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d0d0d"/>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d0d0d"/>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d0d0d"/>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d0d0d"/>
                <w:sz w:val="22"/>
              </w:rPr>
              <w:t xml:space="preserve">Tổng giá trị điều chỉnh gộp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highlight w:val="white"/>
              </w:rPr>
              <w:t xml:space="preserve">24.097.500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tabs>
                <w:tab w:val="left" w:leader="none" w:pos="653"/>
              </w:tabs>
              <w:spacing/>
              <w:ind w:right="0" w:firstLine="0" w:left="0"/>
              <w:jc w:val="center"/>
              <w:rPr/>
            </w:pPr>
            <w:r>
              <w:rPr>
                <w:rFonts w:ascii="Times New Roman" w:hAnsi="Times New Roman" w:eastAsia="Times New Roman" w:cs="Times New Roman"/>
                <w:color w:val="0d0d0d"/>
                <w:sz w:val="22"/>
                <w:highlight w:val="white"/>
              </w:rPr>
              <w:t xml:space="preserve">13.103.331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highlight w:val="white"/>
              </w:rPr>
              <w:t xml:space="preserve">19.477.500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d0d0d"/>
                <w:sz w:val="22"/>
              </w:rPr>
              <w:t xml:space="preserve">Tổng số lần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Lần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4</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d0d0d"/>
                <w:sz w:val="22"/>
              </w:rPr>
              <w:t xml:space="preserve">Biên độ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2% - 25%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3% - 16%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2% - 25%</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d0d0d"/>
                <w:sz w:val="22"/>
              </w:rPr>
              <w:t xml:space="preserve">Tổng giá trị điều chỉnh thuần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highlight w:val="white"/>
              </w:rPr>
              <w:t xml:space="preserve">13.770.000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highlight w:val="white"/>
              </w:rPr>
              <w:t xml:space="preserve">6.047.691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d0d0d"/>
                <w:sz w:val="22"/>
                <w:highlight w:val="white"/>
              </w:rPr>
              <w:t xml:space="preserve">9.677.500</w:t>
            </w:r>
            <w:r/>
          </w:p>
        </w:tc>
      </w:tr>
    </w:tbl>
    <w:p>
      <w:pPr>
        <w:pBdr/>
        <w:tabs>
          <w:tab w:val="left" w:leader="none" w:pos="720"/>
        </w:tabs>
        <w:spacing w:after="120" w:before="120" w:line="276" w:lineRule="auto"/>
        <w:ind w:firstLine="0" w:left="0"/>
        <w:jc w:val="both"/>
        <w:rPr>
          <w:b/>
          <w:bCs/>
          <w:lang w:val="nl-NL"/>
        </w:rPr>
      </w:pPr>
      <w:r>
        <w:rPr>
          <w:b/>
          <w:highlight w:val="none"/>
          <w:lang w:val="nl-NL" w:bidi="nl-NL"/>
        </w:rPr>
      </w:r>
      <w:r>
        <w:rPr>
          <w:b/>
          <w:bCs/>
          <w:lang w:val="nl-NL"/>
        </w:rPr>
      </w:r>
      <w:r>
        <w:rPr>
          <w:b/>
          <w:bCs/>
          <w:lang w:val="nl-NL"/>
        </w:rPr>
      </w:r>
    </w:p>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highlight w:val="white"/>
          <w:u w:val="single"/>
        </w:rPr>
      </w:pPr>
      <w:r>
        <w:t xml:space="preserve">Theo số liệu tại mục </w:t>
      </w:r>
      <w:r>
        <w:t xml:space="preserve">D</w:t>
      </w:r>
      <w:r>
        <w:t xml:space="preserve">2, chênh lệch giữa mức giá trung bình của các mức giá chỉ dẫn nằm trong kh</w:t>
      </w:r>
      <w:r>
        <w:rPr>
          <w:highlight w:val="white"/>
        </w:rPr>
        <w:t xml:space="preserve">oảng </w:t>
      </w:r>
      <w:r>
        <w:rPr>
          <w:highlight w:val="white"/>
        </w:rPr>
        <w:t xml:space="preserve">từ </w:t>
      </w:r>
      <w:r>
        <w:rPr>
          <w:highlight w:val="white"/>
        </w:rPr>
        <w:t xml:space="preserve"> 0,36</w:t>
      </w:r>
      <w:r>
        <w:rPr>
          <w:highlight w:val="white"/>
        </w:rPr>
        <w:t xml:space="preserve">% đến</w:t>
      </w:r>
      <w:r>
        <w:rPr>
          <w:highlight w:val="white"/>
        </w:rPr>
        <w:t xml:space="preserve"> </w:t>
      </w:r>
      <w:r>
        <w:rPr>
          <w:highlight w:val="white"/>
        </w:rPr>
        <w:t xml:space="preserve"> </w:t>
      </w:r>
      <w:r>
        <w:rPr>
          <w:highlight w:val="white"/>
        </w:rPr>
        <w:t xml:space="preserve">2,44</w:t>
      </w:r>
      <w:r>
        <w:rPr>
          <w:highlight w:val="white"/>
        </w:rPr>
        <w:t xml:space="preserve">%, đảm bảo </w:t>
      </w:r>
      <w:r>
        <w:rPr>
          <w:highlight w:val="white"/>
        </w:rPr>
        <w:t xml:space="preserve">không quá 15% (theo </w:t>
      </w:r>
      <w:r>
        <w:rPr>
          <w:highlight w:val="white"/>
        </w:rPr>
        <w:t xml:space="preserve">Thông tư số 32/2024</w:t>
      </w:r>
      <w:r>
        <w:rPr>
          <w:highlight w:val="white"/>
        </w:rPr>
        <w:t xml:space="preserve">/TT-BTC</w:t>
      </w:r>
      <w:r>
        <w:rPr>
          <w:highlight w:val="white"/>
        </w:rPr>
        <w:t xml:space="preserve"> ngày 16/5/2024 của Bộ Tài </w:t>
      </w:r>
      <w:r>
        <w:rPr>
          <w:highlight w:val="white"/>
        </w:rPr>
        <w:t xml:space="preserve">c</w:t>
      </w:r>
      <w:r>
        <w:rPr>
          <w:highlight w:val="white"/>
        </w:rPr>
        <w:t xml:space="preserve">hính)</w:t>
      </w:r>
      <w:r>
        <w:rPr>
          <w:highlight w:val="white"/>
        </w:rPr>
        <w:t xml:space="preserve">.</w:t>
      </w:r>
      <w:r>
        <w:rPr>
          <w:b/>
          <w:bCs/>
          <w:highlight w:val="white"/>
          <w:u w:val="single"/>
        </w:rPr>
      </w:r>
      <w:r>
        <w:rPr>
          <w:b/>
          <w:bCs/>
          <w:highlight w:val="white"/>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Style w:val="1029"/>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1010"/>
        <w:gridCol w:w="2136"/>
        <w:gridCol w:w="2268"/>
        <w:gridCol w:w="1843"/>
        <w:gridCol w:w="2269"/>
      </w:tblGrid>
      <w:tr>
        <w:trPr>
          <w:trHeight w:val="936"/>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0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d0d0d"/>
                <w:sz w:val="24"/>
              </w:rPr>
              <w:t xml:space="preserve">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1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d0d0d"/>
                <w:sz w:val="24"/>
              </w:rPr>
              <w:t xml:space="preserve">Tài sản</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d0d0d"/>
                <w:sz w:val="24"/>
              </w:rPr>
              <w:t xml:space="preserve">Mức giá chỉ dẫn của các TSSS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d0d0d"/>
                <w:sz w:val="24"/>
              </w:rPr>
              <w:t xml:space="preserve">Trọng số của các TSSS sau điều chỉnh</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2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d0d0d"/>
                <w:sz w:val="24"/>
              </w:rPr>
              <w:t xml:space="preserve">Giá trị trung bình của mức giá chỉ dẫn sau điều chỉnh</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10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4"/>
              </w:rPr>
              <w:t xml:space="preserve">1</w:t>
            </w:r>
            <w:r/>
          </w:p>
        </w:tc>
        <w:tc>
          <w:tcPr>
            <w:tcBorders>
              <w:bottom w:val="single" w:color="000000" w:sz="8" w:space="0"/>
              <w:right w:val="single" w:color="000000" w:sz="8" w:space="0"/>
            </w:tcBorders>
            <w:tcMar>
              <w:left w:w="108" w:type="dxa"/>
              <w:top w:w="0" w:type="dxa"/>
              <w:right w:w="108" w:type="dxa"/>
              <w:bottom w:w="0" w:type="dxa"/>
            </w:tcMar>
            <w:tcW w:w="21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d0d0d"/>
                <w:sz w:val="24"/>
              </w:rPr>
              <w:t xml:space="preserve">Tài sản so sánh 1</w:t>
            </w:r>
            <w:r/>
          </w:p>
        </w:tc>
        <w:tc>
          <w:tcPr>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4"/>
                <w:highlight w:val="white"/>
              </w:rPr>
              <w:t xml:space="preserve">43.605.000</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4"/>
              </w:rPr>
              <w:t xml:space="preserve">33,34%</w:t>
            </w:r>
            <w:r/>
          </w:p>
        </w:tc>
        <w:tc>
          <w:tcPr>
            <w:tcBorders>
              <w:bottom w:val="single" w:color="000000" w:sz="8" w:space="0"/>
              <w:right w:val="single" w:color="000000" w:sz="8" w:space="0"/>
            </w:tcBorders>
            <w:tcMar>
              <w:left w:w="108" w:type="dxa"/>
              <w:top w:w="0" w:type="dxa"/>
              <w:right w:w="108" w:type="dxa"/>
              <w:bottom w:w="0" w:type="dxa"/>
            </w:tcMar>
            <w:tcW w:w="2269"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994"/>
              </w:tabs>
              <w:spacing/>
              <w:ind w:right="0" w:firstLine="0" w:left="0"/>
              <w:jc w:val="center"/>
              <w:rPr/>
            </w:pPr>
            <w:r>
              <w:rPr>
                <w:rFonts w:ascii="Times New Roman" w:hAnsi="Times New Roman" w:eastAsia="Times New Roman" w:cs="Times New Roman"/>
                <w:color w:val="0d0d0d"/>
                <w:sz w:val="24"/>
                <w:highlight w:val="white"/>
              </w:rPr>
              <w:t xml:space="preserve">14.533.547</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10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4"/>
              </w:rPr>
              <w:t xml:space="preserve">2</w:t>
            </w:r>
            <w:r/>
          </w:p>
        </w:tc>
        <w:tc>
          <w:tcPr>
            <w:tcBorders>
              <w:bottom w:val="single" w:color="000000" w:sz="8" w:space="0"/>
              <w:right w:val="single" w:color="000000" w:sz="8" w:space="0"/>
            </w:tcBorders>
            <w:tcMar>
              <w:left w:w="108" w:type="dxa"/>
              <w:top w:w="0" w:type="dxa"/>
              <w:right w:w="108" w:type="dxa"/>
              <w:bottom w:w="0" w:type="dxa"/>
            </w:tcMar>
            <w:tcW w:w="21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d0d0d"/>
                <w:sz w:val="24"/>
              </w:rPr>
              <w:t xml:space="preserve">Tài sản so sánh 2</w:t>
            </w:r>
            <w:r/>
          </w:p>
        </w:tc>
        <w:tc>
          <w:tcPr>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4"/>
                <w:highlight w:val="white"/>
              </w:rPr>
              <w:t xml:space="preserve">44.349.736</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4"/>
              </w:rPr>
              <w:t xml:space="preserve">33,33%</w:t>
            </w:r>
            <w:r/>
          </w:p>
        </w:tc>
        <w:tc>
          <w:tcPr>
            <w:tcBorders>
              <w:bottom w:val="single" w:color="000000" w:sz="8" w:space="0"/>
              <w:right w:val="single" w:color="000000" w:sz="8" w:space="0"/>
            </w:tcBorders>
            <w:tcMar>
              <w:left w:w="108" w:type="dxa"/>
              <w:top w:w="0" w:type="dxa"/>
              <w:right w:w="108" w:type="dxa"/>
              <w:bottom w:w="0" w:type="dxa"/>
            </w:tcMar>
            <w:tcW w:w="22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4"/>
                <w:highlight w:val="white"/>
              </w:rPr>
              <w:t xml:space="preserve">14.781.767</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10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4"/>
              </w:rPr>
              <w:t xml:space="preserve">3</w:t>
            </w:r>
            <w:r/>
          </w:p>
        </w:tc>
        <w:tc>
          <w:tcPr>
            <w:tcBorders>
              <w:bottom w:val="single" w:color="000000" w:sz="8" w:space="0"/>
              <w:right w:val="single" w:color="000000" w:sz="8" w:space="0"/>
            </w:tcBorders>
            <w:tcMar>
              <w:left w:w="108" w:type="dxa"/>
              <w:top w:w="0" w:type="dxa"/>
              <w:right w:w="108" w:type="dxa"/>
              <w:bottom w:w="0" w:type="dxa"/>
            </w:tcMar>
            <w:tcW w:w="21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d0d0d"/>
                <w:sz w:val="24"/>
              </w:rPr>
              <w:t xml:space="preserve">Tài sản so sánh 3</w:t>
            </w:r>
            <w:r/>
          </w:p>
        </w:tc>
        <w:tc>
          <w:tcPr>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4"/>
                <w:highlight w:val="white"/>
              </w:rPr>
              <w:t xml:space="preserve">42.385.000</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4"/>
              </w:rPr>
              <w:t xml:space="preserve">33,33%</w:t>
            </w:r>
            <w:r/>
          </w:p>
        </w:tc>
        <w:tc>
          <w:tcPr>
            <w:tcBorders>
              <w:bottom w:val="single" w:color="000000" w:sz="8" w:space="0"/>
              <w:right w:val="single" w:color="000000" w:sz="8" w:space="0"/>
            </w:tcBorders>
            <w:tcMar>
              <w:left w:w="108" w:type="dxa"/>
              <w:top w:w="0" w:type="dxa"/>
              <w:right w:w="108" w:type="dxa"/>
              <w:bottom w:w="0" w:type="dxa"/>
            </w:tcMar>
            <w:tcW w:w="22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4"/>
                <w:highlight w:val="white"/>
              </w:rPr>
              <w:t xml:space="preserve">14.131.159</w:t>
            </w:r>
            <w:r/>
          </w:p>
        </w:tc>
      </w:tr>
      <w:tr>
        <w:trPr>
          <w:trHeight w:val="312"/>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725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d0d0d"/>
                <w:sz w:val="24"/>
              </w:rPr>
              <w:t xml:space="preserve">Giá trị bình quân theo trọng số:</w:t>
            </w:r>
            <w:r/>
          </w:p>
        </w:tc>
        <w:tc>
          <w:tcPr>
            <w:tcBorders>
              <w:bottom w:val="single" w:color="000000" w:sz="8" w:space="0"/>
              <w:right w:val="single" w:color="000000" w:sz="8" w:space="0"/>
            </w:tcBorders>
            <w:tcMar>
              <w:left w:w="108" w:type="dxa"/>
              <w:top w:w="0" w:type="dxa"/>
              <w:right w:w="108" w:type="dxa"/>
              <w:bottom w:w="0" w:type="dxa"/>
            </w:tcMar>
            <w:tcW w:w="22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d0d0d"/>
                <w:sz w:val="24"/>
                <w:highlight w:val="white"/>
              </w:rPr>
              <w:t xml:space="preserve">43.446.473</w:t>
            </w:r>
            <w:r/>
          </w:p>
        </w:tc>
      </w:tr>
      <w:tr>
        <w:trPr>
          <w:trHeight w:val="312"/>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725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d0d0d"/>
                <w:sz w:val="24"/>
              </w:rPr>
              <w:t xml:space="preserve">Làm tròn:</w:t>
            </w:r>
            <w:r/>
          </w:p>
        </w:tc>
        <w:tc>
          <w:tcPr>
            <w:tcBorders>
              <w:bottom w:val="single" w:color="000000" w:sz="8" w:space="0"/>
              <w:right w:val="single" w:color="000000" w:sz="8" w:space="0"/>
            </w:tcBorders>
            <w:tcMar>
              <w:left w:w="108" w:type="dxa"/>
              <w:top w:w="0" w:type="dxa"/>
              <w:right w:w="108" w:type="dxa"/>
              <w:bottom w:w="0" w:type="dxa"/>
            </w:tcMar>
            <w:tcW w:w="22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d0d0d"/>
                <w:sz w:val="24"/>
              </w:rPr>
              <w:t xml:space="preserve">43.000.000</w:t>
            </w: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43.000.000</w:t>
      </w:r>
      <w:r>
        <w:rPr>
          <w:b/>
          <w:bCs/>
          <w:color w:val="000000" w:themeColor="text1"/>
        </w:rPr>
        <w:t xml:space="preserve"> </w:t>
      </w:r>
      <w:r>
        <w:rPr>
          <w:b/>
          <w:bCs/>
        </w:rPr>
        <w:t xml:space="preserve">đồng/m².</w:t>
      </w:r>
      <w:r>
        <w:rPr>
          <w:b/>
          <w:bCs/>
        </w:rPr>
      </w:r>
      <w:r>
        <w:rPr>
          <w:b/>
          <w:bCs/>
        </w:rPr>
      </w:r>
    </w:p>
    <w:p>
      <w:pPr>
        <w:pStyle w:val="1025"/>
        <w:numPr>
          <w:ilvl w:val="0"/>
          <w:numId w:val="26"/>
        </w:numPr>
        <w:pBdr/>
        <w:spacing w:after="120" w:before="120" w:line="276" w:lineRule="auto"/>
        <w:ind w:hanging="357" w:left="357"/>
        <w:jc w:val="both"/>
        <w:rPr>
          <w:b/>
          <w:bCs/>
        </w:rPr>
      </w:pPr>
      <w:r>
        <w:rPr>
          <w:b/>
          <w:bCs/>
        </w:rPr>
      </w:r>
      <w:r>
        <w:rPr>
          <w:rFonts w:ascii="Times New Roman" w:hAnsi="Times New Roman" w:eastAsia="Times New Roman" w:cs="Times New Roman"/>
          <w:b/>
          <w:color w:val="000000"/>
          <w:sz w:val="24"/>
        </w:rPr>
        <w:t xml:space="preserve">Xác định đơn giá quyền sử dụng đất  nằm trong quy hoạch HLGT</w:t>
      </w:r>
      <w:r>
        <w:rPr>
          <w:b/>
          <w:bCs/>
        </w:rPr>
        <w:t xml:space="preserve">:</w:t>
      </w:r>
      <w:r>
        <w:rPr>
          <w:b/>
          <w:bCs/>
        </w:rPr>
      </w:r>
      <w:r>
        <w:rPr>
          <w:b/>
          <w:bCs/>
        </w:rPr>
      </w:r>
    </w:p>
    <w:p>
      <w:pPr>
        <w:pBdr>
          <w:top w:val="none" w:color="000000" w:sz="4" w:space="0"/>
          <w:left w:val="none" w:color="000000" w:sz="4" w:space="0"/>
          <w:bottom w:val="none" w:color="000000" w:sz="4" w:space="0"/>
          <w:right w:val="none" w:color="000000" w:sz="4" w:space="0"/>
        </w:pBdr>
        <w:spacing w:after="120" w:before="120" w:line="276" w:lineRule="auto"/>
        <w:ind w:right="0" w:firstLine="180" w:left="0"/>
        <w:jc w:val="both"/>
        <w:rPr/>
      </w:pPr>
      <w:r>
        <w:rPr>
          <w:rFonts w:ascii="Times New Roman" w:hAnsi="Times New Roman" w:eastAsia="Times New Roman" w:cs="Times New Roman"/>
          <w:color w:val="000000"/>
          <w:sz w:val="24"/>
        </w:rPr>
        <w:t xml:space="preserve">Dưới sự thống nhất với Ngân hàng và phù hợp với mục đích định giá tại báo cáo này, tổ thẩm định xác định đơn giá quyền sử dụng đất nằm trong quy hoạch đất giao thông theo khung giá Nhà nước quy định. </w:t>
      </w:r>
      <w:r/>
    </w:p>
    <w:p>
      <w:pPr>
        <w:pBdr>
          <w:top w:val="none" w:color="000000" w:sz="4" w:space="0"/>
          <w:left w:val="none" w:color="000000" w:sz="4" w:space="0"/>
          <w:bottom w:val="none" w:color="000000" w:sz="4" w:space="0"/>
          <w:right w:val="none" w:color="000000" w:sz="4" w:space="0"/>
        </w:pBdr>
        <w:spacing w:line="276" w:lineRule="auto"/>
        <w:ind w:right="0" w:firstLine="180" w:left="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rPr>
        <w:t xml:space="preserve">Căn cứ Nghị quyết số </w:t>
      </w:r>
      <w:r>
        <w:rPr>
          <w:rFonts w:ascii="Times New Roman" w:hAnsi="Times New Roman" w:eastAsia="Times New Roman" w:cs="Times New Roman"/>
          <w:color w:val="000000"/>
          <w:sz w:val="24"/>
          <w:highlight w:val="white"/>
        </w:rPr>
        <w:t xml:space="preserve">52/2025/NQ-HĐND</w:t>
      </w:r>
      <w:r>
        <w:rPr>
          <w:rFonts w:ascii="Times New Roman" w:hAnsi="Times New Roman" w:eastAsia="Times New Roman" w:cs="Times New Roman"/>
          <w:color w:val="000000"/>
          <w:sz w:val="24"/>
        </w:rPr>
        <w:t xml:space="preserve">ngày 26 tháng 11 năm 2025 của Hội dồng nhân dân thành phố Hà Nội. Nghị quyết quy định về bảng giá đất lần đầu để công bố và áp dụng từ ngày 01 tháng 01 năm 2026 trên địa bàn thành phố Hà Nội. </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pBdr>
          <w:top w:val="none" w:color="000000" w:sz="4" w:space="0"/>
          <w:left w:val="none" w:color="000000" w:sz="4" w:space="0"/>
          <w:bottom w:val="none" w:color="000000" w:sz="4" w:space="0"/>
          <w:right w:val="none" w:color="000000" w:sz="4" w:space="0"/>
        </w:pBdr>
        <w:spacing w:line="276" w:lineRule="auto"/>
        <w:ind w:right="0" w:firstLine="180" w:left="0"/>
        <w:jc w:val="both"/>
        <w:rPr>
          <w:rFonts w:ascii="Times New Roman" w:hAnsi="Times New Roman" w:eastAsia="Times New Roman" w:cs="Times New Roman"/>
          <w:sz w:val="24"/>
          <w:szCs w:val="24"/>
        </w:rPr>
      </w:pPr>
      <w:r>
        <w:rPr>
          <w:rFonts w:ascii="Times New Roman" w:hAnsi="Times New Roman" w:eastAsia="Times New Roman" w:cs="Times New Roman"/>
          <w:color w:val="000000"/>
          <w:sz w:val="24"/>
        </w:rPr>
        <w:t xml:space="preserve">Phụ lục số 12 Bảng giá đất khu vực 12 áp dụng </w:t>
      </w:r>
      <w:r>
        <w:rPr>
          <w:rFonts w:ascii="Times New Roman" w:hAnsi="Times New Roman" w:eastAsia="Times New Roman" w:cs="Times New Roman"/>
          <w:color w:val="000000"/>
          <w:sz w:val="24"/>
          <w:highlight w:val="white"/>
        </w:rPr>
        <w:t xml:space="preserve">đối với các thửa đất (khu đất) thuộc địa giới hành chính các phường, xã: phường Sơn Tây, phường Tùng Thiện, xã Đoài Phương, xã Phúc Lộc, xã Phúc Thọ, xã Hát Môn):</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highlight w:val="white"/>
        </w:rPr>
        <w:t xml:space="preserve">Tỉnh lộ 414 (87A cũ): Đoạn từ Học viện Ngân hàng đến Ngã ba Vị Thủy vị trí 1</w:t>
      </w:r>
      <w:r>
        <w:rPr>
          <w:rFonts w:ascii="Times New Roman" w:hAnsi="Times New Roman" w:eastAsia="Times New Roman" w:cs="Times New Roman"/>
          <w:color w:val="000000"/>
          <w:sz w:val="24"/>
        </w:rPr>
        <w:t xml:space="preserve"> là: 20.987.000 đồng/m². </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Do đó tổ thẩm định xác định đơn giá quyền sử dụng đất ở nằm trong quy hoạch đất giao thông của hai thửa đất là: </w:t>
      </w:r>
      <w:r>
        <w:rPr>
          <w:rFonts w:ascii="Times New Roman" w:hAnsi="Times New Roman" w:eastAsia="Times New Roman" w:cs="Times New Roman"/>
          <w:b/>
          <w:i/>
          <w:color w:val="000000"/>
          <w:sz w:val="24"/>
        </w:rPr>
        <w:t xml:space="preserve">20.987.000 đồng/m².</w:t>
      </w:r>
      <w:r>
        <w:rPr>
          <w:rFonts w:ascii="Times New Roman" w:hAnsi="Times New Roman" w:eastAsia="Times New Roman" w:cs="Times New Roman"/>
          <w:sz w:val="24"/>
        </w:rPr>
      </w:r>
      <w:r/>
    </w:p>
    <w:p>
      <w:pPr>
        <w:pBdr>
          <w:top w:val="none" w:color="000000" w:sz="4" w:space="0"/>
          <w:left w:val="none" w:color="000000" w:sz="4" w:space="0"/>
          <w:bottom w:val="none" w:color="000000" w:sz="4" w:space="0"/>
          <w:right w:val="none" w:color="000000" w:sz="4" w:space="0"/>
        </w:pBdr>
        <w:spacing w:line="276" w:lineRule="auto"/>
        <w:ind w:right="0" w:firstLine="0" w:left="0"/>
        <w:jc w:val="both"/>
        <w:rPr>
          <w:rFonts w:ascii="Times New Roman" w:hAnsi="Times New Roman" w:eastAsia="Times New Roman" w:cs="Times New Roman"/>
          <w:sz w:val="24"/>
          <w:szCs w:val="24"/>
        </w:rPr>
      </w:pPr>
      <w:r>
        <w:rPr>
          <w:rFonts w:ascii="Times New Roman" w:hAnsi="Times New Roman" w:eastAsia="Times New Roman" w:cs="Times New Roman"/>
          <w:color w:val="000000" w:themeColor="text1"/>
          <w:sz w:val="24"/>
          <w:szCs w:val="24"/>
          <w:highlight w:val="white"/>
        </w:rPr>
        <w:t xml:space="preserve">Phụ lục số 18 Bảng giá đất nông nghiệp Giá đất trồng cây lâu năm </w:t>
      </w:r>
      <w:r>
        <w:rPr>
          <w:rFonts w:ascii="Times New Roman" w:hAnsi="Times New Roman" w:eastAsia="Times New Roman" w:cs="Times New Roman"/>
          <w:color w:val="000000" w:themeColor="text1"/>
          <w:sz w:val="24"/>
          <w:szCs w:val="24"/>
          <w:highlight w:val="white"/>
        </w:rPr>
        <w:t xml:space="preserve">Các xã, phường còn lại thuộc thị xã Sơn Tây (trước sắp xếp)</w:t>
      </w:r>
      <w:r>
        <w:rPr>
          <w:rFonts w:ascii="Times New Roman" w:hAnsi="Times New Roman" w:eastAsia="Times New Roman" w:cs="Times New Roman"/>
          <w:color w:val="000000" w:themeColor="text1"/>
          <w:sz w:val="24"/>
          <w:szCs w:val="24"/>
          <w:highlight w:val="white"/>
        </w:rPr>
        <w:t xml:space="preserve"> là</w:t>
      </w:r>
      <w:r>
        <w:rPr>
          <w:rFonts w:ascii="Times New Roman" w:hAnsi="Times New Roman" w:eastAsia="Times New Roman" w:cs="Times New Roman"/>
          <w:color w:val="000000" w:themeColor="text1"/>
          <w:sz w:val="24"/>
          <w:szCs w:val="24"/>
          <w:highlight w:val="white"/>
        </w:rPr>
        <w:t xml:space="preserve">: </w:t>
      </w:r>
      <w:r>
        <w:rPr>
          <w:rFonts w:ascii="Times New Roman" w:hAnsi="Times New Roman" w:eastAsia="Times New Roman" w:cs="Times New Roman"/>
          <w:color w:val="000000" w:themeColor="text1"/>
          <w:sz w:val="24"/>
          <w:szCs w:val="24"/>
          <w:highlight w:val="white"/>
        </w:rPr>
        <w:t xml:space="preserve">182.000 </w:t>
      </w:r>
      <w:r>
        <w:rPr>
          <w:rFonts w:ascii="Times New Roman" w:hAnsi="Times New Roman" w:eastAsia="Times New Roman" w:cs="Times New Roman"/>
          <w:color w:val="000000" w:themeColor="text1"/>
          <w:sz w:val="24"/>
          <w:szCs w:val="24"/>
          <w:highlight w:val="white"/>
        </w:rPr>
        <w:t xml:space="preserve">đồng/m</w:t>
      </w:r>
      <w:r>
        <w:rPr>
          <w:rFonts w:ascii="Times New Roman" w:hAnsi="Times New Roman" w:eastAsia="Times New Roman" w:cs="Times New Roman"/>
          <w:color w:val="000000"/>
          <w:sz w:val="24"/>
        </w:rPr>
        <w:t xml:space="preserve">²</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Bdr>
          <w:top w:val="none" w:color="000000" w:sz="4" w:space="0"/>
          <w:left w:val="none" w:color="000000" w:sz="4" w:space="0"/>
          <w:bottom w:val="none" w:color="000000" w:sz="4" w:space="0"/>
          <w:right w:val="none" w:color="000000" w:sz="4" w:space="0"/>
        </w:pBdr>
        <w:spacing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Do đó tổ thẩm định xác định đơn giá quyền sử dụng đất </w:t>
      </w:r>
      <w:r>
        <w:rPr>
          <w:rFonts w:ascii="Times New Roman" w:hAnsi="Times New Roman" w:eastAsia="Times New Roman" w:cs="Times New Roman"/>
          <w:color w:val="000000"/>
          <w:sz w:val="24"/>
        </w:rPr>
        <w:t xml:space="preserve">trồng cây lâu năm</w:t>
      </w:r>
      <w:r>
        <w:rPr>
          <w:rFonts w:ascii="Times New Roman" w:hAnsi="Times New Roman" w:eastAsia="Times New Roman" w:cs="Times New Roman"/>
          <w:color w:val="000000"/>
          <w:sz w:val="24"/>
        </w:rPr>
        <w:t xml:space="preserve"> nằm trong quy hoạch đất giao thông của hai thửa đất là: </w:t>
      </w:r>
      <w:r>
        <w:rPr>
          <w:rFonts w:ascii="Times New Roman" w:hAnsi="Times New Roman" w:eastAsia="Times New Roman" w:cs="Times New Roman"/>
          <w:b/>
          <w:i/>
          <w:color w:val="000000"/>
          <w:sz w:val="24"/>
        </w:rPr>
        <w:t xml:space="preserve">182.000 đồng/m².</w:t>
      </w:r>
      <w:r>
        <w:rPr>
          <w:rFonts w:ascii="Times New Roman" w:hAnsi="Times New Roman" w:eastAsia="Times New Roman" w:cs="Times New Roman"/>
          <w:sz w:val="24"/>
        </w:rPr>
      </w:r>
      <w:r>
        <w:rPr>
          <w:rFonts w:ascii="Times New Roman" w:hAnsi="Times New Roman" w:eastAsia="Times New Roman" w:cs="Times New Roman"/>
          <w:sz w:val="24"/>
        </w:rPr>
      </w:r>
    </w:p>
    <w:p>
      <w:pPr>
        <w:pStyle w:val="1025"/>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25"/>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07/2026</w:t>
      </w:r>
      <w:r>
        <w:t xml:space="preserve"> </w:t>
      </w:r>
      <w:r>
        <w:t xml:space="preserve">ước tính </w:t>
      </w:r>
      <w:r>
        <w:t xml:space="preserve">như sau</w:t>
      </w:r>
      <w:r>
        <w:t xml:space="preserve">:</w:t>
      </w:r>
      <w:r/>
    </w:p>
    <w:tbl>
      <w:tblPr>
        <w:tblStyle w:val="1029"/>
        <w:tblInd w:w="113"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704"/>
        <w:gridCol w:w="3147"/>
        <w:gridCol w:w="1560"/>
        <w:gridCol w:w="1984"/>
        <w:gridCol w:w="1985"/>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TT</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314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Tài sản</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Diện tích (m²)</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Đơn giá (đồng/m²)</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98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Thành tiền (đồng)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01</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669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both"/>
              <w:rPr>
                <w:rFonts w:ascii="Times New Roman" w:hAnsi="Times New Roman" w:eastAsia="Times New Roman" w:cs="Times New Roman"/>
                <w:b/>
                <w:bCs/>
                <w:sz w:val="24"/>
              </w:rPr>
            </w:pPr>
            <w:r>
              <w:rPr>
                <w:rFonts w:ascii="Times New Roman" w:hAnsi="Times New Roman" w:eastAsia="Times New Roman" w:cs="Times New Roman"/>
                <w:b/>
                <w:color w:val="000000"/>
                <w:sz w:val="24"/>
              </w:rPr>
            </w:r>
            <w:r>
              <w:rPr>
                <w:rFonts w:ascii="Times New Roman" w:hAnsi="Times New Roman" w:eastAsia="Times New Roman" w:cs="Times New Roman"/>
                <w:b/>
                <w:bCs/>
                <w:color w:val="000000" w:themeColor="text1"/>
                <w:sz w:val="24"/>
                <w:highlight w:val="white"/>
              </w:rPr>
              <w:t xml:space="preserve">Q</w:t>
            </w:r>
            <w:r>
              <w:rPr>
                <w:rFonts w:ascii="Times New Roman" w:hAnsi="Times New Roman" w:eastAsia="Times New Roman" w:cs="Times New Roman"/>
                <w:b/>
                <w:bCs/>
                <w:color w:val="000000" w:themeColor="text1"/>
                <w:sz w:val="24"/>
                <w:highlight w:val="white"/>
              </w:rPr>
              <w:t xml:space="preserve">uyền sử dụng đất tại </w:t>
            </w:r>
            <w:r>
              <w:rPr>
                <w:rFonts w:ascii="Times New Roman" w:hAnsi="Times New Roman" w:eastAsia="Times New Roman" w:cs="Times New Roman"/>
                <w:b/>
                <w:bCs/>
                <w:color w:val="000000" w:themeColor="text1"/>
                <w:sz w:val="24"/>
                <w:highlight w:val="white"/>
              </w:rPr>
              <w:t xml:space="preserve">thửa đất số: 340, tờ bản đồ số: 133, có địa chỉ: Tổ</w:t>
            </w:r>
            <w:r>
              <w:rPr>
                <w:rFonts w:ascii="Times New Roman" w:hAnsi="Times New Roman" w:eastAsia="Times New Roman" w:cs="Times New Roman"/>
                <w:b/>
                <w:bCs/>
                <w:color w:val="000000" w:themeColor="text1"/>
                <w:sz w:val="24"/>
                <w:highlight w:val="white"/>
              </w:rPr>
              <w:t xml:space="preserve"> d</w:t>
            </w:r>
            <w:r>
              <w:rPr>
                <w:rFonts w:ascii="Times New Roman" w:hAnsi="Times New Roman" w:eastAsia="Times New Roman" w:cs="Times New Roman"/>
                <w:b/>
                <w:bCs/>
                <w:color w:val="000000" w:themeColor="text1"/>
                <w:sz w:val="24"/>
                <w:highlight w:val="white"/>
              </w:rPr>
              <w:t xml:space="preserve">ân phố Thanh Vị, phường Tùng Thiện, thành phố Hà Nội, theo Giấy chứng nhận quyền sử dụng đất, quyền sở hữu tài sản gắn li</w:t>
            </w:r>
            <w:r>
              <w:rPr>
                <w:rFonts w:ascii="Times New Roman" w:hAnsi="Times New Roman" w:eastAsia="Times New Roman" w:cs="Times New Roman"/>
                <w:b/>
                <w:bCs/>
                <w:color w:val="000000"/>
                <w:sz w:val="24"/>
                <w:highlight w:val="white"/>
              </w:rPr>
              <w:t xml:space="preserve">ền với đất số: AA 08168280, số vào sổ cấp GCN: 8777 do Chi nh</w:t>
            </w:r>
            <w:r>
              <w:rPr>
                <w:rFonts w:ascii="Times New Roman" w:hAnsi="Times New Roman" w:eastAsia="Times New Roman" w:cs="Times New Roman"/>
                <w:b/>
                <w:bCs/>
                <w:color w:val="000000"/>
                <w:sz w:val="24"/>
                <w:highlight w:val="white"/>
              </w:rPr>
              <w:t xml:space="preserve">ánh Văn phòng Đăng ký đất đai Sơn Tây cấp ngày 07/7/2026; Chủ tài sản là ông: Phùng Văn Mạnh</w:t>
            </w:r>
            <w:r>
              <w:rPr>
                <w:rFonts w:ascii="Times New Roman" w:hAnsi="Times New Roman" w:eastAsia="Times New Roman" w:cs="Times New Roman"/>
                <w:b/>
                <w:bCs/>
                <w:color w:val="000000"/>
                <w:sz w:val="24"/>
                <w:highlight w:val="white"/>
              </w:rPr>
              <w:t xml:space="preserve"> và vợ: </w:t>
            </w:r>
            <w:r>
              <w:rPr>
                <w:rFonts w:ascii="Times New Roman" w:hAnsi="Times New Roman" w:eastAsia="Times New Roman" w:cs="Times New Roman"/>
                <w:b/>
                <w:bCs/>
                <w:color w:val="000000"/>
                <w:sz w:val="24"/>
                <w:highlight w:val="white"/>
              </w:rPr>
              <w:t xml:space="preserve">Kiều Thị Trang</w:t>
            </w:r>
            <w:r>
              <w:rPr>
                <w:rFonts w:ascii="Times New Roman" w:hAnsi="Times New Roman" w:eastAsia="Times New Roman" w:cs="Times New Roman"/>
                <w:b/>
                <w:bCs/>
                <w:color w:val="000000"/>
                <w:sz w:val="24"/>
              </w:rPr>
              <w:t xml:space="preserve">.</w:t>
            </w:r>
            <w:r>
              <w:rPr>
                <w:rFonts w:ascii="Times New Roman" w:hAnsi="Times New Roman" w:eastAsia="Times New Roman" w:cs="Times New Roman"/>
                <w:b/>
                <w:bCs/>
                <w:sz w:val="24"/>
              </w:rPr>
            </w:r>
            <w:r>
              <w:rPr>
                <w:rFonts w:ascii="Times New Roman" w:hAnsi="Times New Roman" w:eastAsia="Times New Roman" w:cs="Times New Roman"/>
                <w:b/>
                <w:bCs/>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98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right"/>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rFonts w:ascii="Times New Roman" w:hAnsi="Times New Roman" w:eastAsia="Times New Roman" w:cs="Times New Roman"/>
                <w:b w:val="0"/>
                <w:bCs w:val="0"/>
                <w:sz w:val="24"/>
              </w:rPr>
            </w:pPr>
            <w:r>
              <w:rPr>
                <w:rFonts w:ascii="Times New Roman" w:hAnsi="Times New Roman" w:eastAsia="Times New Roman" w:cs="Times New Roman"/>
                <w:b w:val="0"/>
                <w:bCs w:val="0"/>
                <w:color w:val="000000"/>
                <w:sz w:val="24"/>
              </w:rPr>
              <w:t xml:space="preserve">-</w:t>
            </w:r>
            <w:r>
              <w:rPr>
                <w:rFonts w:ascii="Times New Roman" w:hAnsi="Times New Roman" w:eastAsia="Times New Roman" w:cs="Times New Roman"/>
                <w:b w:val="0"/>
                <w:bCs w:val="0"/>
                <w:sz w:val="24"/>
              </w:rPr>
            </w:r>
            <w:r>
              <w:rPr>
                <w:rFonts w:ascii="Times New Roman" w:hAnsi="Times New Roman" w:eastAsia="Times New Roman" w:cs="Times New Roman"/>
                <w:b w:val="0"/>
                <w:bCs w:val="0"/>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314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rPr>
                <w:rFonts w:ascii="Times New Roman" w:hAnsi="Times New Roman" w:eastAsia="Times New Roman" w:cs="Times New Roman"/>
                <w:b w:val="0"/>
                <w:bCs w:val="0"/>
                <w:sz w:val="24"/>
              </w:rPr>
            </w:pPr>
            <w:r>
              <w:rPr>
                <w:rFonts w:ascii="Times New Roman" w:hAnsi="Times New Roman" w:eastAsia="Times New Roman" w:cs="Times New Roman"/>
                <w:b w:val="0"/>
                <w:bCs w:val="0"/>
                <w:color w:val="000000"/>
                <w:sz w:val="24"/>
              </w:rPr>
              <w:t xml:space="preserve">Đất ở tại đô thị nằm ngoài quy hoạch HLGT</w:t>
            </w:r>
            <w:r>
              <w:rPr>
                <w:rFonts w:ascii="Times New Roman" w:hAnsi="Times New Roman" w:eastAsia="Times New Roman" w:cs="Times New Roman"/>
                <w:b w:val="0"/>
                <w:bCs w:val="0"/>
                <w:sz w:val="24"/>
              </w:rPr>
            </w:r>
            <w:r>
              <w:rPr>
                <w:rFonts w:ascii="Times New Roman" w:hAnsi="Times New Roman" w:eastAsia="Times New Roman" w:cs="Times New Roman"/>
                <w:b w:val="0"/>
                <w:bCs w:val="0"/>
                <w:sz w:val="24"/>
              </w:rP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276,2</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43.000.000</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98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right"/>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11.876.600.000</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357"/>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rFonts w:ascii="Times New Roman" w:hAnsi="Times New Roman" w:eastAsia="Times New Roman" w:cs="Times New Roman"/>
                <w:b w:val="0"/>
                <w:bCs w:val="0"/>
                <w:sz w:val="24"/>
              </w:rPr>
            </w:pPr>
            <w:r>
              <w:rPr>
                <w:rFonts w:ascii="Times New Roman" w:hAnsi="Times New Roman" w:eastAsia="Times New Roman" w:cs="Times New Roman"/>
                <w:b w:val="0"/>
                <w:bCs w:val="0"/>
                <w:color w:val="000000"/>
                <w:sz w:val="24"/>
              </w:rPr>
              <w:t xml:space="preserve">-</w:t>
            </w:r>
            <w:r>
              <w:rPr>
                <w:rFonts w:ascii="Times New Roman" w:hAnsi="Times New Roman" w:eastAsia="Times New Roman" w:cs="Times New Roman"/>
                <w:b w:val="0"/>
                <w:bCs w:val="0"/>
                <w:sz w:val="24"/>
              </w:rPr>
            </w:r>
            <w:r>
              <w:rPr>
                <w:rFonts w:ascii="Times New Roman" w:hAnsi="Times New Roman" w:eastAsia="Times New Roman" w:cs="Times New Roman"/>
                <w:b w:val="0"/>
                <w:bCs w:val="0"/>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314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rPr>
                <w:rFonts w:ascii="Times New Roman" w:hAnsi="Times New Roman" w:eastAsia="Times New Roman" w:cs="Times New Roman"/>
                <w:b w:val="0"/>
                <w:bCs w:val="0"/>
                <w:sz w:val="24"/>
              </w:rPr>
            </w:pPr>
            <w:r>
              <w:rPr>
                <w:rFonts w:ascii="Times New Roman" w:hAnsi="Times New Roman" w:eastAsia="Times New Roman" w:cs="Times New Roman"/>
                <w:b w:val="0"/>
                <w:bCs w:val="0"/>
                <w:color w:val="000000"/>
                <w:sz w:val="24"/>
              </w:rPr>
              <w:t xml:space="preserve">Đất ở tại đô thị nằm trong quy hoạch HLGT</w:t>
            </w:r>
            <w:r>
              <w:rPr>
                <w:rFonts w:ascii="Times New Roman" w:hAnsi="Times New Roman" w:eastAsia="Times New Roman" w:cs="Times New Roman"/>
                <w:b w:val="0"/>
                <w:bCs w:val="0"/>
                <w:sz w:val="24"/>
              </w:rPr>
            </w:r>
            <w:r>
              <w:rPr>
                <w:rFonts w:ascii="Times New Roman" w:hAnsi="Times New Roman" w:eastAsia="Times New Roman" w:cs="Times New Roman"/>
                <w:b w:val="0"/>
                <w:bCs w:val="0"/>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55,8</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20.987.000</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98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right"/>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1.171.074.600</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357"/>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rFonts w:ascii="Times New Roman" w:hAnsi="Times New Roman" w:eastAsia="Times New Roman" w:cs="Times New Roman"/>
                <w:b w:val="0"/>
                <w:bCs w:val="0"/>
                <w:sz w:val="24"/>
              </w:rPr>
            </w:pPr>
            <w:r>
              <w:rPr>
                <w:rFonts w:ascii="Times New Roman" w:hAnsi="Times New Roman" w:eastAsia="Times New Roman" w:cs="Times New Roman"/>
                <w:b w:val="0"/>
                <w:bCs w:val="0"/>
                <w:color w:val="000000"/>
                <w:sz w:val="24"/>
              </w:rPr>
              <w:t xml:space="preserve">-</w:t>
            </w:r>
            <w:r>
              <w:rPr>
                <w:rFonts w:ascii="Times New Roman" w:hAnsi="Times New Roman" w:eastAsia="Times New Roman" w:cs="Times New Roman"/>
                <w:b w:val="0"/>
                <w:bCs w:val="0"/>
                <w:sz w:val="24"/>
              </w:rPr>
            </w:r>
            <w:r>
              <w:rPr>
                <w:rFonts w:ascii="Times New Roman" w:hAnsi="Times New Roman" w:eastAsia="Times New Roman" w:cs="Times New Roman"/>
                <w:b w:val="0"/>
                <w:bCs w:val="0"/>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314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rPr>
                <w:rFonts w:ascii="Times New Roman" w:hAnsi="Times New Roman" w:eastAsia="Times New Roman" w:cs="Times New Roman"/>
                <w:b w:val="0"/>
                <w:bCs w:val="0"/>
                <w:sz w:val="24"/>
              </w:rPr>
            </w:pPr>
            <w:r>
              <w:rPr>
                <w:rFonts w:ascii="Times New Roman" w:hAnsi="Times New Roman" w:eastAsia="Times New Roman" w:cs="Times New Roman"/>
                <w:b w:val="0"/>
                <w:bCs w:val="0"/>
                <w:color w:val="000000"/>
                <w:sz w:val="24"/>
              </w:rPr>
              <w:t xml:space="preserve">Đất ở trồng cây lâu năm trong quy hoạch HLGT</w:t>
            </w:r>
            <w:r>
              <w:rPr>
                <w:rFonts w:ascii="Times New Roman" w:hAnsi="Times New Roman" w:eastAsia="Times New Roman" w:cs="Times New Roman"/>
                <w:b w:val="0"/>
                <w:bCs w:val="0"/>
                <w:sz w:val="24"/>
              </w:rPr>
            </w:r>
            <w:r>
              <w:rPr>
                <w:rFonts w:ascii="Times New Roman" w:hAnsi="Times New Roman" w:eastAsia="Times New Roman" w:cs="Times New Roman"/>
                <w:b w:val="0"/>
                <w:bCs w:val="0"/>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182,7</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182.000</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98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right"/>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33.251.400</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7395"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TỔNG CỘNG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985"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right"/>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13.080.926.000</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7395"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LÀM TRÒN</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985"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right"/>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13.081.000.000</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gridSpan w:val="5"/>
            <w:tcBorders>
              <w:left w:val="single" w:color="000000" w:sz="8" w:space="0"/>
              <w:bottom w:val="single" w:color="000000" w:sz="8" w:space="0"/>
              <w:right w:val="single" w:color="000000" w:sz="8" w:space="0"/>
            </w:tcBorders>
            <w:tcMar>
              <w:left w:w="108" w:type="dxa"/>
              <w:top w:w="0" w:type="dxa"/>
              <w:right w:w="108" w:type="dxa"/>
              <w:bottom w:w="0" w:type="dxa"/>
            </w:tcMar>
            <w:tcW w:w="938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i/>
                <w:color w:val="000000"/>
                <w:sz w:val="24"/>
              </w:rPr>
              <w:t xml:space="preserve">(Bằng chữ:</w:t>
            </w:r>
            <w:r>
              <w:rPr>
                <w:rFonts w:ascii="Times New Roman" w:hAnsi="Times New Roman" w:eastAsia="Times New Roman" w:cs="Times New Roman"/>
                <w:b/>
                <w:color w:val="000000"/>
                <w:sz w:val="24"/>
              </w:rPr>
              <w:t xml:space="preserve"> </w:t>
            </w:r>
            <w:r>
              <w:rPr>
                <w:rFonts w:ascii="Times New Roman" w:hAnsi="Times New Roman" w:eastAsia="Times New Roman" w:cs="Times New Roman"/>
                <w:b/>
                <w:i/>
                <w:color w:val="000000"/>
                <w:sz w:val="24"/>
              </w:rPr>
              <w:t xml:space="preserve">Mười ba tỷ tám mươi mốt triệu đồng./.)</w:t>
            </w:r>
            <w:r>
              <w:rPr>
                <w:rFonts w:ascii="Times New Roman" w:hAnsi="Times New Roman" w:eastAsia="Times New Roman" w:cs="Times New Roman"/>
                <w:sz w:val="24"/>
              </w:rPr>
            </w:r>
            <w:r>
              <w:rPr>
                <w:rFonts w:ascii="Times New Roman" w:hAnsi="Times New Roman" w:eastAsia="Times New Roman" w:cs="Times New Roman"/>
                <w:sz w:val="24"/>
              </w:rPr>
            </w:r>
          </w:p>
        </w:tc>
      </w:tr>
    </w:tbl>
    <w:p>
      <w:pPr>
        <w:pStyle w:val="1025"/>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5"/>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25"/>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25"/>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25"/>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25"/>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25"/>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25"/>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25"/>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25"/>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25"/>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25"/>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25"/>
        <w:numPr>
          <w:ilvl w:val="0"/>
          <w:numId w:val="5"/>
        </w:numPr>
        <w:pBdr/>
        <w:tabs>
          <w:tab w:val="left" w:leader="none" w:pos="993"/>
        </w:tabs>
        <w:spacing w:after="120" w:before="120" w:line="288" w:lineRule="auto"/>
        <w:ind/>
        <w:jc w:val="both"/>
        <w:rPr>
          <w:lang w:val="pt-BR"/>
        </w:rPr>
      </w:pPr>
      <w:r>
        <w:rPr>
          <w:highlight w:val="none"/>
          <w:shd w:val="clear" w:color="auto" w:fill="ffffff"/>
          <w:lang w:val="pt-BR" w:bidi="pt-BR"/>
        </w:rPr>
      </w:r>
      <w:r>
        <w:rPr>
          <w:rFonts w:ascii="Times New Roman" w:hAnsi="Times New Roman" w:eastAsia="Times New Roman" w:cs="Times New Roman"/>
          <w:color w:val="000000"/>
          <w:sz w:val="24"/>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rFonts w:ascii="Times New Roman" w:hAnsi="Times New Roman" w:eastAsia="Times New Roman" w:cs="Times New Roman"/>
          <w:color w:val="000000"/>
          <w:sz w:val="24"/>
        </w:rPr>
        <w:t xml:space="preserve"> vị trí thửa đất hiện có </w:t>
      </w:r>
      <w:r>
        <w:rPr>
          <w:rFonts w:ascii="Times New Roman" w:hAnsi="Times New Roman" w:eastAsia="Times New Roman" w:cs="Times New Roman"/>
          <w:color w:val="ff0000"/>
          <w:sz w:val="24"/>
        </w:rPr>
        <w:t xml:space="preserve">238,5m</w:t>
      </w:r>
      <w:r>
        <w:rPr>
          <w:rFonts w:ascii="Times New Roman" w:hAnsi="Times New Roman" w:eastAsia="Times New Roman" w:cs="Times New Roman"/>
          <w:color w:val="000000"/>
          <w:sz w:val="24"/>
        </w:rPr>
        <w:t xml:space="preserve">² đất thuộc quy hoạch hành lang giao thông. Đề nghị Khách hàng sử dụng kết quả lưu ý kiểm tra xác minh thêm thông tin quy hoạch nếu thấy cần thiết. Trong trường hợp Khách hàng/Ngân hàng cung cấp được Văn bản xác nhận rõ tình trạng quy hoạch thì kết quả thẩ</w:t>
      </w:r>
      <w:r>
        <w:rPr>
          <w:rFonts w:ascii="Times New Roman" w:hAnsi="Times New Roman" w:eastAsia="Times New Roman" w:cs="Times New Roman"/>
          <w:color w:val="000000"/>
          <w:sz w:val="24"/>
        </w:rPr>
        <w:t xml:space="preserve">m định giá cần được xem xét, điều chỉnh phù hợp, đồng thời chúng tôi bảo lưu quyền xem xét lại kết quả thẩm định giá</w:t>
      </w:r>
      <w:r>
        <w:rPr>
          <w:highlight w:val="none"/>
          <w:shd w:val="clear" w:color="auto" w:fill="ffffff"/>
          <w:lang w:val="pt-BR" w:bidi="pt-BR"/>
        </w:rPr>
        <w:t xml:space="preserve">.</w:t>
      </w:r>
      <w:r>
        <w:rPr>
          <w:lang w:val="pt-BR"/>
        </w:rPr>
      </w:r>
      <w:r>
        <w:rPr>
          <w:lang w:val="pt-BR"/>
        </w:rPr>
      </w:r>
    </w:p>
    <w:p>
      <w:pPr>
        <w:pStyle w:val="1025"/>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5"/>
        <w:numPr>
          <w:ilvl w:val="0"/>
          <w:numId w:val="5"/>
        </w:numPr>
        <w:pBdr/>
        <w:tabs>
          <w:tab w:val="left" w:leader="none" w:pos="993"/>
        </w:tabs>
        <w:spacing w:after="120" w:before="120" w:line="288" w:lineRule="auto"/>
        <w:ind/>
        <w:jc w:val="both"/>
        <w:rPr>
          <w:bCs/>
          <w:spacing w:val="-2"/>
          <w:lang w:val="pt-BR"/>
        </w:rPr>
      </w:pPr>
      <w:r>
        <w:rPr>
          <w:bCs/>
          <w:spacing w:val="-2"/>
          <w:lang w:val="pt-BR"/>
        </w:rPr>
      </w:r>
      <w:r>
        <w:rPr>
          <w:rFonts w:ascii="Times New Roman" w:hAnsi="Times New Roman" w:eastAsia="Times New Roman" w:cs="Times New Roman"/>
          <w:color w:val="000000"/>
          <w:sz w:val="24"/>
        </w:rPr>
        <w:t xml:space="preserve">Tại thời điểm khảo sát, CTXD gắn liền với đất gồm là 01 nhà 3 tầng xây dựng năm 2016, diện tích xây dựng khoảng 137,5 m²; phần diện tích còn lại sử dụng làm xưởng. CTXD tại thời điểm khảo sát chưa được chứng nhận trên Giấy chứng nhận quyền sử dụng đất. Do </w:t>
      </w:r>
      <w:r>
        <w:rPr>
          <w:rFonts w:ascii="Times New Roman" w:hAnsi="Times New Roman" w:eastAsia="Times New Roman" w:cs="Times New Roman"/>
          <w:color w:val="000000"/>
          <w:sz w:val="24"/>
        </w:rPr>
        <w:t xml:space="preserve">vậy, theo đề nghị của Ngân hàng/Khách hàng, tổ thẩm định không xác định giá trị của công trình xây dựng vào tổng giá trị, nhưng vẫn coi đó là phần không thể tách rời của tài sản thẩm định. Kính đề nghị đơn vị sử dụng kết quả lưu ý</w:t>
      </w:r>
      <w:r>
        <w:rPr>
          <w:bCs/>
          <w:spacing w:val="-2"/>
          <w:lang w:val="pt-BR"/>
        </w:rPr>
        <w:t xml:space="preserve">.</w:t>
      </w:r>
      <w:r>
        <w:rPr>
          <w:bCs/>
          <w:spacing w:val="-2"/>
          <w:lang w:val="pt-BR"/>
        </w:rPr>
      </w:r>
      <w:r>
        <w:rPr>
          <w:bCs/>
          <w:spacing w:val="-2"/>
          <w:lang w:val="pt-BR"/>
        </w:rPr>
      </w:r>
    </w:p>
    <w:p>
      <w:pPr>
        <w:pStyle w:val="1025"/>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5"/>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25"/>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5"/>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25"/>
        <w:pBdr/>
        <w:tabs>
          <w:tab w:val="left" w:leader="none" w:pos="993"/>
        </w:tabs>
        <w:spacing w:after="120" w:before="120" w:line="288" w:lineRule="auto"/>
        <w:ind w:left="0"/>
        <w:jc w:val="both"/>
        <w:rPr>
          <w:highlight w:val="none"/>
          <w:lang w:val="pt-BR"/>
        </w:rPr>
      </w:pPr>
      <w:r>
        <w:rPr>
          <w:lang w:val="pt-BR"/>
        </w:rPr>
        <w:t xml:space="preserve">Phụ lục 2: Thông tin </w:t>
      </w:r>
      <w:r>
        <w:rPr>
          <w:lang w:val="pt-BR"/>
        </w:rPr>
        <w:t xml:space="preserve">thu thập thị trường</w:t>
      </w:r>
      <w:r>
        <w:rPr>
          <w:lang w:val="pt-BR"/>
        </w:rPr>
        <w:t xml:space="preserve">.</w:t>
      </w:r>
      <w:r>
        <w:rPr>
          <w:highlight w:val="none"/>
          <w:lang w:val="pt-BR"/>
        </w:rPr>
      </w:r>
      <w:r>
        <w:rPr>
          <w:highlight w:val="none"/>
          <w:lang w:val="pt-BR"/>
        </w:rPr>
      </w:r>
    </w:p>
    <w:p>
      <w:pPr>
        <w:pBdr/>
        <w:shd w:val="nil" w:color="auto"/>
        <w:spacing/>
        <w:ind/>
        <w:rPr>
          <w:lang w:val="pt-BR"/>
        </w:rPr>
      </w:pPr>
      <w:r>
        <w:rPr>
          <w:lang w:val="pt-BR"/>
        </w:rPr>
      </w: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275/2026/1142/VFI-CT.65.A</w:t>
      </w:r>
      <w:r>
        <w:rPr>
          <w:color w:val="ff0000"/>
          <w:lang w:val="vi-VN"/>
        </w:rPr>
        <w:t xml:space="preserve"> </w:t>
      </w:r>
      <w:r>
        <w:rPr>
          <w:color w:val="000000" w:themeColor="text1"/>
        </w:rPr>
        <w:t xml:space="preserve">ngày 27 tháng 7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Hồng Phúc</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275/2026/1142/VFI-BC.65.A ngày</w:t>
      </w:r>
      <w:r>
        <w:rPr>
          <w:i/>
          <w:lang w:val="pt-BR"/>
        </w:rPr>
        <w:t xml:space="preserve"> </w:t>
      </w:r>
      <w:r>
        <w:rPr>
          <w:i/>
          <w:lang w:val="pt-BR"/>
        </w:rPr>
        <w:t xml:space="preserve">27 tháng 7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2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496610" cy="2391814"/>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200659" name=""/>
                              <pic:cNvPicPr>
                                <a:picLocks noChangeAspect="1"/>
                              </pic:cNvPicPr>
                              <pic:nvPr/>
                            </pic:nvPicPr>
                            <pic:blipFill rotWithShape="1">
                              <a:blip r:embed="rId19"/>
                              <a:stretch/>
                            </pic:blipFill>
                            <pic:spPr bwMode="auto">
                              <a:xfrm flipH="0" flipV="0">
                                <a:off x="0" y="0"/>
                                <a:ext cx="2496609" cy="239181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96.58pt;height:188.33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3204568" cy="2403426"/>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229365" name=""/>
                              <pic:cNvPicPr>
                                <a:picLocks noChangeAspect="1"/>
                              </pic:cNvPicPr>
                              <pic:nvPr/>
                            </pic:nvPicPr>
                            <pic:blipFill rotWithShape="1">
                              <a:blip r:embed="rId20"/>
                              <a:stretch/>
                            </pic:blipFill>
                            <pic:spPr bwMode="auto">
                              <a:xfrm flipH="0" flipV="0">
                                <a:off x="0" y="0"/>
                                <a:ext cx="3204567" cy="24034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52.33pt;height:189.25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r>
    </w:tbl>
    <w:tbl>
      <w:tblPr>
        <w:tblStyle w:val="1029"/>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Tổng quan tài sản</w:t>
            </w: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72628" cy="2152933"/>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589157" name=""/>
                              <pic:cNvPicPr>
                                <a:picLocks noChangeAspect="1"/>
                              </pic:cNvPicPr>
                              <pic:nvPr/>
                            </pic:nvPicPr>
                            <pic:blipFill rotWithShape="1">
                              <a:blip r:embed="rId21"/>
                              <a:stretch/>
                            </pic:blipFill>
                            <pic:spPr bwMode="auto">
                              <a:xfrm flipH="0" flipV="0">
                                <a:off x="0" y="0"/>
                                <a:ext cx="2872627" cy="215293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6.19pt;height:169.52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31402" cy="2123551"/>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914606" name=""/>
                              <pic:cNvPicPr>
                                <a:picLocks noChangeAspect="1"/>
                              </pic:cNvPicPr>
                              <pic:nvPr/>
                            </pic:nvPicPr>
                            <pic:blipFill rotWithShape="1">
                              <a:blip r:embed="rId22"/>
                              <a:stretch/>
                            </pic:blipFill>
                            <pic:spPr bwMode="auto">
                              <a:xfrm flipH="0" flipV="0">
                                <a:off x="0" y="0"/>
                                <a:ext cx="2831401" cy="212355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2.95pt;height:167.21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49975" cy="2133037"/>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007773" name=""/>
                              <pic:cNvPicPr>
                                <a:picLocks noChangeAspect="1"/>
                              </pic:cNvPicPr>
                              <pic:nvPr/>
                            </pic:nvPicPr>
                            <pic:blipFill rotWithShape="1">
                              <a:blip r:embed="rId23"/>
                              <a:stretch/>
                            </pic:blipFill>
                            <pic:spPr bwMode="auto">
                              <a:xfrm flipH="0" flipV="0">
                                <a:off x="0" y="0"/>
                                <a:ext cx="2849974" cy="213303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4.41pt;height:167.96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916059" cy="2187044"/>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876532" name=""/>
                              <pic:cNvPicPr>
                                <a:picLocks noChangeAspect="1"/>
                              </pic:cNvPicPr>
                              <pic:nvPr/>
                            </pic:nvPicPr>
                            <pic:blipFill rotWithShape="1">
                              <a:blip r:embed="rId24"/>
                              <a:stretch/>
                            </pic:blipFill>
                            <pic:spPr bwMode="auto">
                              <a:xfrm flipH="0" flipV="0">
                                <a:off x="0" y="0"/>
                                <a:ext cx="2916058" cy="218704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29.61pt;height:172.21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r>
    </w:tbl>
    <w:p>
      <w:pPr>
        <w:pBdr/>
        <w:spacing w:after="200" w:line="276" w:lineRule="auto"/>
        <w:ind/>
        <w:rPr>
          <w:highlight w:val="none"/>
        </w:rPr>
      </w:pPr>
      <w:r>
        <w:br w:type="page" w:clear="all"/>
      </w:r>
      <w:r>
        <w:rPr>
          <w:highlight w:val="none"/>
        </w:rPr>
      </w:r>
      <w:r>
        <w:rPr>
          <w:highlight w:val="none"/>
        </w:rPr>
      </w:r>
    </w:p>
    <w:p>
      <w:pPr>
        <w:pBdr/>
        <w:spacing w:after="200" w:line="276" w:lineRule="auto"/>
        <w:ind/>
        <w:rPr/>
      </w:pPr>
      <w:r/>
      <w:r/>
    </w:p>
    <w:tbl>
      <w:tblPr>
        <w:tblStyle w:val="102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725"/>
        <w:gridCol w:w="5056"/>
      </w:tblGrid>
      <w:tr>
        <w:trPr/>
        <w:tc>
          <w:tcPr>
            <w:tcBorders/>
            <w:tcMar>
              <w:left w:w="108" w:type="dxa"/>
              <w:top w:w="0" w:type="dxa"/>
              <w:right w:w="108" w:type="dxa"/>
              <w:bottom w:w="0" w:type="dxa"/>
            </w:tcMar>
            <w:tcW w:w="4725"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Hiện trạng tài sản</w:t>
            </w:r>
            <w:r/>
          </w:p>
        </w:tc>
        <w:tc>
          <w:tcPr>
            <w:tcBorders/>
            <w:tcMar>
              <w:left w:w="108" w:type="dxa"/>
              <w:top w:w="0" w:type="dxa"/>
              <w:right w:w="108" w:type="dxa"/>
              <w:bottom w:w="0" w:type="dxa"/>
            </w:tcMar>
            <w:tcW w:w="5056"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Hiện trạng tài sản</w:t>
            </w:r>
            <w:r/>
          </w:p>
        </w:tc>
      </w:tr>
      <w:tr>
        <w:trPr/>
        <w:tc>
          <w:tcPr>
            <w:tcBorders/>
            <w:tcMar>
              <w:left w:w="108" w:type="dxa"/>
              <w:top w:w="0" w:type="dxa"/>
              <w:right w:w="108" w:type="dxa"/>
              <w:bottom w:w="0" w:type="dxa"/>
            </w:tcMar>
            <w:tcW w:w="4725" w:type="dxa"/>
            <w:vAlign w:val="center"/>
            <w:textDirection w:val="lrTb"/>
            <w:noWrap w:val="false"/>
          </w:tcPr>
          <w:p>
            <w:pPr>
              <w:pBdr/>
              <w:spacing w:after="0" w:before="0" w:line="240" w:lineRule="auto"/>
              <w:ind/>
              <w:rPr/>
            </w:pPr>
            <w:r>
              <mc:AlternateContent>
                <mc:Choice Requires="wpg">
                  <w:drawing>
                    <wp:inline xmlns:wp="http://schemas.openxmlformats.org/drawingml/2006/wordprocessingDrawing" distT="0" distB="0" distL="0" distR="0">
                      <wp:extent cx="2875791" cy="2158314"/>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467339" name=""/>
                              <pic:cNvPicPr>
                                <a:picLocks noChangeAspect="1"/>
                              </pic:cNvPicPr>
                              <pic:nvPr/>
                            </pic:nvPicPr>
                            <pic:blipFill rotWithShape="1">
                              <a:blip r:embed="rId25"/>
                              <a:stretch/>
                            </pic:blipFill>
                            <pic:spPr bwMode="auto">
                              <a:xfrm flipH="0" flipV="0">
                                <a:off x="0" y="0"/>
                                <a:ext cx="2875791" cy="215831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26.44pt;height:169.95pt;mso-wrap-distance-left:0.00pt;mso-wrap-distance-top:0.00pt;mso-wrap-distance-right:0.00pt;mso-wrap-distance-bottom:0.00pt;z-index:1;" stroked="false">
                      <v:imagedata r:id="rId25" o:title=""/>
                      <o:lock v:ext="edit" rotation="t"/>
                    </v:shape>
                  </w:pict>
                </mc:Fallback>
              </mc:AlternateContent>
            </w:r>
            <w:r/>
          </w:p>
        </w:tc>
        <w:tc>
          <w:tcPr>
            <w:tcBorders/>
            <w:tcMar>
              <w:left w:w="108" w:type="dxa"/>
              <w:top w:w="0" w:type="dxa"/>
              <w:right w:w="108" w:type="dxa"/>
              <w:bottom w:w="0" w:type="dxa"/>
            </w:tcMar>
            <w:tcW w:w="5056"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  </w:t>
            </w:r>
            <w:r>
              <mc:AlternateContent>
                <mc:Choice Requires="wpg">
                  <w:drawing>
                    <wp:inline xmlns:wp="http://schemas.openxmlformats.org/drawingml/2006/wordprocessingDrawing" distT="0" distB="0" distL="0" distR="0">
                      <wp:extent cx="2897991" cy="2173493"/>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941432" name=""/>
                              <pic:cNvPicPr>
                                <a:picLocks noChangeAspect="1"/>
                              </pic:cNvPicPr>
                              <pic:nvPr/>
                            </pic:nvPicPr>
                            <pic:blipFill rotWithShape="1">
                              <a:blip r:embed="rId26"/>
                              <a:stretch/>
                            </pic:blipFill>
                            <pic:spPr bwMode="auto">
                              <a:xfrm flipH="0" flipV="0">
                                <a:off x="0" y="0"/>
                                <a:ext cx="2897990" cy="217349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28.19pt;height:171.14pt;mso-wrap-distance-left:0.00pt;mso-wrap-distance-top:0.00pt;mso-wrap-distance-right:0.00pt;mso-wrap-distance-bottom:0.00pt;z-index:1;" stroked="false">
                      <v:imagedata r:id="rId26" o:title=""/>
                      <o:lock v:ext="edit" rotation="t"/>
                    </v:shape>
                  </w:pict>
                </mc:Fallback>
              </mc:AlternateContent>
            </w:r>
            <w:r>
              <w:rPr>
                <w:rFonts w:ascii="Times New Roman" w:hAnsi="Times New Roman" w:eastAsia="Times New Roman" w:cs="Times New Roman"/>
                <w:b/>
                <w:i/>
                <w:color w:val="000000"/>
                <w:sz w:val="24"/>
              </w:rPr>
            </w:r>
            <w:r/>
          </w:p>
        </w:tc>
      </w:tr>
    </w:tbl>
    <w:tbl>
      <w:tblPr>
        <w:tblStyle w:val="102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955"/>
        <w:gridCol w:w="4786"/>
      </w:tblGrid>
      <w:tr>
        <w:trPr/>
        <w:tc>
          <w:tcPr>
            <w:tcBorders/>
            <w:tcMar>
              <w:left w:w="108" w:type="dxa"/>
              <w:top w:w="0" w:type="dxa"/>
              <w:right w:w="108" w:type="dxa"/>
              <w:bottom w:w="0" w:type="dxa"/>
            </w:tcMar>
            <w:tcW w:w="4955"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Hiện trạng tài sản</w:t>
            </w:r>
            <w:r/>
          </w:p>
        </w:tc>
        <w:tc>
          <w:tcPr>
            <w:tcBorders/>
            <w:tcMar>
              <w:left w:w="108" w:type="dxa"/>
              <w:top w:w="0" w:type="dxa"/>
              <w:right w:w="108" w:type="dxa"/>
              <w:bottom w:w="0" w:type="dxa"/>
            </w:tcMar>
            <w:tcW w:w="4786"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Hiện trạng tài sản</w:t>
            </w:r>
            <w:r/>
          </w:p>
        </w:tc>
      </w:tr>
      <w:tr>
        <w:trPr/>
        <w:tc>
          <w:tcPr>
            <w:tcBorders/>
            <w:tcMar>
              <w:left w:w="108" w:type="dxa"/>
              <w:top w:w="0" w:type="dxa"/>
              <w:right w:w="108" w:type="dxa"/>
              <w:bottom w:w="0" w:type="dxa"/>
            </w:tcMar>
            <w:tcW w:w="4955" w:type="dxa"/>
            <w:vAlign w:val="center"/>
            <w:textDirection w:val="lrTb"/>
            <w:noWrap w:val="false"/>
          </w:tcPr>
          <w:p>
            <w:pPr>
              <w:pBdr/>
              <w:spacing w:after="0" w:before="0" w:line="240" w:lineRule="auto"/>
              <w:ind/>
              <w:rPr/>
            </w:pPr>
            <w:r>
              <mc:AlternateContent>
                <mc:Choice Requires="wpg">
                  <w:drawing>
                    <wp:inline xmlns:wp="http://schemas.openxmlformats.org/drawingml/2006/wordprocessingDrawing" distT="0" distB="0" distL="0" distR="0">
                      <wp:extent cx="2875791" cy="2153933"/>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376265" name=""/>
                              <pic:cNvPicPr>
                                <a:picLocks noChangeAspect="1"/>
                              </pic:cNvPicPr>
                              <pic:nvPr/>
                            </pic:nvPicPr>
                            <pic:blipFill rotWithShape="1">
                              <a:blip r:embed="rId27"/>
                              <a:stretch/>
                            </pic:blipFill>
                            <pic:spPr bwMode="auto">
                              <a:xfrm flipH="0" flipV="0">
                                <a:off x="0" y="0"/>
                                <a:ext cx="2875791" cy="215393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26.44pt;height:169.60pt;mso-wrap-distance-left:0.00pt;mso-wrap-distance-top:0.00pt;mso-wrap-distance-right:0.00pt;mso-wrap-distance-bottom:0.00pt;z-index:1;" stroked="false">
                      <v:imagedata r:id="rId27" o:title=""/>
                      <o:lock v:ext="edit" rotation="t"/>
                    </v:shape>
                  </w:pict>
                </mc:Fallback>
              </mc:AlternateContent>
            </w:r>
            <w:r/>
          </w:p>
        </w:tc>
        <w:tc>
          <w:tcPr>
            <w:tcBorders/>
            <w:tcMar>
              <w:left w:w="108" w:type="dxa"/>
              <w:top w:w="0" w:type="dxa"/>
              <w:right w:w="108" w:type="dxa"/>
              <w:bottom w:w="0" w:type="dxa"/>
            </w:tcMar>
            <w:tcW w:w="4786" w:type="dxa"/>
            <w:vAlign w:val="center"/>
            <w:textDirection w:val="lrTb"/>
            <w:noWrap w:val="false"/>
          </w:tcPr>
          <w:p>
            <w:pPr>
              <w:pBdr/>
              <w:spacing w:after="0" w:before="0" w:line="240" w:lineRule="auto"/>
              <w:ind/>
              <w:rPr/>
            </w:pPr>
            <w:r>
              <mc:AlternateContent>
                <mc:Choice Requires="wpg">
                  <w:drawing>
                    <wp:inline xmlns:wp="http://schemas.openxmlformats.org/drawingml/2006/wordprocessingDrawing" distT="0" distB="0" distL="0" distR="0">
                      <wp:extent cx="2847983" cy="2138870"/>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746166" name=""/>
                              <pic:cNvPicPr>
                                <a:picLocks noChangeAspect="1"/>
                              </pic:cNvPicPr>
                              <pic:nvPr/>
                            </pic:nvPicPr>
                            <pic:blipFill rotWithShape="1">
                              <a:blip r:embed="rId28"/>
                              <a:stretch/>
                            </pic:blipFill>
                            <pic:spPr bwMode="auto">
                              <a:xfrm flipH="0" flipV="0">
                                <a:off x="0" y="0"/>
                                <a:ext cx="2847983" cy="213886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24.25pt;height:168.41pt;mso-wrap-distance-left:0.00pt;mso-wrap-distance-top:0.00pt;mso-wrap-distance-right:0.00pt;mso-wrap-distance-bottom:0.00pt;z-index:1;" stroked="false">
                      <v:imagedata r:id="rId28" o:title=""/>
                      <o:lock v:ext="edit" rotation="t"/>
                    </v:shape>
                  </w:pict>
                </mc:Fallback>
              </mc:AlternateContent>
            </w:r>
            <w:r/>
          </w:p>
        </w:tc>
      </w:tr>
      <w:tr>
        <w:trPr/>
        <w:tc>
          <w:tcPr>
            <w:tcBorders/>
            <w:tcMar>
              <w:left w:w="108" w:type="dxa"/>
              <w:top w:w="0" w:type="dxa"/>
              <w:right w:w="108" w:type="dxa"/>
              <w:bottom w:w="0" w:type="dxa"/>
            </w:tcMar>
            <w:tcW w:w="4955"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Hiện trạng tài sản</w:t>
            </w:r>
            <w:r/>
          </w:p>
        </w:tc>
        <w:tc>
          <w:tcPr>
            <w:tcBorders/>
            <w:tcMar>
              <w:left w:w="108" w:type="dxa"/>
              <w:top w:w="0" w:type="dxa"/>
              <w:right w:w="108" w:type="dxa"/>
              <w:bottom w:w="0" w:type="dxa"/>
            </w:tcMar>
            <w:tcW w:w="4786"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Hiện trạng tài sản</w:t>
            </w:r>
            <w:r/>
          </w:p>
        </w:tc>
      </w:tr>
      <w:tr>
        <w:trPr/>
        <w:tc>
          <w:tcPr>
            <w:tcBorders/>
            <w:tcMar>
              <w:left w:w="108" w:type="dxa"/>
              <w:top w:w="0" w:type="dxa"/>
              <w:right w:w="108" w:type="dxa"/>
              <w:bottom w:w="0" w:type="dxa"/>
            </w:tcMar>
            <w:tcW w:w="4955" w:type="dxa"/>
            <w:vAlign w:val="center"/>
            <w:textDirection w:val="lrTb"/>
            <w:noWrap w:val="false"/>
          </w:tcPr>
          <w:p>
            <w:pPr>
              <w:pBdr/>
              <w:spacing w:after="0" w:before="0" w:line="240" w:lineRule="auto"/>
              <w:ind/>
              <w:rPr/>
            </w:pPr>
            <w:r>
              <mc:AlternateContent>
                <mc:Choice Requires="wpg">
                  <w:drawing>
                    <wp:inline xmlns:wp="http://schemas.openxmlformats.org/drawingml/2006/wordprocessingDrawing" distT="0" distB="0" distL="0" distR="0">
                      <wp:extent cx="2875791" cy="2153933"/>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596451" name=""/>
                              <pic:cNvPicPr>
                                <a:picLocks noChangeAspect="1"/>
                              </pic:cNvPicPr>
                              <pic:nvPr/>
                            </pic:nvPicPr>
                            <pic:blipFill rotWithShape="1">
                              <a:blip r:embed="rId29"/>
                              <a:stretch/>
                            </pic:blipFill>
                            <pic:spPr bwMode="auto">
                              <a:xfrm flipH="0" flipV="0">
                                <a:off x="0" y="0"/>
                                <a:ext cx="2875790" cy="215393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26.44pt;height:169.60pt;mso-wrap-distance-left:0.00pt;mso-wrap-distance-top:0.00pt;mso-wrap-distance-right:0.00pt;mso-wrap-distance-bottom:0.00pt;z-index:1;" stroked="false">
                      <v:imagedata r:id="rId29" o:title=""/>
                      <o:lock v:ext="edit" rotation="t"/>
                    </v:shape>
                  </w:pict>
                </mc:Fallback>
              </mc:AlternateContent>
            </w:r>
            <w:r/>
          </w:p>
        </w:tc>
        <w:tc>
          <w:tcPr>
            <w:tcBorders/>
            <w:tcMar>
              <w:left w:w="108" w:type="dxa"/>
              <w:top w:w="0" w:type="dxa"/>
              <w:right w:w="108" w:type="dxa"/>
              <w:bottom w:w="0" w:type="dxa"/>
            </w:tcMar>
            <w:tcW w:w="4786" w:type="dxa"/>
            <w:vAlign w:val="center"/>
            <w:textDirection w:val="lrTb"/>
            <w:noWrap w:val="false"/>
          </w:tcPr>
          <w:p>
            <w:pPr>
              <w:pBdr/>
              <w:spacing w:after="0" w:before="0" w:line="240" w:lineRule="auto"/>
              <w:ind/>
              <w:rPr/>
            </w:pPr>
            <w:r>
              <mc:AlternateContent>
                <mc:Choice Requires="wpg">
                  <w:drawing>
                    <wp:inline xmlns:wp="http://schemas.openxmlformats.org/drawingml/2006/wordprocessingDrawing" distT="0" distB="0" distL="0" distR="0">
                      <wp:extent cx="2824985" cy="2118739"/>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623233" name=""/>
                              <pic:cNvPicPr>
                                <a:picLocks noChangeAspect="1"/>
                              </pic:cNvPicPr>
                              <pic:nvPr/>
                            </pic:nvPicPr>
                            <pic:blipFill rotWithShape="1">
                              <a:blip r:embed="rId30"/>
                              <a:stretch/>
                            </pic:blipFill>
                            <pic:spPr bwMode="auto">
                              <a:xfrm flipH="0" flipV="0">
                                <a:off x="0" y="0"/>
                                <a:ext cx="2824985" cy="211873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22.44pt;height:166.83pt;mso-wrap-distance-left:0.00pt;mso-wrap-distance-top:0.00pt;mso-wrap-distance-right:0.00pt;mso-wrap-distance-bottom:0.00pt;z-index:1;" stroked="false">
                      <v:imagedata r:id="rId30" o:title=""/>
                      <o:lock v:ext="edit" rotation="t"/>
                    </v:shape>
                  </w:pict>
                </mc:Fallback>
              </mc:AlternateContent>
            </w:r>
            <w:r/>
          </w:p>
        </w:tc>
      </w:tr>
    </w:tbl>
    <w:p>
      <w:pPr>
        <w:pBdr/>
        <w:spacing w:after="200" w:line="276" w:lineRule="auto"/>
        <w:ind/>
        <w:rPr/>
      </w:pPr>
      <w:r>
        <w:rPr>
          <w:highlight w:val="none"/>
        </w:rPr>
      </w:r>
      <w:r>
        <w:rPr>
          <w:highlight w:val="none"/>
        </w:rPr>
      </w:r>
      <w:r/>
    </w:p>
    <w:p>
      <w:pPr>
        <w:pBdr/>
        <w:shd w:val="nil" w:color="auto"/>
        <w:spacing/>
        <w:ind/>
        <w:rPr>
          <w:bCs/>
          <w:i/>
          <w:highlight w:val="none"/>
          <w:lang w:val="pt-BR"/>
        </w:rPr>
      </w:pPr>
      <w:r>
        <w:rPr>
          <w:b/>
          <w:highlight w:val="none"/>
        </w:rPr>
        <w:br w:type="page" w:clear="all"/>
      </w:r>
      <w:r>
        <w:rPr>
          <w:bCs/>
          <w:i/>
          <w:lang w:val="pt-BR"/>
        </w:rPr>
      </w:r>
      <w:r>
        <w:rPr>
          <w:bCs/>
          <w:i/>
          <w:lang w:val="pt-BR"/>
        </w:rPr>
      </w:r>
    </w:p>
    <w:p>
      <w:pPr>
        <w:pBdr/>
        <w:shd w:val="nil" w:color="000000"/>
        <w:spacing/>
        <w:ind/>
        <w:rPr>
          <w:bCs/>
          <w:i/>
          <w:lang w:val="pt-BR"/>
        </w:rPr>
      </w:pPr>
      <w:r>
        <w:rPr>
          <w:bCs/>
          <w:i/>
          <w:lang w:val="pt-BR"/>
        </w:rPr>
      </w:r>
      <w:r>
        <w:rPr>
          <w:bCs/>
          <w:i/>
          <w:lang w:val="pt-BR"/>
        </w:rPr>
      </w:r>
      <w:r>
        <w:rPr>
          <w:bCs/>
          <w:i/>
          <w:lang w:val="pt-BR"/>
        </w:rPr>
      </w:r>
    </w:p>
    <w:p>
      <w:pPr>
        <w:pBdr/>
        <w:shd w:val="nil" w:color="000000"/>
        <w:spacing/>
        <w:ind/>
        <w:rPr>
          <w:bCs/>
          <w:i/>
          <w:lang w:val="pt-BR"/>
        </w:rPr>
      </w:pPr>
      <w:r>
        <w:rPr>
          <w:bCs/>
          <w:i/>
          <w:lang w:val="pt-BR"/>
        </w:rPr>
      </w:r>
      <w:r>
        <w:rPr>
          <w:bCs/>
          <w:i/>
          <w:lang w:val="pt-BR"/>
        </w:rPr>
      </w:r>
    </w:p>
    <w:p>
      <w:pPr>
        <w:pBdr/>
        <w:shd w:val="nil" w:color="000000"/>
        <w:spacing/>
        <w:ind/>
        <w:rPr>
          <w:bCs/>
          <w:i/>
          <w:lang w:val="pt-BR"/>
        </w:rPr>
      </w:pPr>
      <w:r>
        <w:rPr>
          <w:bCs/>
          <w:i/>
          <w:highlight w:val="none"/>
          <w:lang w:val="pt-BR" w:bidi="pt-BR"/>
        </w:rPr>
      </w:r>
      <w:r>
        <mc:AlternateContent>
          <mc:Choice Requires="wpg">
            <w:drawing>
              <wp:inline xmlns:wp="http://schemas.openxmlformats.org/drawingml/2006/wordprocessingDrawing" distT="0" distB="0" distL="0" distR="0">
                <wp:extent cx="6048375" cy="8064500"/>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402280" name=""/>
                        <pic:cNvPicPr>
                          <a:picLocks noChangeAspect="1"/>
                        </pic:cNvPicPr>
                        <pic:nvPr/>
                      </pic:nvPicPr>
                      <pic:blipFill rotWithShape="1">
                        <a:blip r:embed="rId31"/>
                        <a:stretch/>
                      </pic:blipFill>
                      <pic:spPr bwMode="auto">
                        <a:xfrm rot="0" flipH="0" flipV="0">
                          <a:off x="0" y="0"/>
                          <a:ext cx="6048374" cy="80645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76.25pt;height:635.00pt;mso-wrap-distance-left:0.00pt;mso-wrap-distance-top:0.00pt;mso-wrap-distance-right:0.00pt;mso-wrap-distance-bottom:0.00pt;rotation:0;z-index:1;" stroked="false">
                <v:imagedata r:id="rId31" o:title=""/>
                <o:lock v:ext="edit" rotation="t"/>
              </v:shape>
            </w:pict>
          </mc:Fallback>
        </mc:AlternateContent>
      </w:r>
      <w:r/>
      <w:r>
        <w:rPr>
          <w:bCs/>
          <w:i/>
          <w:highlight w:val="none"/>
          <w:lang w:val="pt-BR" w:bidi="pt-BR"/>
        </w:rPr>
      </w:r>
      <w:r/>
      <w:r>
        <w:rPr>
          <w:bCs/>
          <w:i/>
          <w:highlight w:val="none"/>
          <w:lang w:val="pt-BR" w:bidi="pt-BR"/>
        </w:rPr>
      </w:r>
      <w:r>
        <w:rPr>
          <w:bCs/>
          <w:i/>
          <w:highlight w:val="none"/>
          <w:lang w:val="pt-BR" w:bidi="pt-BR"/>
        </w:rPr>
      </w:r>
      <w:r>
        <w:rPr>
          <w:bCs/>
          <w:i/>
          <w:highlight w:val="none"/>
          <w:lang w:val="pt-BR"/>
        </w:rPr>
      </w:r>
    </w:p>
    <w:p>
      <w:pPr>
        <w:pBdr/>
        <w:spacing w:after="200" w:line="276" w:lineRule="auto"/>
        <w:ind/>
        <w:jc w:val="center"/>
        <w:rPr>
          <w:b/>
          <w:bCs/>
          <w:u w:val="single"/>
          <w:lang w:val="vi-VN"/>
        </w:rPr>
      </w:pPr>
      <w:r>
        <w:rPr>
          <w:b/>
          <w:u w:val="single"/>
          <w:lang w:val="vi-VN"/>
        </w:rPr>
        <w:br/>
      </w:r>
      <w:r>
        <w:rPr>
          <w:b/>
          <w:bCs/>
          <w:highlight w:val="none"/>
        </w:rPr>
      </w:r>
    </w:p>
    <w:p>
      <w:pPr>
        <w:pBdr/>
        <w:shd w:val="nil"/>
        <w:spacing/>
        <w:ind/>
        <w:rPr>
          <w:b/>
          <w:bCs/>
          <w:highlight w:val="none"/>
        </w:rPr>
      </w:pPr>
      <w:r>
        <w:rPr>
          <w:b/>
          <w:highlight w:val="none"/>
        </w:rPr>
        <w:br w:type="page" w:clear="all"/>
      </w:r>
      <w:r>
        <w:rPr>
          <w:b/>
          <w:highlight w:val="none"/>
        </w:rPr>
      </w:r>
      <w:r>
        <w:rPr>
          <w:b/>
          <w:highlight w:val="none"/>
        </w:rPr>
      </w:r>
    </w:p>
    <w:p>
      <w:pPr>
        <w:pBdr/>
        <w:shd w:val="nil" w:color="000000"/>
        <w:spacing/>
        <w:ind/>
        <w:rPr>
          <w:b/>
          <w:bCs/>
          <w:highlight w:val="none"/>
        </w:rPr>
      </w:pPr>
      <w:r>
        <w:rPr>
          <w:b/>
          <w:bCs/>
          <w:highlight w:val="none"/>
        </w:rPr>
      </w:r>
      <w:r>
        <w:rPr>
          <w:b/>
          <w:bCs/>
          <w:highlight w:val="none"/>
        </w:rPr>
      </w:r>
      <w:r>
        <w:rPr>
          <w:b/>
          <w:bCs/>
          <w:highlight w:val="none"/>
        </w:rPr>
      </w:r>
    </w:p>
    <w:p>
      <w:pPr>
        <w:pBdr/>
        <w:shd w:val="nil" w:color="000000"/>
        <w:spacing/>
        <w:ind/>
        <w:rPr>
          <w:b/>
          <w:bCs/>
          <w:highlight w:val="none"/>
        </w:rPr>
      </w:pPr>
      <w:r>
        <w:rPr>
          <w:b/>
          <w:highlight w:val="none"/>
        </w:rPr>
      </w:r>
      <w:r>
        <w:rPr>
          <w:b/>
          <w:highlight w:val="none"/>
        </w:rPr>
      </w:r>
    </w:p>
    <w:p>
      <w:pPr>
        <w:pBdr/>
        <w:shd w:val="nil"/>
        <w:spacing/>
        <w:ind/>
        <w:rPr>
          <w:b/>
          <w:bCs/>
          <w:highlight w:val="none"/>
        </w:rPr>
      </w:pPr>
      <w:r>
        <w:rPr>
          <w:b/>
          <w:highlight w:val="none"/>
        </w:rPr>
      </w:r>
      <w:r>
        <mc:AlternateContent>
          <mc:Choice Requires="wpg">
            <w:drawing>
              <wp:inline xmlns:wp="http://schemas.openxmlformats.org/drawingml/2006/wordprocessingDrawing" distT="0" distB="0" distL="0" distR="0">
                <wp:extent cx="6048375" cy="8064500"/>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974563" name=""/>
                        <pic:cNvPicPr>
                          <a:picLocks noChangeAspect="1"/>
                        </pic:cNvPicPr>
                        <pic:nvPr/>
                      </pic:nvPicPr>
                      <pic:blipFill rotWithShape="1">
                        <a:blip r:embed="rId32"/>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76.25pt;height:635.00pt;mso-wrap-distance-left:0.00pt;mso-wrap-distance-top:0.00pt;mso-wrap-distance-right:0.00pt;mso-wrap-distance-bottom:0.00pt;z-index:1;" stroked="false">
                <v:imagedata r:id="rId32" o:title=""/>
                <o:lock v:ext="edit" rotation="t"/>
              </v:shape>
            </w:pict>
          </mc:Fallback>
        </mc:AlternateContent>
      </w:r>
      <w:r>
        <w:rPr>
          <w:b/>
          <w:highlight w:val="none"/>
        </w:rPr>
        <w:br w:type="page" w:clear="all"/>
      </w:r>
      <w:r>
        <w:rPr>
          <w:b/>
          <w:highlight w:val="none"/>
        </w:rPr>
      </w:r>
      <w:r>
        <w:rPr>
          <w:b/>
          <w:highlight w:val="none"/>
        </w:rPr>
      </w:r>
    </w:p>
    <w:p>
      <w:pPr>
        <w:pBdr/>
        <w:spacing w:after="200" w:line="276" w:lineRule="auto"/>
        <w:ind/>
        <w:jc w:val="center"/>
        <w:rPr>
          <w:b/>
          <w:bCs/>
          <w:highlight w:val="none"/>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w:t>
      </w:r>
      <w:r>
        <w:rPr>
          <w:b/>
          <w:lang w:val="vi-VN"/>
        </w:rPr>
        <w:t xml:space="preserve"> THU THẬP THỊ</w:t>
      </w:r>
      <w:r>
        <w:rPr>
          <w:b/>
          <w:lang w:val="vi-VN"/>
        </w:rPr>
        <w:t xml:space="preserve"> TRƯỜN</w:t>
      </w:r>
      <w:r>
        <w:rPr>
          <w:b/>
        </w:rPr>
        <w:t xml:space="preserve">G</w:t>
      </w:r>
      <w:r>
        <w:rPr>
          <w:b/>
          <w:bCs/>
          <w:highlight w:val="none"/>
        </w:rPr>
      </w:r>
      <w:r/>
    </w:p>
    <w:p>
      <w:pPr>
        <w:pBdr/>
        <w:spacing/>
        <w:ind/>
        <w:jc w:val="center"/>
        <w:rPr>
          <w:i/>
          <w:lang w:val="pt-BR"/>
        </w:rPr>
      </w:pPr>
      <w:r>
        <w:rPr>
          <w:i/>
          <w:lang w:val="pt-BR"/>
        </w:rPr>
        <w:t xml:space="preserve">(Kèm theo Báo cáo thẩm định số </w:t>
      </w:r>
      <w:r>
        <w:rPr>
          <w:i/>
        </w:rPr>
        <w:t xml:space="preserve">275/2026/1142/VFI-BC.65.A</w:t>
      </w:r>
      <w:r>
        <w:rPr>
          <w:i/>
          <w:lang w:val="pt-BR"/>
        </w:rPr>
        <w:t xml:space="preserve"> ngày </w:t>
      </w:r>
      <w:r>
        <w:rPr>
          <w:i/>
          <w:lang w:val="pt-BR"/>
        </w:rPr>
        <w:t xml:space="preserve">27 tháng 7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https://www.facebook.com/groups/batdongsansontay/permalink/2413056882456115/</w:t>
            </w:r>
            <w:r>
              <w:rPr>
                <w:color w:val="000000" w:themeColor="text1"/>
                <w:sz w:val="22"/>
                <w:szCs w:val="22"/>
              </w:rPr>
              <w:br/>
              <w:t xml:space="preserve">0981511686</w:t>
            </w:r>
            <w:r>
              <w:rPr>
                <w:sz w:val="22"/>
                <w:szCs w:val="22"/>
              </w:rPr>
              <w:t xml:space="preserve"> </w:t>
            </w:r>
            <w:r>
              <w:rPr>
                <w:sz w:val="22"/>
                <w:szCs w:val="22"/>
              </w:rPr>
              <w:br/>
              <w:t xml:space="preserve">(Trung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5.100.000.000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4.590.000.000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Tình trạng giao dịch</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điểm thu thập thông tin</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7/2025</w:t>
            </w: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Pháp lý</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Có giấy chứng nhận quyền sử dụng đất </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Mục đích sử dụng</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đô thị</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hạn sử dụng đất</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tiếp giáp đường 87A (DT414), cách bệnh viện Quân Y 105 khoảng 1km</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Giao thông</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nhựa có vỉa hè</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Độ rộng đường trước tài sản (m)</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Khoảng 17,5</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 (m²)</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80</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tiền (m)</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lượng mặt tiếp giáp</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 1 mặt thoáng</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Hình dáng thửa đất</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Hình chữ nhật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Cơ sở hạ tầng kỹ thuật</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Hạ tầng khu dân cư thông thường</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Lợi thế thương mại</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Không có lợi thế thương mại</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Bất lợi thương mại</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Không có bất lợi thương mại</w:t>
            </w: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2"/>
                <w:szCs w:val="22"/>
              </w:rPr>
            </w:pPr>
            <w:r>
              <w:rPr>
                <w:color w:val="000000"/>
                <w:sz w:val="22"/>
                <w:szCs w:val="22"/>
              </w:rPr>
              <w:t xml:space="preserve">19</w:t>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Tài sản trên đất</w:t>
            </w:r>
            <w:r>
              <w:rPr>
                <w:rFonts w:ascii="Times New Roman" w:hAnsi="Times New Roman" w:eastAsia="Times New Roman" w:cs="Times New Roman"/>
                <w:color w:val="000000"/>
                <w:sz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Đất trống</w:t>
            </w:r>
            <w:r>
              <w:rPr>
                <w:rFonts w:ascii="Times New Roman" w:hAnsi="Times New Roman" w:eastAsia="Times New Roman" w:cs="Times New Roman"/>
                <w:color w:val="000000"/>
                <w:sz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724783" cy="2668144"/>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flipH="0" flipV="0">
                                <a:off x="0" y="0"/>
                                <a:ext cx="2724783" cy="266814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214.55pt;height:210.09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794875" cy="2668144"/>
                      <wp:effectExtent l="0" t="0" r="0" b="0"/>
                      <wp:docPr id="22" name=""/>
                      <wp:cNvGraphicFramePr/>
                      <a:graphic xmlns:a="http://schemas.openxmlformats.org/drawingml/2006/main">
                        <a:graphicData uri="http://schemas.openxmlformats.org/drawingml/2006/picture">
                          <pic:pic xmlns:pic="http://schemas.openxmlformats.org/drawingml/2006/picture">
                            <pic:nvPicPr>
                              <pic:cNvPr id="560482608" name="" descr=""/>
                              <pic:cNvPicPr/>
                              <pic:nvPr/>
                            </pic:nvPicPr>
                            <pic:blipFill rotWithShape="1">
                              <a:blip r:embed="rId34"/>
                              <a:stretch/>
                            </pic:blipFill>
                            <pic:spPr bwMode="auto">
                              <a:xfrm rot="0" flipH="0" flipV="0">
                                <a:off x="0" y="0"/>
                                <a:ext cx="2794874" cy="266814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220.07pt;height:210.09pt;mso-wrap-distance-left:0.00pt;mso-wrap-distance-top:0.00pt;mso-wrap-distance-right:0.00pt;mso-wrap-distance-bottom:0.00pt;rotation:0;z-index:1;" stroked="false">
                      <v:imagedata r:id="rId34"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mc:AlternateContent>
                <mc:Choice Requires="wpg">
                  <w:drawing>
                    <wp:inline xmlns:wp="http://schemas.openxmlformats.org/drawingml/2006/wordprocessingDrawing" distT="0" distB="0" distL="0" distR="0">
                      <wp:extent cx="5311165" cy="2731980"/>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245480" name=""/>
                              <pic:cNvPicPr>
                                <a:picLocks noChangeAspect="1"/>
                              </pic:cNvPicPr>
                              <pic:nvPr/>
                            </pic:nvPicPr>
                            <pic:blipFill rotWithShape="1">
                              <a:blip r:embed="rId35"/>
                              <a:stretch/>
                            </pic:blipFill>
                            <pic:spPr bwMode="auto">
                              <a:xfrm flipH="0" flipV="0">
                                <a:off x="0" y="0"/>
                                <a:ext cx="5311164" cy="273197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418.20pt;height:215.12pt;mso-wrap-distance-left:0.00pt;mso-wrap-distance-top:0.00pt;mso-wrap-distance-right:0.00pt;mso-wrap-distance-bottom:0.00pt;z-index:1;" stroked="false">
                      <v:imagedata r:id="rId35" o:title=""/>
                      <o:lock v:ext="edit" rotation="t"/>
                    </v:shape>
                  </w:pict>
                </mc:Fallback>
              </mc:AlternateContent>
            </w:r>
            <w:r>
              <w:rPr>
                <w:color w:val="000000"/>
                <w:sz w:val="22"/>
                <w:szCs w:val="22"/>
              </w:rPr>
            </w:r>
            <w:r>
              <w:rPr>
                <w:color w:val="000000"/>
                <w:sz w:val="22"/>
                <w:szCs w:val="22"/>
              </w:rPr>
            </w:r>
          </w:p>
        </w:tc>
      </w:tr>
    </w:tbl>
    <w:p>
      <w:pPr>
        <w:pBdr/>
        <w:spacing w:after="120"/>
        <w:ind/>
        <w:jc w:val="center"/>
        <w:rPr>
          <w:i/>
          <w:lang w:val="pt-BR"/>
        </w:rPr>
      </w:pPr>
      <w:r>
        <w:rPr>
          <w:i/>
          <w:lang w:val="pt-BR"/>
        </w:rPr>
      </w:r>
      <w:r>
        <w:rPr>
          <w:i/>
          <w:lang w:val="pt-BR"/>
        </w:rPr>
      </w:r>
      <w:r>
        <w:rPr>
          <w:i/>
          <w:lang w:val="pt-BR"/>
        </w:rPr>
      </w:r>
    </w:p>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1813"/>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Thị Hồng Phúc</w:t>
            </w:r>
            <w:r/>
          </w:p>
        </w:tc>
      </w:tr>
      <w:tr>
        <w:trPr>
          <w:trHeight w:val="298"/>
        </w:trPr>
        <w:tc>
          <w:tcPr>
            <w:tcBorders/>
            <w:tcW w:w="4358" w:type="dxa"/>
            <w:vAlign w:val="bottom"/>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https://www.facebook.com/groups/batdongsansontay/permalink/2411299065965230/?rdid=enEwuJZidUIMZMYv#</w:t>
            </w:r>
            <w:r>
              <w:rPr>
                <w:color w:val="000000" w:themeColor="text1"/>
                <w:sz w:val="22"/>
                <w:szCs w:val="22"/>
              </w:rPr>
              <w:br/>
            </w:r>
            <w:r>
              <w:rPr>
                <w:sz w:val="22"/>
                <w:szCs w:val="22"/>
              </w:rPr>
              <w:t xml:space="preserve">(Huyền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7.834.000.000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7.050.600.000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Tình trạng giao dịch</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điểm thu thập thông tin</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7/2025</w:t>
            </w: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Pháp lý</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Có giấy chứng nhận quyền sử dụng đất </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Mục đích sử dụng</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đô thị</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Thời hạn sử dụng đất</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tiếp giáp đường 87A (DT414), cách bệnh viện Quân Y 105 khoảng 2,2km</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Giao thông</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nhựa có vỉa hè</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Độ rộng đường trước tài sản (m)</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Khoảng 17,5</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 (m²)</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139,9</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tiền (m)</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7,55</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lượng mặt tiếp giáp</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Hình dáng thửa đất</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Hình chữ nhật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Cơ sở hạ tầng kỹ thuật</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Hạ tầng khu dân cư thông thường</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Lợi thế thương mại</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Không có lợi thế thương mại</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Bất lợi thương mại</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Không có bất lợi thương mại</w:t>
            </w: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2"/>
                <w:szCs w:val="22"/>
              </w:rPr>
            </w:pPr>
            <w:r>
              <w:rPr>
                <w:color w:val="000000"/>
                <w:sz w:val="22"/>
                <w:szCs w:val="22"/>
              </w:rPr>
              <w:t xml:space="preserve">19</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Tài sản trên đất</w:t>
            </w:r>
            <w:r>
              <w:rPr>
                <w:rFonts w:ascii="Times New Roman" w:hAnsi="Times New Roman" w:eastAsia="Times New Roman" w:cs="Times New Roman"/>
                <w:color w:val="000000"/>
                <w:sz w:val="22"/>
              </w:rPr>
            </w:r>
            <w:r>
              <w:rPr>
                <w:rFonts w:ascii="Times New Roman" w:hAnsi="Times New Roman" w:eastAsia="Times New Roman" w:cs="Times New Roman"/>
                <w:color w:val="000000"/>
                <w:sz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Đất trống</w:t>
            </w:r>
            <w:r>
              <w:rPr>
                <w:rFonts w:ascii="Times New Roman" w:hAnsi="Times New Roman" w:eastAsia="Times New Roman" w:cs="Times New Roman"/>
                <w:color w:val="000000"/>
                <w:sz w:val="22"/>
              </w:rPr>
            </w:r>
            <w:r>
              <w:rPr>
                <w:rFonts w:ascii="Times New Roman" w:hAnsi="Times New Roman" w:eastAsia="Times New Roman" w:cs="Times New Roman"/>
                <w:color w:val="000000"/>
                <w:sz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5501665" cy="3434420"/>
                      <wp:effectExtent l="0" t="0" r="0" b="0"/>
                      <wp:docPr id="24" name=""/>
                      <wp:cNvGraphicFramePr/>
                      <a:graphic xmlns:a="http://schemas.openxmlformats.org/drawingml/2006/main">
                        <a:graphicData uri="http://schemas.openxmlformats.org/drawingml/2006/picture">
                          <pic:pic xmlns:pic="http://schemas.openxmlformats.org/drawingml/2006/picture">
                            <pic:nvPicPr>
                              <pic:cNvPr id="954672297" name="" descr=""/>
                              <pic:cNvPicPr/>
                              <pic:nvPr/>
                            </pic:nvPicPr>
                            <pic:blipFill rotWithShape="1">
                              <a:blip r:embed="rId36"/>
                              <a:stretch/>
                            </pic:blipFill>
                            <pic:spPr bwMode="auto">
                              <a:xfrm flipH="0" flipV="0">
                                <a:off x="0" y="0"/>
                                <a:ext cx="5501664" cy="343442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433.20pt;height:270.43pt;mso-wrap-distance-left:0.00pt;mso-wrap-distance-top:0.00pt;mso-wrap-distance-right:0.00pt;mso-wrap-distance-bottom:0.00pt;z-index:1;" stroked="false">
                      <v:imagedata r:id="rId3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118809" cy="3175000"/>
                      <wp:effectExtent l="0" t="0" r="0" b="0"/>
                      <wp:docPr id="2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7"/>
                              <a:stretch/>
                            </pic:blipFill>
                            <pic:spPr bwMode="auto">
                              <a:xfrm>
                                <a:off x="0" y="0"/>
                                <a:ext cx="511880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403.06pt;height:250.00pt;mso-wrap-distance-left:0.00pt;mso-wrap-distance-top:0.00pt;mso-wrap-distance-right:0.00pt;mso-wrap-distance-bottom:0.00pt;z-index:1;" stroked="false">
                      <v:imagedata r:id="rId3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Thị Hồng Phúc</w:t>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https://www.facebook.com/groups/1886684784704800/permalink/27891462303800359/?sale_post_id=27891462303800359&amp;mibextid=wwXIfr&amp;rdid=2pponhBL19iKhLhO#</w:t>
            </w:r>
            <w:r>
              <w:rPr>
                <w:color w:val="000000" w:themeColor="text1"/>
                <w:sz w:val="22"/>
                <w:szCs w:val="22"/>
              </w:rPr>
              <w:br/>
            </w:r>
            <w:r>
              <w:rPr>
                <w:sz w:val="22"/>
                <w:szCs w:val="22"/>
              </w:rPr>
              <w:t xml:space="preserve">SĐT: </w:t>
            </w:r>
            <w:r>
              <w:rPr>
                <w:color w:val="000000" w:themeColor="text1"/>
                <w:sz w:val="22"/>
                <w:szCs w:val="22"/>
              </w:rPr>
              <w:t xml:space="preserve">0372262613</w:t>
            </w:r>
            <w:r>
              <w:rPr>
                <w:sz w:val="22"/>
                <w:szCs w:val="22"/>
              </w:rPr>
              <w:t xml:space="preserve"> </w:t>
            </w:r>
            <w:r>
              <w:rPr>
                <w:sz w:val="22"/>
                <w:szCs w:val="22"/>
              </w:rPr>
              <w:t xml:space="preserve">(Tuấn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4.900.000.000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4.165.000.000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Tình trạng giao dịch</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Đang giao dịch </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điểm thu thập thông tin</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7/2026</w:t>
            </w: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Pháp lý</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Có giấy chứng nhận quyền sử dụng đất </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Mục đích sử dụng</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đô thị</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hạn sử dụng đất</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tiếp giáp đường 87A (DT414), cách bệnh viện Quân Y 105 khoảng 2,2km</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Giao thông</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nhựa có vỉa hè</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Độ rộng đường trước tài sản (m)</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Khoảng 17,5</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 (m²)</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80</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tiền (m)</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lượng mặt tiếp giáp</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 1 mặt thoáng</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Hình dáng thửa đất</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Hình chữ nhật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Cơ sở hạ tầng kỹ thuật</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Hạ tầng khu dân cư thông thường</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Lợi thế thương mại</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Không có lợi thế thương mại</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Bất lợi thương mại</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Không có bất lợi thương mại</w:t>
            </w: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2"/>
                <w:szCs w:val="22"/>
              </w:rPr>
            </w:pPr>
            <w:r>
              <w:rPr>
                <w:color w:val="000000"/>
                <w:sz w:val="22"/>
                <w:szCs w:val="22"/>
              </w:rPr>
              <w:t xml:space="preserve">19</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Tài sản trên đất</w:t>
            </w:r>
            <w:r>
              <w:rPr>
                <w:rFonts w:ascii="Times New Roman" w:hAnsi="Times New Roman" w:eastAsia="Times New Roman" w:cs="Times New Roman"/>
                <w:color w:val="000000"/>
                <w:sz w:val="22"/>
              </w:rPr>
            </w:r>
            <w:r>
              <w:rPr>
                <w:rFonts w:ascii="Times New Roman" w:hAnsi="Times New Roman" w:eastAsia="Times New Roman" w:cs="Times New Roman"/>
                <w:color w:val="000000"/>
                <w:sz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Đất trống</w:t>
            </w:r>
            <w:r>
              <w:rPr>
                <w:rFonts w:ascii="Times New Roman" w:hAnsi="Times New Roman" w:eastAsia="Times New Roman" w:cs="Times New Roman"/>
                <w:color w:val="000000"/>
                <w:sz w:val="22"/>
              </w:rPr>
            </w:r>
            <w:r>
              <w:rPr>
                <w:rFonts w:ascii="Times New Roman" w:hAnsi="Times New Roman" w:eastAsia="Times New Roman" w:cs="Times New Roman"/>
                <w:color w:val="000000"/>
                <w:sz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781748" cy="2773433"/>
                      <wp:effectExtent l="0" t="0" r="0" b="0"/>
                      <wp:docPr id="2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8"/>
                              <a:stretch/>
                            </pic:blipFill>
                            <pic:spPr bwMode="auto">
                              <a:xfrm flipH="0" flipV="0">
                                <a:off x="0" y="0"/>
                                <a:ext cx="2781748" cy="277343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219.04pt;height:218.38pt;mso-wrap-distance-left:0.00pt;mso-wrap-distance-top:0.00pt;mso-wrap-distance-right:0.00pt;mso-wrap-distance-bottom:0.00pt;z-index:1;" stroked="false">
                      <v:imagedata r:id="rId3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591248" cy="2773433"/>
                      <wp:effectExtent l="0" t="0" r="0" b="0"/>
                      <wp:docPr id="27" name=""/>
                      <wp:cNvGraphicFramePr/>
                      <a:graphic xmlns:a="http://schemas.openxmlformats.org/drawingml/2006/main">
                        <a:graphicData uri="http://schemas.openxmlformats.org/drawingml/2006/picture">
                          <pic:pic xmlns:pic="http://schemas.openxmlformats.org/drawingml/2006/picture">
                            <pic:nvPicPr>
                              <pic:cNvPr id="254159283" name="" descr=""/>
                              <pic:cNvPicPr/>
                              <pic:nvPr/>
                            </pic:nvPicPr>
                            <pic:blipFill rotWithShape="1">
                              <a:blip r:embed="rId39"/>
                              <a:stretch/>
                            </pic:blipFill>
                            <pic:spPr bwMode="auto">
                              <a:xfrm rot="0" flipH="0" flipV="0">
                                <a:off x="0" y="0"/>
                                <a:ext cx="2591247" cy="277343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204.04pt;height:218.38pt;mso-wrap-distance-left:0.00pt;mso-wrap-distance-top:0.00pt;mso-wrap-distance-right:0.00pt;mso-wrap-distance-bottom:0.00pt;rotation:0;z-index:1;" stroked="false">
                      <v:imagedata r:id="rId39" o:title=""/>
                      <o:lock v:ext="edit" rotation="t"/>
                    </v:shape>
                  </w:pict>
                </mc:Fallback>
              </mc:AlternateConten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5162998" cy="3417393"/>
                      <wp:effectExtent l="0" t="0" r="0" b="0"/>
                      <wp:docPr id="28" name=""/>
                      <wp:cNvGraphicFramePr/>
                      <a:graphic xmlns:a="http://schemas.openxmlformats.org/drawingml/2006/main">
                        <a:graphicData uri="http://schemas.openxmlformats.org/drawingml/2006/picture">
                          <pic:pic xmlns:pic="http://schemas.openxmlformats.org/drawingml/2006/picture">
                            <pic:nvPicPr>
                              <pic:cNvPr id="148032726" name="" descr=""/>
                              <pic:cNvPicPr/>
                              <pic:nvPr/>
                            </pic:nvPicPr>
                            <pic:blipFill rotWithShape="1">
                              <a:blip r:embed="rId40"/>
                              <a:stretch/>
                            </pic:blipFill>
                            <pic:spPr bwMode="auto">
                              <a:xfrm flipH="0" flipV="0">
                                <a:off x="0" y="0"/>
                                <a:ext cx="5162998" cy="341739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406.54pt;height:269.09pt;mso-wrap-distance-left:0.00pt;mso-wrap-distance-top:0.00pt;mso-wrap-distance-right:0.00pt;mso-wrap-distance-bottom:0.00pt;z-index:1;" stroked="false">
                      <v:imagedata r:id="rId4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Thị Hồng Phúc</w:t>
            </w:r>
            <w:r/>
          </w:p>
          <w:p>
            <w:pPr>
              <w:pBdr/>
              <w:spacing/>
              <w:ind/>
              <w:jc w:val="center"/>
              <w:rPr>
                <w:b/>
                <w:bCs/>
              </w:rPr>
            </w:pPr>
            <w:r>
              <w:rPr>
                <w:b/>
                <w:bCs/>
              </w:rPr>
            </w:r>
            <w:r>
              <w:rPr>
                <w:b/>
                <w:bCs/>
              </w:rPr>
            </w:r>
            <w:r>
              <w:rPr>
                <w:b/>
                <w:bCs/>
              </w:rPr>
            </w:r>
          </w:p>
        </w:tc>
      </w:tr>
    </w:tbl>
    <w:p>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1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8">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7">
    <w:name w:val="Table Grid Light"/>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Plain Table 1"/>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Plain Table 2"/>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3"/>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4"/>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5"/>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1 Light"/>
    <w:basedOn w:val="100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2"/>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3"/>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4"/>
    <w:basedOn w:val="100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4 - Accent 1"/>
    <w:basedOn w:val="100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 Accent 2"/>
    <w:basedOn w:val="100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3"/>
    <w:basedOn w:val="100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4"/>
    <w:basedOn w:val="100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5"/>
    <w:basedOn w:val="100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6"/>
    <w:basedOn w:val="100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5 Dark"/>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5 Dark- Accent 1"/>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 Accent 2"/>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 Accent 3"/>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Accent 4"/>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5"/>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6"/>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79">
    <w:name w:val="Grid Table 6 Colorful - Accent 1"/>
    <w:basedOn w:val="100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0">
    <w:name w:val="Grid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1">
    <w:name w:val="Grid Table 6 Colorful - Accent 3"/>
    <w:basedOn w:val="100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2">
    <w:name w:val="Grid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3">
    <w:name w:val="Grid Table 6 Colorful - Accent 5"/>
    <w:basedOn w:val="100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4">
    <w:name w:val="Grid Table 6 Colorful - Accent 6"/>
    <w:basedOn w:val="100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5">
    <w:name w:val="Grid Table 7 Colorful"/>
    <w:basedOn w:val="100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7 Colorful - Accent 1"/>
    <w:basedOn w:val="100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7 Colorful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5"/>
    <w:basedOn w:val="100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6"/>
    <w:basedOn w:val="100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1 Light"/>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1 Light - Accent 1"/>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 Accent 2"/>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3"/>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4"/>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5"/>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6"/>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2"/>
    <w:basedOn w:val="100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2 - Accent 1"/>
    <w:basedOn w:val="100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 Accent 2"/>
    <w:basedOn w:val="100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3"/>
    <w:basedOn w:val="100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4"/>
    <w:basedOn w:val="100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5"/>
    <w:basedOn w:val="100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6"/>
    <w:basedOn w:val="100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3"/>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3 - Accent 1"/>
    <w:basedOn w:val="100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3"/>
    <w:basedOn w:val="100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5"/>
    <w:basedOn w:val="100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6"/>
    <w:basedOn w:val="100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4"/>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4 - Accent 1"/>
    <w:basedOn w:val="100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 Accent 2"/>
    <w:basedOn w:val="100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3"/>
    <w:basedOn w:val="100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4"/>
    <w:basedOn w:val="100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5"/>
    <w:basedOn w:val="100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6"/>
    <w:basedOn w:val="100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5 Dark"/>
    <w:basedOn w:val="100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1">
    <w:name w:val="List Table 5 Dark - Accent 1"/>
    <w:basedOn w:val="100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2">
    <w:name w:val="List Table 5 Dark - Accent 2"/>
    <w:basedOn w:val="100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3"/>
    <w:basedOn w:val="100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4"/>
    <w:basedOn w:val="100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5"/>
    <w:basedOn w:val="100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6"/>
    <w:basedOn w:val="100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6 Colorful - Accent 1"/>
    <w:basedOn w:val="100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3"/>
    <w:basedOn w:val="100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5"/>
    <w:basedOn w:val="100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6"/>
    <w:basedOn w:val="100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7 Colorful"/>
    <w:basedOn w:val="100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5">
    <w:name w:val="List Table 7 Colorful - Accent 1"/>
    <w:basedOn w:val="100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6">
    <w:name w:val="List Table 7 Colorful - Accent 2"/>
    <w:basedOn w:val="100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7">
    <w:name w:val="List Table 7 Colorful - Accent 3"/>
    <w:basedOn w:val="100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38">
    <w:name w:val="List Table 7 Colorful - Accent 4"/>
    <w:basedOn w:val="100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39">
    <w:name w:val="List Table 7 Colorful - Accent 5"/>
    <w:basedOn w:val="100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0">
    <w:name w:val="List Table 7 Colorful - Accent 6"/>
    <w:basedOn w:val="100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1">
    <w:name w:val="Lined - Accent"/>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ned - Accent 1"/>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ned - Accent 2"/>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3"/>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4"/>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5"/>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6"/>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amp; Lined - Accent"/>
    <w:basedOn w:val="100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Bordered &amp; Lined - Accent 1"/>
    <w:basedOn w:val="100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2"/>
    <w:basedOn w:val="100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3"/>
    <w:basedOn w:val="100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4"/>
    <w:basedOn w:val="100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5"/>
    <w:basedOn w:val="100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6"/>
    <w:basedOn w:val="100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w:basedOn w:val="100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2">
    <w:name w:val="Heading 5"/>
    <w:basedOn w:val="1003"/>
    <w:next w:val="1003"/>
    <w:link w:val="96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3">
    <w:name w:val="Heading 6"/>
    <w:basedOn w:val="1003"/>
    <w:next w:val="1003"/>
    <w:link w:val="96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4">
    <w:name w:val="Heading 7"/>
    <w:basedOn w:val="1003"/>
    <w:next w:val="1003"/>
    <w:link w:val="96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5">
    <w:name w:val="Heading 8"/>
    <w:basedOn w:val="1003"/>
    <w:next w:val="1003"/>
    <w:link w:val="97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6">
    <w:name w:val="Heading 9"/>
    <w:basedOn w:val="1003"/>
    <w:next w:val="1003"/>
    <w:link w:val="97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7">
    <w:name w:val="Heading 5 Char"/>
    <w:basedOn w:val="1008"/>
    <w:link w:val="962"/>
    <w:uiPriority w:val="9"/>
    <w:pPr>
      <w:pBdr/>
      <w:spacing/>
      <w:ind/>
    </w:pPr>
    <w:rPr>
      <w:rFonts w:ascii="Arial" w:hAnsi="Arial" w:eastAsia="Arial" w:cs="Arial"/>
      <w:color w:val="0f4761" w:themeColor="accent1" w:themeShade="BF"/>
    </w:rPr>
  </w:style>
  <w:style w:type="character" w:styleId="968">
    <w:name w:val="Heading 6 Char"/>
    <w:basedOn w:val="1008"/>
    <w:link w:val="963"/>
    <w:uiPriority w:val="9"/>
    <w:pPr>
      <w:pBdr/>
      <w:spacing/>
      <w:ind/>
    </w:pPr>
    <w:rPr>
      <w:rFonts w:ascii="Arial" w:hAnsi="Arial" w:eastAsia="Arial" w:cs="Arial"/>
      <w:i/>
      <w:iCs/>
      <w:color w:val="595959" w:themeColor="text1" w:themeTint="A6"/>
    </w:rPr>
  </w:style>
  <w:style w:type="character" w:styleId="969">
    <w:name w:val="Heading 7 Char"/>
    <w:basedOn w:val="1008"/>
    <w:link w:val="964"/>
    <w:uiPriority w:val="9"/>
    <w:pPr>
      <w:pBdr/>
      <w:spacing/>
      <w:ind/>
    </w:pPr>
    <w:rPr>
      <w:rFonts w:ascii="Arial" w:hAnsi="Arial" w:eastAsia="Arial" w:cs="Arial"/>
      <w:color w:val="595959" w:themeColor="text1" w:themeTint="A6"/>
    </w:rPr>
  </w:style>
  <w:style w:type="character" w:styleId="970">
    <w:name w:val="Heading 8 Char"/>
    <w:basedOn w:val="1008"/>
    <w:link w:val="965"/>
    <w:uiPriority w:val="9"/>
    <w:pPr>
      <w:pBdr/>
      <w:spacing/>
      <w:ind/>
    </w:pPr>
    <w:rPr>
      <w:rFonts w:ascii="Arial" w:hAnsi="Arial" w:eastAsia="Arial" w:cs="Arial"/>
      <w:i/>
      <w:iCs/>
      <w:color w:val="272727" w:themeColor="text1" w:themeTint="D8"/>
    </w:rPr>
  </w:style>
  <w:style w:type="character" w:styleId="971">
    <w:name w:val="Heading 9 Char"/>
    <w:basedOn w:val="1008"/>
    <w:link w:val="966"/>
    <w:uiPriority w:val="9"/>
    <w:pPr>
      <w:pBdr/>
      <w:spacing/>
      <w:ind/>
    </w:pPr>
    <w:rPr>
      <w:rFonts w:ascii="Arial" w:hAnsi="Arial" w:eastAsia="Arial" w:cs="Arial"/>
      <w:i/>
      <w:iCs/>
      <w:color w:val="272727" w:themeColor="text1" w:themeTint="D8"/>
    </w:rPr>
  </w:style>
  <w:style w:type="paragraph" w:styleId="972">
    <w:name w:val="Subtitle"/>
    <w:basedOn w:val="1003"/>
    <w:next w:val="1003"/>
    <w:link w:val="973"/>
    <w:uiPriority w:val="11"/>
    <w:qFormat/>
    <w:pPr>
      <w:numPr>
        <w:ilvl w:val="1"/>
      </w:numPr>
      <w:pBdr/>
      <w:spacing/>
      <w:ind/>
    </w:pPr>
    <w:rPr>
      <w:color w:val="595959" w:themeColor="text1" w:themeTint="A6"/>
      <w:spacing w:val="15"/>
      <w:sz w:val="28"/>
      <w:szCs w:val="28"/>
    </w:rPr>
  </w:style>
  <w:style w:type="character" w:styleId="973">
    <w:name w:val="Subtitle Char"/>
    <w:basedOn w:val="1008"/>
    <w:link w:val="972"/>
    <w:uiPriority w:val="11"/>
    <w:pPr>
      <w:pBdr/>
      <w:spacing/>
      <w:ind/>
    </w:pPr>
    <w:rPr>
      <w:color w:val="595959" w:themeColor="text1" w:themeTint="A6"/>
      <w:spacing w:val="15"/>
      <w:sz w:val="28"/>
      <w:szCs w:val="28"/>
    </w:rPr>
  </w:style>
  <w:style w:type="paragraph" w:styleId="974">
    <w:name w:val="Quote"/>
    <w:basedOn w:val="1003"/>
    <w:next w:val="1003"/>
    <w:link w:val="975"/>
    <w:uiPriority w:val="29"/>
    <w:qFormat/>
    <w:pPr>
      <w:pBdr/>
      <w:spacing w:before="160"/>
      <w:ind/>
      <w:jc w:val="center"/>
    </w:pPr>
    <w:rPr>
      <w:i/>
      <w:iCs/>
      <w:color w:val="404040" w:themeColor="text1" w:themeTint="BF"/>
    </w:rPr>
  </w:style>
  <w:style w:type="character" w:styleId="975">
    <w:name w:val="Quote Char"/>
    <w:basedOn w:val="1008"/>
    <w:link w:val="974"/>
    <w:uiPriority w:val="29"/>
    <w:pPr>
      <w:pBdr/>
      <w:spacing/>
      <w:ind/>
    </w:pPr>
    <w:rPr>
      <w:i/>
      <w:iCs/>
      <w:color w:val="404040" w:themeColor="text1" w:themeTint="BF"/>
    </w:rPr>
  </w:style>
  <w:style w:type="character" w:styleId="976">
    <w:name w:val="Intense Emphasis"/>
    <w:basedOn w:val="1008"/>
    <w:uiPriority w:val="21"/>
    <w:qFormat/>
    <w:pPr>
      <w:pBdr/>
      <w:spacing/>
      <w:ind/>
    </w:pPr>
    <w:rPr>
      <w:i/>
      <w:iCs/>
      <w:color w:val="0f4761" w:themeColor="accent1" w:themeShade="BF"/>
    </w:rPr>
  </w:style>
  <w:style w:type="paragraph" w:styleId="977">
    <w:name w:val="Intense Quote"/>
    <w:basedOn w:val="1003"/>
    <w:next w:val="1003"/>
    <w:link w:val="97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78">
    <w:name w:val="Intense Quote Char"/>
    <w:basedOn w:val="1008"/>
    <w:link w:val="977"/>
    <w:uiPriority w:val="30"/>
    <w:pPr>
      <w:pBdr/>
      <w:spacing/>
      <w:ind/>
    </w:pPr>
    <w:rPr>
      <w:i/>
      <w:iCs/>
      <w:color w:val="0f4761" w:themeColor="accent1" w:themeShade="BF"/>
    </w:rPr>
  </w:style>
  <w:style w:type="character" w:styleId="979">
    <w:name w:val="Intense Reference"/>
    <w:basedOn w:val="1008"/>
    <w:uiPriority w:val="32"/>
    <w:qFormat/>
    <w:pPr>
      <w:pBdr/>
      <w:spacing/>
      <w:ind/>
    </w:pPr>
    <w:rPr>
      <w:b/>
      <w:bCs/>
      <w:smallCaps/>
      <w:color w:val="0f4761" w:themeColor="accent1" w:themeShade="BF"/>
      <w:spacing w:val="5"/>
    </w:rPr>
  </w:style>
  <w:style w:type="paragraph" w:styleId="980">
    <w:name w:val="No Spacing"/>
    <w:basedOn w:val="1003"/>
    <w:uiPriority w:val="1"/>
    <w:qFormat/>
    <w:pPr>
      <w:pBdr/>
      <w:spacing w:after="0" w:line="240" w:lineRule="auto"/>
      <w:ind/>
    </w:pPr>
  </w:style>
  <w:style w:type="character" w:styleId="981">
    <w:name w:val="Subtle Emphasis"/>
    <w:basedOn w:val="1008"/>
    <w:uiPriority w:val="19"/>
    <w:qFormat/>
    <w:pPr>
      <w:pBdr/>
      <w:spacing/>
      <w:ind/>
    </w:pPr>
    <w:rPr>
      <w:i/>
      <w:iCs/>
      <w:color w:val="404040" w:themeColor="text1" w:themeTint="BF"/>
    </w:rPr>
  </w:style>
  <w:style w:type="character" w:styleId="982">
    <w:name w:val="Subtle Reference"/>
    <w:basedOn w:val="1008"/>
    <w:uiPriority w:val="31"/>
    <w:qFormat/>
    <w:pPr>
      <w:pBdr/>
      <w:spacing/>
      <w:ind/>
    </w:pPr>
    <w:rPr>
      <w:smallCaps/>
      <w:color w:val="5a5a5a" w:themeColor="text1" w:themeTint="A5"/>
    </w:rPr>
  </w:style>
  <w:style w:type="character" w:styleId="983">
    <w:name w:val="Book Title"/>
    <w:basedOn w:val="1008"/>
    <w:uiPriority w:val="33"/>
    <w:qFormat/>
    <w:pPr>
      <w:pBdr/>
      <w:spacing/>
      <w:ind/>
    </w:pPr>
    <w:rPr>
      <w:b/>
      <w:bCs/>
      <w:i/>
      <w:iCs/>
      <w:spacing w:val="5"/>
    </w:rPr>
  </w:style>
  <w:style w:type="paragraph" w:styleId="984">
    <w:name w:val="Caption"/>
    <w:basedOn w:val="1003"/>
    <w:next w:val="1003"/>
    <w:uiPriority w:val="35"/>
    <w:unhideWhenUsed/>
    <w:qFormat/>
    <w:pPr>
      <w:pBdr/>
      <w:spacing w:after="200" w:line="240" w:lineRule="auto"/>
      <w:ind/>
    </w:pPr>
    <w:rPr>
      <w:i/>
      <w:iCs/>
      <w:color w:val="0e2841" w:themeColor="text2"/>
      <w:sz w:val="18"/>
      <w:szCs w:val="18"/>
    </w:rPr>
  </w:style>
  <w:style w:type="paragraph" w:styleId="985">
    <w:name w:val="footnote text"/>
    <w:basedOn w:val="1003"/>
    <w:link w:val="986"/>
    <w:uiPriority w:val="99"/>
    <w:semiHidden/>
    <w:unhideWhenUsed/>
    <w:pPr>
      <w:pBdr/>
      <w:spacing w:after="0" w:line="240" w:lineRule="auto"/>
      <w:ind/>
    </w:pPr>
    <w:rPr>
      <w:sz w:val="20"/>
      <w:szCs w:val="20"/>
    </w:rPr>
  </w:style>
  <w:style w:type="character" w:styleId="986">
    <w:name w:val="Footnote Text Char"/>
    <w:basedOn w:val="1008"/>
    <w:link w:val="985"/>
    <w:uiPriority w:val="99"/>
    <w:semiHidden/>
    <w:pPr>
      <w:pBdr/>
      <w:spacing/>
      <w:ind/>
    </w:pPr>
    <w:rPr>
      <w:sz w:val="20"/>
      <w:szCs w:val="20"/>
    </w:rPr>
  </w:style>
  <w:style w:type="character" w:styleId="987">
    <w:name w:val="footnote reference"/>
    <w:basedOn w:val="1008"/>
    <w:uiPriority w:val="99"/>
    <w:semiHidden/>
    <w:unhideWhenUsed/>
    <w:pPr>
      <w:pBdr/>
      <w:spacing/>
      <w:ind/>
    </w:pPr>
    <w:rPr>
      <w:vertAlign w:val="superscript"/>
    </w:rPr>
  </w:style>
  <w:style w:type="paragraph" w:styleId="988">
    <w:name w:val="endnote text"/>
    <w:basedOn w:val="1003"/>
    <w:link w:val="989"/>
    <w:uiPriority w:val="99"/>
    <w:semiHidden/>
    <w:unhideWhenUsed/>
    <w:pPr>
      <w:pBdr/>
      <w:spacing w:after="0" w:line="240" w:lineRule="auto"/>
      <w:ind/>
    </w:pPr>
    <w:rPr>
      <w:sz w:val="20"/>
      <w:szCs w:val="20"/>
    </w:rPr>
  </w:style>
  <w:style w:type="character" w:styleId="989">
    <w:name w:val="Endnote Text Char"/>
    <w:basedOn w:val="1008"/>
    <w:link w:val="988"/>
    <w:uiPriority w:val="99"/>
    <w:semiHidden/>
    <w:pPr>
      <w:pBdr/>
      <w:spacing/>
      <w:ind/>
    </w:pPr>
    <w:rPr>
      <w:sz w:val="20"/>
      <w:szCs w:val="20"/>
    </w:rPr>
  </w:style>
  <w:style w:type="character" w:styleId="990">
    <w:name w:val="endnote reference"/>
    <w:basedOn w:val="1008"/>
    <w:uiPriority w:val="99"/>
    <w:semiHidden/>
    <w:unhideWhenUsed/>
    <w:pPr>
      <w:pBdr/>
      <w:spacing/>
      <w:ind/>
    </w:pPr>
    <w:rPr>
      <w:vertAlign w:val="superscript"/>
    </w:rPr>
  </w:style>
  <w:style w:type="paragraph" w:styleId="991">
    <w:name w:val="toc 1"/>
    <w:basedOn w:val="1003"/>
    <w:next w:val="1003"/>
    <w:uiPriority w:val="39"/>
    <w:unhideWhenUsed/>
    <w:pPr>
      <w:pBdr/>
      <w:spacing w:after="100"/>
      <w:ind/>
    </w:pPr>
  </w:style>
  <w:style w:type="paragraph" w:styleId="992">
    <w:name w:val="toc 2"/>
    <w:basedOn w:val="1003"/>
    <w:next w:val="1003"/>
    <w:uiPriority w:val="39"/>
    <w:unhideWhenUsed/>
    <w:pPr>
      <w:pBdr/>
      <w:spacing w:after="100"/>
      <w:ind w:left="220"/>
    </w:pPr>
  </w:style>
  <w:style w:type="paragraph" w:styleId="993">
    <w:name w:val="toc 3"/>
    <w:basedOn w:val="1003"/>
    <w:next w:val="1003"/>
    <w:uiPriority w:val="39"/>
    <w:unhideWhenUsed/>
    <w:pPr>
      <w:pBdr/>
      <w:spacing w:after="100"/>
      <w:ind w:left="440"/>
    </w:pPr>
  </w:style>
  <w:style w:type="paragraph" w:styleId="994">
    <w:name w:val="toc 4"/>
    <w:basedOn w:val="1003"/>
    <w:next w:val="1003"/>
    <w:uiPriority w:val="39"/>
    <w:unhideWhenUsed/>
    <w:pPr>
      <w:pBdr/>
      <w:spacing w:after="100"/>
      <w:ind w:left="660"/>
    </w:pPr>
  </w:style>
  <w:style w:type="paragraph" w:styleId="995">
    <w:name w:val="toc 5"/>
    <w:basedOn w:val="1003"/>
    <w:next w:val="1003"/>
    <w:uiPriority w:val="39"/>
    <w:unhideWhenUsed/>
    <w:pPr>
      <w:pBdr/>
      <w:spacing w:after="100"/>
      <w:ind w:left="880"/>
    </w:pPr>
  </w:style>
  <w:style w:type="paragraph" w:styleId="996">
    <w:name w:val="toc 6"/>
    <w:basedOn w:val="1003"/>
    <w:next w:val="1003"/>
    <w:uiPriority w:val="39"/>
    <w:unhideWhenUsed/>
    <w:pPr>
      <w:pBdr/>
      <w:spacing w:after="100"/>
      <w:ind w:left="1100"/>
    </w:pPr>
  </w:style>
  <w:style w:type="paragraph" w:styleId="997">
    <w:name w:val="toc 7"/>
    <w:basedOn w:val="1003"/>
    <w:next w:val="1003"/>
    <w:uiPriority w:val="39"/>
    <w:unhideWhenUsed/>
    <w:pPr>
      <w:pBdr/>
      <w:spacing w:after="100"/>
      <w:ind w:left="1320"/>
    </w:pPr>
  </w:style>
  <w:style w:type="paragraph" w:styleId="998">
    <w:name w:val="toc 8"/>
    <w:basedOn w:val="1003"/>
    <w:next w:val="1003"/>
    <w:uiPriority w:val="39"/>
    <w:unhideWhenUsed/>
    <w:pPr>
      <w:pBdr/>
      <w:spacing w:after="100"/>
      <w:ind w:left="1540"/>
    </w:pPr>
  </w:style>
  <w:style w:type="paragraph" w:styleId="999">
    <w:name w:val="toc 9"/>
    <w:basedOn w:val="1003"/>
    <w:next w:val="1003"/>
    <w:uiPriority w:val="39"/>
    <w:unhideWhenUsed/>
    <w:pPr>
      <w:pBdr/>
      <w:spacing w:after="100"/>
      <w:ind w:left="1760"/>
    </w:pPr>
  </w:style>
  <w:style w:type="character" w:styleId="1000">
    <w:name w:val="Placeholder Text"/>
    <w:basedOn w:val="1008"/>
    <w:uiPriority w:val="99"/>
    <w:semiHidden/>
    <w:pPr>
      <w:pBdr/>
      <w:spacing/>
      <w:ind/>
    </w:pPr>
    <w:rPr>
      <w:color w:val="666666"/>
    </w:rPr>
  </w:style>
  <w:style w:type="paragraph" w:styleId="1001">
    <w:name w:val="TOC Heading"/>
    <w:uiPriority w:val="39"/>
    <w:unhideWhenUsed/>
    <w:pPr>
      <w:pBdr/>
      <w:spacing/>
      <w:ind/>
    </w:pPr>
  </w:style>
  <w:style w:type="paragraph" w:styleId="1002">
    <w:name w:val="table of figures"/>
    <w:basedOn w:val="1003"/>
    <w:next w:val="1003"/>
    <w:uiPriority w:val="99"/>
    <w:unhideWhenUsed/>
    <w:pPr>
      <w:pBdr/>
      <w:spacing w:after="0" w:afterAutospacing="0"/>
      <w:ind/>
    </w:pPr>
  </w:style>
  <w:style w:type="paragraph" w:styleId="1003" w:default="1">
    <w:name w:val="Normal"/>
    <w:qFormat/>
    <w:pPr>
      <w:pBdr/>
      <w:spacing w:after="0" w:line="240" w:lineRule="auto"/>
      <w:ind/>
    </w:pPr>
    <w:rPr>
      <w:rFonts w:ascii="Times New Roman" w:hAnsi="Times New Roman" w:eastAsia="Times New Roman" w:cs="Times New Roman"/>
      <w:sz w:val="24"/>
      <w:szCs w:val="24"/>
    </w:rPr>
  </w:style>
  <w:style w:type="paragraph" w:styleId="1004">
    <w:name w:val="Heading 1"/>
    <w:basedOn w:val="1003"/>
    <w:next w:val="1003"/>
    <w:link w:val="1011"/>
    <w:qFormat/>
    <w:pPr>
      <w:keepNext w:val="true"/>
      <w:pBdr/>
      <w:spacing w:after="120" w:before="120"/>
      <w:ind/>
      <w:jc w:val="center"/>
      <w:outlineLvl w:val="0"/>
    </w:pPr>
    <w:rPr>
      <w:b/>
      <w:bCs/>
      <w:sz w:val="27"/>
      <w:szCs w:val="27"/>
    </w:rPr>
  </w:style>
  <w:style w:type="paragraph" w:styleId="1005">
    <w:name w:val="Heading 2"/>
    <w:basedOn w:val="1003"/>
    <w:next w:val="1003"/>
    <w:link w:val="101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6">
    <w:name w:val="Heading 3"/>
    <w:basedOn w:val="1003"/>
    <w:next w:val="1003"/>
    <w:link w:val="1013"/>
    <w:qFormat/>
    <w:pPr>
      <w:keepNext w:val="true"/>
      <w:pBdr/>
      <w:spacing w:before="60"/>
      <w:ind/>
      <w:outlineLvl w:val="2"/>
    </w:pPr>
    <w:rPr>
      <w:sz w:val="28"/>
      <w:szCs w:val="28"/>
    </w:rPr>
  </w:style>
  <w:style w:type="paragraph" w:styleId="1007">
    <w:name w:val="Heading 4"/>
    <w:basedOn w:val="1003"/>
    <w:next w:val="1003"/>
    <w:link w:val="1014"/>
    <w:qFormat/>
    <w:pPr>
      <w:keepNext w:val="true"/>
      <w:pBdr/>
      <w:spacing/>
      <w:ind/>
      <w:jc w:val="center"/>
      <w:outlineLvl w:val="3"/>
    </w:pPr>
    <w:rPr>
      <w:b/>
      <w:bCs/>
    </w:rPr>
  </w:style>
  <w:style w:type="character" w:styleId="1008" w:default="1">
    <w:name w:val="Default Paragraph Font"/>
    <w:uiPriority w:val="1"/>
    <w:semiHidden/>
    <w:unhideWhenUsed/>
    <w:pPr>
      <w:pBdr/>
      <w:spacing/>
      <w:ind/>
    </w:pPr>
  </w:style>
  <w:style w:type="table" w:styleId="100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0" w:default="1">
    <w:name w:val="No List"/>
    <w:uiPriority w:val="99"/>
    <w:semiHidden/>
    <w:unhideWhenUsed/>
    <w:pPr>
      <w:pBdr/>
      <w:spacing/>
      <w:ind/>
    </w:pPr>
  </w:style>
  <w:style w:type="character" w:styleId="1011" w:customStyle="1">
    <w:name w:val="Heading 1 Char"/>
    <w:basedOn w:val="1008"/>
    <w:link w:val="1004"/>
    <w:pPr>
      <w:pBdr/>
      <w:spacing/>
      <w:ind/>
    </w:pPr>
    <w:rPr>
      <w:rFonts w:ascii="Times New Roman" w:hAnsi="Times New Roman" w:eastAsia="Times New Roman" w:cs="Times New Roman"/>
      <w:b/>
      <w:bCs/>
      <w:sz w:val="27"/>
      <w:szCs w:val="27"/>
    </w:rPr>
  </w:style>
  <w:style w:type="character" w:styleId="1012" w:customStyle="1">
    <w:name w:val="Heading 2 Char"/>
    <w:basedOn w:val="1008"/>
    <w:link w:val="1005"/>
    <w:uiPriority w:val="9"/>
    <w:pPr>
      <w:pBdr/>
      <w:spacing/>
      <w:ind/>
    </w:pPr>
    <w:rPr>
      <w:rFonts w:asciiTheme="majorHAnsi" w:hAnsiTheme="majorHAnsi" w:eastAsiaTheme="majorEastAsia" w:cstheme="majorBidi"/>
      <w:color w:val="365f91" w:themeColor="accent1" w:themeShade="BF"/>
      <w:sz w:val="26"/>
      <w:szCs w:val="26"/>
    </w:rPr>
  </w:style>
  <w:style w:type="character" w:styleId="1013" w:customStyle="1">
    <w:name w:val="Heading 3 Char"/>
    <w:basedOn w:val="1008"/>
    <w:link w:val="1006"/>
    <w:pPr>
      <w:pBdr/>
      <w:spacing/>
      <w:ind/>
    </w:pPr>
    <w:rPr>
      <w:rFonts w:ascii="Times New Roman" w:hAnsi="Times New Roman" w:eastAsia="Times New Roman" w:cs="Times New Roman"/>
      <w:sz w:val="28"/>
      <w:szCs w:val="28"/>
    </w:rPr>
  </w:style>
  <w:style w:type="character" w:styleId="1014" w:customStyle="1">
    <w:name w:val="Heading 4 Char"/>
    <w:basedOn w:val="1008"/>
    <w:link w:val="1007"/>
    <w:pPr>
      <w:pBdr/>
      <w:spacing/>
      <w:ind/>
    </w:pPr>
    <w:rPr>
      <w:rFonts w:ascii="Times New Roman" w:hAnsi="Times New Roman" w:eastAsia="Times New Roman" w:cs="Times New Roman"/>
      <w:b/>
      <w:bCs/>
      <w:sz w:val="24"/>
      <w:szCs w:val="24"/>
    </w:rPr>
  </w:style>
  <w:style w:type="character" w:styleId="1015">
    <w:name w:val="Hyperlink"/>
    <w:uiPriority w:val="99"/>
    <w:pPr>
      <w:pBdr/>
      <w:spacing/>
      <w:ind/>
    </w:pPr>
    <w:rPr>
      <w:color w:val="000000"/>
      <w:u w:val="single"/>
    </w:rPr>
  </w:style>
  <w:style w:type="character" w:styleId="1016">
    <w:name w:val="Strong"/>
    <w:uiPriority w:val="22"/>
    <w:qFormat/>
    <w:pPr>
      <w:pBdr/>
      <w:spacing/>
      <w:ind/>
    </w:pPr>
    <w:rPr>
      <w:b/>
      <w:bCs/>
    </w:rPr>
  </w:style>
  <w:style w:type="paragraph" w:styleId="1017">
    <w:name w:val="Balloon Text"/>
    <w:basedOn w:val="1003"/>
    <w:link w:val="1018"/>
    <w:uiPriority w:val="99"/>
    <w:semiHidden/>
    <w:unhideWhenUsed/>
    <w:pPr>
      <w:pBdr/>
      <w:spacing/>
      <w:ind/>
    </w:pPr>
    <w:rPr>
      <w:rFonts w:ascii="Tahoma" w:hAnsi="Tahoma" w:cs="Tahoma"/>
      <w:sz w:val="16"/>
      <w:szCs w:val="16"/>
    </w:rPr>
  </w:style>
  <w:style w:type="character" w:styleId="1018" w:customStyle="1">
    <w:name w:val="Balloon Text Char"/>
    <w:basedOn w:val="1008"/>
    <w:link w:val="1017"/>
    <w:uiPriority w:val="99"/>
    <w:semiHidden/>
    <w:pPr>
      <w:pBdr/>
      <w:spacing/>
      <w:ind/>
    </w:pPr>
    <w:rPr>
      <w:rFonts w:ascii="Tahoma" w:hAnsi="Tahoma" w:eastAsia="Times New Roman" w:cs="Tahoma"/>
      <w:sz w:val="16"/>
      <w:szCs w:val="16"/>
    </w:rPr>
  </w:style>
  <w:style w:type="paragraph" w:styleId="1019">
    <w:name w:val="Header"/>
    <w:basedOn w:val="1003"/>
    <w:link w:val="1020"/>
    <w:unhideWhenUsed/>
    <w:pPr>
      <w:pBdr/>
      <w:tabs>
        <w:tab w:val="center" w:leader="none" w:pos="4680"/>
        <w:tab w:val="right" w:leader="none" w:pos="9360"/>
      </w:tabs>
      <w:spacing/>
      <w:ind/>
    </w:pPr>
  </w:style>
  <w:style w:type="character" w:styleId="1020" w:customStyle="1">
    <w:name w:val="Header Char"/>
    <w:basedOn w:val="1008"/>
    <w:link w:val="1019"/>
    <w:pPr>
      <w:pBdr/>
      <w:spacing/>
      <w:ind/>
    </w:pPr>
    <w:rPr>
      <w:rFonts w:ascii="Times New Roman" w:hAnsi="Times New Roman" w:eastAsia="Times New Roman" w:cs="Times New Roman"/>
      <w:sz w:val="24"/>
      <w:szCs w:val="24"/>
    </w:rPr>
  </w:style>
  <w:style w:type="paragraph" w:styleId="1021">
    <w:name w:val="Footer"/>
    <w:basedOn w:val="1003"/>
    <w:link w:val="1022"/>
    <w:uiPriority w:val="99"/>
    <w:unhideWhenUsed/>
    <w:pPr>
      <w:pBdr/>
      <w:tabs>
        <w:tab w:val="center" w:leader="none" w:pos="4680"/>
        <w:tab w:val="right" w:leader="none" w:pos="9360"/>
      </w:tabs>
      <w:spacing/>
      <w:ind/>
    </w:pPr>
  </w:style>
  <w:style w:type="character" w:styleId="1022" w:customStyle="1">
    <w:name w:val="Footer Char"/>
    <w:basedOn w:val="1008"/>
    <w:link w:val="1021"/>
    <w:uiPriority w:val="99"/>
    <w:pPr>
      <w:pBdr/>
      <w:spacing/>
      <w:ind/>
    </w:pPr>
    <w:rPr>
      <w:rFonts w:ascii="Times New Roman" w:hAnsi="Times New Roman" w:eastAsia="Times New Roman" w:cs="Times New Roman"/>
      <w:sz w:val="24"/>
      <w:szCs w:val="24"/>
    </w:rPr>
  </w:style>
  <w:style w:type="character" w:styleId="1023" w:customStyle="1">
    <w:name w:val="normal-h1"/>
    <w:pPr>
      <w:pBdr/>
      <w:spacing/>
      <w:ind/>
    </w:pPr>
    <w:rPr>
      <w:rFonts w:hint="default" w:ascii=".VnTime" w:hAnsi=".VnTime"/>
      <w:color w:val="0000ff"/>
      <w:sz w:val="24"/>
      <w:szCs w:val="24"/>
    </w:rPr>
  </w:style>
  <w:style w:type="paragraph" w:styleId="1024" w:customStyle="1">
    <w:name w:val="normal-p"/>
    <w:basedOn w:val="1003"/>
    <w:pPr>
      <w:pBdr/>
      <w:spacing/>
      <w:ind/>
      <w:jc w:val="both"/>
    </w:pPr>
    <w:rPr>
      <w:sz w:val="20"/>
      <w:szCs w:val="20"/>
    </w:rPr>
  </w:style>
  <w:style w:type="paragraph" w:styleId="1025">
    <w:name w:val="List Paragraph"/>
    <w:basedOn w:val="1003"/>
    <w:link w:val="1112"/>
    <w:uiPriority w:val="34"/>
    <w:qFormat/>
    <w:pPr>
      <w:pBdr/>
      <w:spacing/>
      <w:ind w:left="720"/>
    </w:pPr>
  </w:style>
  <w:style w:type="paragraph" w:styleId="1026">
    <w:name w:val="Normal (Web)"/>
    <w:basedOn w:val="1003"/>
    <w:uiPriority w:val="99"/>
    <w:pPr>
      <w:pBdr/>
      <w:spacing w:after="100" w:afterAutospacing="1" w:before="100" w:beforeAutospacing="1"/>
      <w:ind/>
    </w:pPr>
  </w:style>
  <w:style w:type="paragraph" w:styleId="1027">
    <w:name w:val="Body Text"/>
    <w:basedOn w:val="1003"/>
    <w:link w:val="1028"/>
    <w:pPr>
      <w:pBdr/>
      <w:spacing w:after="120"/>
      <w:ind/>
      <w:jc w:val="both"/>
    </w:pPr>
  </w:style>
  <w:style w:type="character" w:styleId="1028" w:customStyle="1">
    <w:name w:val="Body Text Char"/>
    <w:basedOn w:val="1008"/>
    <w:link w:val="1027"/>
    <w:pPr>
      <w:pBdr/>
      <w:spacing/>
      <w:ind/>
    </w:pPr>
    <w:rPr>
      <w:rFonts w:ascii="Times New Roman" w:hAnsi="Times New Roman" w:eastAsia="Times New Roman" w:cs="Times New Roman"/>
      <w:sz w:val="24"/>
      <w:szCs w:val="24"/>
    </w:rPr>
  </w:style>
  <w:style w:type="table" w:styleId="1029">
    <w:name w:val="Table Grid"/>
    <w:basedOn w:val="100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1">
    <w:name w:val="annotation reference"/>
    <w:basedOn w:val="1008"/>
    <w:uiPriority w:val="99"/>
    <w:semiHidden/>
    <w:unhideWhenUsed/>
    <w:pPr>
      <w:pBdr/>
      <w:spacing/>
      <w:ind/>
    </w:pPr>
    <w:rPr>
      <w:sz w:val="16"/>
      <w:szCs w:val="16"/>
    </w:rPr>
  </w:style>
  <w:style w:type="paragraph" w:styleId="1032">
    <w:name w:val="annotation text"/>
    <w:basedOn w:val="1003"/>
    <w:link w:val="1033"/>
    <w:uiPriority w:val="99"/>
    <w:unhideWhenUsed/>
    <w:pPr>
      <w:pBdr/>
      <w:spacing/>
      <w:ind/>
    </w:pPr>
    <w:rPr>
      <w:sz w:val="20"/>
      <w:szCs w:val="20"/>
    </w:rPr>
  </w:style>
  <w:style w:type="character" w:styleId="1033" w:customStyle="1">
    <w:name w:val="Comment Text Char"/>
    <w:basedOn w:val="1008"/>
    <w:link w:val="1032"/>
    <w:uiPriority w:val="99"/>
    <w:pPr>
      <w:pBdr/>
      <w:spacing/>
      <w:ind/>
    </w:pPr>
    <w:rPr>
      <w:rFonts w:ascii="Times New Roman" w:hAnsi="Times New Roman" w:eastAsia="Times New Roman" w:cs="Times New Roman"/>
      <w:sz w:val="20"/>
      <w:szCs w:val="20"/>
    </w:rPr>
  </w:style>
  <w:style w:type="paragraph" w:styleId="1034">
    <w:name w:val="annotation subject"/>
    <w:basedOn w:val="1032"/>
    <w:next w:val="1032"/>
    <w:link w:val="1035"/>
    <w:uiPriority w:val="99"/>
    <w:semiHidden/>
    <w:unhideWhenUsed/>
    <w:pPr>
      <w:pBdr/>
      <w:spacing/>
      <w:ind/>
    </w:pPr>
    <w:rPr>
      <w:b/>
      <w:bCs/>
    </w:rPr>
  </w:style>
  <w:style w:type="character" w:styleId="1035" w:customStyle="1">
    <w:name w:val="Comment Subject Char"/>
    <w:basedOn w:val="1033"/>
    <w:link w:val="1034"/>
    <w:uiPriority w:val="99"/>
    <w:semiHidden/>
    <w:pPr>
      <w:pBdr/>
      <w:spacing/>
      <w:ind/>
    </w:pPr>
    <w:rPr>
      <w:rFonts w:ascii="Times New Roman" w:hAnsi="Times New Roman" w:eastAsia="Times New Roman" w:cs="Times New Roman"/>
      <w:b/>
      <w:bCs/>
      <w:sz w:val="20"/>
      <w:szCs w:val="20"/>
    </w:rPr>
  </w:style>
  <w:style w:type="paragraph" w:styleId="1036" w:customStyle="1">
    <w:name w:val="font5"/>
    <w:basedOn w:val="1003"/>
    <w:pPr>
      <w:pBdr/>
      <w:spacing w:after="100" w:afterAutospacing="1" w:before="100" w:beforeAutospacing="1"/>
      <w:ind/>
    </w:pPr>
    <w:rPr>
      <w:rFonts w:ascii="Tahoma" w:hAnsi="Tahoma" w:cs="Tahoma"/>
      <w:color w:val="000000"/>
      <w:sz w:val="18"/>
      <w:szCs w:val="18"/>
    </w:rPr>
  </w:style>
  <w:style w:type="paragraph" w:styleId="1037" w:customStyle="1">
    <w:name w:val="font6"/>
    <w:basedOn w:val="1003"/>
    <w:pPr>
      <w:pBdr/>
      <w:spacing w:after="100" w:afterAutospacing="1" w:before="100" w:beforeAutospacing="1"/>
      <w:ind/>
    </w:pPr>
    <w:rPr>
      <w:rFonts w:ascii="Tahoma" w:hAnsi="Tahoma" w:cs="Tahoma"/>
      <w:b/>
      <w:bCs/>
      <w:color w:val="000000"/>
      <w:sz w:val="18"/>
      <w:szCs w:val="18"/>
    </w:rPr>
  </w:style>
  <w:style w:type="paragraph" w:styleId="1038" w:customStyle="1">
    <w:name w:val="xl23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39" w:customStyle="1">
    <w:name w:val="xl234"/>
    <w:basedOn w:val="1003"/>
    <w:pPr>
      <w:pBdr/>
      <w:spacing w:after="100" w:afterAutospacing="1" w:before="100" w:beforeAutospacing="1"/>
      <w:ind/>
      <w:jc w:val="center"/>
    </w:pPr>
  </w:style>
  <w:style w:type="paragraph" w:styleId="1040" w:customStyle="1">
    <w:name w:val="xl235"/>
    <w:basedOn w:val="1003"/>
    <w:pPr>
      <w:pBdr/>
      <w:spacing w:after="100" w:afterAutospacing="1" w:before="100" w:beforeAutospacing="1"/>
      <w:ind/>
      <w:jc w:val="center"/>
    </w:pPr>
    <w:rPr>
      <w:b/>
      <w:bCs/>
    </w:rPr>
  </w:style>
  <w:style w:type="paragraph" w:styleId="1041" w:customStyle="1">
    <w:name w:val="xl236"/>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2" w:customStyle="1">
    <w:name w:val="xl23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3" w:customStyle="1">
    <w:name w:val="xl238"/>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4" w:customStyle="1">
    <w:name w:val="xl23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5" w:customStyle="1">
    <w:name w:val="xl240"/>
    <w:basedOn w:val="1003"/>
    <w:pPr>
      <w:pBdr/>
      <w:spacing w:after="100" w:afterAutospacing="1" w:before="100" w:beforeAutospacing="1"/>
      <w:ind/>
    </w:pPr>
  </w:style>
  <w:style w:type="paragraph" w:styleId="1046" w:customStyle="1">
    <w:name w:val="xl241"/>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7" w:customStyle="1">
    <w:name w:val="xl242"/>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48" w:customStyle="1">
    <w:name w:val="xl243"/>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49" w:customStyle="1">
    <w:name w:val="xl244"/>
    <w:basedOn w:val="1003"/>
    <w:pPr>
      <w:pBdr/>
      <w:spacing w:after="100" w:afterAutospacing="1" w:before="100" w:beforeAutospacing="1"/>
      <w:ind/>
    </w:pPr>
    <w:rPr>
      <w:b/>
      <w:bCs/>
    </w:rPr>
  </w:style>
  <w:style w:type="paragraph" w:styleId="1050" w:customStyle="1">
    <w:name w:val="xl245"/>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1" w:customStyle="1">
    <w:name w:val="xl24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2" w:customStyle="1">
    <w:name w:val="xl247"/>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3" w:customStyle="1">
    <w:name w:val="xl24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4" w:customStyle="1">
    <w:name w:val="xl24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5" w:customStyle="1">
    <w:name w:val="xl25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6" w:customStyle="1">
    <w:name w:val="xl25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7" w:customStyle="1">
    <w:name w:val="xl25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8" w:customStyle="1">
    <w:name w:val="xl253"/>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54"/>
    <w:basedOn w:val="100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0" w:customStyle="1">
    <w:name w:val="xl255"/>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1" w:customStyle="1">
    <w:name w:val="xl25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5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8"/>
    <w:basedOn w:val="100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5" w:customStyle="1">
    <w:name w:val="xl260"/>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6" w:customStyle="1">
    <w:name w:val="xl261"/>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7" w:customStyle="1">
    <w:name w:val="xl262"/>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8" w:customStyle="1">
    <w:name w:val="xl263"/>
    <w:basedOn w:val="1003"/>
    <w:pPr>
      <w:pBdr/>
      <w:shd w:val="clear" w:color="000000" w:fill="ffffff"/>
      <w:spacing w:after="100" w:afterAutospacing="1" w:before="100" w:beforeAutospacing="1"/>
      <w:ind/>
    </w:pPr>
  </w:style>
  <w:style w:type="paragraph" w:styleId="1069" w:customStyle="1">
    <w:name w:val="xl264"/>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0" w:customStyle="1">
    <w:name w:val="xl265"/>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1" w:customStyle="1">
    <w:name w:val="xl26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2" w:customStyle="1">
    <w:name w:val="xl26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68"/>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69"/>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5" w:customStyle="1">
    <w:name w:val="xl27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6" w:customStyle="1">
    <w:name w:val="xl271"/>
    <w:basedOn w:val="100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7" w:customStyle="1">
    <w:name w:val="xl27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8" w:customStyle="1">
    <w:name w:val="xl273"/>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9" w:customStyle="1">
    <w:name w:val="xl274"/>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75"/>
    <w:basedOn w:val="1003"/>
    <w:pPr>
      <w:pBdr/>
      <w:spacing w:after="100" w:afterAutospacing="1" w:before="100" w:beforeAutospacing="1"/>
      <w:ind/>
    </w:pPr>
  </w:style>
  <w:style w:type="paragraph" w:styleId="1081" w:customStyle="1">
    <w:name w:val="xl27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2" w:customStyle="1">
    <w:name w:val="xl277"/>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3" w:customStyle="1">
    <w:name w:val="xl27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4" w:customStyle="1">
    <w:name w:val="xl27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5" w:customStyle="1">
    <w:name w:val="xl28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6" w:customStyle="1">
    <w:name w:val="xl28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7" w:customStyle="1">
    <w:name w:val="xl28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8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89" w:customStyle="1">
    <w:name w:val="xl284"/>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0" w:customStyle="1">
    <w:name w:val="xl285"/>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1" w:customStyle="1">
    <w:name w:val="xl28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2" w:customStyle="1">
    <w:name w:val="xl287"/>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8"/>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4" w:customStyle="1">
    <w:name w:val="xl289"/>
    <w:basedOn w:val="1003"/>
    <w:pPr>
      <w:pBdr>
        <w:left w:val="single" w:color="000000" w:sz="4" w:space="0"/>
        <w:right w:val="single" w:color="000000" w:sz="4" w:space="0"/>
      </w:pBdr>
      <w:spacing w:after="100" w:afterAutospacing="1" w:before="100" w:beforeAutospacing="1"/>
      <w:ind/>
    </w:pPr>
    <w:rPr>
      <w:b/>
      <w:bCs/>
    </w:rPr>
  </w:style>
  <w:style w:type="paragraph" w:styleId="1095" w:customStyle="1">
    <w:name w:val="xl29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6" w:customStyle="1">
    <w:name w:val="xl291"/>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7" w:customStyle="1">
    <w:name w:val="xl292"/>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8" w:customStyle="1">
    <w:name w:val="xl293"/>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94"/>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0">
    <w:name w:val="Title"/>
    <w:basedOn w:val="1003"/>
    <w:link w:val="1101"/>
    <w:qFormat/>
    <w:pPr>
      <w:pBdr/>
      <w:spacing/>
      <w:ind/>
      <w:jc w:val="center"/>
    </w:pPr>
    <w:rPr>
      <w:b/>
      <w:bCs/>
      <w:sz w:val="32"/>
      <w:szCs w:val="26"/>
    </w:rPr>
  </w:style>
  <w:style w:type="character" w:styleId="1101" w:customStyle="1">
    <w:name w:val="Title Char"/>
    <w:basedOn w:val="1008"/>
    <w:link w:val="1100"/>
    <w:pPr>
      <w:pBdr/>
      <w:spacing/>
      <w:ind/>
    </w:pPr>
    <w:rPr>
      <w:rFonts w:ascii="Times New Roman" w:hAnsi="Times New Roman" w:eastAsia="Times New Roman" w:cs="Times New Roman"/>
      <w:b/>
      <w:bCs/>
      <w:sz w:val="32"/>
      <w:szCs w:val="26"/>
    </w:rPr>
  </w:style>
  <w:style w:type="character" w:styleId="1102" w:customStyle="1">
    <w:name w:val="Unresolved Mention1"/>
    <w:basedOn w:val="1008"/>
    <w:uiPriority w:val="99"/>
    <w:semiHidden/>
    <w:unhideWhenUsed/>
    <w:pPr>
      <w:pBdr/>
      <w:spacing/>
      <w:ind/>
    </w:pPr>
    <w:rPr>
      <w:color w:val="605e5c"/>
      <w:shd w:val="clear" w:color="auto" w:fill="e1dfdd"/>
    </w:rPr>
  </w:style>
  <w:style w:type="character" w:styleId="1103" w:customStyle="1">
    <w:name w:val="Body text (3)_"/>
    <w:link w:val="1104"/>
    <w:pPr>
      <w:pBdr/>
      <w:spacing/>
      <w:ind/>
    </w:pPr>
    <w:rPr>
      <w:rFonts w:ascii="Times New Roman" w:hAnsi="Times New Roman" w:cs="Times New Roman"/>
      <w:i/>
      <w:iCs/>
      <w:spacing w:val="4"/>
      <w:shd w:val="clear" w:color="auto" w:fill="ffffff"/>
    </w:rPr>
  </w:style>
  <w:style w:type="paragraph" w:styleId="1104" w:customStyle="1">
    <w:name w:val="Body text (3)1"/>
    <w:basedOn w:val="1003"/>
    <w:link w:val="110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5" w:customStyle="1">
    <w:name w:val="t-j"/>
    <w:basedOn w:val="1003"/>
    <w:pPr>
      <w:pBdr/>
      <w:spacing w:after="100" w:afterAutospacing="1" w:before="100" w:beforeAutospacing="1"/>
      <w:ind/>
    </w:pPr>
  </w:style>
  <w:style w:type="character" w:styleId="1106" w:customStyle="1">
    <w:name w:val="Unresolved Mention2"/>
    <w:basedOn w:val="1008"/>
    <w:uiPriority w:val="99"/>
    <w:semiHidden/>
    <w:unhideWhenUsed/>
    <w:pPr>
      <w:pBdr/>
      <w:spacing/>
      <w:ind/>
    </w:pPr>
    <w:rPr>
      <w:color w:val="605e5c"/>
      <w:shd w:val="clear" w:color="auto" w:fill="e1dfdd"/>
    </w:rPr>
  </w:style>
  <w:style w:type="character" w:styleId="1107">
    <w:name w:val="FollowedHyperlink"/>
    <w:basedOn w:val="1008"/>
    <w:uiPriority w:val="99"/>
    <w:semiHidden/>
    <w:unhideWhenUsed/>
    <w:pPr>
      <w:pBdr/>
      <w:spacing/>
      <w:ind/>
    </w:pPr>
    <w:rPr>
      <w:color w:val="800080" w:themeColor="followedHyperlink"/>
      <w:u w:val="single"/>
    </w:rPr>
  </w:style>
  <w:style w:type="character" w:styleId="1108" w:customStyle="1">
    <w:name w:val="text"/>
    <w:basedOn w:val="1008"/>
    <w:pPr>
      <w:pBdr/>
      <w:spacing/>
      <w:ind/>
    </w:pPr>
  </w:style>
  <w:style w:type="character" w:styleId="1109" w:customStyle="1">
    <w:name w:val="card-send-time__sendtime"/>
    <w:basedOn w:val="1008"/>
    <w:pPr>
      <w:pBdr/>
      <w:spacing/>
      <w:ind/>
    </w:pPr>
  </w:style>
  <w:style w:type="character" w:styleId="1110" w:customStyle="1">
    <w:name w:val="Đề cập Chưa giải quyết1"/>
    <w:basedOn w:val="1008"/>
    <w:uiPriority w:val="99"/>
    <w:semiHidden/>
    <w:unhideWhenUsed/>
    <w:pPr>
      <w:pBdr/>
      <w:spacing/>
      <w:ind/>
    </w:pPr>
    <w:rPr>
      <w:color w:val="605e5c"/>
      <w:shd w:val="clear" w:color="auto" w:fill="e1dfdd"/>
    </w:rPr>
  </w:style>
  <w:style w:type="paragraph" w:styleId="1111" w:customStyle="1">
    <w:name w:val="nqtitle"/>
    <w:basedOn w:val="1003"/>
    <w:pPr>
      <w:pBdr/>
      <w:spacing w:after="100" w:afterAutospacing="1" w:before="100" w:beforeAutospacing="1"/>
      <w:ind/>
    </w:pPr>
    <w:rPr>
      <w:lang w:val="vi-VN" w:eastAsia="vi-VN"/>
    </w:rPr>
  </w:style>
  <w:style w:type="character" w:styleId="1112" w:customStyle="1">
    <w:name w:val="List Paragraph Char"/>
    <w:link w:val="1025"/>
    <w:uiPriority w:val="34"/>
    <w:qFormat/>
    <w:pPr>
      <w:pBdr/>
      <w:spacing/>
      <w:ind/>
    </w:pPr>
    <w:rPr>
      <w:rFonts w:ascii="Times New Roman" w:hAnsi="Times New Roman" w:eastAsia="Times New Roman" w:cs="Times New Roman"/>
      <w:sz w:val="24"/>
      <w:szCs w:val="24"/>
    </w:rPr>
  </w:style>
  <w:style w:type="character" w:styleId="1113" w:customStyle="1">
    <w:name w:val="Đề cập Chưa giải quyết2"/>
    <w:basedOn w:val="1008"/>
    <w:uiPriority w:val="99"/>
    <w:semiHidden/>
    <w:unhideWhenUsed/>
    <w:pPr>
      <w:pBdr/>
      <w:spacing/>
      <w:ind/>
    </w:pPr>
    <w:rPr>
      <w:color w:val="605e5c"/>
      <w:shd w:val="clear" w:color="auto" w:fill="e1dfdd"/>
    </w:rPr>
  </w:style>
  <w:style w:type="character" w:styleId="1114" w:customStyle="1">
    <w:name w:val="Unresolved Mention3"/>
    <w:basedOn w:val="1008"/>
    <w:uiPriority w:val="99"/>
    <w:semiHidden/>
    <w:unhideWhenUsed/>
    <w:pPr>
      <w:pBdr/>
      <w:spacing/>
      <w:ind/>
    </w:pPr>
    <w:rPr>
      <w:color w:val="605e5c"/>
      <w:shd w:val="clear" w:color="auto" w:fill="e1dfdd"/>
    </w:rPr>
  </w:style>
  <w:style w:type="character" w:styleId="1115" w:customStyle="1">
    <w:name w:val="copy"/>
    <w:basedOn w:val="1008"/>
    <w:pPr>
      <w:pBdr/>
      <w:spacing/>
      <w:ind/>
    </w:pPr>
  </w:style>
  <w:style w:type="paragraph" w:styleId="1116" w:customStyle="1">
    <w:name w:val="align-justify"/>
    <w:basedOn w:val="1003"/>
    <w:pPr>
      <w:pBdr/>
      <w:spacing w:after="100" w:afterAutospacing="1" w:before="100" w:beforeAutospacing="1"/>
      <w:ind/>
    </w:pPr>
  </w:style>
  <w:style w:type="character" w:styleId="1117" w:customStyle="1">
    <w:name w:val="btn"/>
    <w:basedOn w:val="1008"/>
    <w:pPr>
      <w:pBdr/>
      <w:spacing/>
      <w:ind/>
    </w:pPr>
  </w:style>
  <w:style w:type="character" w:styleId="1118" w:customStyle="1">
    <w:name w:val="hide_mobile"/>
    <w:basedOn w:val="1008"/>
    <w:pPr>
      <w:pBdr/>
      <w:spacing/>
      <w:ind/>
    </w:pPr>
  </w:style>
  <w:style w:type="character" w:styleId="1119">
    <w:name w:val="Emphasis"/>
    <w:basedOn w:val="1008"/>
    <w:uiPriority w:val="20"/>
    <w:qFormat/>
    <w:pPr>
      <w:pBdr/>
      <w:spacing/>
      <w:ind/>
    </w:pPr>
    <w:rPr>
      <w:i/>
      <w:iCs/>
    </w:rPr>
  </w:style>
  <w:style w:type="character" w:styleId="1120" w:customStyle="1">
    <w:name w:val="t1"/>
    <w:basedOn w:val="1008"/>
    <w:pPr>
      <w:pBdr/>
      <w:spacing/>
      <w:ind/>
    </w:pPr>
  </w:style>
  <w:style w:type="character" w:styleId="1121" w:customStyle="1">
    <w:name w:val="Unresolved Mention4"/>
    <w:basedOn w:val="1008"/>
    <w:uiPriority w:val="99"/>
    <w:semiHidden/>
    <w:unhideWhenUsed/>
    <w:pPr>
      <w:pBdr/>
      <w:spacing/>
      <w:ind/>
    </w:pPr>
    <w:rPr>
      <w:color w:val="605e5c"/>
      <w:shd w:val="clear" w:color="auto" w:fill="e1dfdd"/>
    </w:rPr>
  </w:style>
  <w:style w:type="character" w:styleId="1122">
    <w:name w:val="Unresolved Mention"/>
    <w:basedOn w:val="100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png"/><Relationship Id="rId38" Type="http://schemas.openxmlformats.org/officeDocument/2006/relationships/image" Target="media/image24.png"/><Relationship Id="rId39" Type="http://schemas.openxmlformats.org/officeDocument/2006/relationships/image" Target="media/image25.png"/><Relationship Id="rId40" Type="http://schemas.openxmlformats.org/officeDocument/2006/relationships/image" Target="media/image26.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Hồng Phúc</cp:lastModifiedBy>
  <cp:revision>282</cp:revision>
  <dcterms:created xsi:type="dcterms:W3CDTF">2025-09-15T09:58:00Z</dcterms:created>
  <dcterms:modified xsi:type="dcterms:W3CDTF">2026-07-28T05:27:06Z</dcterms:modified>
</cp:coreProperties>
</file>