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r>
      <w:r>
        <w:rPr>
          <w:b/>
          <w:sz w:val="28"/>
          <w:highlight w:val="white"/>
          <w:lang w:val="vi-VN"/>
        </w:rPr>
      </w:r>
      <w:r>
        <w:rPr>
          <w:b/>
          <w:sz w:val="28"/>
          <w:highlight w:val="white"/>
          <w:lang w:val="vi-VN"/>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3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30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275/2026/1085/VFI-CT.57.A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ĐỖ THỊ KIM HUỆ</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và tài sản gắn l</w:t>
                            </w:r>
                            <w:r>
                              <w:rPr>
                                <w:rFonts w:ascii="Times New Roman" w:hAnsi="Times New Roman" w:eastAsia="Times New Roman" w:cs="Times New Roman"/>
                                <w:color w:val="000000"/>
                                <w:sz w:val="24"/>
                              </w:rPr>
                              <w:t xml:space="preserve">iền với đất tại thửa đất số: 16-LK/Khu D/18D, tờ bản đồ số: 09 có địa chỉ  tại </w:t>
                            </w:r>
                            <w:r>
                              <w:rPr>
                                <w:color w:val="000000"/>
                              </w:rPr>
                              <w:t xml:space="preserve">Tổ dân phố Kiều Sơn, phường Đằng Lâm, quận Hải An, Thành phố Hải Phòng</w:t>
                            </w:r>
                            <w:r>
                              <w:rPr>
                                <w:rFonts w:ascii="Times New Roman" w:hAnsi="Times New Roman" w:eastAsia="Times New Roman" w:cs="Times New Roman"/>
                                <w:color w:val="000000"/>
                                <w:sz w:val="24"/>
                              </w:rPr>
                              <w:t xml:space="preserve"> (Nay là </w:t>
                            </w:r>
                            <w:r>
                              <w:rPr>
                                <w:rFonts w:ascii="Times New Roman" w:hAnsi="Times New Roman" w:eastAsia="Times New Roman" w:cs="Times New Roman"/>
                                <w:color w:val="000000"/>
                                <w:sz w:val="24"/>
                              </w:rPr>
                              <w:t xml:space="preserve">Phường Hải An, thành phố Hải Phòng) theo Giấy chứng nhận quyền sử dụng đất quyền sở hữu nhà ở và tài sản khác gắn liền với đất số: CU 451294, số vào sổ cấp GCN: CH 13318 do Ủy ban nhân dân quận Hải An</w:t>
                            </w:r>
                            <w:r>
                              <w:rPr>
                                <w:rFonts w:ascii="Times New Roman" w:hAnsi="Times New Roman" w:eastAsia="Times New Roman" w:cs="Times New Roman"/>
                                <w:color w:val="000000"/>
                                <w:sz w:val="24"/>
                              </w:rPr>
                              <w:t xml:space="preserve"> cấp ngày 26/6/2020; Chủ sử dụng đất là Ông Đoàn Văn Xuân và vợ là bà Đỗ Thị Kim Huệ.</w:t>
                            </w:r>
                            <w:r/>
                          </w:p>
                          <w:p>
                            <w:pPr>
                              <w:pBdr/>
                              <w:spacing w:after="120" w:before="120" w:line="360" w:lineRule="auto"/>
                              <w:ind/>
                              <w:jc w:val="left"/>
                              <w:rPr>
                                <w:bCs/>
                                <w:i/>
                                <w:iCs/>
                              </w:rPr>
                            </w:pPr>
                            <w:r>
                              <w:rPr>
                                <w:b/>
                                <w:bCs/>
                                <w:lang w:val="pt-BR"/>
                              </w:rPr>
                              <w:t xml:space="preserve">                                 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275/2026/1085/VFI-CT.57.A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ĐỖ THỊ KIM HUỆ</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và tài sản gắn l</w:t>
                      </w:r>
                      <w:r>
                        <w:rPr>
                          <w:rFonts w:ascii="Times New Roman" w:hAnsi="Times New Roman" w:eastAsia="Times New Roman" w:cs="Times New Roman"/>
                          <w:color w:val="000000"/>
                          <w:sz w:val="24"/>
                        </w:rPr>
                        <w:t xml:space="preserve">iền với đất tại thửa đất số: 16-LK/Khu D/18D, tờ bản đồ số: 09 có địa chỉ  tại </w:t>
                      </w:r>
                      <w:r>
                        <w:rPr>
                          <w:color w:val="000000"/>
                        </w:rPr>
                        <w:t xml:space="preserve">Tổ dân phố Kiều Sơn, phường Đằng Lâm, quận Hải An, Thành phố Hải Phòng</w:t>
                      </w:r>
                      <w:r>
                        <w:rPr>
                          <w:rFonts w:ascii="Times New Roman" w:hAnsi="Times New Roman" w:eastAsia="Times New Roman" w:cs="Times New Roman"/>
                          <w:color w:val="000000"/>
                          <w:sz w:val="24"/>
                        </w:rPr>
                        <w:t xml:space="preserve"> (Nay là </w:t>
                      </w:r>
                      <w:r>
                        <w:rPr>
                          <w:rFonts w:ascii="Times New Roman" w:hAnsi="Times New Roman" w:eastAsia="Times New Roman" w:cs="Times New Roman"/>
                          <w:color w:val="000000"/>
                          <w:sz w:val="24"/>
                        </w:rPr>
                        <w:t xml:space="preserve">Phường Hải An, thành phố Hải Phòng) theo Giấy chứng nhận quyền sử dụng đất quyền sở hữu nhà ở và tài sản khác gắn liền với đất số: CU 451294, số vào sổ cấp GCN: CH 13318 do Ủy ban nhân dân quận Hải An</w:t>
                      </w:r>
                      <w:r>
                        <w:rPr>
                          <w:rFonts w:ascii="Times New Roman" w:hAnsi="Times New Roman" w:eastAsia="Times New Roman" w:cs="Times New Roman"/>
                          <w:color w:val="000000"/>
                          <w:sz w:val="24"/>
                        </w:rPr>
                        <w:t xml:space="preserve"> cấp ngày 26/6/2020; Chủ sử dụng đất là Ông Đoàn Văn Xuân và vợ là bà Đỗ Thị Kim Huệ.</w:t>
                      </w:r>
                      <w:r/>
                    </w:p>
                    <w:p>
                      <w:pPr>
                        <w:pBdr/>
                        <w:spacing w:after="120" w:before="120" w:line="360" w:lineRule="auto"/>
                        <w:ind/>
                        <w:jc w:val="left"/>
                        <w:rPr>
                          <w:bCs/>
                          <w:i/>
                          <w:iCs/>
                        </w:rPr>
                      </w:pPr>
                      <w:r>
                        <w:rPr>
                          <w:b/>
                          <w:bCs/>
                          <w:lang w:val="pt-BR"/>
                        </w:rPr>
                        <w:t xml:space="preserve">                                 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right"/>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4-21</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23-30</w:t>
            </w:r>
            <w:r>
              <w:rPr>
                <w:b/>
                <w:bCs/>
                <w:highlight w:val="white"/>
              </w:rPr>
            </w:r>
            <w:r>
              <w:rPr>
                <w:b/>
                <w:bCs/>
                <w:highlight w:val="white"/>
              </w:rPr>
            </w:r>
          </w:p>
        </w:tc>
      </w:tr>
    </w:tbl>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1"/>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22"/>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1"/>
              <w:pBdr/>
              <w:spacing w:after="60"/>
              <w:ind/>
              <w:rPr>
                <w:color w:val="000000" w:themeColor="text1"/>
                <w:sz w:val="24"/>
                <w:szCs w:val="24"/>
                <w:highlight w:val="white"/>
              </w:rPr>
            </w:pPr>
            <w:r>
              <w:rPr>
                <w:rStyle w:val="1030"/>
                <w:rFonts w:ascii="Times New Roman" w:hAnsi="Times New Roman"/>
                <w:color w:val="000000" w:themeColor="text1"/>
                <w:highlight w:val="white"/>
                <w:lang w:val="pt-BR"/>
              </w:rPr>
              <w:t xml:space="preserve">Số: </w:t>
            </w:r>
            <w:r>
              <w:rPr>
                <w:rStyle w:val="1030"/>
                <w:rFonts w:ascii="Times New Roman" w:hAnsi="Times New Roman"/>
                <w:color w:val="000000" w:themeColor="text1"/>
                <w:highlight w:val="white"/>
                <w:lang w:val="pt-BR"/>
              </w:rPr>
              <w:t xml:space="preserve">275/2026/1085/VFI-CT.57.A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31"/>
              <w:pBdr/>
              <w:spacing w:after="60"/>
              <w:ind w:right="-56"/>
              <w:jc w:val="right"/>
              <w:rPr>
                <w:color w:val="000000" w:themeColor="text1"/>
                <w:sz w:val="24"/>
                <w:szCs w:val="24"/>
                <w:highlight w:val="white"/>
              </w:rPr>
            </w:pPr>
            <w:r>
              <w:rPr>
                <w:rStyle w:val="1030"/>
                <w:rFonts w:ascii="Times New Roman" w:hAnsi="Times New Roman"/>
                <w:i/>
                <w:color w:val="auto"/>
                <w:highlight w:val="white"/>
              </w:rPr>
              <w:t xml:space="preserve">TP. Hà Nội</w:t>
            </w:r>
            <w:r>
              <w:rPr>
                <w:rStyle w:val="1030"/>
                <w:rFonts w:ascii="Times New Roman" w:hAnsi="Times New Roman"/>
                <w:i/>
                <w:color w:val="auto"/>
                <w:highlight w:val="white"/>
                <w:lang w:val="vi-VN"/>
              </w:rPr>
              <w:t xml:space="preserve">, </w:t>
            </w:r>
            <w:r>
              <w:rPr>
                <w:rStyle w:val="1030"/>
                <w:rFonts w:ascii="Times New Roman" w:hAnsi="Times New Roman"/>
                <w:i/>
                <w:color w:val="000000" w:themeColor="text1"/>
                <w:highlight w:val="white"/>
                <w:lang w:val="vi-VN"/>
              </w:rPr>
              <w:t xml:space="preserve">ngày 17 tháng 7 năm 2026</w:t>
            </w:r>
            <w:r>
              <w:rPr>
                <w:color w:val="000000" w:themeColor="text1"/>
                <w:sz w:val="24"/>
                <w:szCs w:val="24"/>
                <w:highlight w:val="white"/>
                <w:lang w:val="vi-VN"/>
              </w:rPr>
            </w:r>
            <w:r>
              <w:rPr>
                <w:color w:val="000000" w:themeColor="text1"/>
                <w:sz w:val="24"/>
                <w:szCs w:val="24"/>
                <w:highlight w:val="white"/>
                <w:lang w:val="vi-VN"/>
              </w:rPr>
            </w:r>
          </w:p>
        </w:tc>
      </w:tr>
    </w:tbl>
    <w:p>
      <w:pPr>
        <w:pStyle w:val="1031"/>
        <w:pBdr/>
        <w:spacing w:after="120" w:before="200" w:line="288" w:lineRule="auto"/>
        <w:ind/>
        <w:jc w:val="center"/>
        <w:rPr>
          <w:rStyle w:val="1030"/>
          <w:rFonts w:ascii="Times New Roman" w:hAnsi="Times New Roman"/>
          <w:b/>
          <w:bCs/>
          <w:color w:val="auto"/>
          <w:sz w:val="30"/>
          <w:szCs w:val="30"/>
          <w:highlight w:val="white"/>
        </w:rPr>
      </w:pPr>
      <w:r>
        <w:rPr>
          <w:rStyle w:val="1030"/>
          <w:rFonts w:ascii="Times New Roman" w:hAnsi="Times New Roman"/>
          <w:b/>
          <w:bCs/>
          <w:color w:val="auto"/>
          <w:sz w:val="30"/>
          <w:szCs w:val="30"/>
          <w:highlight w:val="white"/>
          <w:lang w:val="vi-VN"/>
        </w:rPr>
        <w:t xml:space="preserve">CHỨNG THƯ THẨM ĐỊNH GIÁ</w:t>
      </w:r>
      <w:r>
        <w:rPr>
          <w:rStyle w:val="1030"/>
          <w:rFonts w:ascii="Times New Roman" w:hAnsi="Times New Roman"/>
          <w:b/>
          <w:bCs/>
          <w:color w:val="auto"/>
          <w:sz w:val="30"/>
          <w:szCs w:val="30"/>
          <w:highlight w:val="white"/>
          <w:lang w:val="vi-VN"/>
        </w:rPr>
      </w:r>
      <w:r>
        <w:rPr>
          <w:rStyle w:val="1030"/>
          <w:rFonts w:ascii="Times New Roman" w:hAnsi="Times New Roman"/>
          <w:b/>
          <w:bCs/>
          <w:color w:val="auto"/>
          <w:sz w:val="30"/>
          <w:szCs w:val="30"/>
          <w:highlight w:val="white"/>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BÀ ĐỖ THỊ KIM HUỆ</w:t>
      </w:r>
      <w:r>
        <w:rPr>
          <w:rFonts w:ascii="Times New Roman Bold" w:hAnsi="Times New Roman Bold"/>
          <w:b/>
          <w:highlight w:val="white"/>
          <w:lang w:val="pt-BR"/>
        </w:rPr>
      </w:r>
      <w:r>
        <w:rPr>
          <w:rFonts w:ascii="Times New Roman Bold" w:hAnsi="Times New Roman Bold"/>
          <w:b/>
          <w:highlight w:val="white"/>
          <w:lang w:val="pt-BR"/>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275/2026/1085/VFI-HĐTĐ.57.A</w:t>
      </w:r>
      <w:r>
        <w:rPr>
          <w:spacing w:val="-4"/>
          <w:highlight w:val="white"/>
          <w:lang w:val="vi-VN"/>
        </w:rPr>
        <w:t xml:space="preserve"> ký ngày </w:t>
      </w:r>
      <w:r>
        <w:rPr>
          <w:color w:val="000000" w:themeColor="text1"/>
          <w:spacing w:val="-4"/>
          <w:highlight w:val="white"/>
        </w:rPr>
        <w:t xml:space="preserve">16 tháng 7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Bà Đỗ Thị Kim Huệ</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275/2026/1085/VFI-BC.57.A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17 tháng 7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ind/>
              <w:rPr>
                <w:highlight w:val="white"/>
              </w:rPr>
            </w:pPr>
            <w:r>
              <w:rPr>
                <w:b/>
                <w:bCs/>
                <w:highlight w:val="white"/>
              </w:rPr>
            </w:r>
            <w:r>
              <w:rPr>
                <w:rFonts w:ascii="Times New Roman Bold" w:hAnsi="Times New Roman Bold"/>
                <w:b/>
                <w:color w:val="000000" w:themeColor="text1"/>
                <w:highlight w:val="white"/>
                <w:lang w:val="pt-BR"/>
              </w:rPr>
              <w:t xml:space="preserve">BÀ ĐỖ THỊ KIM HUỆ</w:t>
            </w:r>
            <w:r>
              <w:rPr>
                <w:b/>
                <w:bCs/>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MST/CMTND/CCCD:</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031174005151</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1974</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Trần Nguyên Hãn, Lê Chân, Hải Phòng.</w:t>
            </w:r>
            <w:r>
              <w:rPr>
                <w:color w:val="ff0000"/>
                <w:highlight w:val="white"/>
                <w:lang w:val="pt-BR"/>
              </w:rPr>
            </w:r>
            <w:r>
              <w:rPr>
                <w:color w:val="ff0000"/>
                <w:highlight w:val="white"/>
                <w:lang w:val="pt-BR"/>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 </w:t>
            </w:r>
            <w:r>
              <w:rPr>
                <w:b/>
                <w:bCs/>
                <w:highlight w:val="white"/>
              </w:rPr>
              <w:t xml:space="preserve">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rFonts w:ascii="Times New Roman" w:hAnsi="Times New Roman" w:eastAsia="Times New Roman" w:cs="Times New Roman"/>
          <w:color w:val="000000"/>
          <w:sz w:val="24"/>
          <w:highlight w:val="white"/>
        </w:rPr>
        <w:t xml:space="preserve">Quyền sử dụng đất và tài sản gắn liền với đất tại thửa đất số: 16-LK/Khu D/18D, tờ bản đồ số: 09 có địa chỉ  tại </w:t>
      </w:r>
      <w:r>
        <w:rPr>
          <w:color w:val="000000"/>
          <w:highlight w:val="white"/>
        </w:rPr>
        <w:t xml:space="preserve">Tổ dân phố Kiều Sơn, phường Đằng Lâm, quận Hải An, Thành phố Hải Phòng</w:t>
      </w:r>
      <w:r>
        <w:rPr>
          <w:rFonts w:ascii="Times New Roman" w:hAnsi="Times New Roman" w:eastAsia="Times New Roman" w:cs="Times New Roman"/>
          <w:color w:val="000000"/>
          <w:sz w:val="24"/>
          <w:highlight w:val="white"/>
        </w:rPr>
        <w:t xml:space="preserve"> (Nay là </w:t>
      </w:r>
      <w:r>
        <w:rPr>
          <w:rFonts w:ascii="Times New Roman" w:hAnsi="Times New Roman" w:eastAsia="Times New Roman" w:cs="Times New Roman"/>
          <w:color w:val="000000"/>
          <w:sz w:val="24"/>
          <w:highlight w:val="white"/>
        </w:rPr>
        <w:t xml:space="preserve">Phường Hải An, thành phố Hải Phòng) theo Giấy chứng nhận quyền sử dụng đất quyền sở hữu nhà ở và tài sản khác gắn liền với đất số: CU 451294, số vào sổ cấp GCN: CH 13318 do Ủy ban nhân dân quận Hải An</w:t>
      </w:r>
      <w:r>
        <w:rPr>
          <w:rFonts w:ascii="Times New Roman" w:hAnsi="Times New Roman" w:eastAsia="Times New Roman" w:cs="Times New Roman"/>
          <w:color w:val="000000"/>
          <w:sz w:val="24"/>
          <w:highlight w:val="white"/>
        </w:rPr>
        <w:t xml:space="preserve"> cấp ngày 26/6/2020; Chủ sử dụng đất là Ông Đoàn Văn Xuân và vợ là bà Đỗ Thị Kim Huệ.</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07/2026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lang w:val="vi-VN"/>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lang w:val="pt-BR"/>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07/2026</w:t>
      </w:r>
      <w:r>
        <w:rPr>
          <w:highlight w:val="white"/>
          <w:lang w:val="vi-VN"/>
        </w:rPr>
        <w:t xml:space="preserve"> ước tính</w:t>
      </w:r>
      <w:r>
        <w:rPr>
          <w:highlight w:val="white"/>
        </w:rPr>
        <w:t xml:space="preserve"> </w:t>
      </w:r>
      <w:r>
        <w:rPr>
          <w:highlight w:val="white"/>
          <w:lang w:val="vi-VN"/>
        </w:rPr>
        <w:t xml:space="preserve">như sau:</w:t>
      </w:r>
      <w:r>
        <w:rPr>
          <w:highlight w:val="whit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1"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pPr>
              <w:pBdr/>
              <w:spacing/>
              <w:ind/>
              <w:jc w:val="center"/>
              <w:rPr>
                <w:b/>
                <w:bCs/>
                <w:highlight w:val="white"/>
              </w:rPr>
            </w:pPr>
            <w:r>
              <w:rPr>
                <w:b/>
                <w:bCs/>
                <w:highlight w:val="white"/>
              </w:rPr>
              <w:t xml:space="preserve">Tỷ lệ CLCL (%)</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5"/>
            <w:shd w:val="clear" w:color="000000" w:fill="ffffff"/>
            <w:tcBorders/>
            <w:tcW w:w="6967" w:type="dxa"/>
            <w:vAlign w:val="center"/>
            <w:textDirection w:val="lrTb"/>
            <w:noWrap w:val="false"/>
          </w:tcPr>
          <w:p>
            <w:pPr>
              <w:pBdr/>
              <w:spacing w:after="60" w:before="60" w:line="276" w:lineRule="auto"/>
              <w:ind/>
              <w:jc w:val="both"/>
              <w:rPr>
                <w:b/>
                <w:bCs/>
                <w:spacing w:val="2"/>
                <w:highlight w:val="white"/>
              </w:rPr>
            </w:pPr>
            <w:r>
              <w:rPr>
                <w:b/>
                <w:bCs/>
                <w:color w:val="000000" w:themeColor="text1"/>
                <w:highlight w:val="white"/>
                <w:lang w:val="pt-BR"/>
              </w:rPr>
            </w:r>
            <w:r>
              <w:rPr>
                <w:rFonts w:ascii="Times New Roman" w:hAnsi="Times New Roman" w:eastAsia="Times New Roman" w:cs="Times New Roman"/>
                <w:b/>
                <w:bCs/>
                <w:color w:val="000000"/>
                <w:sz w:val="24"/>
                <w:highlight w:val="white"/>
              </w:rPr>
              <w:t xml:space="preserve">Quyền sử dụng đất và tài sản gắn liền với đất tại thửa đất số: 16-LK/Khu D/18D, tờ bản đồ số: 09 có địa chỉ  tại </w:t>
            </w:r>
            <w:r>
              <w:rPr>
                <w:b/>
                <w:bCs/>
                <w:color w:val="000000"/>
                <w:highlight w:val="white"/>
              </w:rPr>
              <w:t xml:space="preserve">Tổ dân phố Kiều Sơn, phường Đằng Lâm, quận Hải An, Thành phố Hải Phòng</w:t>
            </w:r>
            <w:r>
              <w:rPr>
                <w:rFonts w:ascii="Times New Roman" w:hAnsi="Times New Roman" w:eastAsia="Times New Roman" w:cs="Times New Roman"/>
                <w:b/>
                <w:bCs/>
                <w:color w:val="000000"/>
                <w:sz w:val="24"/>
                <w:highlight w:val="white"/>
              </w:rPr>
              <w:t xml:space="preserve"> (Nay là </w:t>
            </w:r>
            <w:r>
              <w:rPr>
                <w:rFonts w:ascii="Times New Roman" w:hAnsi="Times New Roman" w:eastAsia="Times New Roman" w:cs="Times New Roman"/>
                <w:b/>
                <w:bCs/>
                <w:color w:val="000000"/>
                <w:sz w:val="24"/>
                <w:highlight w:val="white"/>
              </w:rPr>
              <w:t xml:space="preserve">Phường Hải An, thành phố Hải Phòng) theo Giấy chứng nhận quyền sử dụng đất quyền sở hữu nhà ở và tài sản khác gắn liền với đất số: CU 451294, số vào sổ cấp GCN: CH 13318 do Ủy ban nhân dân quận Hải An</w:t>
            </w:r>
            <w:r>
              <w:rPr>
                <w:rFonts w:ascii="Times New Roman" w:hAnsi="Times New Roman" w:eastAsia="Times New Roman" w:cs="Times New Roman"/>
                <w:b/>
                <w:bCs/>
                <w:color w:val="000000"/>
                <w:sz w:val="24"/>
                <w:highlight w:val="white"/>
              </w:rPr>
              <w:t xml:space="preserve"> cấp ngày 26/6/2020; Chủ sử dụng đất là Ông Đoàn Văn Xuân và vợ là bà Đỗ Thị Kim Huệ</w:t>
            </w:r>
            <w:r>
              <w:rPr>
                <w:b/>
                <w:bCs/>
                <w:spacing w:val="2"/>
                <w:highlight w:val="white"/>
              </w:rPr>
            </w:r>
            <w:r>
              <w:rPr>
                <w:b/>
                <w:bCs/>
                <w:spacing w:val="2"/>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p>
        </w:tc>
        <w:tc>
          <w:tcPr>
            <w:gridSpan w:val="2"/>
            <w:shd w:val="clear" w:color="000000" w:fill="ffffff"/>
            <w:tcBorders/>
            <w:tcW w:w="2025"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đô thị</w:t>
            </w:r>
            <w:r>
              <w:rPr>
                <w:b w:val="0"/>
                <w:bCs w:val="0"/>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144,3</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96.000.000</w:t>
            </w:r>
            <w:r>
              <w:rPr>
                <w:highlight w:val="white"/>
              </w:rPr>
            </w:r>
          </w:p>
        </w:tc>
        <w:tc>
          <w:tcPr>
            <w:shd w:val="clear" w:color="000000" w:fill="ffffff"/>
            <w:tcBorders/>
            <w:tcW w:w="2164" w:type="dxa"/>
            <w:vAlign w:val="center"/>
            <w:textDirection w:val="lrTb"/>
            <w:noWrap w:val="false"/>
          </w:tcPr>
          <w:p>
            <w:pPr>
              <w:pBdr/>
              <w:spacing/>
              <w:ind/>
              <w:rPr>
                <w:color w:val="000000" w:themeColor="text1"/>
                <w:highlight w:val="white"/>
              </w:rPr>
            </w:pPr>
            <w:r>
              <w:rPr>
                <w:color w:val="000000" w:themeColor="text1"/>
                <w:highlight w:val="white"/>
              </w:rPr>
            </w:r>
            <w:r>
              <w:rPr>
                <w:color w:val="000000" w:themeColor="text1"/>
                <w:highlight w:val="white"/>
              </w:rPr>
            </w:r>
            <w:r>
              <w:rPr>
                <w:color w:val="000000" w:themeColor="text1"/>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13.852.800.000</w:t>
            </w:r>
            <w:r>
              <w:rPr>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2</w:t>
            </w:r>
            <w:r>
              <w:rPr>
                <w:b w:val="0"/>
                <w:bCs w:val="0"/>
                <w:highlight w:val="white"/>
              </w:rPr>
            </w:r>
          </w:p>
        </w:tc>
        <w:tc>
          <w:tcPr>
            <w:gridSpan w:val="2"/>
            <w:shd w:val="clear" w:color="000000" w:fill="ffffff"/>
            <w:tcBorders/>
            <w:tcW w:w="2025" w:type="dxa"/>
            <w:vAlign w:val="center"/>
            <w:textDirection w:val="lrTb"/>
            <w:noWrap w:val="false"/>
          </w:tcPr>
          <w:p>
            <w:pPr>
              <w:pBdr/>
              <w:spacing w:after="40" w:before="40" w:line="288" w:lineRule="auto"/>
              <w:ind/>
              <w:rPr>
                <w:b w:val="0"/>
                <w:bCs w:val="0"/>
                <w:highlight w:val="white"/>
              </w:rPr>
            </w:pPr>
            <w:r>
              <w:rPr>
                <w:b w:val="0"/>
                <w:bCs w:val="0"/>
                <w:highlight w:val="white"/>
              </w:rPr>
              <w:t xml:space="preserve">Nhà 4,5 tầng</w:t>
            </w:r>
            <w:r>
              <w:rPr>
                <w:b w:val="0"/>
                <w:bCs w:val="0"/>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487,1</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7.233.240</w:t>
            </w:r>
            <w:r>
              <w:rPr>
                <w:highlight w:val="white"/>
              </w:rPr>
            </w:r>
          </w:p>
        </w:tc>
        <w:tc>
          <w:tcPr>
            <w:shd w:val="clear" w:color="000000" w:fill="ffffff"/>
            <w:tcBorders/>
            <w:tcW w:w="216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88%</w:t>
            </w:r>
            <w:r>
              <w:rPr>
                <w:color w:val="000000" w:themeColor="text1"/>
                <w:highlight w:val="white"/>
              </w:rPr>
            </w:r>
            <w:r>
              <w:rPr>
                <w:color w:val="000000" w:themeColor="text1"/>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3.100.513.860</w:t>
            </w:r>
            <w:r>
              <w:rPr>
                <w:highlight w:val="white"/>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ind/>
              <w:rPr>
                <w:highlight w:val="white"/>
              </w:rPr>
            </w:pPr>
            <w:r>
              <w:rPr>
                <w:highlight w:val="white"/>
              </w:rPr>
            </w:r>
            <w:r>
              <w:rPr>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highlight w:val="white"/>
              </w:rPr>
              <w:t xml:space="preserve">16.953.313.860</w:t>
            </w:r>
            <w:r>
              <w:rPr>
                <w:b/>
                <w:bCs/>
                <w:color w:val="000000"/>
                <w:highlight w:val="white"/>
              </w:rPr>
            </w:r>
            <w:r>
              <w:rPr>
                <w:b/>
                <w:bCs/>
                <w:color w:val="000000"/>
                <w:highlight w:val="white"/>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2164" w:type="dxa"/>
            <w:vAlign w:val="center"/>
            <w:textDirection w:val="lrTb"/>
            <w:noWrap/>
          </w:tcPr>
          <w:p>
            <w:pPr>
              <w:pBdr/>
              <w:spacing/>
              <w:ind/>
              <w:rPr>
                <w:b/>
                <w:bCs/>
                <w:color w:val="000000"/>
                <w:highlight w:val="white"/>
              </w:rPr>
            </w:pPr>
            <w:r>
              <w:rPr>
                <w:b/>
                <w:bCs/>
                <w:color w:val="000000"/>
                <w:highlight w:val="white"/>
              </w:rPr>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16.950.000.000</w:t>
            </w:r>
            <w:r>
              <w:rPr>
                <w:b/>
                <w:bCs/>
                <w:color w:val="000000"/>
                <w:highlight w:val="white"/>
              </w:rPr>
            </w:r>
            <w:r>
              <w:rPr>
                <w:b/>
                <w:bCs/>
                <w:color w:val="000000"/>
                <w:highlight w:val="white"/>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Mười sáu tỷ chín trăm năm m</w:t>
            </w:r>
            <w:r>
              <w:rPr>
                <w:b/>
                <w:bCs/>
                <w:i/>
                <w:iCs/>
                <w:color w:val="000000"/>
                <w:highlight w:val="white"/>
              </w:rPr>
              <w:t xml:space="preserve">ươi triệu đồng </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lang w:val="vi-VN"/>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lang w:val="pt-BR"/>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pacing w:after="120" w:before="120" w:line="312" w:lineRule="auto"/>
        <w:ind w:firstLine="360"/>
        <w:rPr>
          <w:rFonts w:eastAsia="Calibri"/>
          <w:b/>
          <w:spacing w:val="-4"/>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r>
      <w:r>
        <w:rPr>
          <w:rFonts w:eastAsia="Calibri"/>
          <w:b/>
          <w:spacing w:val="-4"/>
          <w:highlight w:val="white"/>
          <w:lang w:val="pt-BR"/>
        </w:rPr>
      </w:r>
    </w:p>
    <w:p>
      <w:pPr>
        <w:pBdr/>
        <w:spacing w:after="120" w:before="120" w:line="312" w:lineRule="auto"/>
        <w:ind/>
        <w:rPr>
          <w:highlight w:val="white"/>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54"/>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lang w:val="vi-VN"/>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lang w:val="vi-VN"/>
              </w:rPr>
            </w:r>
            <w:r>
              <w:rPr>
                <w:rFonts w:eastAsia="Calibri"/>
                <w:b/>
                <w:highlight w:val="white"/>
                <w:lang w:val="vi-VN"/>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rPr>
          <w:highlight w:val="white"/>
        </w:rPr>
      </w:pPr>
      <w:r>
        <w:rPr>
          <w:highlight w:val="white"/>
        </w:rPr>
        <w:br w:type="page" w:clear="all"/>
      </w:r>
      <w:r>
        <w:rPr>
          <w:highlight w:val="white"/>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057"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2"/>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1"/>
              <w:pBdr/>
              <w:spacing w:after="60"/>
              <w:ind/>
              <w:rPr>
                <w:color w:val="000000" w:themeColor="text1"/>
                <w:sz w:val="24"/>
                <w:szCs w:val="24"/>
                <w:highlight w:val="white"/>
              </w:rPr>
            </w:pPr>
            <w:r>
              <w:rPr>
                <w:rStyle w:val="1030"/>
                <w:rFonts w:ascii="Times New Roman" w:hAnsi="Times New Roman"/>
                <w:color w:val="000000" w:themeColor="text1"/>
                <w:highlight w:val="white"/>
                <w:lang w:val="pt-BR"/>
              </w:rPr>
              <w:t xml:space="preserve">Số: </w:t>
            </w:r>
            <w:r>
              <w:rPr>
                <w:rStyle w:val="1030"/>
                <w:rFonts w:ascii="Times New Roman" w:hAnsi="Times New Roman"/>
                <w:color w:val="000000" w:themeColor="text1"/>
                <w:highlight w:val="white"/>
                <w:lang w:val="pt-BR"/>
              </w:rPr>
              <w:t xml:space="preserve">275/2026/1085/VFI-BC.57.A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412" w:type="dxa"/>
            <w:textDirection w:val="lrTb"/>
            <w:noWrap w:val="false"/>
          </w:tcPr>
          <w:p>
            <w:pPr>
              <w:pStyle w:val="1031"/>
              <w:pBdr/>
              <w:spacing w:after="60"/>
              <w:ind w:right="-56"/>
              <w:jc w:val="right"/>
              <w:rPr>
                <w:color w:val="000000" w:themeColor="text1"/>
                <w:sz w:val="24"/>
                <w:szCs w:val="24"/>
                <w:highlight w:val="white"/>
              </w:rPr>
            </w:pPr>
            <w:r>
              <w:rPr>
                <w:rStyle w:val="1030"/>
                <w:rFonts w:ascii="Times New Roman" w:hAnsi="Times New Roman"/>
                <w:i/>
                <w:color w:val="auto"/>
                <w:highlight w:val="white"/>
              </w:rPr>
              <w:t xml:space="preserve">TP. Hà Nội</w:t>
            </w:r>
            <w:r>
              <w:rPr>
                <w:rStyle w:val="1030"/>
                <w:rFonts w:ascii="Times New Roman" w:hAnsi="Times New Roman"/>
                <w:i/>
                <w:color w:val="auto"/>
                <w:highlight w:val="white"/>
                <w:lang w:val="vi-VN"/>
              </w:rPr>
              <w:t xml:space="preserve">, </w:t>
            </w:r>
            <w:r>
              <w:rPr>
                <w:rStyle w:val="1030"/>
                <w:rFonts w:ascii="Times New Roman" w:hAnsi="Times New Roman"/>
                <w:i/>
                <w:color w:val="000000" w:themeColor="text1"/>
                <w:highlight w:val="white"/>
                <w:lang w:val="vi-VN"/>
              </w:rPr>
              <w:t xml:space="preserve">ngày 17 tháng 7 năm 2026</w:t>
            </w:r>
            <w:r>
              <w:rPr>
                <w:color w:val="000000" w:themeColor="text1"/>
                <w:sz w:val="24"/>
                <w:szCs w:val="24"/>
                <w:highlight w:val="white"/>
                <w:lang w:val="vi-VN"/>
              </w:rPr>
            </w:r>
            <w:r>
              <w:rPr>
                <w:color w:val="000000" w:themeColor="text1"/>
                <w:sz w:val="24"/>
                <w:szCs w:val="24"/>
                <w:highlight w:val="white"/>
                <w:lang w:val="vi-VN"/>
              </w:rPr>
            </w:r>
          </w:p>
        </w:tc>
      </w:tr>
    </w:tbl>
    <w:p>
      <w:pPr>
        <w:pStyle w:val="1031"/>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11"/>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275/2026/1085/VFI-CT.57.A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17 tháng 7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11"/>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 </w:t>
            </w:r>
            <w:r>
              <w:rPr>
                <w:b/>
                <w:bCs/>
                <w:highlight w:val="white"/>
              </w:rPr>
              <w:t xml:space="preserve">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Style w:val="1032"/>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Tên khách hàng</w:t>
            </w:r>
            <w:r>
              <w:rPr>
                <w:bCs/>
                <w:highlight w:val="white"/>
                <w:lang w:val="pt-BR"/>
              </w:rPr>
            </w:r>
            <w:r>
              <w:rPr>
                <w:bCs/>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ind/>
              <w:rPr>
                <w:highlight w:val="white"/>
              </w:rPr>
            </w:pPr>
            <w:r>
              <w:rPr>
                <w:b/>
                <w:bCs/>
                <w:highlight w:val="white"/>
              </w:rPr>
            </w:r>
            <w:r>
              <w:rPr>
                <w:rFonts w:ascii="Times New Roman Bold" w:hAnsi="Times New Roman Bold"/>
                <w:b/>
                <w:color w:val="000000" w:themeColor="text1"/>
                <w:highlight w:val="white"/>
                <w:lang w:val="pt-BR"/>
              </w:rPr>
              <w:t xml:space="preserve">BÀ ĐỖ THỊ KIM HUỆ</w:t>
            </w:r>
            <w:r>
              <w:rPr>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MST/CMTND/CCCD:</w:t>
            </w:r>
            <w:r>
              <w:rPr>
                <w:bCs/>
                <w:highlight w:val="white"/>
                <w:lang w:val="pt-BR"/>
              </w:rPr>
            </w:r>
            <w:r>
              <w:rPr>
                <w:bCs/>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031174005151</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Năm sinh:</w:t>
            </w:r>
            <w:r>
              <w:rPr>
                <w:bCs/>
                <w:highlight w:val="white"/>
                <w:lang w:val="pt-BR"/>
              </w:rPr>
            </w:r>
            <w:r>
              <w:rPr>
                <w:bCs/>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1974</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Địa chỉ</w:t>
            </w:r>
            <w:r>
              <w:rPr>
                <w:bCs/>
                <w:highlight w:val="white"/>
                <w:lang w:val="pt-BR"/>
              </w:rPr>
            </w:r>
            <w:r>
              <w:rPr>
                <w:bCs/>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Trần Nguyên Hãn, Lê Chân, Hải Phòng.</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r>
            <w:r>
              <w:rPr>
                <w:rFonts w:ascii="Times New Roman" w:hAnsi="Times New Roman" w:eastAsia="Times New Roman" w:cs="Times New Roman"/>
                <w:color w:val="000000"/>
                <w:sz w:val="24"/>
                <w:highlight w:val="white"/>
              </w:rPr>
              <w:t xml:space="preserve">Quyền sử dụng đất và tài sản gắn liền với đất tại thửa đất số: 16-LK/Khu D/18D, tờ bản đồ số: 09 có địa chỉ  tại </w:t>
            </w:r>
            <w:r>
              <w:rPr>
                <w:color w:val="000000"/>
                <w:highlight w:val="white"/>
              </w:rPr>
              <w:t xml:space="preserve">Tổ dân phố Kiều Sơn, phường Đằng Lâm, quận Hải An, Thành phố Hải Phòng</w:t>
            </w:r>
            <w:r>
              <w:rPr>
                <w:rFonts w:ascii="Times New Roman" w:hAnsi="Times New Roman" w:eastAsia="Times New Roman" w:cs="Times New Roman"/>
                <w:color w:val="000000"/>
                <w:sz w:val="24"/>
                <w:highlight w:val="white"/>
              </w:rPr>
              <w:t xml:space="preserve"> (Nay là </w:t>
            </w:r>
            <w:r>
              <w:rPr>
                <w:rFonts w:ascii="Times New Roman" w:hAnsi="Times New Roman" w:eastAsia="Times New Roman" w:cs="Times New Roman"/>
                <w:color w:val="000000"/>
                <w:sz w:val="24"/>
                <w:highlight w:val="white"/>
              </w:rPr>
              <w:t xml:space="preserve">Phường Hải An, thành phố Hải Phòng) theo Giấy chứng nhận quyền sử dụng đất quyền sở hữu nhà ở và tài sản khác gắn liền với đất số: CU 451294, số vào sổ cấp GCN: CH 13318 do Ủy ban nhân dân quận Hải An</w:t>
            </w:r>
            <w:r>
              <w:rPr>
                <w:rFonts w:ascii="Times New Roman" w:hAnsi="Times New Roman" w:eastAsia="Times New Roman" w:cs="Times New Roman"/>
                <w:color w:val="000000"/>
                <w:sz w:val="24"/>
                <w:highlight w:val="white"/>
              </w:rPr>
              <w:t xml:space="preserve"> cấp ngày 26/6/2020; Chủ sử dụng đất là Ông Đoàn Văn Xuân và vợ là bà Đỗ Thị Kim Huệ.</w:t>
            </w:r>
            <w:r>
              <w:rPr>
                <w:b/>
                <w:bCs/>
                <w:spacing w:val="2"/>
                <w:highlight w:val="white"/>
                <w:lang w:val="vi-VN"/>
              </w:rPr>
            </w:r>
            <w:r>
              <w:rPr>
                <w:b/>
                <w:bCs/>
                <w:spacing w:val="2"/>
                <w:highlight w:val="white"/>
                <w:lang w:val="vi-VN"/>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07/2026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Phường Hải An, Thành phố Hải Phòng</w:t>
            </w:r>
            <w:r>
              <w:rPr>
                <w:color w:val="ee0000"/>
                <w:highlight w:val="white"/>
                <w:lang w:val="pt-BR"/>
              </w:rPr>
            </w:r>
            <w:r>
              <w:rPr>
                <w:color w:val="ee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12"/>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(20.840972222222, 106.70922222222)</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2"/>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16/ 07/2026</w:t>
            </w:r>
            <w:r>
              <w:rPr>
                <w:highlight w:val="white"/>
                <w:lang w:val="pt-BR"/>
              </w:rPr>
              <w:t xml:space="preserve">.</w:t>
            </w:r>
            <w:r>
              <w:rPr>
                <w:highlight w:val="white"/>
                <w:lang w:val="pt-BR"/>
              </w:rPr>
            </w:r>
            <w:r>
              <w:rPr>
                <w:highlight w:val="white"/>
                <w:lang w:val="pt-BR"/>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lang w:val="pt-BR"/>
        </w:rPr>
      </w:r>
    </w:p>
    <w:p>
      <w:pPr>
        <w:pStyle w:val="1032"/>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lang w:val="vi-VN"/>
        </w:rPr>
      </w:r>
    </w:p>
    <w:p>
      <w:pPr>
        <w:pStyle w:val="1032"/>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lang w:val="pt-BR"/>
        </w:rPr>
      </w:r>
    </w:p>
    <w:p>
      <w:pPr>
        <w:pStyle w:val="1032"/>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lang w:val="pt-BR"/>
        </w:rPr>
      </w:r>
    </w:p>
    <w:p>
      <w:pPr>
        <w:pStyle w:val="1032"/>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lang w:val="pt-BR"/>
        </w:rPr>
      </w:r>
    </w:p>
    <w:p>
      <w:pPr>
        <w:pStyle w:val="1032"/>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lang w:val="pt-BR"/>
        </w:rPr>
      </w:r>
    </w:p>
    <w:p>
      <w:pPr>
        <w:pStyle w:val="1032"/>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lang w:val="pt-BR"/>
        </w:rPr>
      </w:r>
    </w:p>
    <w:p>
      <w:pPr>
        <w:pStyle w:val="1032"/>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highlight w:val="white"/>
        </w:rPr>
      </w:pPr>
      <w:r>
        <w:rPr>
          <w:rFonts w:ascii="Times New Roman" w:hAnsi="Times New Roman" w:eastAsia="Times New Roman" w:cs="Times New Roman"/>
          <w:color w:val="000000"/>
          <w:spacing w:val="-4"/>
          <w:sz w:val="24"/>
          <w:highlight w:val="white"/>
        </w:rPr>
        <w:t xml:space="preserve">Quyết định số 425/QĐ-BXD-2026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sz w:val="24"/>
          <w:highlight w:val="white"/>
        </w:rPr>
      </w:r>
      <w:r>
        <w:rPr>
          <w:highlight w:val="white"/>
        </w:rPr>
      </w:r>
    </w:p>
    <w:p>
      <w:pPr>
        <w:pStyle w:val="1032"/>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lang w:val="pt-BR"/>
        </w:rPr>
      </w:r>
      <w:r>
        <w:rPr>
          <w:b/>
          <w:highlight w:val="white"/>
          <w:lang w:val="pt-BR"/>
        </w:rPr>
      </w:r>
    </w:p>
    <w:p>
      <w:pPr>
        <w:pStyle w:val="1032"/>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lang w:val="pt-BR"/>
        </w:rPr>
      </w:r>
    </w:p>
    <w:p>
      <w:pPr>
        <w:pStyle w:val="1032"/>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lang w:val="pt-BR"/>
        </w:rPr>
      </w:r>
    </w:p>
    <w:p>
      <w:pPr>
        <w:pStyle w:val="1032"/>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lang w:val="pt-BR"/>
        </w:rPr>
      </w:r>
    </w:p>
    <w:p>
      <w:pPr>
        <w:pStyle w:val="1032"/>
        <w:numPr>
          <w:ilvl w:val="0"/>
          <w:numId w:val="2"/>
        </w:numPr>
        <w:pBdr/>
        <w:tabs>
          <w:tab w:val="left" w:leader="none" w:pos="993"/>
        </w:tabs>
        <w:spacing w:after="120" w:before="120" w:line="276" w:lineRule="auto"/>
        <w:ind/>
        <w:jc w:val="both"/>
        <w:rPr>
          <w:i/>
          <w:iCs/>
          <w:highlight w:val="white"/>
        </w:rPr>
      </w:pPr>
      <w:r>
        <w:rPr>
          <w:rFonts w:ascii="Times New Roman" w:hAnsi="Times New Roman" w:eastAsia="Times New Roman" w:cs="Times New Roman"/>
          <w:color w:val="000000"/>
          <w:sz w:val="24"/>
          <w:highlight w:val="white"/>
        </w:rPr>
        <w:t xml:space="preserve">Giấy chứng nhận quyền sử dụng đất quyền sở hữu nhà ở và tài sản khác gắn liền với đất số: CU 451294, số vào sổ cấp GCN: CH 13318 do Ủy ban nhân dân quận Hải An</w:t>
      </w:r>
      <w:r>
        <w:rPr>
          <w:rFonts w:ascii="Times New Roman" w:hAnsi="Times New Roman" w:eastAsia="Times New Roman" w:cs="Times New Roman"/>
          <w:color w:val="000000"/>
          <w:sz w:val="24"/>
          <w:highlight w:val="white"/>
        </w:rPr>
        <w:t xml:space="preserve"> cấp ngày 26/6/2020; Chủ sử dụng đất là Ông Đoàn Văn Xuân và vợ là bà Đỗ Thị Kim Huệ.</w:t>
      </w:r>
      <w:r>
        <w:rPr>
          <w:i/>
          <w:iCs/>
          <w:highlight w:val="white"/>
          <w:lang w:val="pt-BR"/>
        </w:rPr>
      </w:r>
      <w:r>
        <w:rPr>
          <w:i/>
          <w:iCs/>
          <w:highlight w:val="white"/>
          <w:lang w:val="pt-BR"/>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2"/>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275/2026/1085/VFI-HĐTĐ.57.A ngày 16/07/2026 giữa Bà Đỗ Thị Kim Huệ với Công ty Cổ phần Thẩm định và Đầu tư Tài chính Hoa Sen.</w:t>
      </w:r>
      <w:r>
        <w:rPr>
          <w:b/>
          <w:highlight w:val="white"/>
          <w:lang w:val="pt-BR"/>
        </w:rPr>
      </w:r>
      <w:r>
        <w:rPr>
          <w:b/>
          <w:highlight w:val="white"/>
          <w:lang w:val="pt-BR"/>
        </w:rPr>
      </w:r>
    </w:p>
    <w:p>
      <w:pPr>
        <w:pStyle w:val="1032"/>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pPr>
        <w:pBdr/>
        <w:tabs>
          <w:tab w:val="left" w:leader="none" w:pos="426"/>
        </w:tabs>
        <w:spacing w:after="120" w:before="120" w:line="276" w:lineRule="auto"/>
        <w:ind/>
        <w:rPr>
          <w:i/>
          <w:iCs/>
          <w:highlight w:val="white"/>
        </w:rPr>
      </w:pPr>
      <w:r>
        <w:rPr>
          <w:highlight w:val="white"/>
          <w:shd w:val="clear" w:color="auto" w:fill="ffffff"/>
        </w:rPr>
        <w:t xml:space="preserve">Sự phát triển mạnh </w:t>
      </w:r>
      <w:r>
        <w:rPr>
          <w:highlight w:val="white"/>
          <w:shd w:val="clear" w:color="auto" w:fill="ffffff"/>
        </w:rPr>
        <w:t xml:space="preserve">mẽ của thị trường bất động sản Hải Phòng trong thời gian gần đây được thúc đẩy bởi nhiều yếu tố như hạ tầng phát triển, dòng vốn đầu tư mạnh mẽ và định hướng chiến lược của thành phố.</w:t>
        <w:br/>
        <w:t xml:space="preserve">Ông Tô Hùng, Trưởng Văn phòng Đại diện Hội Môi giới Bất động sản Việt Na</w:t>
      </w:r>
      <w:r>
        <w:rPr>
          <w:highlight w:val="white"/>
          <w:shd w:val="clear" w:color="auto" w:fill="ffffff"/>
        </w:rPr>
        <w:t xml:space="preserve">m tại Hải Phòng cho biết, theo thống kê của Hiệp hội Bất động sản Hải Phòng, tổng mức đầu tư các dự án bất động sản tại Hải Phòng trong 5 năm qua đã tăng hơn 10 lần so với giai đoạn trước. Đà tăng này được dự báo sẽ không ngừng lại mà tiếp tục đi lên trong</w:t>
      </w:r>
      <w:r>
        <w:rPr>
          <w:highlight w:val="white"/>
          <w:shd w:val="clear" w:color="auto" w:fill="ffffff"/>
        </w:rPr>
        <w:t xml:space="preserve"> thời gian tới.</w:t>
        <w:br/>
        <w:t xml:space="preserve">Cũng theo ông Hồng, thị trường bất động sản Hải Phòng đang hội tụ rất nhiều yếu tố tiềm năng, tạo tiền đề thúc đẩy sự phát triển của thị trường trong thời gian tới. Lợi thế này đến từ quỹ đất rộng, sự phát triển của hệ thống cảng biển, hạ t</w:t>
      </w:r>
      <w:r>
        <w:rPr>
          <w:highlight w:val="white"/>
          <w:shd w:val="clear" w:color="auto" w:fill="ffffff"/>
        </w:rPr>
        <w:t xml:space="preserve">ầng giao thông, sự phát triển của bất động sản công nghiệp với lượng lao động nhập cư lớn. Hiện nay, Hải Phòng đang là trung tâm công nghiệp, cảng biển quan trọng của miền Bắc. Đây là một thị trường tiềm năng trong trung dài hạn bởi các lợi thế sẵn có.</w:t>
        <w:br/>
        <w:t xml:space="preserve">Năm</w:t>
      </w:r>
      <w:r>
        <w:rPr>
          <w:highlight w:val="white"/>
          <w:shd w:val="clear" w:color="auto" w:fill="ffffff"/>
        </w:rPr>
        <w:t xml:space="preserve"> 2024, TP. Hải Phòng đã vượt Quảng Ninh, lần đầu tiên giành vị trí quán quân trong bảng xếp hạng Chỉ số năng lực cạnh tranh cấp tỉnh (PCI) 2024. PCI là một trong những chỉ báo đánh giá khả năng xây dựng môi trường kinh doanh, thu hút đầu tư của chính quyền</w:t>
      </w:r>
      <w:r>
        <w:rPr>
          <w:highlight w:val="white"/>
          <w:shd w:val="clear" w:color="auto" w:fill="ffffff"/>
        </w:rPr>
        <w:t xml:space="preserve"> các địa phương do Liên đoàn Thương mại và Công nghiệp Việt Nam (VCCI) công bố. Trước đó, TP. Hải Phòng có 7 năm liên tiếp xếp hạng trong top 10 cả nước. Vào năm 2023, Hải Phòng đứng vị trí thứ 3.</w:t>
        <w:br/>
        <w:t xml:space="preserve">Hạ tầng giao thông tại Hải Phòng đang được đẩy mạnh với tin</w:t>
      </w:r>
      <w:r>
        <w:rPr>
          <w:highlight w:val="white"/>
          <w:shd w:val="clear" w:color="auto" w:fill="ffffff"/>
        </w:rPr>
        <w:t xml:space="preserve">h thần "hạ tầng đi trước – tăng trưởng theo sau". Hiện các bến còn lại của Cảng Lạch Huyện sẽ được tập trung hoàn thiện. Ngoài ra, cảng biển thế hệ mới Nam Đồ Sơn, sân bay quốc tế Tiên Lãng, đường sắt tốc độ cao Lào Cai – Hà Nội – Hải Phòng, mạng lưới logi</w:t>
      </w:r>
      <w:r>
        <w:rPr>
          <w:highlight w:val="white"/>
          <w:shd w:val="clear" w:color="auto" w:fill="ffffff"/>
        </w:rPr>
        <w:t xml:space="preserve">stics và hạ tầng số phủ kín đến cấp xã, làm nền tảng cho kinh tế số đã, đang và sẽ được Hải Phòng tập trung nguồn lực để đẩy mạnh.</w:t>
        <w:br/>
        <w:t xml:space="preserve">(https://wiki.batdongsan.com.vn/tin-tuc/bat-dong-san-Hai-Phong-diem-sang-cua-thi-truong-phia-Bac-trong-nam-2025-cd-hn-835387)</w:t>
      </w:r>
      <w:r>
        <w:rPr>
          <w:i/>
          <w:iCs/>
          <w:highlight w:val="white"/>
          <w:lang w:val="pt-BR"/>
        </w:rPr>
      </w:r>
      <w:r>
        <w:rPr>
          <w:i/>
          <w:iCs/>
          <w:highlight w:val="white"/>
          <w:lang w:val="pt-BR"/>
        </w:rPr>
      </w:r>
    </w:p>
    <w:p>
      <w:pPr>
        <w:pStyle w:val="1032"/>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Tên tài sản</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after="60" w:before="60" w:line="276" w:lineRule="auto"/>
              <w:ind/>
              <w:jc w:val="both"/>
              <w:rPr>
                <w:b/>
                <w:bCs/>
                <w:spacing w:val="2"/>
                <w:highlight w:val="white"/>
              </w:rPr>
            </w:pPr>
            <w:r>
              <w:rPr>
                <w:b/>
                <w:bCs/>
                <w:color w:val="000000" w:themeColor="text1"/>
                <w:highlight w:val="white"/>
                <w:lang w:val="pt-BR"/>
              </w:rPr>
            </w:r>
            <w:r>
              <w:rPr>
                <w:rFonts w:ascii="Times New Roman" w:hAnsi="Times New Roman" w:eastAsia="Times New Roman" w:cs="Times New Roman"/>
                <w:b/>
                <w:bCs/>
                <w:color w:val="000000"/>
                <w:sz w:val="24"/>
                <w:highlight w:val="white"/>
              </w:rPr>
              <w:t xml:space="preserve">Quyền sử dụng đất và tài sản gắn liền với đất tại thửa đất số: 16-LK/Khu D/18D, tờ bản đồ số: 09 có địa chỉ  tại </w:t>
            </w:r>
            <w:r>
              <w:rPr>
                <w:b/>
                <w:bCs/>
                <w:color w:val="000000"/>
                <w:highlight w:val="white"/>
              </w:rPr>
              <w:t xml:space="preserve">Tổ dân phố Kiều Sơn, phường Đằng Lâm, quận Hải An, Thành phố Hải Phòng</w:t>
            </w:r>
            <w:r>
              <w:rPr>
                <w:rFonts w:ascii="Times New Roman" w:hAnsi="Times New Roman" w:eastAsia="Times New Roman" w:cs="Times New Roman"/>
                <w:b/>
                <w:bCs/>
                <w:color w:val="000000"/>
                <w:sz w:val="24"/>
                <w:highlight w:val="white"/>
              </w:rPr>
              <w:t xml:space="preserve"> (Nay là </w:t>
            </w:r>
            <w:r>
              <w:rPr>
                <w:rFonts w:ascii="Times New Roman" w:hAnsi="Times New Roman" w:eastAsia="Times New Roman" w:cs="Times New Roman"/>
                <w:b/>
                <w:bCs/>
                <w:color w:val="000000"/>
                <w:sz w:val="24"/>
                <w:highlight w:val="white"/>
              </w:rPr>
              <w:t xml:space="preserve">Phường Hải An, thành phố Hải Phòng) theo Giấy chứng nhận quyền sử dụng đất quyền sở hữu nhà ở và tài sản khác gắn liền với đất số: CU 451294, số vào sổ cấp GCN: CH 13318 do Ủy ban nhân dân quận Hải An</w:t>
            </w:r>
            <w:r>
              <w:rPr>
                <w:rFonts w:ascii="Times New Roman" w:hAnsi="Times New Roman" w:eastAsia="Times New Roman" w:cs="Times New Roman"/>
                <w:b/>
                <w:bCs/>
                <w:color w:val="000000"/>
                <w:sz w:val="24"/>
                <w:highlight w:val="white"/>
              </w:rPr>
              <w:t xml:space="preserve"> cấp ngày 26/6/2020; Chủ sử dụng đất là Ông Đoàn Văn Xuân và vợ là bà Đỗ Thị Kim Huệ.</w:t>
            </w:r>
            <w:r>
              <w:rPr>
                <w:b/>
                <w:bCs/>
                <w:spacing w:val="2"/>
                <w:highlight w:val="white"/>
              </w:rPr>
            </w:r>
            <w:r>
              <w:rPr>
                <w:b/>
                <w:bCs/>
                <w:spacing w:val="2"/>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Nội dung Thửa đất theo Hồ sơ pháp 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Thửa đất số:</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b w:val="0"/>
                <w:bCs w:val="0"/>
                <w:color w:val="000000"/>
                <w:highlight w:val="white"/>
              </w:rPr>
            </w:pPr>
            <w:r>
              <w:rPr>
                <w:b w:val="0"/>
                <w:bCs w:val="0"/>
                <w:color w:val="000000" w:themeColor="text1"/>
                <w:highlight w:val="white"/>
              </w:rPr>
            </w:r>
            <w:r>
              <w:rPr>
                <w:rFonts w:ascii="Times New Roman" w:hAnsi="Times New Roman" w:eastAsia="Times New Roman" w:cs="Times New Roman"/>
                <w:b w:val="0"/>
                <w:bCs w:val="0"/>
                <w:color w:val="000000"/>
                <w:sz w:val="24"/>
                <w:highlight w:val="white"/>
              </w:rPr>
              <w:t xml:space="preserve">16-LK/Khu D/18D</w:t>
            </w:r>
            <w:r>
              <w:rPr>
                <w:b w:val="0"/>
                <w:bCs w:val="0"/>
                <w:color w:val="000000"/>
                <w:highlight w:val="white"/>
              </w:rPr>
            </w:r>
            <w:r>
              <w:rPr>
                <w:b w:val="0"/>
                <w:bCs w:val="0"/>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 bản đồ số:</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09</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b w:val="0"/>
                <w:bCs w:val="0"/>
                <w:color w:val="000000"/>
                <w:highlight w:val="white"/>
              </w:rPr>
            </w:pPr>
            <w:r>
              <w:rPr>
                <w:b w:val="0"/>
                <w:bCs w:val="0"/>
                <w:color w:val="000000"/>
                <w:highlight w:val="white"/>
              </w:rPr>
            </w:r>
            <w:r>
              <w:rPr>
                <w:b w:val="0"/>
                <w:bCs w:val="0"/>
                <w:color w:val="000000"/>
                <w:highlight w:val="white"/>
              </w:rPr>
              <w:t xml:space="preserve">Tổ dân phố Kiều Sơn, phường Đằng Lâm, quận Hải An, Thành phố Hải Phòng</w:t>
            </w:r>
            <w:r>
              <w:rPr>
                <w:rFonts w:ascii="Times New Roman" w:hAnsi="Times New Roman" w:eastAsia="Times New Roman" w:cs="Times New Roman"/>
                <w:b w:val="0"/>
                <w:bCs w:val="0"/>
                <w:color w:val="000000"/>
                <w:sz w:val="24"/>
                <w:highlight w:val="white"/>
              </w:rPr>
              <w:t xml:space="preserve"> (Nay là </w:t>
            </w:r>
            <w:r>
              <w:rPr>
                <w:rFonts w:ascii="Times New Roman" w:hAnsi="Times New Roman" w:eastAsia="Times New Roman" w:cs="Times New Roman"/>
                <w:b w:val="0"/>
                <w:bCs w:val="0"/>
                <w:color w:val="000000"/>
                <w:sz w:val="24"/>
                <w:highlight w:val="white"/>
              </w:rPr>
              <w:t xml:space="preserve">Phường Hải An, thành phố Hải Phòng)</w:t>
            </w:r>
            <w:r>
              <w:rPr>
                <w:b w:val="0"/>
                <w:bCs w:val="0"/>
                <w:color w:val="000000"/>
                <w:highlight w:val="white"/>
              </w:rPr>
            </w:r>
            <w:r>
              <w:rPr>
                <w:b w:val="0"/>
                <w:bCs w:val="0"/>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144,3</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 144.3 m2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tại đô thị</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Nguồn gốc sử dụng đất:</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Nhà nước giao đất có thu tiền sử dụng đất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Thông tin quy hoạch:</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highlight w:val="white"/>
              </w:rPr>
            </w:pPr>
            <w:r>
              <w:rPr>
                <w:color w:val="000000"/>
                <w:highlight w:val="white"/>
              </w:rPr>
            </w:r>
            <w:r>
              <w:rPr>
                <w:highlight w:val="white"/>
              </w:rPr>
              <mc:AlternateContent>
                <mc:Choice Requires="wpg">
                  <w:drawing>
                    <wp:inline xmlns:wp="http://schemas.openxmlformats.org/drawingml/2006/wordprocessingDrawing" distT="0" distB="0" distL="0" distR="0">
                      <wp:extent cx="3884000" cy="256236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75259" name=""/>
                              <pic:cNvPicPr>
                                <a:picLocks noChangeAspect="1"/>
                              </pic:cNvPicPr>
                              <pic:nvPr/>
                            </pic:nvPicPr>
                            <pic:blipFill rotWithShape="1">
                              <a:blip r:embed="rId17"/>
                              <a:stretch/>
                            </pic:blipFill>
                            <pic:spPr bwMode="auto">
                              <a:xfrm flipH="0" flipV="0">
                                <a:off x="0" y="0"/>
                                <a:ext cx="3883999" cy="25623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5.83pt;height:201.76pt;mso-wrap-distance-left:0.00pt;mso-wrap-distance-top:0.00pt;mso-wrap-distance-right:0.00pt;mso-wrap-distance-bottom:0.00pt;z-index:1;" stroked="false">
                      <v:imagedata r:id="rId17" o:title=""/>
                      <o:lock v:ext="edit" rotation="t"/>
                    </v:shape>
                  </w:pict>
                </mc:Fallback>
              </mc:AlternateContent>
            </w:r>
            <w:r>
              <w:rPr>
                <w:color w:val="000000"/>
                <w:highlight w:val="white"/>
              </w:rPr>
            </w:r>
            <w:r>
              <w:rPr>
                <w:highlight w:val="white"/>
              </w:rPr>
            </w:r>
          </w:p>
          <w:p>
            <w:pPr>
              <w:pBdr/>
              <w:spacing/>
              <w:ind/>
              <w:jc w:val="both"/>
              <w:rPr>
                <w:color w:val="000000"/>
                <w:highlight w:val="white"/>
              </w:rPr>
            </w:pPr>
            <w:r>
              <w:rPr>
                <w:highlight w:val="white"/>
              </w:rPr>
            </w:r>
            <w:r>
              <w:rPr>
                <w:rFonts w:ascii="Times New Roman" w:hAnsi="Times New Roman" w:eastAsia="Times New Roman" w:cs="Times New Roman"/>
                <w:color w:val="000000"/>
                <w:sz w:val="24"/>
                <w:highlight w:val="white"/>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highlight w:val="white"/>
              </w:rPr>
              <w:t xml:space="preserve">ịnh vị trí tài sản thuộc quy hoạch đất ở.</w:t>
            </w:r>
            <w:r>
              <w:rPr>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Đường nhựa</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1 mặt tiền</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7</w:t>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7</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Cách đường Lê Hồng Phong khoảng 100m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 hướng tiếp giáp: </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themeColor="text1"/>
                <w:highlight w:val="white"/>
              </w:rPr>
            </w:pPr>
            <w:r>
              <w:rPr>
                <w:color w:val="000000" w:themeColor="text1"/>
                <w:highlight w:val="white"/>
              </w:rPr>
              <w:t xml:space="preserve">Hướng Đông Nam tiếp giáp với đường giao thông</w:t>
            </w:r>
            <w:r>
              <w:rPr>
                <w:color w:val="000000" w:themeColor="text1"/>
                <w:highlight w:val="white"/>
              </w:rPr>
            </w:r>
            <w:r>
              <w:rPr>
                <w:color w:val="000000" w:themeColor="text1"/>
                <w:highlight w:val="white"/>
              </w:rPr>
            </w:r>
          </w:p>
          <w:p>
            <w:pPr>
              <w:pBdr/>
              <w:spacing/>
              <w:ind/>
              <w:rPr>
                <w:color w:val="000000" w:themeColor="text1"/>
                <w:highlight w:val="white"/>
              </w:rPr>
            </w:pPr>
            <w:r>
              <w:rPr>
                <w:color w:val="000000" w:themeColor="text1"/>
                <w:highlight w:val="white"/>
              </w:rPr>
              <w:t xml:space="preserve">Các hướng khác t</w:t>
            </w:r>
            <w:r>
              <w:rPr>
                <w:color w:val="000000" w:themeColor="text1"/>
                <w:highlight w:val="white"/>
              </w:rPr>
              <w:t xml:space="preserve">iếp giáp với các thửa đấ</w:t>
            </w:r>
            <w:r>
              <w:rPr>
                <w:color w:val="000000" w:themeColor="text1"/>
                <w:highlight w:val="white"/>
              </w:rPr>
              <w:t xml:space="preserve">t 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w:t xml:space="preserve">Vị trí trên bản đồ vệ tinh: </w:t>
            </w:r>
            <w:r>
              <w:rPr>
                <w:color w:val="000000"/>
                <w:highlight w:val="white"/>
              </w:rPr>
              <w:t xml:space="preserve">(20.840972222222, 106.70922222222)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w:r>
            <w:r>
              <w:rPr>
                <w:highlight w:val="white"/>
              </w:rPr>
              <mc:AlternateContent>
                <mc:Choice Requires="wpg">
                  <w:drawing>
                    <wp:inline xmlns:wp="http://schemas.openxmlformats.org/drawingml/2006/wordprocessingDrawing" distT="0" distB="0" distL="0" distR="0">
                      <wp:extent cx="5447370" cy="291969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57631" name=""/>
                              <pic:cNvPicPr>
                                <a:picLocks noChangeAspect="1"/>
                              </pic:cNvPicPr>
                              <pic:nvPr/>
                            </pic:nvPicPr>
                            <pic:blipFill rotWithShape="1">
                              <a:blip r:embed="rId18"/>
                              <a:stretch/>
                            </pic:blipFill>
                            <pic:spPr bwMode="auto">
                              <a:xfrm flipH="0" flipV="0">
                                <a:off x="0" y="0"/>
                                <a:ext cx="5447369" cy="29196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93pt;height:229.90pt;mso-wrap-distance-left:0.00pt;mso-wrap-distance-top:0.00pt;mso-wrap-distance-right:0.00pt;mso-wrap-distance-bottom:0.00pt;z-index:1;" stroked="false">
                      <v:imagedata r:id="rId18"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Diện tích; Kích thước; Hình 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144,3</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7,8</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 sâu (m): </w:t>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18,5</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Hình chữ nhật</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Đông Nam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Dân cư thông thường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Cao/đông đúc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Ổn định</w:t>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Phù hợp để ở</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 sả</w:t>
            </w:r>
            <w:commentRangeStart w:id="0"/>
            <w:r>
              <w:rPr>
                <w:b/>
                <w:bCs/>
                <w:color w:val="000000"/>
                <w:highlight w:val="white"/>
              </w:rPr>
              <w:t xml:space="preserve">n gắn liền với đất</w:t>
            </w:r>
            <w:r>
              <w:rPr>
                <w:b/>
                <w:bCs/>
                <w:color w:val="000000"/>
                <w:highlight w:val="white"/>
              </w:rPr>
            </w:r>
            <w:commentRangeEnd w:id="0"/>
            <w:r>
              <w:commentReference w:id="0"/>
            </w:r>
            <w:r>
              <w:rPr>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color w:val="000000"/>
                <w:highlight w:val="white"/>
              </w:rPr>
              <w:t xml:space="preserve">+ </w:t>
            </w:r>
            <w:r>
              <w:rPr>
                <w:rFonts w:ascii="Times New Roman" w:hAnsi="Times New Roman" w:eastAsia="Times New Roman" w:cs="Times New Roman"/>
                <w:color w:val="000000"/>
                <w:sz w:val="24"/>
                <w:highlight w:val="white"/>
              </w:rPr>
              <w:t xml:space="preserve">Qua khảo sát thực tế, CTXD gắn liền với đất là Nhà ở 4,5 tầng xây dựng hoàn thiện, diện tích xây dựn</w: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g 105,8m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diện tích sàn 4</w:t>
            </w:r>
            <w:r>
              <w:rPr>
                <w:rFonts w:ascii="Times New Roman" w:hAnsi="Times New Roman" w:eastAsia="Times New Roman" w:cs="Times New Roman"/>
                <w:color w:val="000000"/>
                <w:sz w:val="24"/>
                <w:highlight w:val="white"/>
              </w:rPr>
              <w:t xml:space="preserve">87,1m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xây dựng năm 2020.</w:t>
            </w:r>
            <w:r>
              <w:rPr>
                <w:highlight w:val="white"/>
              </w:rPr>
            </w:r>
          </w:p>
          <w:p>
            <w:pPr>
              <w:pBdr/>
              <w:spacing/>
              <w:ind/>
              <w:jc w:val="both"/>
              <w:rPr>
                <w:color w:val="000000"/>
                <w:highlight w:val="white"/>
              </w:rPr>
            </w:pPr>
            <w:r>
              <w:rPr>
                <w:rFonts w:ascii="Times New Roman" w:hAnsi="Times New Roman" w:eastAsia="Times New Roman" w:cs="Times New Roman"/>
                <w:color w:val="000000"/>
                <w:sz w:val="24"/>
                <w:highlight w:val="white"/>
              </w:rPr>
              <w:t xml:space="preserve">+ Công trình đã được chứng nhận trên GCN.</w:t>
            </w:r>
            <w:r>
              <w:rPr>
                <w:color w:val="000000"/>
                <w:highlight w:val="white"/>
              </w:rPr>
            </w:r>
            <w:r>
              <w:rPr>
                <w:color w:val="000000"/>
                <w:highlight w:val="white"/>
              </w:rPr>
            </w:r>
          </w:p>
        </w:tc>
      </w:tr>
    </w:tbl>
    <w:p>
      <w:pPr>
        <w:pBdr/>
        <w:spacing w:line="235" w:lineRule="auto"/>
        <w:ind w:left="0"/>
        <w:jc w:val="both"/>
        <w:rPr>
          <w:b/>
          <w:bCs/>
          <w:highlight w:val="white"/>
          <w:u w:val="single"/>
        </w:rPr>
      </w:pPr>
      <w:r>
        <w:rPr>
          <w:b/>
          <w:bCs/>
          <w:highlight w:val="white"/>
          <w:u w:val="single"/>
        </w:rPr>
      </w:r>
      <w:r>
        <w:rPr>
          <w:b/>
          <w:bCs/>
          <w:highlight w:val="white"/>
          <w:u w:val="single"/>
        </w:rPr>
      </w:r>
      <w:r>
        <w:rPr>
          <w:b/>
          <w:bCs/>
          <w:highlight w:val="white"/>
          <w:u w:val="single"/>
        </w:rPr>
      </w:r>
    </w:p>
    <w:p>
      <w:pPr>
        <w:pBdr/>
        <w:spacing w:line="235" w:lineRule="auto"/>
        <w:ind w:left="0"/>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S=0.5ha)&lt;5ha</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jc w:val="both"/>
        <w:rPr>
          <w:highlight w:val="white"/>
          <w:u w:val="single"/>
        </w:rPr>
      </w:pPr>
      <w:r>
        <w:rPr>
          <w:highlight w:val="white"/>
          <w:u w:val="single"/>
        </w:rPr>
      </w:r>
      <w:r>
        <w:rPr>
          <w:highlight w:val="white"/>
          <w:u w:val="single"/>
        </w:rPr>
      </w:r>
      <w:r>
        <w:rPr>
          <w:highlight w:val="white"/>
          <w:u w:val="single"/>
        </w:rPr>
      </w:r>
    </w:p>
    <w:p>
      <w:pPr>
        <w:pBdr/>
        <w:spacing w:line="235" w:lineRule="auto"/>
        <w:ind w:left="0"/>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xung</w:t>
            </w:r>
            <w:r>
              <w:rPr>
                <w:highlight w:val="white"/>
                <w:lang w:eastAsia="ko-KR"/>
              </w:rPr>
              <w:t xml:space="preserve"> :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32"/>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32"/>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lang w:val="pt-BR"/>
        </w:rPr>
      </w:r>
    </w:p>
    <w:p>
      <w:pPr>
        <w:pStyle w:val="1032"/>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lang w:val="pt-BR"/>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32"/>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32"/>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lang w:val="pt-BR"/>
        </w:rPr>
      </w:r>
    </w:p>
    <w:p>
      <w:pPr>
        <w:pStyle w:val="1032"/>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lang w:val="pt-BR"/>
        </w:rPr>
      </w:r>
    </w:p>
    <w:p>
      <w:pPr>
        <w:pStyle w:val="1032"/>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lang w:val="pt-BR"/>
        </w:rPr>
      </w:r>
    </w:p>
    <w:p>
      <w:pPr>
        <w:pStyle w:val="1032"/>
        <w:numPr>
          <w:ilvl w:val="0"/>
          <w:numId w:val="3"/>
        </w:numPr>
        <w:pBdr/>
        <w:spacing w:after="60" w:before="60" w:line="276" w:lineRule="auto"/>
        <w:ind/>
        <w:jc w:val="both"/>
        <w:rPr>
          <w:highlight w:val="white"/>
        </w:rPr>
      </w:pPr>
      <w:r>
        <w:rPr>
          <w:i/>
          <w:iCs/>
          <w:highlight w:val="white"/>
          <w:lang w:val="vi-VN"/>
        </w:rPr>
        <w:t xml:space="preserve">Cách tiếp cận từ chi phí</w:t>
      </w:r>
      <w:r>
        <w:rPr>
          <w:i/>
          <w:iCs/>
          <w:highlight w:val="white"/>
        </w:rPr>
        <w:t xml:space="preserve">:</w:t>
      </w:r>
      <w:r>
        <w:rPr>
          <w:i/>
          <w:iCs/>
          <w:highlight w:val="white"/>
          <w:lang w:val="vi-VN"/>
        </w:rPr>
        <w:t xml:space="preserve"> </w:t>
      </w:r>
      <w:r>
        <w:rPr>
          <w:highlight w:val="white"/>
        </w:rPr>
        <w:t xml:space="preserve">L</w:t>
      </w:r>
      <w:r>
        <w:rPr>
          <w:highlight w:val="whit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white"/>
          <w:lang w:val="pt-BR"/>
        </w:rPr>
        <w:t xml:space="preserve">.</w:t>
      </w:r>
      <w:r>
        <w:rPr>
          <w:highlight w:val="white"/>
          <w:lang w:val="pt-BR"/>
        </w:rPr>
      </w:r>
      <w:r>
        <w:rPr>
          <w:highlight w:val="white"/>
          <w:lang w:val="pt-BR"/>
        </w:rPr>
      </w:r>
    </w:p>
    <w:p>
      <w:pPr>
        <w:pStyle w:val="1032"/>
        <w:numPr>
          <w:ilvl w:val="0"/>
          <w:numId w:val="3"/>
        </w:numPr>
        <w:pBdr/>
        <w:tabs>
          <w:tab w:val="left" w:leader="none" w:pos="993"/>
        </w:tabs>
        <w:spacing w:after="120" w:before="120" w:line="264" w:lineRule="auto"/>
        <w:ind/>
        <w:jc w:val="both"/>
        <w:rPr>
          <w:spacing w:val="-2"/>
          <w:highlight w:val="white"/>
        </w:rPr>
      </w:pPr>
      <w:r>
        <w:rPr>
          <w:i/>
          <w:iCs/>
          <w:highlight w:val="white"/>
          <w:lang w:val="vi-VN"/>
        </w:rPr>
        <w:t xml:space="preserve">Phương pháp chi phí thay thế</w:t>
      </w:r>
      <w:r>
        <w:rPr>
          <w:i/>
          <w:iCs/>
          <w:highlight w:val="white"/>
        </w:rPr>
        <w:t xml:space="preserve">:</w:t>
      </w:r>
      <w:r>
        <w:rPr>
          <w:highlight w:val="white"/>
          <w:lang w:val="vi-VN"/>
        </w:rPr>
        <w:t xml:space="preserve"> </w:t>
      </w:r>
      <w:r>
        <w:rPr>
          <w:highlight w:val="white"/>
        </w:rPr>
        <w:t xml:space="preserve">L</w:t>
      </w:r>
      <w:r>
        <w:rPr>
          <w:highlight w:val="white"/>
          <w:lang w:val="vi-VN"/>
        </w:rPr>
        <w:t xml:space="preserve">à phương pháp thẩm </w:t>
      </w:r>
      <w:r>
        <w:rPr>
          <w:highlight w:val="whit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white"/>
          <w:lang w:val="pt-BR"/>
        </w:rPr>
        <w:t xml:space="preserve">.</w:t>
      </w:r>
      <w:r>
        <w:rPr>
          <w:spacing w:val="-2"/>
          <w:highlight w:val="white"/>
          <w:lang w:val="pt-BR"/>
        </w:rPr>
      </w:r>
      <w:r>
        <w:rPr>
          <w:spacing w:val="-2"/>
          <w:highlight w:val="white"/>
          <w:lang w:val="pt-BR"/>
        </w:rPr>
      </w:r>
    </w:p>
    <w:p>
      <w:pPr>
        <w:pStyle w:val="1032"/>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lang w:val="pt-BR"/>
        </w:rPr>
      </w:r>
    </w:p>
    <w:p>
      <w:pPr>
        <w:pStyle w:val="1032"/>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lang w:val="pt-BR"/>
        </w:rPr>
      </w:r>
    </w:p>
    <w:p>
      <w:pPr>
        <w:pStyle w:val="1032"/>
        <w:numPr>
          <w:ilvl w:val="0"/>
          <w:numId w:val="3"/>
        </w:numPr>
        <w:pBdr/>
        <w:spacing w:after="120" w:before="120" w:line="276" w:lineRule="auto"/>
        <w:ind/>
        <w:jc w:val="both"/>
        <w:rPr>
          <w:highlight w:val="white"/>
        </w:rPr>
      </w:pPr>
      <w:r>
        <w:rPr>
          <w:spacing w:val="-4"/>
          <w:highlight w:val="white"/>
          <w:lang w:val="pt-BR"/>
        </w:rPr>
        <w:t xml:space="preserve">Đối với công trình xây dựng gắn liền trên đất, tại thời điểm thẩm định giá, qua thu thập thông tin từ thị trường, Tổ thẩm định nh</w:t>
      </w:r>
      <w:r>
        <w:rPr>
          <w:spacing w:val="-4"/>
          <w:highlight w:val="white"/>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highlight w:val="white"/>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highlight w:val="white"/>
          <w:lang w:val="pt-BR"/>
        </w:rPr>
        <w:t xml:space="preserve">tài sản so sánh và </w:t>
      </w:r>
      <w:r>
        <w:rPr>
          <w:spacing w:val="-4"/>
          <w:highlight w:val="white"/>
          <w:lang w:val="pt-BR"/>
        </w:rPr>
        <w:t xml:space="preserve">tài sản thẩm định</w:t>
      </w:r>
      <w:r>
        <w:rPr>
          <w:spacing w:val="-2"/>
          <w:highlight w:val="white"/>
          <w:lang w:val="pt-BR"/>
        </w:rPr>
        <w:t xml:space="preserve">.</w:t>
      </w:r>
      <w:r>
        <w:rPr>
          <w:highlight w:val="white"/>
          <w:lang w:val="de-DE"/>
        </w:rPr>
      </w:r>
      <w:r>
        <w:rPr>
          <w:highlight w:val="white"/>
          <w:lang w:val="de-DE"/>
        </w:rPr>
      </w:r>
    </w:p>
    <w:p>
      <w:pPr>
        <w:pStyle w:val="1032"/>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32"/>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pPr>
        <w:pStyle w:val="1032"/>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highlight w:val="white"/>
          <w:lang w:val="pt-BR"/>
        </w:rPr>
      </w:r>
      <w:r>
        <w:rPr>
          <w:bCs/>
          <w:highlight w:val="white"/>
          <w:lang w:val="pt-BR"/>
        </w:rPr>
      </w:r>
    </w:p>
    <w:p>
      <w:pPr>
        <w:pStyle w:val="1032"/>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Hải An, Thành phố Hải Phòng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Tây Trung Hành, Phường Hải An, Thành phố Hải Phòng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Tây Trung Hành, Phường Hải An, Thành phố Hải Phòng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Bến Láng, Phường Hải An, Thành phố Hải Phòng</w:t>
            </w:r>
            <w:r>
              <w:rPr>
                <w:sz w:val="22"/>
                <w:szCs w:val="22"/>
                <w:highlight w:val="white"/>
              </w:rPr>
            </w:r>
            <w:r>
              <w:rPr>
                <w:sz w:val="22"/>
                <w:szCs w:val="22"/>
                <w:highlight w:val="white"/>
              </w:rPr>
            </w:r>
          </w:p>
        </w:tc>
      </w:tr>
      <w:tr>
        <w:trPr>
          <w:trHeight w:val="48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r>
      <w:tr>
        <w:trPr>
          <w:trHeight w:val="69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SĐT: </w:t>
            </w:r>
            <w:r>
              <w:rPr>
                <w:color w:val="000000" w:themeColor="text1"/>
                <w:sz w:val="22"/>
                <w:szCs w:val="22"/>
                <w:highlight w:val="white"/>
              </w:rPr>
              <w:t xml:space="preserve">0936983022</w:t>
            </w:r>
            <w:r>
              <w:rPr>
                <w:sz w:val="22"/>
                <w:szCs w:val="22"/>
                <w:highlight w:val="white"/>
              </w:rPr>
              <w:t xml:space="preserve"> </w:t>
            </w:r>
            <w:r>
              <w:rPr>
                <w:sz w:val="22"/>
                <w:szCs w:val="22"/>
                <w:highlight w:val="white"/>
              </w:rPr>
              <w:br/>
              <w:t xml:space="preserve">(</w:t>
            </w:r>
            <w:r>
              <w:rPr>
                <w:sz w:val="22"/>
                <w:szCs w:val="22"/>
                <w:highlight w:val="white"/>
              </w:rPr>
              <w:t xml:space="preserve">Quân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SĐT: </w:t>
            </w:r>
            <w:r>
              <w:rPr>
                <w:color w:val="000000" w:themeColor="text1"/>
                <w:sz w:val="22"/>
                <w:szCs w:val="22"/>
                <w:highlight w:val="white"/>
              </w:rPr>
              <w:t xml:space="preserve">0917696698</w:t>
            </w:r>
            <w:r>
              <w:rPr>
                <w:sz w:val="22"/>
                <w:szCs w:val="22"/>
                <w:highlight w:val="white"/>
              </w:rPr>
              <w:br/>
            </w:r>
            <w:r>
              <w:rPr>
                <w:sz w:val="22"/>
                <w:szCs w:val="22"/>
                <w:highlight w:val="white"/>
              </w:rPr>
              <w:t xml:space="preserve">(</w:t>
            </w:r>
            <w:r>
              <w:rPr>
                <w:sz w:val="22"/>
                <w:szCs w:val="22"/>
                <w:highlight w:val="white"/>
              </w:rPr>
              <w:t xml:space="preserve">Tuân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SĐT: </w:t>
            </w:r>
            <w:r>
              <w:rPr>
                <w:color w:val="000000" w:themeColor="text1"/>
                <w:sz w:val="22"/>
                <w:szCs w:val="22"/>
                <w:highlight w:val="white"/>
              </w:rPr>
              <w:t xml:space="preserve">0931506086</w:t>
            </w:r>
            <w:r>
              <w:rPr>
                <w:sz w:val="22"/>
                <w:szCs w:val="22"/>
                <w:highlight w:val="white"/>
              </w:rPr>
              <w:br/>
            </w:r>
            <w:r>
              <w:rPr>
                <w:sz w:val="22"/>
                <w:szCs w:val="22"/>
                <w:highlight w:val="white"/>
              </w:rPr>
              <w:t xml:space="preserve">(</w:t>
            </w:r>
            <w:r>
              <w:rPr>
                <w:sz w:val="22"/>
                <w:szCs w:val="22"/>
                <w:highlight w:val="white"/>
              </w:rPr>
              <w:t xml:space="preserve">Thịnh</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Phường Hải An, Thành phố Hải Phòng, cách đường Lê Hồng Phong khoảng 100m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Tây Trung Hành, Phường Hải An, Thành phố Hải Phòng, khoảng cách ra Phố Tây Trung Hành Cách đường Lê Hồng Phong khoảng 300m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Tây Trung Hành, Phường Hải An, Thành phố Hải Phòng,</w:t>
            </w:r>
            <w:r>
              <w:rPr>
                <w:color w:val="000000" w:themeColor="text1"/>
                <w:sz w:val="22"/>
                <w:szCs w:val="22"/>
                <w:highlight w:val="white"/>
              </w:rPr>
              <w:t xml:space="preserve">Cách đường Lê Hồng Phong khoảng 300m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Bến Láng, Phường Hải An, Thành phố Hải Phòng, đường Cách đường Lê Hồng Phong khoảng 300m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144,3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trống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trống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4 tầng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Số tầng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Diện tích sàn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240</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6.120.000.000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7.776.000.000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7.900.000.000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5.508.000.000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6.998.400.000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7.110.000.000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1.717.397.834</w:t>
            </w:r>
            <w:r>
              <w:rPr>
                <w:color w:val="000000"/>
                <w:sz w:val="22"/>
                <w:szCs w:val="22"/>
                <w:highlight w:val="white"/>
              </w:rPr>
            </w:r>
            <w:r>
              <w:rPr>
                <w:color w:val="000000"/>
                <w:sz w:val="22"/>
                <w:szCs w:val="22"/>
                <w:highlight w:val="white"/>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2"/>
                <w:highlight w:val="white"/>
              </w:rPr>
              <w:t xml:space="preserve">Đơn giá xây dựng theo Quyết định số </w:t>
            </w:r>
            <w:r>
              <w:rPr>
                <w:rFonts w:ascii="Times New Roman" w:hAnsi="Times New Roman" w:eastAsia="Times New Roman" w:cs="Times New Roman"/>
                <w:color w:val="000000"/>
                <w:spacing w:val="-4"/>
                <w:sz w:val="24"/>
                <w:highlight w:val="white"/>
              </w:rPr>
              <w:t xml:space="preserve">425/QĐ-BXD ngày 30/3/2026</w:t>
            </w:r>
            <w:r>
              <w:rPr>
                <w:rFonts w:ascii="Times New Roman" w:hAnsi="Times New Roman" w:eastAsia="Times New Roman" w:cs="Times New Roman"/>
                <w:color w:val="000000"/>
                <w:sz w:val="22"/>
                <w:highlight w:val="white"/>
              </w:rPr>
              <w:t xml:space="preserve"> của Bộ Xây Dựng (đồng/m²)</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9.063.742</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 Tỷ lệ % CLCL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78,95</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5.508.000.000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6.998.400.000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5.392.602.166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91.800.000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86.400.000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89.876.703</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dựa trên ba tài sản so sánh tương đồng với tài sản thẩm định giá, Tổ thẩm định phân tích các </w:t>
      </w:r>
      <w:r>
        <w:rPr>
          <w:highlight w:val="white"/>
          <w:lang w:val="it-IT"/>
        </w:rPr>
        <w:t xml:space="preserve">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lang w:val="de-D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lang w:val="it-IT"/>
        </w:rPr>
      </w:r>
    </w:p>
    <w:p>
      <w:pPr>
        <w:pStyle w:val="1032"/>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5.508.000.000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6.998.400.000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5.392.602.166</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91.800.000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86.400.000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89.876.703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86.400.000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89.876.703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86.400.000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89.876.703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86.400.000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89.876.703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Phường Hải An, Thành phố Hải Phòng, cách đường Lê Hồng Phong khoảng 100m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Tây Trung Hành, Phường Hải An, Thành phố Hải Phòng, khoảng cách ra Phố Tây Trung Hành Cách đường Lê Hồng Phong khoảng 300m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Tây Trung Hành, Phường Hải An, Thành phố Hải Phòng,</w:t>
            </w:r>
            <w:r>
              <w:rPr>
                <w:color w:val="000000" w:themeColor="text1"/>
                <w:sz w:val="22"/>
                <w:szCs w:val="22"/>
                <w:highlight w:val="white"/>
              </w:rPr>
              <w:t xml:space="preserve">Cách đường Lê Hồng Phong khoảng 300m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Bến Láng, Phường Hải An, Thành phố Hải Phòng, đường Cách đường Lê Hồng Phong khoảng 300m</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4.590.000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4.320.000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4.493.835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96.390.000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90.720.000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94.370.538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96.390.000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90.720.000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94.370.538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9</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1.836.000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1.728.000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-2.696.301</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98.226.000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92.448.000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91.674.237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144,3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-6.912.000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-8.987.670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89.046.000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85.536.000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82.686.567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11.934.000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8.640.000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8.987.670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100.980.000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94.176.000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91.674.237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100.980.000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94.176.000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91.674.237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100.980.000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94.176.000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91.674.237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100.980.000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94.176.000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91.674.237</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95.610.079</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5.62%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-4.12%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27.540.000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21.600.000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25.165.476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 - 13%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 - 10%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 - 10%</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9.180.000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7.776.000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1.797.534</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từ </w:t>
      </w:r>
      <w:r>
        <w:rPr>
          <w:highlight w:val="white"/>
        </w:rPr>
        <w:t xml:space="preserve"> </w:t>
      </w:r>
      <w:r>
        <w:rPr>
          <w:highlight w:val="white"/>
        </w:rPr>
        <w:t xml:space="preserve">-4.12</w:t>
      </w:r>
      <w:r>
        <w:rPr>
          <w:highlight w:val="white"/>
        </w:rPr>
        <w:t xml:space="preserve">% đến </w:t>
      </w:r>
      <w:r>
        <w:rPr>
          <w:highlight w:val="white"/>
        </w:rPr>
        <w:t xml:space="preserve">5.62</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100.980.000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33.666.732</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94.176.000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31.388.861</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91.674.237</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30.555.023</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95.610.616</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96.000.000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96.000.000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32"/>
        <w:numPr>
          <w:ilvl w:val="0"/>
          <w:numId w:val="26"/>
        </w:numPr>
        <w:pBdr/>
        <w:spacing w:after="120" w:before="120" w:line="276" w:lineRule="auto"/>
        <w:ind w:hanging="357" w:left="357"/>
        <w:jc w:val="both"/>
        <w:rPr>
          <w:b/>
          <w:bCs/>
          <w:highlight w:val="white"/>
        </w:rPr>
      </w:pPr>
      <w:r>
        <w:rPr>
          <w:b/>
          <w:bCs/>
          <w:highlight w:val="white"/>
        </w:rPr>
        <w:t xml:space="preserve">Xác định giá trị tài sản gắn liền với đất</w:t>
      </w:r>
      <w:r>
        <w:rPr>
          <w:b/>
          <w:bCs/>
          <w:highlight w:val="white"/>
        </w:rPr>
      </w:r>
      <w:r>
        <w:rPr>
          <w:b/>
          <w:bCs/>
          <w:highlight w:val="white"/>
        </w:rP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highlight w:val="white"/>
        </w:rPr>
      </w:pPr>
      <w:r>
        <w:rPr>
          <w:rFonts w:ascii="Times New Roman" w:hAnsi="Times New Roman" w:eastAsia="Times New Roman" w:cs="Times New Roman"/>
          <w:b/>
          <w:color w:val="000000"/>
          <w:sz w:val="24"/>
          <w:highlight w:val="white"/>
        </w:rPr>
        <w:t xml:space="preserve">Xác định đơn giá của công trình xây dựng</w:t>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highlight w:val="white"/>
        </w:rPr>
      </w:pPr>
      <w:r>
        <w:rPr>
          <w:rFonts w:ascii="Times New Roman" w:hAnsi="Times New Roman" w:eastAsia="Times New Roman" w:cs="Times New Roman"/>
          <w:color w:val="000000"/>
          <w:sz w:val="24"/>
          <w:highlight w:val="white"/>
        </w:rPr>
        <w:t xml:space="preserve">Qu</w:t>
      </w:r>
      <w:r>
        <w:rPr>
          <w:rFonts w:ascii="Times New Roman" w:hAnsi="Times New Roman" w:eastAsia="Times New Roman" w:cs="Times New Roman"/>
          <w:color w:val="000000"/>
          <w:sz w:val="24"/>
          <w:highlight w:val="white"/>
        </w:rPr>
        <w:t xml:space="preserve">a tham khảo thị trường về đơn giá xây dựng mới đối với công trình nhà 4,5 tầng, cân nhắc và xem xét với mức độ hoàn thiện của công trình xây dựng hiện có, tổ thẩm định nhận thấy đơn giá vận dụng theo -Quyết định số 425/QĐ-BXD ngày 30 tháng 3 năm 2026 của B</w:t>
      </w:r>
      <w:r>
        <w:rPr>
          <w:rFonts w:ascii="Times New Roman" w:hAnsi="Times New Roman" w:eastAsia="Times New Roman" w:cs="Times New Roman"/>
          <w:color w:val="000000"/>
          <w:sz w:val="24"/>
          <w:highlight w:val="white"/>
        </w:rPr>
        <w:t xml:space="preserve">ộ Xây dựng về việc công bố suất vốn đầu tư xây dựng và giá xây dựng tổng hợp bộ phận kết cấu công trình năm 2025 là khá phù hợp với thị trường, theo đó:</w:t>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rFonts w:ascii="Times New Roman" w:hAnsi="Times New Roman" w:eastAsia="Times New Roman" w:cs="Times New Roman"/>
          <w:sz w:val="24"/>
          <w:highlight w:val="white"/>
        </w:rPr>
      </w:pPr>
      <w:r>
        <w:rPr>
          <w:rFonts w:ascii="Times New Roman" w:hAnsi="Times New Roman" w:eastAsia="Times New Roman" w:cs="Times New Roman"/>
          <w:i/>
          <w:color w:val="000000"/>
          <w:sz w:val="24"/>
          <w:highlight w:val="white"/>
        </w:rPr>
        <w:t xml:space="preserve">“Suất vốn đầu tư xây dựng </w:t>
      </w:r>
      <w:r>
        <w:rPr>
          <w:rFonts w:ascii="Times New Roman" w:hAnsi="Times New Roman" w:eastAsia="Times New Roman" w:cs="Times New Roman"/>
          <w:i/>
          <w:color w:val="000000"/>
          <w:sz w:val="24"/>
          <w:highlight w:val="white"/>
        </w:rPr>
        <w:t xml:space="preserve">Nhà từ 4 đến 5 tầng, kết cấu khung chịu lực BTCT; tường bao xây gạch; sàn, mái BTCT đổ tại chỗ, </w:t>
      </w:r>
      <w:r>
        <w:rPr>
          <w:rFonts w:ascii="Times New Roman" w:hAnsi="Times New Roman" w:eastAsia="Times New Roman" w:cs="Times New Roman"/>
          <w:i/>
          <w:color w:val="000000"/>
          <w:sz w:val="24"/>
          <w:highlight w:val="white"/>
        </w:rPr>
        <w:t xml:space="preserve">Diện tích xây dựng từ 90 - dưới 140m2</w:t>
      </w:r>
      <w:r>
        <w:rPr>
          <w:rFonts w:ascii="Times New Roman" w:hAnsi="Times New Roman" w:eastAsia="Times New Roman" w:cs="Times New Roman"/>
          <w:i/>
          <w:color w:val="000000"/>
          <w:sz w:val="24"/>
          <w:highlight w:val="white"/>
        </w:rPr>
        <w:t xml:space="preserve">: 7.630.000 đồng/m² sàn.</w:t>
      </w:r>
      <w:r>
        <w:rPr>
          <w:rFonts w:ascii="Times New Roman" w:hAnsi="Times New Roman" w:eastAsia="Times New Roman" w:cs="Times New Roman"/>
          <w:sz w:val="24"/>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highlight w:val="white"/>
        </w:rPr>
      </w:pPr>
      <w:r>
        <w:rPr>
          <w:rFonts w:ascii="Times New Roman" w:hAnsi="Times New Roman" w:eastAsia="Times New Roman" w:cs="Times New Roman"/>
          <w:i/>
          <w:color w:val="000000"/>
          <w:sz w:val="24"/>
          <w:highlight w:val="white"/>
        </w:rPr>
        <w:t xml:space="preserve">Hệ số điều chỉnh vùng cho Suất đầu tư: Hải Phòng thuộc vùng 2 có hệ số điều chỉnh là 0,948.”</w:t>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rFonts w:ascii="Times New Roman" w:hAnsi="Times New Roman" w:eastAsia="Times New Roman" w:cs="Times New Roman"/>
          <w:bCs/>
          <w:i/>
          <w:color w:val="000000"/>
          <w:sz w:val="24"/>
          <w:szCs w:val="24"/>
          <w:highlight w:val="white"/>
        </w:rPr>
      </w:pPr>
      <w:r>
        <w:rPr>
          <w:rFonts w:ascii="Times New Roman" w:hAnsi="Times New Roman" w:eastAsia="Times New Roman" w:cs="Times New Roman"/>
          <w:i/>
          <w:color w:val="000000"/>
          <w:sz w:val="24"/>
          <w:highlight w:val="white"/>
        </w:rPr>
        <w:t xml:space="preserve">Do đó, Tổ thẩm định xác định đơn giá xây mới của công trình xây dựng là: (Suất đầu tư xây dựng) x (Hệ số vùng) = 7.630.000  x 0,948 = </w:t>
      </w:r>
      <w:r>
        <w:rPr>
          <w:rFonts w:ascii="Times New Roman" w:hAnsi="Times New Roman" w:eastAsia="Times New Roman" w:cs="Times New Roman"/>
          <w:i/>
          <w:color w:val="000000"/>
          <w:sz w:val="24"/>
          <w:highlight w:val="white"/>
        </w:rPr>
        <w:t xml:space="preserve">7.233.240</w:t>
      </w:r>
      <w:r>
        <w:rPr>
          <w:rFonts w:ascii="Times New Roman" w:hAnsi="Times New Roman" w:eastAsia="Times New Roman" w:cs="Times New Roman"/>
          <w:i/>
          <w:color w:val="000000"/>
          <w:sz w:val="24"/>
          <w:highlight w:val="white"/>
        </w:rPr>
        <w:t xml:space="preserve"> đồng/m² sàn. </w:t>
      </w:r>
      <w:r>
        <w:rPr>
          <w:rFonts w:ascii="Times New Roman" w:hAnsi="Times New Roman" w:eastAsia="Times New Roman" w:cs="Times New Roman"/>
          <w:sz w:val="24"/>
          <w:highlight w:val="white"/>
        </w:rPr>
      </w:r>
      <w:r>
        <w:rPr>
          <w:rFonts w:ascii="Times New Roman" w:hAnsi="Times New Roman" w:eastAsia="Times New Roman" w:cs="Times New Roman"/>
          <w:bCs/>
          <w:i/>
          <w:color w:val="000000"/>
          <w:sz w:val="24"/>
          <w:szCs w:val="24"/>
          <w:highlight w:val="white"/>
        </w:rPr>
      </w:r>
    </w:p>
    <w:p>
      <w:pPr>
        <w:numPr>
          <w:ilvl w:val="0"/>
          <w:numId w:val="41"/>
        </w:numPr>
        <w:pBdr>
          <w:top w:val="none" w:color="000000" w:sz="4" w:space="0"/>
          <w:left w:val="none" w:color="000000" w:sz="4" w:space="0"/>
          <w:bottom w:val="none" w:color="000000" w:sz="4" w:space="0"/>
          <w:right w:val="none" w:color="000000" w:sz="4" w:space="0"/>
        </w:pBdr>
        <w:spacing w:after="120" w:before="120" w:line="264" w:lineRule="auto"/>
        <w:ind/>
        <w:jc w:val="both"/>
        <w:rPr>
          <w:highlight w:val="white"/>
        </w:rPr>
      </w:pPr>
      <w:r>
        <w:rPr>
          <w:rFonts w:ascii="Times New Roman" w:hAnsi="Times New Roman" w:eastAsia="Times New Roman" w:cs="Times New Roman"/>
          <w:b/>
          <w:color w:val="000000"/>
          <w:sz w:val="24"/>
          <w:highlight w:val="white"/>
        </w:rPr>
        <w:t xml:space="preserve">Xác định giá trị hao mòn theo kỹ thuật tuổi đời:</w:t>
      </w:r>
      <w:r>
        <w:rPr>
          <w:highlight w:val="white"/>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highlight w:val="white"/>
        </w:rPr>
      </w:pPr>
      <w:r>
        <w:rPr>
          <w:rFonts w:ascii="Times New Roman" w:hAnsi="Times New Roman" w:eastAsia="Times New Roman" w:cs="Times New Roman"/>
          <w:color w:val="000000"/>
          <w:spacing w:val="2"/>
          <w:sz w:val="24"/>
          <w:highlight w:val="white"/>
        </w:rPr>
        <w:t xml:space="preserve">Tỉ lệ hao mòn được tính toán theo phương pháp tuổi đời:</w:t>
      </w:r>
      <w:r>
        <w:rPr>
          <w:highlight w:val="white"/>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highlight w:val="white"/>
        </w:rPr>
      </w:pPr>
      <w:r>
        <w:rPr>
          <w:rFonts w:ascii="Times New Roman" w:hAnsi="Times New Roman" w:eastAsia="Times New Roman" w:cs="Times New Roman"/>
          <w:color w:val="000000"/>
          <w:spacing w:val="2"/>
          <w:sz w:val="24"/>
          <w:highlight w:val="white"/>
        </w:rPr>
        <w:t xml:space="preserve">Công thức: Tỉ lệ hao mòn = Tuổi đời hiệu quả/ Tuổi đời kinh tế</w:t>
      </w:r>
      <w:r>
        <w:rPr>
          <w:highlight w:val="white"/>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highlight w:val="white"/>
        </w:rPr>
      </w:pPr>
      <w:r>
        <w:rPr>
          <w:rFonts w:ascii="Times New Roman" w:hAnsi="Times New Roman" w:eastAsia="Times New Roman" w:cs="Times New Roman"/>
          <w:color w:val="000000"/>
          <w:spacing w:val="2"/>
          <w:sz w:val="24"/>
          <w:highlight w:val="white"/>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w:t>
      </w:r>
      <w:commentRangeStart w:id="1"/>
      <w:r>
        <w:rPr>
          <w:rFonts w:ascii="Times New Roman" w:hAnsi="Times New Roman" w:eastAsia="Times New Roman" w:cs="Times New Roman"/>
          <w:color w:val="000000"/>
          <w:spacing w:val="2"/>
          <w:sz w:val="24"/>
          <w:highlight w:val="white"/>
        </w:rPr>
        <w:t xml:space="preserve">Theo thông tin khách hàng cung cấp, công trình được hoàn th</w:t>
      </w:r>
      <w:r>
        <w:rPr>
          <w:rFonts w:ascii="Times New Roman" w:hAnsi="Times New Roman" w:eastAsia="Times New Roman" w:cs="Times New Roman"/>
          <w:color w:val="000000"/>
          <w:spacing w:val="2"/>
          <w:sz w:val="24"/>
          <w:highlight w:val="white"/>
        </w:rPr>
        <w:t xml:space="preserve">ành đưa vào sử dụng khoảng năm 2020, do vậy tổ thẩm định xác định tuổi đời hiệu quả của công trình là khoảng 6 năm.</w:t>
      </w:r>
      <w:r>
        <w:rPr>
          <w:highlight w:val="white"/>
        </w:rPr>
      </w:r>
      <w:commentRangeEnd w:id="1"/>
      <w:r>
        <w:commentReference w:id="1"/>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highlight w:val="white"/>
        </w:rPr>
      </w:pPr>
      <w:r>
        <w:rPr>
          <w:rFonts w:ascii="Times New Roman" w:hAnsi="Times New Roman" w:eastAsia="Times New Roman" w:cs="Times New Roman"/>
          <w:color w:val="000000"/>
          <w:sz w:val="24"/>
          <w:highlight w:val="white"/>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highlight w:val="white"/>
        </w:rPr>
        <w:t xml:space="preserve">ình, tổ thẩm định xác định tuổi đời kinh tế của tài sản thẩm định là 50 năm. Qua khảo sát thực tế và thông tin khách hàng cung cấp, công trình xây dựng được hoàn thành năm 2020. Do đó, tổ thẩm định để xuất tuổi đời kinh tế của tài sản thẩm định là 50 năm</w:t>
      </w:r>
      <w:r>
        <w:rPr>
          <w:highlight w:val="white"/>
        </w:rP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63"/>
        <w:gridCol w:w="1865"/>
        <w:gridCol w:w="2081"/>
        <w:gridCol w:w="2082"/>
        <w:gridCol w:w="2082"/>
        <w:gridCol w:w="2006"/>
        <w:gridCol w:w="75"/>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p>
        </w:tc>
        <w:tc>
          <w:tcPr>
            <w:tcBorders>
              <w:top w:val="single" w:color="000000" w:sz="8" w:space="0"/>
              <w:bottom w:val="single" w:color="000000" w:sz="8" w:space="0"/>
              <w:right w:val="single" w:color="000000" w:sz="8" w:space="0"/>
            </w:tcBorders>
            <w:tcMar>
              <w:left w:w="0" w:type="dxa"/>
              <w:top w:w="0" w:type="dxa"/>
              <w:right w:w="0"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Năm xây dựng hoàn thành</w:t>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4"/>
                <w:highlight w:val="white"/>
              </w:rPr>
              <w:t xml:space="preserve">Thời điểm thẩm định</w:t>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4"/>
                <w:highlight w:val="white"/>
              </w:rPr>
              <w:t xml:space="preserve">Tuổi đời kinh tế (năm)</w:t>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4"/>
                <w:highlight w:val="white"/>
              </w:rPr>
              <w:t xml:space="preserve">Tuổi đời hiệu quả (năm)</w:t>
            </w:r>
            <w:r>
              <w:rPr>
                <w:highlight w:val="white"/>
              </w:rPr>
            </w:r>
          </w:p>
        </w:tc>
        <w:tc>
          <w:tcPr>
            <w:gridSpan w:val="2"/>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4"/>
                <w:highlight w:val="white"/>
              </w:rPr>
              <w:t xml:space="preserve">Tỉ lệ hao mòn (%)</w:t>
            </w:r>
            <w:r>
              <w:rPr>
                <w:highlight w:val="white"/>
              </w:rPr>
            </w:r>
          </w:p>
        </w:tc>
      </w:tr>
      <w:tr>
        <w:trPr>
          <w:trHeight w:val="6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8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Nhà 4,5 tầng</w:t>
            </w:r>
            <w:r>
              <w:rPr>
                <w:highlight w:val="white"/>
              </w:rPr>
            </w:r>
          </w:p>
        </w:tc>
        <w:tc>
          <w:tcPr>
            <w:tcBorders>
              <w:bottom w:val="single" w:color="000000" w:sz="8" w:space="0"/>
              <w:right w:val="single" w:color="000000" w:sz="8" w:space="0"/>
            </w:tcBorders>
            <w:tcMar>
              <w:left w:w="0" w:type="dxa"/>
              <w:top w:w="0" w:type="dxa"/>
              <w:right w:w="0" w:type="dxa"/>
              <w:bottom w:w="0" w:type="dxa"/>
            </w:tcMar>
            <w:tcW w:w="18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2020</w:t>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2026</w:t>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2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50</w:t>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2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6</w:t>
            </w:r>
            <w:r>
              <w:rPr>
                <w:highlight w:val="white"/>
              </w:rPr>
            </w:r>
          </w:p>
        </w:tc>
        <w:tc>
          <w:tcPr>
            <w:gridSpan w:val="2"/>
            <w:shd w:val="clear" w:color="ffffff" w:fill="ffffff"/>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12%</w:t>
            </w:r>
            <w:r>
              <w:rPr>
                <w:highlight w:val="white"/>
              </w:rPr>
            </w:r>
          </w:p>
        </w:tc>
      </w:tr>
      <w:tr>
        <w:trPr>
          <w:gridAfter w:val="1"/>
          <w:trHeight w:val="310"/>
        </w:trPr>
        <w:tc>
          <w:tcPr>
            <w:gridSpan w:val="6"/>
            <w:tcBorders/>
            <w:tcMar>
              <w:left w:w="0" w:type="dxa"/>
              <w:top w:w="0" w:type="dxa"/>
              <w:right w:w="0" w:type="dxa"/>
              <w:bottom w:w="0" w:type="dxa"/>
            </w:tcMar>
            <w:tcW w:w="119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Tổ thẩm định xác định tỉ lệ hao mòn của tài sản thẩm định là: 12%, tương đương tỷ lệ chất lượng còn lại của tài sản là: 88%</w:t>
            </w:r>
            <w:r>
              <w:rPr>
                <w:highlight w:val="white"/>
              </w:rPr>
            </w:r>
          </w:p>
        </w:tc>
      </w:tr>
    </w:tbl>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highlight w:val="white"/>
        </w:rPr>
      </w:pPr>
      <w:r>
        <w:rPr>
          <w:rFonts w:ascii="Times New Roman" w:hAnsi="Times New Roman" w:eastAsia="Times New Roman" w:cs="Times New Roman"/>
          <w:b/>
          <w:color w:val="000000"/>
          <w:sz w:val="24"/>
          <w:highlight w:val="white"/>
        </w:rPr>
        <w:t xml:space="preserve">Xác định giá trị của công trình xây dựng trên đất:</w:t>
      </w:r>
      <w:r>
        <w:rPr>
          <w:highlight w:val="white"/>
        </w:rP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highlight w:val="white"/>
        </w:rPr>
      </w:pPr>
      <w:r>
        <w:rPr>
          <w:rFonts w:ascii="Times New Roman" w:hAnsi="Times New Roman" w:eastAsia="Times New Roman" w:cs="Times New Roman"/>
          <w:color w:val="000000"/>
          <w:spacing w:val="2"/>
          <w:sz w:val="24"/>
          <w:highlight w:val="white"/>
        </w:rPr>
        <w:t xml:space="preserve">Công thức:</w:t>
      </w:r>
      <w:r>
        <w:rPr>
          <w:highlight w:val="white"/>
        </w:rPr>
      </w:r>
    </w:p>
    <w:tbl>
      <w:tblPr>
        <w:tblStyle w:val="1036"/>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Giá trị ước tính của tài sản</w:t>
            </w:r>
            <w:r>
              <w:rPr>
                <w:highlight w:val="white"/>
              </w:rP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Mar>
              <w:left w:w="108" w:type="dxa"/>
              <w:top w:w="0" w:type="dxa"/>
              <w:right w:w="108" w:type="dxa"/>
              <w:bottom w:w="0" w:type="dxa"/>
            </w:tcMar>
            <w:tcW w:w="3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Chi phí thay thế </w:t>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highlight w:val="white"/>
              </w:rPr>
            </w:pPr>
            <w:r>
              <w:rPr>
                <w:rFonts w:ascii="Times New Roman" w:hAnsi="Times New Roman" w:eastAsia="Times New Roman" w:cs="Times New Roman"/>
                <w:color w:val="000000"/>
                <w:sz w:val="24"/>
                <w:highlight w:val="white"/>
              </w:rPr>
              <w:t xml:space="preserve">(Giá trị xây mới tài sản-đã bao gồm lợi nhuận của nhà sản xuất/nhà đầu tư)</w:t>
            </w:r>
            <w:r>
              <w:rPr>
                <w:highlight w:val="white"/>
              </w:rP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Tổng giá trị hao mòn </w:t>
            </w:r>
            <w:r>
              <w:rPr>
                <w:highlight w:val="white"/>
              </w:rPr>
            </w:r>
          </w:p>
        </w:tc>
      </w:tr>
    </w:tbl>
    <w:p>
      <w:pPr>
        <w:pBdr/>
        <w:spacing w:after="120" w:before="120" w:line="276" w:lineRule="auto"/>
        <w:ind w:firstLine="0" w:left="0"/>
        <w:jc w:val="both"/>
        <w:rPr>
          <w:b/>
          <w:bCs/>
          <w:highlight w:val="white"/>
        </w:rPr>
      </w:pPr>
      <w:r>
        <w:rPr>
          <w:b/>
          <w:bCs/>
          <w:highlight w:val="white"/>
        </w:rPr>
      </w:r>
      <w:r>
        <w:rPr>
          <w:b/>
          <w:bCs/>
          <w:highlight w:val="white"/>
        </w:rPr>
      </w:r>
      <w:r>
        <w:rPr>
          <w:b/>
          <w:bCs/>
          <w:highlight w:val="white"/>
        </w:rPr>
      </w:r>
    </w:p>
    <w:tbl>
      <w:tblPr>
        <w:tblInd w:w="28" w:type="dxa"/>
        <w:tblW w:w="9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6"/>
        <w:gridCol w:w="1275"/>
        <w:gridCol w:w="1560"/>
        <w:gridCol w:w="1701"/>
        <w:gridCol w:w="1139"/>
        <w:gridCol w:w="1559"/>
        <w:gridCol w:w="1586"/>
      </w:tblGrid>
      <w:tr>
        <w:trPr>
          <w:trHeight w:val="936"/>
        </w:trPr>
        <w:tc>
          <w:tcPr>
            <w:shd w:val="clear" w:color="000000" w:fill="ffffff"/>
            <w:tcBorders/>
            <w:tcW w:w="676"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Tài sản</w:t>
            </w:r>
            <w:r>
              <w:rPr>
                <w:b/>
                <w:bCs/>
                <w:sz w:val="22"/>
                <w:szCs w:val="22"/>
                <w:highlight w:val="white"/>
              </w:rPr>
            </w:r>
            <w:r>
              <w:rPr>
                <w:b/>
                <w:bCs/>
                <w:sz w:val="22"/>
                <w:szCs w:val="22"/>
                <w:highlight w:val="white"/>
              </w:rPr>
            </w:r>
          </w:p>
        </w:tc>
        <w:tc>
          <w:tcPr>
            <w:shd w:val="clear" w:color="000000" w:fill="ffffff"/>
            <w:tcBorders/>
            <w:tcW w:w="1275"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Diện tích sàn (m²)</w:t>
            </w:r>
            <w:r>
              <w:rPr>
                <w:b/>
                <w:bCs/>
                <w:sz w:val="22"/>
                <w:szCs w:val="22"/>
                <w:highlight w:val="white"/>
              </w:rPr>
            </w:r>
            <w:r>
              <w:rPr>
                <w:b/>
                <w:bCs/>
                <w:sz w:val="22"/>
                <w:szCs w:val="22"/>
                <w:highlight w:val="white"/>
              </w:rPr>
            </w:r>
          </w:p>
        </w:tc>
        <w:tc>
          <w:tcPr>
            <w:shd w:val="clear" w:color="000000" w:fill="ffffff"/>
            <w:tcBorders/>
            <w:tcW w:w="1560"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Đơn giá xây dựng mới (đồng/m² sàn)</w:t>
            </w:r>
            <w:r>
              <w:rPr>
                <w:b/>
                <w:bCs/>
                <w:sz w:val="22"/>
                <w:szCs w:val="22"/>
                <w:highlight w:val="white"/>
              </w:rPr>
            </w:r>
            <w:r>
              <w:rPr>
                <w:b/>
                <w:bCs/>
                <w:sz w:val="22"/>
                <w:szCs w:val="22"/>
                <w:highlight w:val="white"/>
              </w:rPr>
            </w:r>
          </w:p>
        </w:tc>
        <w:tc>
          <w:tcPr>
            <w:shd w:val="clear" w:color="000000" w:fill="ffffff"/>
            <w:tcBorders/>
            <w:tcW w:w="1701"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Chi phí thay thế (đồng)</w:t>
            </w:r>
            <w:r>
              <w:rPr>
                <w:b/>
                <w:bCs/>
                <w:sz w:val="22"/>
                <w:szCs w:val="22"/>
                <w:highlight w:val="white"/>
              </w:rPr>
            </w:r>
            <w:r>
              <w:rPr>
                <w:b/>
                <w:bCs/>
                <w:sz w:val="22"/>
                <w:szCs w:val="22"/>
                <w:highlight w:val="white"/>
              </w:rPr>
            </w:r>
          </w:p>
        </w:tc>
        <w:tc>
          <w:tcPr>
            <w:shd w:val="clear" w:color="000000" w:fill="ffffff"/>
            <w:tcBorders/>
            <w:tcW w:w="1139"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Tỷ lệ hao mòn (%)</w:t>
            </w:r>
            <w:r>
              <w:rPr>
                <w:b/>
                <w:bCs/>
                <w:sz w:val="22"/>
                <w:szCs w:val="22"/>
                <w:highlight w:val="white"/>
              </w:rPr>
            </w:r>
            <w:r>
              <w:rPr>
                <w:b/>
                <w:bCs/>
                <w:sz w:val="22"/>
                <w:szCs w:val="22"/>
                <w:highlight w:val="white"/>
              </w:rPr>
            </w:r>
          </w:p>
        </w:tc>
        <w:tc>
          <w:tcPr>
            <w:shd w:val="clear" w:color="000000" w:fill="ffffff"/>
            <w:tcBorders/>
            <w:tcW w:w="1559"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Giá trị hao mòn (đồng)</w:t>
            </w:r>
            <w:r>
              <w:rPr>
                <w:b/>
                <w:bCs/>
                <w:sz w:val="22"/>
                <w:szCs w:val="22"/>
                <w:highlight w:val="white"/>
              </w:rPr>
            </w:r>
            <w:r>
              <w:rPr>
                <w:b/>
                <w:bCs/>
                <w:sz w:val="22"/>
                <w:szCs w:val="22"/>
                <w:highlight w:val="white"/>
              </w:rPr>
            </w:r>
          </w:p>
        </w:tc>
        <w:tc>
          <w:tcPr>
            <w:shd w:val="clear" w:color="000000" w:fill="ffffff"/>
            <w:tcBorders/>
            <w:tcW w:w="1586"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Giá trị thẩm định tại thời điểm thẩm định giá (đồng)</w:t>
            </w:r>
            <w:r>
              <w:rPr>
                <w:b/>
                <w:bCs/>
                <w:sz w:val="22"/>
                <w:szCs w:val="22"/>
                <w:highlight w:val="white"/>
              </w:rPr>
            </w:r>
            <w:r>
              <w:rPr>
                <w:b/>
                <w:bCs/>
                <w:sz w:val="22"/>
                <w:szCs w:val="22"/>
                <w:highlight w:val="white"/>
              </w:rPr>
            </w:r>
          </w:p>
        </w:tc>
      </w:tr>
      <w:tr>
        <w:trPr>
          <w:trHeight w:val="300"/>
        </w:trPr>
        <w:tc>
          <w:tcPr>
            <w:shd w:val="clear" w:color="000000" w:fill="ffffff"/>
            <w:tcBorders/>
            <w:tcW w:w="676"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(1)</w:t>
            </w:r>
            <w:r>
              <w:rPr>
                <w:b/>
                <w:bCs/>
                <w:sz w:val="22"/>
                <w:szCs w:val="22"/>
                <w:highlight w:val="white"/>
              </w:rPr>
            </w:r>
            <w:r>
              <w:rPr>
                <w:b/>
                <w:bCs/>
                <w:sz w:val="22"/>
                <w:szCs w:val="22"/>
                <w:highlight w:val="white"/>
              </w:rPr>
            </w:r>
          </w:p>
        </w:tc>
        <w:tc>
          <w:tcPr>
            <w:shd w:val="clear" w:color="000000" w:fill="ffffff"/>
            <w:tcBorders/>
            <w:tcW w:w="1275"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(2)</w:t>
            </w:r>
            <w:r>
              <w:rPr>
                <w:b/>
                <w:bCs/>
                <w:sz w:val="22"/>
                <w:szCs w:val="22"/>
                <w:highlight w:val="white"/>
              </w:rPr>
            </w:r>
            <w:r>
              <w:rPr>
                <w:b/>
                <w:bCs/>
                <w:sz w:val="22"/>
                <w:szCs w:val="22"/>
                <w:highlight w:val="white"/>
              </w:rPr>
            </w:r>
          </w:p>
        </w:tc>
        <w:tc>
          <w:tcPr>
            <w:shd w:val="clear" w:color="000000" w:fill="ffffff"/>
            <w:tcBorders/>
            <w:tcW w:w="1560"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(3)</w:t>
            </w:r>
            <w:r>
              <w:rPr>
                <w:b/>
                <w:bCs/>
                <w:sz w:val="22"/>
                <w:szCs w:val="22"/>
                <w:highlight w:val="white"/>
              </w:rPr>
            </w:r>
            <w:r>
              <w:rPr>
                <w:b/>
                <w:bCs/>
                <w:sz w:val="22"/>
                <w:szCs w:val="22"/>
                <w:highlight w:val="white"/>
              </w:rPr>
            </w:r>
          </w:p>
        </w:tc>
        <w:tc>
          <w:tcPr>
            <w:shd w:val="clear" w:color="000000" w:fill="ffffff"/>
            <w:tcBorders/>
            <w:tcW w:w="1701"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(4) = (2) * (3)</w:t>
            </w:r>
            <w:r>
              <w:rPr>
                <w:b/>
                <w:bCs/>
                <w:sz w:val="22"/>
                <w:szCs w:val="22"/>
                <w:highlight w:val="white"/>
              </w:rPr>
            </w:r>
            <w:r>
              <w:rPr>
                <w:b/>
                <w:bCs/>
                <w:sz w:val="22"/>
                <w:szCs w:val="22"/>
                <w:highlight w:val="white"/>
              </w:rPr>
            </w:r>
          </w:p>
        </w:tc>
        <w:tc>
          <w:tcPr>
            <w:shd w:val="clear" w:color="000000" w:fill="ffffff"/>
            <w:tcBorders/>
            <w:tcW w:w="1139"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(5)</w:t>
            </w:r>
            <w:r>
              <w:rPr>
                <w:b/>
                <w:bCs/>
                <w:sz w:val="22"/>
                <w:szCs w:val="22"/>
                <w:highlight w:val="white"/>
              </w:rPr>
            </w:r>
            <w:r>
              <w:rPr>
                <w:b/>
                <w:bCs/>
                <w:sz w:val="22"/>
                <w:szCs w:val="22"/>
                <w:highlight w:val="white"/>
              </w:rPr>
            </w:r>
          </w:p>
        </w:tc>
        <w:tc>
          <w:tcPr>
            <w:shd w:val="clear" w:color="000000" w:fill="ffffff"/>
            <w:tcBorders/>
            <w:tcW w:w="1559"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w:t>
            </w:r>
            <w:r>
              <w:rPr>
                <w:b/>
                <w:bCs/>
                <w:sz w:val="22"/>
                <w:szCs w:val="22"/>
                <w:highlight w:val="white"/>
              </w:rPr>
              <w:t xml:space="preserve">6</w:t>
            </w:r>
            <w:r>
              <w:rPr>
                <w:b/>
                <w:bCs/>
                <w:sz w:val="22"/>
                <w:szCs w:val="22"/>
                <w:highlight w:val="white"/>
              </w:rPr>
              <w:t xml:space="preserve">)</w:t>
            </w:r>
            <w:r>
              <w:rPr>
                <w:b/>
                <w:bCs/>
                <w:sz w:val="22"/>
                <w:szCs w:val="22"/>
                <w:highlight w:val="white"/>
              </w:rPr>
              <w:t xml:space="preserve">=(4)*(5)</w:t>
            </w:r>
            <w:r>
              <w:rPr>
                <w:b/>
                <w:bCs/>
                <w:sz w:val="22"/>
                <w:szCs w:val="22"/>
                <w:highlight w:val="white"/>
              </w:rPr>
            </w:r>
            <w:r>
              <w:rPr>
                <w:b/>
                <w:bCs/>
                <w:sz w:val="22"/>
                <w:szCs w:val="22"/>
                <w:highlight w:val="white"/>
              </w:rPr>
            </w:r>
          </w:p>
        </w:tc>
        <w:tc>
          <w:tcPr>
            <w:shd w:val="clear" w:color="000000" w:fill="ffffff"/>
            <w:tcBorders/>
            <w:tcW w:w="1586" w:type="dxa"/>
            <w:vAlign w:val="center"/>
            <w:textDirection w:val="lrTb"/>
            <w:noWrap w:val="false"/>
          </w:tcPr>
          <w:p>
            <w:pPr>
              <w:pBdr/>
              <w:spacing w:after="60" w:before="60"/>
              <w:ind/>
              <w:jc w:val="center"/>
              <w:rPr>
                <w:b/>
                <w:bCs/>
                <w:sz w:val="22"/>
                <w:szCs w:val="22"/>
                <w:highlight w:val="white"/>
              </w:rPr>
            </w:pPr>
            <w:r>
              <w:rPr>
                <w:b/>
                <w:bCs/>
                <w:sz w:val="22"/>
                <w:szCs w:val="22"/>
                <w:highlight w:val="white"/>
              </w:rPr>
              <w:t xml:space="preserve">(</w:t>
            </w:r>
            <w:r>
              <w:rPr>
                <w:b/>
                <w:bCs/>
                <w:sz w:val="22"/>
                <w:szCs w:val="22"/>
                <w:highlight w:val="white"/>
              </w:rPr>
              <w:t xml:space="preserve">7</w:t>
            </w:r>
            <w:r>
              <w:rPr>
                <w:b/>
                <w:bCs/>
                <w:sz w:val="22"/>
                <w:szCs w:val="22"/>
                <w:highlight w:val="white"/>
              </w:rPr>
              <w:t xml:space="preserve">) = (4) - (</w:t>
            </w:r>
            <w:r>
              <w:rPr>
                <w:b/>
                <w:bCs/>
                <w:sz w:val="22"/>
                <w:szCs w:val="22"/>
                <w:highlight w:val="white"/>
              </w:rPr>
              <w:t xml:space="preserve">6</w:t>
            </w:r>
            <w:r>
              <w:rPr>
                <w:b/>
                <w:bCs/>
                <w:sz w:val="22"/>
                <w:szCs w:val="22"/>
                <w:highlight w:val="white"/>
              </w:rPr>
              <w:t xml:space="preserve">)</w:t>
            </w:r>
            <w:r>
              <w:rPr>
                <w:b/>
                <w:bCs/>
                <w:sz w:val="22"/>
                <w:szCs w:val="22"/>
                <w:highlight w:val="white"/>
              </w:rPr>
            </w:r>
            <w:r>
              <w:rPr>
                <w:b/>
                <w:bCs/>
                <w:sz w:val="22"/>
                <w:szCs w:val="22"/>
                <w:highlight w:val="white"/>
              </w:rPr>
            </w:r>
          </w:p>
        </w:tc>
      </w:tr>
      <w:tr>
        <w:trPr>
          <w:trHeight w:val="312"/>
        </w:trPr>
        <w:tc>
          <w:tcPr>
            <w:tcBorders/>
            <w:tcW w:w="676" w:type="dxa"/>
            <w:vAlign w:val="center"/>
            <w:textDirection w:val="lrTb"/>
            <w:noWrap w:val="false"/>
          </w:tcPr>
          <w:p>
            <w:pPr>
              <w:pBdr/>
              <w:spacing w:after="60" w:before="60"/>
              <w:ind/>
              <w:jc w:val="center"/>
              <w:rPr>
                <w:sz w:val="22"/>
                <w:szCs w:val="22"/>
                <w:highlight w:val="white"/>
              </w:rPr>
            </w:pPr>
            <w:r>
              <w:rPr>
                <w:sz w:val="22"/>
                <w:szCs w:val="22"/>
                <w:highlight w:val="white"/>
              </w:rPr>
              <w:t xml:space="preserve">Nhà 4,5 tầng</w:t>
            </w:r>
            <w:r>
              <w:rPr>
                <w:sz w:val="22"/>
                <w:szCs w:val="22"/>
                <w:highlight w:val="white"/>
              </w:rPr>
            </w:r>
            <w:r>
              <w:rPr>
                <w:sz w:val="22"/>
                <w:szCs w:val="22"/>
                <w:highlight w:val="white"/>
              </w:rPr>
            </w:r>
          </w:p>
        </w:tc>
        <w:tc>
          <w:tcPr>
            <w:tcBorders/>
            <w:tcW w:w="1275" w:type="dxa"/>
            <w:vAlign w:val="center"/>
            <w:textDirection w:val="lrTb"/>
            <w:noWrap/>
          </w:tcPr>
          <w:p>
            <w:pPr>
              <w:pBdr/>
              <w:spacing w:after="60" w:before="60"/>
              <w:ind/>
              <w:jc w:val="center"/>
              <w:rPr>
                <w:sz w:val="22"/>
                <w:szCs w:val="22"/>
                <w:highlight w:val="white"/>
              </w:rPr>
            </w:pPr>
            <w:r>
              <w:rPr>
                <w:sz w:val="22"/>
                <w:szCs w:val="22"/>
                <w:highlight w:val="white"/>
              </w:rPr>
              <w:t xml:space="preserve">487,1</w:t>
            </w:r>
            <w:r>
              <w:rPr>
                <w:sz w:val="22"/>
                <w:szCs w:val="22"/>
                <w:highlight w:val="white"/>
              </w:rPr>
            </w:r>
            <w:r>
              <w:rPr>
                <w:sz w:val="22"/>
                <w:szCs w:val="22"/>
                <w:highlight w:val="white"/>
              </w:rPr>
            </w:r>
          </w:p>
        </w:tc>
        <w:tc>
          <w:tcPr>
            <w:tcBorders/>
            <w:tcW w:w="1560" w:type="dxa"/>
            <w:vAlign w:val="center"/>
            <w:textDirection w:val="lrTb"/>
            <w:noWrap/>
          </w:tcPr>
          <w:p>
            <w:pPr>
              <w:pBdr/>
              <w:spacing w:after="60" w:before="60"/>
              <w:ind/>
              <w:jc w:val="center"/>
              <w:rPr>
                <w:sz w:val="22"/>
                <w:szCs w:val="22"/>
                <w:highlight w:val="white"/>
              </w:rPr>
            </w:pPr>
            <w:r>
              <w:rPr>
                <w:sz w:val="22"/>
                <w:szCs w:val="22"/>
                <w:highlight w:val="white"/>
              </w:rPr>
              <w:t xml:space="preserve">7.233.240</w:t>
            </w:r>
            <w:r>
              <w:rPr>
                <w:sz w:val="22"/>
                <w:szCs w:val="22"/>
                <w:highlight w:val="white"/>
              </w:rPr>
            </w:r>
            <w:r>
              <w:rPr>
                <w:sz w:val="22"/>
                <w:szCs w:val="22"/>
                <w:highlight w:val="white"/>
              </w:rPr>
            </w:r>
          </w:p>
        </w:tc>
        <w:tc>
          <w:tcPr>
            <w:tcBorders/>
            <w:tcW w:w="1701" w:type="dxa"/>
            <w:vAlign w:val="center"/>
            <w:textDirection w:val="lrTb"/>
            <w:noWrap/>
          </w:tcPr>
          <w:p>
            <w:pPr>
              <w:pBdr/>
              <w:spacing w:after="60" w:before="60"/>
              <w:ind/>
              <w:jc w:val="center"/>
              <w:rPr>
                <w:sz w:val="22"/>
                <w:szCs w:val="22"/>
                <w:highlight w:val="white"/>
              </w:rPr>
            </w:pPr>
            <w:r>
              <w:rPr>
                <w:sz w:val="22"/>
                <w:szCs w:val="22"/>
                <w:highlight w:val="white"/>
              </w:rPr>
              <w:t xml:space="preserve">3.523.311.204</w:t>
            </w:r>
            <w:r>
              <w:rPr>
                <w:sz w:val="22"/>
                <w:szCs w:val="22"/>
                <w:highlight w:val="white"/>
              </w:rPr>
            </w:r>
            <w:r>
              <w:rPr>
                <w:sz w:val="22"/>
                <w:szCs w:val="22"/>
                <w:highlight w:val="white"/>
              </w:rPr>
            </w:r>
          </w:p>
        </w:tc>
        <w:tc>
          <w:tcPr>
            <w:tcBorders/>
            <w:tcW w:w="1139" w:type="dxa"/>
            <w:vAlign w:val="center"/>
            <w:textDirection w:val="lrTb"/>
            <w:noWrap w:val="false"/>
          </w:tcPr>
          <w:p>
            <w:pPr>
              <w:pBdr/>
              <w:spacing w:after="60" w:before="60"/>
              <w:ind/>
              <w:jc w:val="center"/>
              <w:rPr>
                <w:sz w:val="22"/>
                <w:szCs w:val="22"/>
                <w:highlight w:val="white"/>
              </w:rPr>
            </w:pPr>
            <w:r>
              <w:rPr>
                <w:sz w:val="22"/>
                <w:szCs w:val="22"/>
                <w:highlight w:val="white"/>
              </w:rPr>
              <w:t xml:space="preserve">12%</w:t>
            </w:r>
            <w:r>
              <w:rPr>
                <w:sz w:val="22"/>
                <w:szCs w:val="22"/>
                <w:highlight w:val="white"/>
              </w:rPr>
            </w:r>
            <w:r>
              <w:rPr>
                <w:sz w:val="22"/>
                <w:szCs w:val="22"/>
                <w:highlight w:val="white"/>
              </w:rPr>
            </w:r>
          </w:p>
        </w:tc>
        <w:tc>
          <w:tcPr>
            <w:tcBorders/>
            <w:tcW w:w="1559" w:type="dxa"/>
            <w:vAlign w:val="center"/>
            <w:textDirection w:val="lrTb"/>
            <w:noWrap/>
          </w:tcPr>
          <w:p>
            <w:pPr>
              <w:pBdr/>
              <w:spacing w:after="60" w:before="60"/>
              <w:ind/>
              <w:jc w:val="center"/>
              <w:rPr>
                <w:sz w:val="22"/>
                <w:szCs w:val="22"/>
                <w:highlight w:val="white"/>
              </w:rPr>
            </w:pPr>
            <w:r>
              <w:rPr>
                <w:sz w:val="22"/>
                <w:szCs w:val="22"/>
                <w:highlight w:val="white"/>
              </w:rPr>
              <w:t xml:space="preserve">422.797.344</w:t>
            </w:r>
            <w:r>
              <w:rPr>
                <w:sz w:val="22"/>
                <w:szCs w:val="22"/>
                <w:highlight w:val="white"/>
              </w:rPr>
            </w:r>
            <w:r>
              <w:rPr>
                <w:sz w:val="22"/>
                <w:szCs w:val="22"/>
                <w:highlight w:val="white"/>
              </w:rPr>
            </w:r>
          </w:p>
        </w:tc>
        <w:tc>
          <w:tcPr>
            <w:tcBorders/>
            <w:tcW w:w="1586" w:type="dxa"/>
            <w:vAlign w:val="center"/>
            <w:textDirection w:val="lrTb"/>
            <w:noWrap w:val="false"/>
          </w:tcPr>
          <w:p>
            <w:pPr>
              <w:pBdr/>
              <w:spacing w:after="60" w:before="60"/>
              <w:ind/>
              <w:jc w:val="center"/>
              <w:rPr>
                <w:sz w:val="22"/>
                <w:szCs w:val="22"/>
                <w:highlight w:val="white"/>
              </w:rPr>
            </w:pPr>
            <w:r>
              <w:rPr>
                <w:sz w:val="22"/>
                <w:szCs w:val="22"/>
                <w:highlight w:val="white"/>
              </w:rPr>
              <w:t xml:space="preserve">3.100.513.860</w:t>
            </w:r>
            <w:r>
              <w:rPr>
                <w:sz w:val="22"/>
                <w:szCs w:val="22"/>
                <w:highlight w:val="white"/>
              </w:rPr>
            </w:r>
            <w:r>
              <w:rPr>
                <w:sz w:val="22"/>
                <w:szCs w:val="22"/>
                <w:highlight w:val="white"/>
              </w:rPr>
            </w:r>
          </w:p>
        </w:tc>
      </w:tr>
    </w:tbl>
    <w:p>
      <w:pPr>
        <w:pStyle w:val="1032"/>
        <w:pBdr/>
        <w:spacing w:after="120" w:before="120" w:line="276" w:lineRule="auto"/>
        <w:ind w:left="0"/>
        <w:jc w:val="both"/>
        <w:rPr>
          <w:b/>
          <w:highlight w:val="white"/>
        </w:rPr>
      </w:pPr>
      <w:r>
        <w:rPr>
          <w:b/>
          <w:highlight w:val="white"/>
          <w:lang w:val="pt-BR"/>
        </w:rPr>
      </w:r>
      <w:r>
        <w:rPr>
          <w:b/>
          <w:highlight w:val="white"/>
          <w:lang w:val="pt-BR"/>
        </w:rPr>
      </w:r>
      <w:r>
        <w:rPr>
          <w:b/>
          <w:highlight w:val="white"/>
          <w:lang w:val="pt-BR"/>
        </w:rPr>
      </w:r>
    </w:p>
    <w:p>
      <w:pPr>
        <w:pStyle w:val="1032"/>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lang w:val="pt-BR"/>
        </w:rPr>
      </w:r>
      <w:r>
        <w:rPr>
          <w:b/>
          <w:highlight w:val="white"/>
          <w:lang w:val="pt-BR"/>
        </w:rPr>
      </w:r>
    </w:p>
    <w:p>
      <w:pPr>
        <w:pStyle w:val="1032"/>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color w:val="000000" w:themeColor="text1"/>
          <w:highlight w:val="white"/>
          <w:lang w:val="pt-BR"/>
        </w:rPr>
        <w:t xml:space="preserve">tháng 07/2026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1"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pPr>
              <w:pBdr/>
              <w:spacing/>
              <w:ind/>
              <w:jc w:val="center"/>
              <w:rPr>
                <w:b/>
                <w:bCs/>
                <w:highlight w:val="white"/>
              </w:rPr>
            </w:pPr>
            <w:r>
              <w:rPr>
                <w:b/>
                <w:bCs/>
                <w:highlight w:val="white"/>
              </w:rPr>
              <w:t xml:space="preserve">Tỷ lệ CLCL (%)</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5"/>
            <w:shd w:val="clear" w:color="000000" w:fill="ffffff"/>
            <w:tcBorders/>
            <w:tcW w:w="6967" w:type="dxa"/>
            <w:vAlign w:val="center"/>
            <w:textDirection w:val="lrTb"/>
            <w:noWrap w:val="false"/>
          </w:tcPr>
          <w:p>
            <w:pPr>
              <w:pBdr/>
              <w:spacing w:after="60" w:before="60" w:line="276" w:lineRule="auto"/>
              <w:ind/>
              <w:jc w:val="both"/>
              <w:rPr>
                <w:b/>
                <w:bCs/>
                <w:spacing w:val="2"/>
                <w:highlight w:val="white"/>
              </w:rPr>
            </w:pPr>
            <w:r>
              <w:rPr>
                <w:b/>
                <w:bCs/>
                <w:color w:val="000000" w:themeColor="text1"/>
                <w:highlight w:val="white"/>
                <w:lang w:val="pt-BR"/>
              </w:rPr>
            </w:r>
            <w:r>
              <w:rPr>
                <w:rFonts w:ascii="Times New Roman" w:hAnsi="Times New Roman" w:eastAsia="Times New Roman" w:cs="Times New Roman"/>
                <w:b/>
                <w:bCs/>
                <w:color w:val="000000"/>
                <w:sz w:val="24"/>
                <w:highlight w:val="white"/>
              </w:rPr>
              <w:t xml:space="preserve">Quyền sử dụng đất và tài sản gắn liền với đất tại thửa đất số: 16-LK/Khu D/18D, tờ bản đồ số: 09 có địa chỉ  tại </w:t>
            </w:r>
            <w:r>
              <w:rPr>
                <w:b/>
                <w:bCs/>
                <w:color w:val="000000"/>
                <w:highlight w:val="white"/>
              </w:rPr>
              <w:t xml:space="preserve">Tổ dân phố Kiều Sơn, phường Đằng Lâm, quận Hải An, Thành phố Hải Phòng</w:t>
            </w:r>
            <w:r>
              <w:rPr>
                <w:rFonts w:ascii="Times New Roman" w:hAnsi="Times New Roman" w:eastAsia="Times New Roman" w:cs="Times New Roman"/>
                <w:b/>
                <w:bCs/>
                <w:color w:val="000000"/>
                <w:sz w:val="24"/>
                <w:highlight w:val="white"/>
              </w:rPr>
              <w:t xml:space="preserve"> (Nay là </w:t>
            </w:r>
            <w:r>
              <w:rPr>
                <w:rFonts w:ascii="Times New Roman" w:hAnsi="Times New Roman" w:eastAsia="Times New Roman" w:cs="Times New Roman"/>
                <w:b/>
                <w:bCs/>
                <w:color w:val="000000"/>
                <w:sz w:val="24"/>
                <w:highlight w:val="white"/>
              </w:rPr>
              <w:t xml:space="preserve">Phường Hải An, thành phố Hải Phòng) theo Giấy chứng nhận quyền sử dụng đất quyền sở hữu nhà ở và tài sản khác gắn liền với đất số: CU 451294, số vào sổ cấp GCN: CH 13318 do Ủy ban nhân dân quận Hải An</w:t>
            </w:r>
            <w:r>
              <w:rPr>
                <w:rFonts w:ascii="Times New Roman" w:hAnsi="Times New Roman" w:eastAsia="Times New Roman" w:cs="Times New Roman"/>
                <w:b/>
                <w:bCs/>
                <w:color w:val="000000"/>
                <w:sz w:val="24"/>
                <w:highlight w:val="white"/>
              </w:rPr>
              <w:t xml:space="preserve"> cấp ngày 26/6/2020; Chủ sử dụng đất là Ông Đoàn Văn Xuân và vợ là bà Đỗ Thị Kim Huệ</w:t>
            </w:r>
            <w:r>
              <w:rPr>
                <w:b/>
                <w:bCs/>
                <w:spacing w:val="2"/>
                <w:highlight w:val="white"/>
              </w:rPr>
            </w:r>
            <w:r>
              <w:rPr>
                <w:b/>
                <w:bCs/>
                <w:spacing w:val="2"/>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highlight w:val="white"/>
              </w:rPr>
            </w:pPr>
            <w:r>
              <w:rPr>
                <w:b/>
                <w:bCs/>
                <w:highlight w:val="white"/>
              </w:rPr>
              <w:t xml:space="preserve">1</w:t>
            </w:r>
            <w:r>
              <w:rPr>
                <w:highlight w:val="white"/>
              </w:rPr>
            </w:r>
          </w:p>
        </w:tc>
        <w:tc>
          <w:tcPr>
            <w:gridSpan w:val="2"/>
            <w:shd w:val="clear" w:color="000000" w:fill="ffffff"/>
            <w:tcBorders/>
            <w:tcW w:w="2025" w:type="dxa"/>
            <w:vAlign w:val="center"/>
            <w:textDirection w:val="lrTb"/>
            <w:noWrap w:val="false"/>
          </w:tcPr>
          <w:p>
            <w:pPr>
              <w:pBdr/>
              <w:spacing w:after="40" w:before="40" w:line="288" w:lineRule="auto"/>
              <w:ind/>
              <w:rPr>
                <w:highlight w:val="white"/>
              </w:rPr>
            </w:pPr>
            <w:r>
              <w:rPr>
                <w:b/>
                <w:bCs/>
                <w:highlight w:val="white"/>
              </w:rPr>
              <w:t xml:space="preserve">Đất ở tại đô thị</w:t>
            </w:r>
            <w:r>
              <w:rPr>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144,3</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96.000.000</w:t>
            </w:r>
            <w:r>
              <w:rPr>
                <w:highlight w:val="white"/>
              </w:rPr>
            </w:r>
          </w:p>
        </w:tc>
        <w:tc>
          <w:tcPr>
            <w:shd w:val="clear" w:color="000000" w:fill="ffffff"/>
            <w:tcBorders/>
            <w:tcW w:w="2164" w:type="dxa"/>
            <w:vAlign w:val="center"/>
            <w:textDirection w:val="lrTb"/>
            <w:noWrap w:val="false"/>
          </w:tcPr>
          <w:p>
            <w:pPr>
              <w:pBdr/>
              <w:spacing/>
              <w:ind/>
              <w:rPr>
                <w:color w:val="000000" w:themeColor="text1"/>
                <w:highlight w:val="white"/>
              </w:rPr>
            </w:pPr>
            <w:r>
              <w:rPr>
                <w:color w:val="000000" w:themeColor="text1"/>
                <w:highlight w:val="white"/>
              </w:rPr>
            </w:r>
            <w:r>
              <w:rPr>
                <w:color w:val="000000" w:themeColor="text1"/>
                <w:highlight w:val="white"/>
              </w:rPr>
            </w:r>
            <w:r>
              <w:rPr>
                <w:color w:val="000000" w:themeColor="text1"/>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13.852.800.000</w:t>
            </w:r>
            <w:r>
              <w:rPr>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highlight w:val="white"/>
              </w:rPr>
            </w:pPr>
            <w:r>
              <w:rPr>
                <w:b/>
                <w:bCs/>
                <w:highlight w:val="white"/>
              </w:rPr>
              <w:t xml:space="preserve">2</w:t>
            </w:r>
            <w:r>
              <w:rPr>
                <w:highlight w:val="white"/>
              </w:rPr>
            </w:r>
          </w:p>
        </w:tc>
        <w:tc>
          <w:tcPr>
            <w:gridSpan w:val="2"/>
            <w:shd w:val="clear" w:color="000000" w:fill="ffffff"/>
            <w:tcBorders/>
            <w:tcW w:w="2025" w:type="dxa"/>
            <w:vAlign w:val="center"/>
            <w:textDirection w:val="lrTb"/>
            <w:noWrap w:val="false"/>
          </w:tcPr>
          <w:p>
            <w:pPr>
              <w:pBdr/>
              <w:spacing w:after="40" w:before="40" w:line="288" w:lineRule="auto"/>
              <w:ind/>
              <w:rPr>
                <w:highlight w:val="white"/>
              </w:rPr>
            </w:pPr>
            <w:r>
              <w:rPr>
                <w:b/>
                <w:bCs/>
                <w:highlight w:val="white"/>
              </w:rPr>
              <w:t xml:space="preserve">Nhà 4,5 tầng</w:t>
            </w:r>
            <w:r>
              <w:rPr>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487,1</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7.233.240</w:t>
            </w:r>
            <w:r>
              <w:rPr>
                <w:highlight w:val="white"/>
              </w:rPr>
            </w:r>
          </w:p>
        </w:tc>
        <w:tc>
          <w:tcPr>
            <w:shd w:val="clear" w:color="000000" w:fill="ffffff"/>
            <w:tcBorders/>
            <w:tcW w:w="216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88%</w:t>
            </w:r>
            <w:r>
              <w:rPr>
                <w:color w:val="000000" w:themeColor="text1"/>
                <w:highlight w:val="white"/>
              </w:rPr>
            </w:r>
            <w:r>
              <w:rPr>
                <w:color w:val="000000" w:themeColor="text1"/>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3.100.513.860</w:t>
            </w:r>
            <w:r>
              <w:rPr>
                <w:highlight w:val="white"/>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ind/>
              <w:rPr>
                <w:highlight w:val="white"/>
              </w:rPr>
            </w:pPr>
            <w:r>
              <w:rPr>
                <w:highlight w:val="white"/>
              </w:rPr>
            </w:r>
            <w:r>
              <w:rPr>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highlight w:val="white"/>
              </w:rPr>
              <w:t xml:space="preserve">16.953.313.860</w:t>
            </w:r>
            <w:r>
              <w:rPr>
                <w:b/>
                <w:bCs/>
                <w:color w:val="000000"/>
                <w:highlight w:val="white"/>
              </w:rPr>
            </w:r>
            <w:r>
              <w:rPr>
                <w:b/>
                <w:bCs/>
                <w:color w:val="000000"/>
                <w:highlight w:val="white"/>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2164" w:type="dxa"/>
            <w:vAlign w:val="center"/>
            <w:textDirection w:val="lrTb"/>
            <w:noWrap/>
          </w:tcPr>
          <w:p>
            <w:pPr>
              <w:pBdr/>
              <w:spacing/>
              <w:ind/>
              <w:rPr>
                <w:b/>
                <w:bCs/>
                <w:color w:val="000000"/>
                <w:highlight w:val="white"/>
              </w:rPr>
            </w:pPr>
            <w:r>
              <w:rPr>
                <w:b/>
                <w:bCs/>
                <w:color w:val="000000"/>
                <w:highlight w:val="white"/>
              </w:rPr>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16.950.000.000</w:t>
            </w:r>
            <w:r>
              <w:rPr>
                <w:b/>
                <w:bCs/>
                <w:color w:val="000000"/>
                <w:highlight w:val="white"/>
              </w:rPr>
            </w:r>
            <w:r>
              <w:rPr>
                <w:b/>
                <w:bCs/>
                <w:color w:val="000000"/>
                <w:highlight w:val="white"/>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Mười sáu tỷ chín trăm năm m</w:t>
            </w:r>
            <w:r>
              <w:rPr>
                <w:b/>
                <w:bCs/>
                <w:i/>
                <w:iCs/>
                <w:color w:val="000000"/>
                <w:highlight w:val="white"/>
              </w:rPr>
              <w:t xml:space="preserve">ươi triệu đồng </w:t>
            </w:r>
            <w:r>
              <w:rPr>
                <w:b/>
                <w:bCs/>
                <w:i/>
                <w:iCs/>
                <w:color w:val="000000"/>
                <w:highlight w:val="white"/>
              </w:rPr>
              <w:t xml:space="preserve">./.)</w:t>
            </w:r>
            <w:r>
              <w:rPr>
                <w:b/>
                <w:bCs/>
                <w:i/>
                <w:iCs/>
                <w:color w:val="000000"/>
                <w:highlight w:val="white"/>
              </w:rPr>
            </w:r>
            <w:r>
              <w:rPr>
                <w:b/>
                <w:bCs/>
                <w:i/>
                <w:iCs/>
                <w:color w:val="000000"/>
                <w:highlight w:val="white"/>
              </w:rPr>
            </w:r>
            <w:r>
              <w:rPr>
                <w:b/>
                <w:bCs/>
                <w:i/>
                <w:iCs/>
                <w:color w:val="000000"/>
                <w:highlight w:val="white"/>
              </w:rPr>
            </w:r>
            <w:r>
              <w:rPr>
                <w:b/>
                <w:bCs/>
                <w:i/>
                <w:iCs/>
                <w:color w:val="000000"/>
                <w:highlight w:val="white"/>
              </w:rPr>
            </w:r>
            <w:r>
              <w:rPr>
                <w:b/>
                <w:bCs/>
                <w:i/>
                <w:iCs/>
                <w:color w:val="000000"/>
                <w:highlight w:val="white"/>
              </w:rPr>
            </w:r>
          </w:p>
        </w:tc>
      </w:tr>
    </w:tbl>
    <w:p>
      <w:pPr>
        <w:pStyle w:val="1032"/>
        <w:pBdr/>
        <w:tabs>
          <w:tab w:val="left" w:leader="none" w:pos="993"/>
        </w:tabs>
        <w:spacing w:after="120" w:before="120" w:line="276" w:lineRule="auto"/>
        <w:ind w:left="0"/>
        <w:jc w:val="both"/>
        <w:rPr>
          <w:highlight w:val="white"/>
        </w:rPr>
      </w:pPr>
      <w:r>
        <w:rPr>
          <w:highlight w:val="white"/>
        </w:rPr>
      </w:r>
      <w:r>
        <w:rPr>
          <w:highlight w:val="white"/>
        </w:rPr>
      </w:r>
    </w:p>
    <w:p>
      <w:pPr>
        <w:pStyle w:val="1032"/>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32"/>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lang w:val="pt-BR"/>
        </w:rPr>
      </w:r>
    </w:p>
    <w:p>
      <w:pPr>
        <w:pStyle w:val="1032"/>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pPr>
        <w:pStyle w:val="1032"/>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lang w:val="pt-BR"/>
        </w:rPr>
      </w:r>
    </w:p>
    <w:p>
      <w:pPr>
        <w:pStyle w:val="1032"/>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w:t>
      </w:r>
      <w:r>
        <w:rPr>
          <w:highlight w:val="white"/>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highlight w:val="white"/>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lang w:val="pt-BR"/>
        </w:rPr>
      </w:r>
    </w:p>
    <w:p>
      <w:pPr>
        <w:pStyle w:val="1032"/>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lang w:val="pt-BR"/>
        </w:rPr>
      </w:r>
    </w:p>
    <w:p>
      <w:pPr>
        <w:pStyle w:val="1032"/>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lang w:val="pt-BR"/>
        </w:rPr>
      </w:r>
    </w:p>
    <w:p>
      <w:pPr>
        <w:pStyle w:val="1032"/>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lang w:val="pt-BR"/>
        </w:rPr>
      </w:r>
    </w:p>
    <w:p>
      <w:pPr>
        <w:pStyle w:val="1032"/>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lang w:val="pt-BR"/>
        </w:rPr>
      </w:r>
    </w:p>
    <w:p>
      <w:pPr>
        <w:pStyle w:val="1032"/>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lang w:val="pt-BR"/>
        </w:rPr>
      </w:r>
    </w:p>
    <w:p>
      <w:pPr>
        <w:pStyle w:val="1032"/>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32"/>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lang w:val="pt-BR"/>
        </w:rPr>
      </w:r>
    </w:p>
    <w:p>
      <w:pPr>
        <w:pStyle w:val="1032"/>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lang w:val="pt-BR"/>
        </w:rPr>
      </w:r>
    </w:p>
    <w:p>
      <w:pPr>
        <w:pStyle w:val="1032"/>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lang w:val="pt-BR"/>
        </w:rPr>
      </w:r>
    </w:p>
    <w:p>
      <w:pPr>
        <w:pStyle w:val="1032"/>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lang w:val="pt-BR"/>
        </w:rPr>
      </w:r>
    </w:p>
    <w:p>
      <w:pPr>
        <w:pStyle w:val="1032"/>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lang w:val="pt-BR"/>
        </w:rPr>
      </w:r>
    </w:p>
    <w:p>
      <w:pPr>
        <w:pStyle w:val="1032"/>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lang w:val="pt-BR"/>
        </w:rPr>
      </w:r>
    </w:p>
    <w:p>
      <w:pPr>
        <w:pStyle w:val="1032"/>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lang w:val="pt-BR"/>
        </w:rPr>
      </w:r>
    </w:p>
    <w:p>
      <w:pPr>
        <w:pStyle w:val="1032"/>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đất  đã cung cấp cho chúng tôi.</w:t>
      </w:r>
      <w:r>
        <w:rPr>
          <w:highlight w:val="white"/>
          <w:shd w:val="clear" w:color="auto" w:fill="ffffff"/>
          <w:lang w:val="pt-BR"/>
        </w:rPr>
      </w:r>
      <w:r>
        <w:rPr>
          <w:highlight w:val="white"/>
          <w:shd w:val="clear" w:color="auto" w:fill="ffffff"/>
          <w:lang w:val="pt-BR"/>
        </w:rPr>
      </w:r>
    </w:p>
    <w:p>
      <w:pPr>
        <w:pStyle w:val="1032"/>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32"/>
        <w:numPr>
          <w:ilvl w:val="0"/>
          <w:numId w:val="5"/>
        </w:numPr>
        <w:pBdr/>
        <w:tabs>
          <w:tab w:val="left" w:leader="none" w:pos="993"/>
        </w:tabs>
        <w:spacing w:after="120" w:before="120" w:line="288" w:lineRule="auto"/>
        <w:ind/>
        <w:jc w:val="both"/>
        <w:rPr>
          <w:bCs/>
          <w:spacing w:val="-2"/>
          <w:highlight w:val="white"/>
        </w:rPr>
      </w:pPr>
      <w:r>
        <w:rPr>
          <w:bCs/>
          <w:spacing w:val="-2"/>
          <w:highlight w:val="white"/>
          <w:lang w:val="pt-BR"/>
        </w:rPr>
        <w:t xml:space="preserve">Tại ngày phát hành chứng thư thẩm định giá, Chúng tôi không nhận được bất kỳ văn bản đánh giá hiện trạng công trình tài sản th</w:t>
      </w:r>
      <w:r>
        <w:rPr>
          <w:bCs/>
          <w:spacing w:val="-2"/>
          <w:highlight w:val="white"/>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highlight w:val="white"/>
          <w:lang w:val="pt-BR"/>
        </w:rPr>
        <w:t xml:space="preserve">vậy, chất lượng còn lại của tài sản được trình bày trên báo cáo này ch</w:t>
      </w:r>
      <w:r>
        <w:rPr>
          <w:bCs/>
          <w:spacing w:val="-2"/>
          <w:highlight w:val="white"/>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highlight w:val="white"/>
          <w:lang w:val="pt-BR"/>
        </w:rPr>
      </w:r>
      <w:r>
        <w:rPr>
          <w:bCs/>
          <w:spacing w:val="-2"/>
          <w:highlight w:val="white"/>
          <w:lang w:val="pt-BR"/>
        </w:rPr>
      </w:r>
    </w:p>
    <w:p>
      <w:pPr>
        <w:pStyle w:val="1032"/>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32"/>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lang w:val="pt-BR"/>
        </w:rPr>
      </w:r>
    </w:p>
    <w:p>
      <w:pPr>
        <w:pStyle w:val="1032"/>
        <w:numPr>
          <w:ilvl w:val="0"/>
          <w:numId w:val="5"/>
        </w:numPr>
        <w:pBdr/>
        <w:tabs>
          <w:tab w:val="left" w:leader="none" w:pos="993"/>
        </w:tabs>
        <w:spacing w:after="120" w:before="120" w:line="288" w:lineRule="auto"/>
        <w:ind w:hanging="357" w:left="357"/>
        <w:jc w:val="both"/>
        <w:rPr>
          <w:highlight w:val="white"/>
        </w:rPr>
      </w:pPr>
      <w:r>
        <w:rPr>
          <w:highlight w:val="white"/>
        </w:rPr>
      </w:r>
      <w:bookmarkStart w:id="3"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highlight w:val="white"/>
          <w:lang w:val="pt-BR"/>
        </w:rPr>
      </w:r>
      <w:r>
        <w:rPr>
          <w:highlight w:val="white"/>
          <w:lang w:val="pt-BR"/>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32"/>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lang w:val="pt-BR"/>
        </w:rPr>
      </w:r>
    </w:p>
    <w:p>
      <w:pPr>
        <w:pStyle w:val="1032"/>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lang w:val="pt-BR"/>
        </w:rPr>
      </w:r>
    </w:p>
    <w:p>
      <w:pPr>
        <w:pStyle w:val="1032"/>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275/2026/1085/VFI-CT.57.A</w:t>
      </w:r>
      <w:r>
        <w:rPr>
          <w:color w:val="ff0000"/>
          <w:highlight w:val="white"/>
          <w:lang w:val="vi-VN"/>
        </w:rPr>
        <w:t xml:space="preserve"> </w:t>
      </w:r>
      <w:r>
        <w:rPr>
          <w:color w:val="000000" w:themeColor="text1"/>
          <w:highlight w:val="white"/>
        </w:rPr>
        <w:t xml:space="preserve">ngày 17 tháng 7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pt-BR"/>
        </w:rPr>
      </w:r>
      <w:r>
        <w:rPr>
          <w:highlight w:val="white"/>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lang w:val="vi-VN"/>
              </w:rPr>
            </w:r>
            <w:r>
              <w:rPr>
                <w:rFonts w:eastAsia="Calibri"/>
                <w:b/>
                <w:highlight w:val="white"/>
                <w:lang w:val="vi-VN"/>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Minh Phúc</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lang w:val="pt-BR"/>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275/2026/1085/VFI-BC.57.A</w:t>
      </w:r>
      <w:r>
        <w:rPr>
          <w:i/>
          <w:highlight w:val="white"/>
        </w:rPr>
        <w:t xml:space="preserve"> ngày</w:t>
      </w:r>
      <w:r>
        <w:rPr>
          <w:i/>
          <w:highlight w:val="white"/>
          <w:lang w:val="pt-BR"/>
        </w:rPr>
        <w:t xml:space="preserve"> </w:t>
      </w:r>
      <w:r>
        <w:rPr>
          <w:i/>
          <w:highlight w:val="white"/>
          <w:lang w:val="pt-BR"/>
        </w:rPr>
        <w:t xml:space="preserve">17 tháng 7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3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397875" cy="31170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22568" name=""/>
                              <pic:cNvPicPr>
                                <a:picLocks noChangeAspect="1"/>
                              </pic:cNvPicPr>
                              <pic:nvPr/>
                            </pic:nvPicPr>
                            <pic:blipFill rotWithShape="1">
                              <a:blip r:embed="rId19"/>
                              <a:stretch/>
                            </pic:blipFill>
                            <pic:spPr bwMode="auto">
                              <a:xfrm flipH="0" flipV="0">
                                <a:off x="0" y="0"/>
                                <a:ext cx="1397874" cy="31170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0.07pt;height:245.44pt;mso-wrap-distance-left:0.00pt;mso-wrap-distance-top:0.00pt;mso-wrap-distance-right:0.00pt;mso-wrap-distance-bottom:0.00pt;z-index:1;" stroked="false">
                      <v:imagedata r:id="rId19" o:title=""/>
                      <o:lock v:ext="edit" rotation="t"/>
                    </v:shape>
                  </w:pict>
                </mc:Fallback>
              </mc:AlternateConten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294949" cy="305993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58044" name=""/>
                              <pic:cNvPicPr>
                                <a:picLocks noChangeAspect="1"/>
                              </pic:cNvPicPr>
                              <pic:nvPr/>
                            </pic:nvPicPr>
                            <pic:blipFill rotWithShape="1">
                              <a:blip r:embed="rId20"/>
                              <a:stretch/>
                            </pic:blipFill>
                            <pic:spPr bwMode="auto">
                              <a:xfrm flipH="0" flipV="0">
                                <a:off x="0" y="0"/>
                                <a:ext cx="2294948" cy="30599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70pt;height:240.94pt;mso-wrap-distance-left:0.00pt;mso-wrap-distance-top:0.00pt;mso-wrap-distance-right:0.00pt;mso-wrap-distance-bottom:0.00pt;z-index:1;" stroked="false">
                      <v:imagedata r:id="rId20" o:title=""/>
                      <o:lock v:ext="edit" rotation="t"/>
                    </v:shape>
                  </w:pict>
                </mc:Fallback>
              </mc:AlternateConten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03835" cy="217787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21387" name=""/>
                              <pic:cNvPicPr>
                                <a:picLocks noChangeAspect="1"/>
                              </pic:cNvPicPr>
                              <pic:nvPr/>
                            </pic:nvPicPr>
                            <pic:blipFill rotWithShape="1">
                              <a:blip r:embed="rId21"/>
                              <a:stretch/>
                            </pic:blipFill>
                            <pic:spPr bwMode="auto">
                              <a:xfrm flipH="0" flipV="0">
                                <a:off x="0" y="0"/>
                                <a:ext cx="2903834" cy="21778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65pt;height:171.49pt;mso-wrap-distance-left:0.00pt;mso-wrap-distance-top:0.00pt;mso-wrap-distance-right:0.00pt;mso-wrap-distance-bottom:0.00pt;z-index:1;" stroked="false">
                      <v:imagedata r:id="rId21" o:title=""/>
                      <o:lock v:ext="edit" rotation="t"/>
                    </v:shape>
                  </w:pict>
                </mc:Fallback>
              </mc:AlternateConten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78435" cy="215882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32949" name=""/>
                              <pic:cNvPicPr>
                                <a:picLocks noChangeAspect="1"/>
                              </pic:cNvPicPr>
                              <pic:nvPr/>
                            </pic:nvPicPr>
                            <pic:blipFill rotWithShape="1">
                              <a:blip r:embed="rId22"/>
                              <a:stretch/>
                            </pic:blipFill>
                            <pic:spPr bwMode="auto">
                              <a:xfrm flipH="0" flipV="0">
                                <a:off x="0" y="0"/>
                                <a:ext cx="2878435" cy="21588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65pt;height:169.99pt;mso-wrap-distance-left:0.00pt;mso-wrap-distance-top:0.00pt;mso-wrap-distance-right:0.00pt;mso-wrap-distance-bottom:0.00pt;z-index:1;" stroked="false">
                      <v:imagedata r:id="rId22" o:title=""/>
                      <o:lock v:ext="edit" rotation="t"/>
                    </v:shape>
                  </w:pict>
                </mc:Fallback>
              </mc:AlternateConten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13085" cy="218481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25493" name=""/>
                              <pic:cNvPicPr>
                                <a:picLocks noChangeAspect="1"/>
                              </pic:cNvPicPr>
                              <pic:nvPr/>
                            </pic:nvPicPr>
                            <pic:blipFill rotWithShape="1">
                              <a:blip r:embed="rId23"/>
                              <a:stretch/>
                            </pic:blipFill>
                            <pic:spPr bwMode="auto">
                              <a:xfrm flipH="0" flipV="0">
                                <a:off x="0" y="0"/>
                                <a:ext cx="2913084" cy="2184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9.38pt;height:172.03pt;mso-wrap-distance-left:0.00pt;mso-wrap-distance-top:0.00pt;mso-wrap-distance-right:0.00pt;mso-wrap-distance-bottom:0.00pt;z-index:1;" stroked="false">
                      <v:imagedata r:id="rId23" o:title=""/>
                      <o:lock v:ext="edit" rotation="t"/>
                    </v:shape>
                  </w:pict>
                </mc:Fallback>
              </mc:AlternateConten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99495" cy="217462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90972" name=""/>
                              <pic:cNvPicPr>
                                <a:picLocks noChangeAspect="1"/>
                              </pic:cNvPicPr>
                              <pic:nvPr/>
                            </pic:nvPicPr>
                            <pic:blipFill rotWithShape="1">
                              <a:blip r:embed="rId24"/>
                              <a:stretch/>
                            </pic:blipFill>
                            <pic:spPr bwMode="auto">
                              <a:xfrm flipH="0" flipV="0">
                                <a:off x="0" y="0"/>
                                <a:ext cx="2899494" cy="21746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31pt;height:171.23pt;mso-wrap-distance-left:0.00pt;mso-wrap-distance-top:0.00pt;mso-wrap-distance-right:0.00pt;mso-wrap-distance-bottom:0.00pt;z-index:1;" stroked="false">
                      <v:imagedata r:id="rId24" o:title=""/>
                      <o:lock v:ext="edit" rotation="t"/>
                    </v:shape>
                  </w:pict>
                </mc:Fallback>
              </mc:AlternateContent>
            </w:r>
            <w:r>
              <w:rPr>
                <w:b/>
                <w:bCs/>
                <w:i/>
                <w:highlight w:val="white"/>
                <w:lang w:val="pt-BR"/>
              </w:rPr>
            </w:r>
            <w:r>
              <w:rPr>
                <w:b/>
                <w:bCs/>
                <w:i/>
                <w:highlight w:val="white"/>
                <w:lang w:val="pt-BR"/>
              </w:rPr>
            </w:r>
          </w:p>
        </w:tc>
      </w:tr>
    </w:tbl>
    <w:p>
      <w:pPr>
        <w:pBdr/>
        <w:spacing/>
        <w:ind/>
        <w:rPr>
          <w:highlight w:val="white"/>
        </w:rPr>
      </w:pPr>
      <w:r>
        <w:rPr>
          <w:highlight w:val="white"/>
        </w:rPr>
      </w:r>
      <w:r>
        <w:rPr>
          <w:highlight w:val="white"/>
        </w:rPr>
      </w:r>
    </w:p>
    <w:p>
      <w:pPr>
        <w:pBdr/>
        <w:spacing w:after="200" w:line="276" w:lineRule="auto"/>
        <w:ind/>
        <w:rPr>
          <w:highlight w:val="white"/>
        </w:rPr>
      </w:pPr>
      <w:r>
        <w:rPr>
          <w:highlight w:val="white"/>
        </w:rPr>
        <w:t xml:space="preserve">                           </w:t>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highlight w:val="white"/>
        </w:rPr>
      </w:r>
    </w:p>
    <w:p>
      <w:pPr>
        <w:pBdr/>
        <w:spacing/>
        <w:ind/>
        <w:jc w:val="center"/>
        <w:rPr>
          <w:i/>
          <w:highlight w:val="white"/>
        </w:rPr>
      </w:pPr>
      <w:r>
        <w:rPr>
          <w:i/>
          <w:highlight w:val="white"/>
          <w:lang w:val="pt-BR"/>
        </w:rPr>
        <w:t xml:space="preserve">(Kèm theo Báo cáo thẩm định số </w:t>
      </w:r>
      <w:r>
        <w:rPr>
          <w:i/>
          <w:highlight w:val="white"/>
        </w:rPr>
        <w:t xml:space="preserve">275/2026/1085/VFI-BC.57.A</w:t>
      </w:r>
      <w:r>
        <w:rPr>
          <w:i/>
          <w:highlight w:val="white"/>
        </w:rPr>
        <w:t xml:space="preserve"> ngày</w:t>
      </w:r>
      <w:r>
        <w:rPr>
          <w:i/>
          <w:highlight w:val="white"/>
          <w:lang w:val="pt-BR"/>
        </w:rPr>
        <w:t xml:space="preserve"> </w:t>
      </w:r>
      <w:r>
        <w:rPr>
          <w:i/>
          <w:highlight w:val="white"/>
          <w:lang w:val="pt-BR"/>
        </w:rPr>
        <w:t xml:space="preserve">17 tháng 7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0936983022</w:t>
            </w:r>
            <w:r>
              <w:rPr>
                <w:sz w:val="22"/>
                <w:szCs w:val="22"/>
                <w:highlight w:val="white"/>
              </w:rPr>
              <w:t xml:space="preserve"> </w:t>
            </w:r>
            <w:r>
              <w:rPr>
                <w:sz w:val="22"/>
                <w:szCs w:val="22"/>
                <w:highlight w:val="white"/>
              </w:rPr>
              <w:br/>
              <w:t xml:space="preserve">(Quân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6.120.000.000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5.508.000.000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(60m²)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Tây Trung Hành, Phường Hải An, Thành phố Hải Phòng, khoảng cách ra Phố Tây Trung Hành Cách đường Lê Hồng Phong khoảng 300m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trống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47170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4717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2.1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47386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4738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52.2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85386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853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4.7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highlight w:val="white"/>
              </w:rPr>
            </w:r>
          </w:p>
        </w:tc>
      </w:tr>
    </w:tbl>
    <w:p>
      <w:pPr>
        <w:pBdr/>
        <w:spacing w:after="120"/>
        <w:ind/>
        <w:jc w:val="center"/>
        <w:rPr>
          <w:i/>
          <w:highlight w:val="white"/>
        </w:rPr>
      </w:pPr>
      <w:r>
        <w:rPr>
          <w:i/>
          <w:highlight w:val="white"/>
          <w:lang w:val="pt-BR"/>
        </w:rPr>
      </w:r>
      <w:r>
        <w:rPr>
          <w:i/>
          <w:highlight w:val="white"/>
          <w:lang w:val="pt-BR"/>
        </w:rPr>
      </w:r>
      <w:r>
        <w:rPr>
          <w:i/>
          <w:highlight w:val="white"/>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6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jc w:val="center"/>
          <w:trHeight w:val="293"/>
        </w:trPr>
        <w:tc>
          <w:tcPr>
            <w:tcBorders/>
            <w:tcW w:w="3812"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676" w:type="dxa"/>
            <w:vAlign w:val="center"/>
            <w:textDirection w:val="lrTb"/>
            <w:noWrap/>
          </w:tcPr>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t xml:space="preserve">Nguyễn Minh Phúc</w:t>
            </w:r>
            <w:r>
              <w:rPr>
                <w:highlight w:val="white"/>
              </w:rPr>
            </w:r>
          </w:p>
        </w:tc>
      </w:tr>
    </w:tbl>
    <w:p>
      <w:pPr>
        <w:pBdr/>
        <w:spacing/>
        <w:ind/>
        <w:rPr>
          <w:highlight w:val="white"/>
        </w:rPr>
      </w:pPr>
      <w:r>
        <w:rPr>
          <w:highlight w:val="white"/>
        </w:rPr>
        <w:br w:type="page" w:clear="all"/>
      </w:r>
      <w:r>
        <w:rPr>
          <w:highlight w:val="white"/>
        </w:rPr>
      </w:r>
    </w:p>
    <w:p>
      <w:pPr>
        <w:pBdr/>
        <w:spacing w:after="200" w:line="276" w:lineRule="auto"/>
        <w:ind/>
        <w:jc w:val="center"/>
        <w:rPr>
          <w:b/>
          <w:bCs/>
          <w:iCs/>
          <w:highlight w:val="white"/>
        </w:rPr>
      </w:pPr>
      <w:r>
        <w:rPr>
          <w:b/>
          <w:bCs/>
          <w:iCs/>
          <w:highlight w:val="white"/>
          <w:lang w:val="pt-BR"/>
        </w:rPr>
        <w:t xml:space="preserve">TSSS2</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0917696698</w:t>
            </w:r>
            <w:r>
              <w:rPr>
                <w:sz w:val="22"/>
                <w:szCs w:val="22"/>
                <w:highlight w:val="white"/>
              </w:rPr>
              <w:t xml:space="preserve"> </w:t>
            </w:r>
            <w:r>
              <w:rPr>
                <w:sz w:val="22"/>
                <w:szCs w:val="22"/>
                <w:highlight w:val="white"/>
              </w:rPr>
              <w:br/>
              <w:t xml:space="preserve">(Tuân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7.776.000.000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6.998.400.000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(81m²)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Tây Trung Hành, Phường Hải An, Thành phố Hải Phòng, </w:t>
            </w:r>
            <w:r>
              <w:rPr>
                <w:color w:val="000000" w:themeColor="text1"/>
                <w:sz w:val="22"/>
                <w:szCs w:val="22"/>
                <w:highlight w:val="white"/>
              </w:rPr>
              <w:t xml:space="preserve">Cách đường Lê Hồng Phong khoảng 300m</w:t>
            </w:r>
            <w:r>
              <w:rPr>
                <w:color w:val="000000" w:themeColor="text1"/>
                <w:sz w:val="22"/>
                <w:szCs w:val="22"/>
                <w:highlight w:val="white"/>
              </w:rPr>
              <w:t xml:space="preserve">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81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trống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597490" cy="2829790"/>
                      <wp:effectExtent l="0" t="0" r="0" b="0"/>
                      <wp:docPr id="16" name=""/>
                      <wp:cNvGraphicFramePr/>
                      <a:graphic xmlns:a="http://schemas.openxmlformats.org/drawingml/2006/main">
                        <a:graphicData uri="http://schemas.openxmlformats.org/drawingml/2006/picture">
                          <pic:pic xmlns:pic="http://schemas.openxmlformats.org/drawingml/2006/picture">
                            <pic:nvPicPr>
                              <pic:cNvPr id="279798167" name="" descr=""/>
                              <pic:cNvPicPr/>
                              <pic:nvPr/>
                            </pic:nvPicPr>
                            <pic:blipFill rotWithShape="1">
                              <a:blip r:embed="rId28"/>
                              <a:stretch/>
                            </pic:blipFill>
                            <pic:spPr bwMode="auto">
                              <a:xfrm flipH="0" flipV="0">
                                <a:off x="0" y="0"/>
                                <a:ext cx="2597490" cy="28297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4.53pt;height:222.82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7603" cy="268691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85086814" name="" descr=""/>
                              <pic:cNvPicPr/>
                              <pic:nvPr/>
                            </pic:nvPicPr>
                            <pic:blipFill rotWithShape="1">
                              <a:blip r:embed="rId29"/>
                              <a:stretch/>
                            </pic:blipFill>
                            <pic:spPr bwMode="auto">
                              <a:xfrm rot="0" flipH="0" flipV="0">
                                <a:off x="0" y="0"/>
                                <a:ext cx="2387603" cy="26869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8.00pt;height:211.57pt;mso-wrap-distance-left:0.00pt;mso-wrap-distance-top:0.00pt;mso-wrap-distance-right:0.00pt;mso-wrap-distance-bottom:0.00pt;rotation:0;z-index:1;" stroked="false">
                      <v:imagedata r:id="rId29"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200" w:line="276" w:lineRule="auto"/>
        <w:ind/>
        <w:jc w:val="center"/>
        <w:rPr>
          <w:i/>
          <w:highlight w:val="white"/>
        </w:rPr>
      </w:pPr>
      <w:r>
        <w:rPr>
          <w:i/>
          <w:highlight w:val="white"/>
          <w:lang w:val="pt-BR"/>
        </w:rPr>
      </w:r>
      <w:r>
        <w:rPr>
          <w:i/>
          <w:highlight w:val="white"/>
          <w:lang w:val="pt-BR"/>
        </w:rPr>
      </w:r>
      <w:r>
        <w:rPr>
          <w:i/>
          <w:highlight w:val="whit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t xml:space="preserve">Nguyễn Minh Phúc</w:t>
            </w:r>
            <w:r>
              <w:rPr>
                <w:highlight w:val="white"/>
              </w:rPr>
            </w:r>
          </w:p>
        </w:tc>
      </w:tr>
      <w:tr>
        <w:trPr>
          <w:trHeight w:val="298"/>
        </w:trPr>
        <w:tc>
          <w:tcPr>
            <w:tcBorders/>
            <w:tcW w:w="4358" w:type="dxa"/>
            <w:vAlign w:val="bottom"/>
            <w:textDirection w:val="lrTb"/>
            <w:noWrap w:val="false"/>
          </w:tcPr>
          <w:p>
            <w:pPr>
              <w:pBdr/>
              <w:spacing/>
              <w:ind/>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rPr>
                <w:b/>
                <w:bCs/>
                <w:highlight w:val="white"/>
              </w:rPr>
            </w:pPr>
            <w:r>
              <w:rPr>
                <w:b/>
                <w:bCs/>
                <w:highlight w:val="white"/>
              </w:rPr>
            </w:r>
            <w:r>
              <w:rPr>
                <w:b/>
                <w:bCs/>
                <w:highlight w:val="white"/>
              </w:rPr>
            </w:r>
            <w:r>
              <w:rPr>
                <w:b/>
                <w:bCs/>
                <w:highlight w:val="white"/>
              </w:rPr>
            </w:r>
          </w:p>
        </w:tc>
      </w:tr>
    </w:tbl>
    <w:p>
      <w:pPr>
        <w:pBdr/>
        <w:spacing w:after="200" w:line="276" w:lineRule="auto"/>
        <w:ind/>
        <w:rPr>
          <w:iCs/>
          <w:highlight w:val="white"/>
        </w:rPr>
      </w:pPr>
      <w:r>
        <w:rPr>
          <w:iCs/>
          <w:highlight w:val="white"/>
          <w:lang w:val="pt-BR"/>
        </w:rPr>
      </w:r>
      <w:r>
        <w:rPr>
          <w:iCs/>
          <w:highlight w:val="white"/>
          <w:lang w:val="pt-BR"/>
        </w:rPr>
      </w:r>
      <w:r>
        <w:rPr>
          <w:iCs/>
          <w:highlight w:val="white"/>
          <w:lang w:val="pt-BR"/>
        </w:rPr>
      </w:r>
    </w:p>
    <w:p>
      <w:pPr>
        <w:pBdr/>
        <w:spacing w:after="200" w:line="276" w:lineRule="auto"/>
        <w:ind/>
        <w:rPr>
          <w:iCs/>
          <w:highlight w:val="white"/>
        </w:rPr>
      </w:pPr>
      <w:r>
        <w:rPr>
          <w:iCs/>
          <w:highlight w:val="white"/>
          <w:lang w:val="pt-BR"/>
        </w:rPr>
        <w:t xml:space="preserve">                                                                      </w:t>
      </w:r>
      <w:r>
        <w:rPr>
          <w:b/>
          <w:bCs/>
          <w:iCs/>
          <w:highlight w:val="white"/>
          <w:lang w:val="pt-BR"/>
        </w:rPr>
        <w:t xml:space="preserve">TSSS 3</w:t>
      </w:r>
      <w:r>
        <w:rPr>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0931506086</w:t>
            </w:r>
            <w:r>
              <w:rPr>
                <w:sz w:val="22"/>
                <w:szCs w:val="22"/>
                <w:highlight w:val="white"/>
              </w:rPr>
              <w:t xml:space="preserve"> </w:t>
            </w:r>
            <w:r>
              <w:rPr>
                <w:sz w:val="22"/>
                <w:szCs w:val="22"/>
                <w:highlight w:val="white"/>
              </w:rPr>
              <w:br/>
              <w:t xml:space="preserve">(Thịnh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7.900.000.000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7.110.000.000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(60m²)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Bến Láng, Phường Hải An, Thành phố Hải Phòng, đường Cách đường Lê Hồng Phong khoảng 300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Nhà 4 tầng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721315" cy="2145071"/>
                      <wp:effectExtent l="0" t="0" r="0" b="0"/>
                      <wp:docPr id="18" name=""/>
                      <wp:cNvGraphicFramePr/>
                      <a:graphic xmlns:a="http://schemas.openxmlformats.org/drawingml/2006/main">
                        <a:graphicData uri="http://schemas.openxmlformats.org/drawingml/2006/picture">
                          <pic:pic xmlns:pic="http://schemas.openxmlformats.org/drawingml/2006/picture">
                            <pic:nvPicPr>
                              <pic:cNvPr id="1008562456" name="" descr=""/>
                              <pic:cNvPicPr/>
                              <pic:nvPr/>
                            </pic:nvPicPr>
                            <pic:blipFill rotWithShape="1">
                              <a:blip r:embed="rId30"/>
                              <a:stretch/>
                            </pic:blipFill>
                            <pic:spPr bwMode="auto">
                              <a:xfrm flipH="0" flipV="0">
                                <a:off x="0" y="0"/>
                                <a:ext cx="2721314" cy="21450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4.28pt;height:168.9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720978" cy="2145071"/>
                      <wp:effectExtent l="0" t="0" r="0" b="0"/>
                      <wp:docPr id="19" name=""/>
                      <wp:cNvGraphicFramePr/>
                      <a:graphic xmlns:a="http://schemas.openxmlformats.org/drawingml/2006/main">
                        <a:graphicData uri="http://schemas.openxmlformats.org/drawingml/2006/picture">
                          <pic:pic xmlns:pic="http://schemas.openxmlformats.org/drawingml/2006/picture">
                            <pic:nvPicPr>
                              <pic:cNvPr id="1112294011" name="" descr=""/>
                              <pic:cNvPicPr/>
                              <pic:nvPr/>
                            </pic:nvPicPr>
                            <pic:blipFill rotWithShape="1">
                              <a:blip r:embed="rId31"/>
                              <a:stretch/>
                            </pic:blipFill>
                            <pic:spPr bwMode="auto">
                              <a:xfrm rot="0" flipH="0" flipV="0">
                                <a:off x="0" y="0"/>
                                <a:ext cx="2720978" cy="21450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4.25pt;height:168.90pt;mso-wrap-distance-left:0.00pt;mso-wrap-distance-top:0.00pt;mso-wrap-distance-right:0.00pt;mso-wrap-distance-bottom:0.00pt;rotation:0;z-index:1;" stroked="false">
                      <v:imagedata r:id="rId31"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50808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81677675" name="" descr=""/>
                              <pic:cNvPicPr/>
                              <pic:nvPr/>
                            </pic:nvPicPr>
                            <pic:blipFill rotWithShape="1">
                              <a:blip r:embed="rId32"/>
                              <a:stretch/>
                            </pic:blipFill>
                            <pic:spPr bwMode="auto">
                              <a:xfrm>
                                <a:off x="0" y="0"/>
                                <a:ext cx="450808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54.9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t xml:space="preserve">Nguyễn Minh Phúc</w:t>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r>
            <w:r>
              <w:rPr>
                <w:b/>
                <w:bCs/>
                <w:highlight w:val="white"/>
              </w:rPr>
            </w:r>
            <w:r>
              <w:rPr>
                <w:b/>
                <w:bCs/>
                <w:highlight w:val="white"/>
              </w:rPr>
            </w:r>
          </w:p>
        </w:tc>
      </w:tr>
    </w:tbl>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highlight w:val="white"/>
        </w:rPr>
      </w:pPr>
      <w:r>
        <w:rPr>
          <w:iCs/>
          <w:highlight w:val="white"/>
          <w:lang w:val="pt-BR"/>
        </w:rPr>
      </w:r>
      <w:r>
        <w:rPr>
          <w:iCs/>
          <w:highlight w:val="white"/>
          <w:lang w:val="pt-BR"/>
        </w:rPr>
      </w:r>
      <w:r>
        <w:rPr>
          <w:highlight w:val="white"/>
          <w:lang w:val="pt-BR"/>
        </w:rPr>
      </w:r>
    </w:p>
    <w:p>
      <w:pPr>
        <w:pBdr/>
        <w:spacing w:after="200" w:line="276" w:lineRule="auto"/>
        <w:ind/>
        <w:rPr>
          <w:iCs/>
          <w:highlight w:val="white"/>
        </w:rPr>
      </w:pPr>
      <w:r>
        <w:rPr>
          <w:iCs/>
          <w:highlight w:val="white"/>
          <w:lang w:val="pt-BR"/>
        </w:rPr>
        <w:t xml:space="preserve">                                                             HỒ SƠ PHÁP LÝ</w:t>
      </w:r>
      <w:r>
        <w:rPr>
          <w:iCs/>
          <w:highlight w:val="white"/>
          <w:lang w:val="pt-BR"/>
        </w:rPr>
      </w:r>
      <w:r>
        <w:rPr>
          <w:iCs/>
          <w:highlight w:val="white"/>
          <w:lang w:val="pt-BR"/>
        </w:rPr>
      </w:r>
    </w:p>
    <w:p>
      <w:pPr>
        <w:pBdr/>
        <w:spacing w:after="200" w:line="276" w:lineRule="auto"/>
        <w:ind/>
        <w:rPr>
          <w:highlight w:val="white"/>
        </w:rPr>
      </w:pPr>
      <w:r>
        <w:rPr>
          <w:iCs/>
          <w:highlight w:val="white"/>
          <w:lang w:val="pt-BR" w:bidi="pt-BR"/>
        </w:rPr>
      </w:r>
      <w:r>
        <w:rPr>
          <w:highlight w:val="white"/>
        </w:rPr>
        <mc:AlternateContent>
          <mc:Choice Requires="wpg">
            <w:drawing>
              <wp:inline xmlns:wp="http://schemas.openxmlformats.org/drawingml/2006/wordprocessingDrawing" distT="0" distB="0" distL="0" distR="0">
                <wp:extent cx="8719678" cy="585749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85876" name=""/>
                        <pic:cNvPicPr>
                          <a:picLocks noChangeAspect="1"/>
                        </pic:cNvPicPr>
                        <pic:nvPr/>
                      </pic:nvPicPr>
                      <pic:blipFill rotWithShape="1">
                        <a:blip r:embed="rId33"/>
                        <a:stretch/>
                      </pic:blipFill>
                      <pic:spPr bwMode="auto">
                        <a:xfrm rot="16199969" flipH="0" flipV="0">
                          <a:off x="0" y="0"/>
                          <a:ext cx="8719678" cy="5857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86.59pt;height:461.22pt;mso-wrap-distance-left:0.00pt;mso-wrap-distance-top:0.00pt;mso-wrap-distance-right:0.00pt;mso-wrap-distance-bottom:0.00pt;rotation:269;z-index:1;" stroked="false">
                <v:imagedata r:id="rId33" o:title=""/>
                <o:lock v:ext="edit" rotation="t"/>
              </v:shape>
            </w:pict>
          </mc:Fallback>
        </mc:AlternateContent>
      </w:r>
      <w:r>
        <w:rPr>
          <w:highlight w:val="white"/>
          <w:lang w:val="pt-BR"/>
        </w:rPr>
      </w:r>
      <w:r>
        <w:rPr>
          <w:highlight w:val="white"/>
          <w:lang w:val="pt-BR" w:bidi="pt-BR"/>
        </w:rPr>
      </w:r>
    </w:p>
    <w:p>
      <w:pPr>
        <w:pBdr/>
        <w:spacing w:after="200" w:line="276" w:lineRule="auto"/>
        <w:ind/>
        <w:rPr>
          <w:highlight w:val="white"/>
        </w:rPr>
      </w:pPr>
      <w:r>
        <w:rPr>
          <w:iCs/>
          <w:highlight w:val="white"/>
          <w:lang w:val="pt-BR" w:bidi="pt-BR"/>
        </w:rPr>
      </w:r>
      <w:r>
        <w:rPr>
          <w:highlight w:val="white"/>
        </w:rPr>
        <mc:AlternateContent>
          <mc:Choice Requires="wpg">
            <w:drawing>
              <wp:inline xmlns:wp="http://schemas.openxmlformats.org/drawingml/2006/wordprocessingDrawing" distT="0" distB="0" distL="0" distR="0">
                <wp:extent cx="9038685" cy="608167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16152" name=""/>
                        <pic:cNvPicPr>
                          <a:picLocks noChangeAspect="1"/>
                        </pic:cNvPicPr>
                        <pic:nvPr/>
                      </pic:nvPicPr>
                      <pic:blipFill rotWithShape="1">
                        <a:blip r:embed="rId34"/>
                        <a:stretch/>
                      </pic:blipFill>
                      <pic:spPr bwMode="auto">
                        <a:xfrm rot="16199969" flipH="0" flipV="0">
                          <a:off x="0" y="0"/>
                          <a:ext cx="9038684" cy="60816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711.71pt;height:478.87pt;mso-wrap-distance-left:0.00pt;mso-wrap-distance-top:0.00pt;mso-wrap-distance-right:0.00pt;mso-wrap-distance-bottom:0.00pt;rotation:269;z-index:1;" stroked="false">
                <v:imagedata r:id="rId34" o:title=""/>
                <o:lock v:ext="edit" rotation="t"/>
              </v:shape>
            </w:pict>
          </mc:Fallback>
        </mc:AlternateContent>
      </w:r>
      <w:r>
        <w:rPr>
          <w:highlight w:val="white"/>
          <w:lang w:val="pt-BR"/>
        </w:rPr>
      </w:r>
      <w:r>
        <w:rPr>
          <w:highlight w:val="white"/>
          <w:lang w:val="pt-BR" w:bidi="pt-BR"/>
        </w:rPr>
      </w:r>
    </w:p>
    <w:p>
      <w:pPr>
        <w:pBdr/>
        <w:spacing w:after="200" w:line="276" w:lineRule="auto"/>
        <w:ind/>
        <w:rPr>
          <w:highlight w:val="white"/>
        </w:rPr>
      </w:pPr>
      <w:r>
        <w:rPr>
          <w:iCs/>
          <w:highlight w:val="white"/>
          <w:lang w:val="pt-BR" w:bidi="pt-BR"/>
        </w:rPr>
        <w:t xml:space="preserve">                                                       BIÊN BẢN KHẢO SÁT</w:t>
      </w:r>
      <w:r>
        <w:rPr>
          <w:highlight w:val="white"/>
          <w:lang w:val="pt-BR"/>
        </w:rPr>
      </w:r>
      <w:r>
        <w:rPr>
          <w:highlight w:val="white"/>
          <w:lang w:val="pt-BR" w:bidi="pt-BR"/>
        </w:rPr>
      </w:r>
    </w:p>
    <w:p>
      <w:pPr>
        <w:pBdr/>
        <w:spacing w:after="200" w:line="276" w:lineRule="auto"/>
        <w:ind/>
        <w:rPr>
          <w:highlight w:val="white"/>
        </w:rPr>
      </w:pPr>
      <w:r>
        <w:rPr>
          <w:iCs/>
          <w:highlight w:val="white"/>
          <w:lang w:val="pt-BR" w:bidi="pt-BR"/>
        </w:rPr>
      </w:r>
      <w:r>
        <w:rPr>
          <w:highlight w:val="white"/>
        </w:rP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8649"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iCs/>
          <w:highlight w:val="white"/>
          <w:lang w:val="pt-BR" w:bidi="pt-BR"/>
        </w:rPr>
      </w:r>
      <w:r>
        <w:rPr>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20T11:01:07Z" w:initials="NTTD">
    <w:p w14:paraId="00000001" w14:textId="00000001">
      <w:pPr>
        <w:spacing w:line="240" w:after="0" w:lineRule="auto" w:before="0"/>
        <w:ind w:firstLine="0" w:left="0" w:right="0"/>
        <w:jc w:val="left"/>
      </w:pPr>
      <w:r>
        <w:rPr>
          <w:rFonts w:eastAsia="Arial" w:ascii="Arial" w:hAnsi="Arial" w:cs="Arial"/>
          <w:sz w:val="22"/>
        </w:rPr>
        <w:t xml:space="preserve">Bổ sung năm xây dựng</w:t>
      </w:r>
    </w:p>
  </w:comment>
  <w:comment w:id="1" w:author="Nguyễn Thị Thùy Dương" w:date="2026-07-20T11:00:37Z" w:initials="NTTD">
    <w:p w14:paraId="00000002" w14:textId="00000002">
      <w:pPr>
        <w:spacing w:line="240" w:after="0" w:lineRule="auto" w:before="0"/>
        <w:ind w:firstLine="0" w:left="0" w:right="0"/>
        <w:jc w:val="left"/>
      </w:pPr>
      <w:r>
        <w:rPr>
          <w:rFonts w:eastAsia="Arial" w:ascii="Arial" w:hAnsi="Arial" w:cs="Arial"/>
          <w:sz w:val="22"/>
        </w:rPr>
        <w:t xml:space="preserve">sai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990EB21" w16cex:dateUtc="2026-07-20T04:01:07Z"/>
  <w16cex:commentExtensible w16cex:durableId="08E24422" w16cex:dateUtc="2026-07-20T04:00:3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990EB21"/>
  <w16cid:commentId w16cid:paraId="00000002" w16cid:durableId="08E2442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386495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9A8FBB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045650F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62CCB72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4">
    <w:name w:val="Table Grid Light"/>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1"/>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2"/>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3"/>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4"/>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5"/>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w:basedOn w:val="10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w:basedOn w:val="10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1"/>
    <w:basedOn w:val="10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2"/>
    <w:basedOn w:val="10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3"/>
    <w:basedOn w:val="10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4"/>
    <w:basedOn w:val="10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5"/>
    <w:basedOn w:val="10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6"/>
    <w:basedOn w:val="10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1"/>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2"/>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3"/>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4"/>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5"/>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6"/>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6">
    <w:name w:val="Grid Table 6 Colorful - Accent 1"/>
    <w:basedOn w:val="10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7">
    <w:name w:val="Grid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8">
    <w:name w:val="Grid Table 6 Colorful - Accent 3"/>
    <w:basedOn w:val="10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9">
    <w:name w:val="Grid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0">
    <w:name w:val="Grid Table 6 Colorful - Accent 5"/>
    <w:basedOn w:val="10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6 Colorful - Accent 6"/>
    <w:basedOn w:val="10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7 Colorful"/>
    <w:basedOn w:val="10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1"/>
    <w:basedOn w:val="10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5"/>
    <w:basedOn w:val="10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6"/>
    <w:basedOn w:val="10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1"/>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2"/>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3"/>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4"/>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5"/>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6"/>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w:basedOn w:val="10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1"/>
    <w:basedOn w:val="10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2"/>
    <w:basedOn w:val="10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3"/>
    <w:basedOn w:val="10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4"/>
    <w:basedOn w:val="10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5"/>
    <w:basedOn w:val="10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6"/>
    <w:basedOn w:val="10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1"/>
    <w:basedOn w:val="10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3"/>
    <w:basedOn w:val="10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5"/>
    <w:basedOn w:val="10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6"/>
    <w:basedOn w:val="10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1"/>
    <w:basedOn w:val="10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2"/>
    <w:basedOn w:val="10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3"/>
    <w:basedOn w:val="10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4"/>
    <w:basedOn w:val="10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5"/>
    <w:basedOn w:val="10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6"/>
    <w:basedOn w:val="10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5 Dark"/>
    <w:basedOn w:val="10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1"/>
    <w:basedOn w:val="10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2"/>
    <w:basedOn w:val="10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3"/>
    <w:basedOn w:val="10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4"/>
    <w:basedOn w:val="10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5"/>
    <w:basedOn w:val="10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6"/>
    <w:basedOn w:val="10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1"/>
    <w:basedOn w:val="10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3"/>
    <w:basedOn w:val="10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5"/>
    <w:basedOn w:val="10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6"/>
    <w:basedOn w:val="10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7 Colorful"/>
    <w:basedOn w:val="10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2">
    <w:name w:val="List Table 7 Colorful - Accent 1"/>
    <w:basedOn w:val="10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3">
    <w:name w:val="List Table 7 Colorful - Accent 2"/>
    <w:basedOn w:val="10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4">
    <w:name w:val="List Table 7 Colorful - Accent 3"/>
    <w:basedOn w:val="10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5">
    <w:name w:val="List Table 7 Colorful - Accent 4"/>
    <w:basedOn w:val="10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6">
    <w:name w:val="List Table 7 Colorful - Accent 5"/>
    <w:basedOn w:val="10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7">
    <w:name w:val="List Table 7 Colorful - Accent 6"/>
    <w:basedOn w:val="10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8">
    <w:name w:val="Lined - Accent"/>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1"/>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2"/>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3"/>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4"/>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5"/>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6"/>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w:basedOn w:val="10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1"/>
    <w:basedOn w:val="10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2"/>
    <w:basedOn w:val="10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3"/>
    <w:basedOn w:val="10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4"/>
    <w:basedOn w:val="10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5"/>
    <w:basedOn w:val="10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6"/>
    <w:basedOn w:val="10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w:basedOn w:val="10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9">
    <w:name w:val="Heading 5"/>
    <w:basedOn w:val="1010"/>
    <w:next w:val="1010"/>
    <w:link w:val="97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0">
    <w:name w:val="Heading 6"/>
    <w:basedOn w:val="1010"/>
    <w:next w:val="1010"/>
    <w:link w:val="97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1">
    <w:name w:val="Heading 7"/>
    <w:basedOn w:val="1010"/>
    <w:next w:val="1010"/>
    <w:link w:val="97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2">
    <w:name w:val="Heading 8"/>
    <w:basedOn w:val="1010"/>
    <w:next w:val="1010"/>
    <w:link w:val="97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3">
    <w:name w:val="Heading 9"/>
    <w:basedOn w:val="1010"/>
    <w:next w:val="1010"/>
    <w:link w:val="97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4">
    <w:name w:val="Heading 5 Char"/>
    <w:basedOn w:val="1015"/>
    <w:link w:val="969"/>
    <w:uiPriority w:val="9"/>
    <w:pPr>
      <w:pBdr/>
      <w:spacing/>
      <w:ind/>
    </w:pPr>
    <w:rPr>
      <w:rFonts w:ascii="Arial" w:hAnsi="Arial" w:eastAsia="Arial" w:cs="Arial"/>
      <w:color w:val="0f4761" w:themeColor="accent1" w:themeShade="BF"/>
    </w:rPr>
  </w:style>
  <w:style w:type="character" w:styleId="975">
    <w:name w:val="Heading 6 Char"/>
    <w:basedOn w:val="1015"/>
    <w:link w:val="970"/>
    <w:uiPriority w:val="9"/>
    <w:pPr>
      <w:pBdr/>
      <w:spacing/>
      <w:ind/>
    </w:pPr>
    <w:rPr>
      <w:rFonts w:ascii="Arial" w:hAnsi="Arial" w:eastAsia="Arial" w:cs="Arial"/>
      <w:i/>
      <w:iCs/>
      <w:color w:val="595959" w:themeColor="text1" w:themeTint="A6"/>
    </w:rPr>
  </w:style>
  <w:style w:type="character" w:styleId="976">
    <w:name w:val="Heading 7 Char"/>
    <w:basedOn w:val="1015"/>
    <w:link w:val="971"/>
    <w:uiPriority w:val="9"/>
    <w:pPr>
      <w:pBdr/>
      <w:spacing/>
      <w:ind/>
    </w:pPr>
    <w:rPr>
      <w:rFonts w:ascii="Arial" w:hAnsi="Arial" w:eastAsia="Arial" w:cs="Arial"/>
      <w:color w:val="595959" w:themeColor="text1" w:themeTint="A6"/>
    </w:rPr>
  </w:style>
  <w:style w:type="character" w:styleId="977">
    <w:name w:val="Heading 8 Char"/>
    <w:basedOn w:val="1015"/>
    <w:link w:val="972"/>
    <w:uiPriority w:val="9"/>
    <w:pPr>
      <w:pBdr/>
      <w:spacing/>
      <w:ind/>
    </w:pPr>
    <w:rPr>
      <w:rFonts w:ascii="Arial" w:hAnsi="Arial" w:eastAsia="Arial" w:cs="Arial"/>
      <w:i/>
      <w:iCs/>
      <w:color w:val="272727" w:themeColor="text1" w:themeTint="D8"/>
    </w:rPr>
  </w:style>
  <w:style w:type="character" w:styleId="978">
    <w:name w:val="Heading 9 Char"/>
    <w:basedOn w:val="1015"/>
    <w:link w:val="973"/>
    <w:uiPriority w:val="9"/>
    <w:pPr>
      <w:pBdr/>
      <w:spacing/>
      <w:ind/>
    </w:pPr>
    <w:rPr>
      <w:rFonts w:ascii="Arial" w:hAnsi="Arial" w:eastAsia="Arial" w:cs="Arial"/>
      <w:i/>
      <w:iCs/>
      <w:color w:val="272727" w:themeColor="text1" w:themeTint="D8"/>
    </w:rPr>
  </w:style>
  <w:style w:type="paragraph" w:styleId="979">
    <w:name w:val="Subtitle"/>
    <w:basedOn w:val="1010"/>
    <w:next w:val="1010"/>
    <w:link w:val="980"/>
    <w:uiPriority w:val="11"/>
    <w:qFormat/>
    <w:pPr>
      <w:numPr>
        <w:ilvl w:val="1"/>
      </w:numPr>
      <w:pBdr/>
      <w:spacing/>
      <w:ind/>
    </w:pPr>
    <w:rPr>
      <w:color w:val="595959" w:themeColor="text1" w:themeTint="A6"/>
      <w:spacing w:val="15"/>
      <w:sz w:val="28"/>
      <w:szCs w:val="28"/>
    </w:rPr>
  </w:style>
  <w:style w:type="character" w:styleId="980">
    <w:name w:val="Subtitle Char"/>
    <w:basedOn w:val="1015"/>
    <w:link w:val="979"/>
    <w:uiPriority w:val="11"/>
    <w:pPr>
      <w:pBdr/>
      <w:spacing/>
      <w:ind/>
    </w:pPr>
    <w:rPr>
      <w:color w:val="595959" w:themeColor="text1" w:themeTint="A6"/>
      <w:spacing w:val="15"/>
      <w:sz w:val="28"/>
      <w:szCs w:val="28"/>
    </w:rPr>
  </w:style>
  <w:style w:type="paragraph" w:styleId="981">
    <w:name w:val="Quote"/>
    <w:basedOn w:val="1010"/>
    <w:next w:val="1010"/>
    <w:link w:val="982"/>
    <w:uiPriority w:val="29"/>
    <w:qFormat/>
    <w:pPr>
      <w:pBdr/>
      <w:spacing w:before="160"/>
      <w:ind/>
      <w:jc w:val="center"/>
    </w:pPr>
    <w:rPr>
      <w:i/>
      <w:iCs/>
      <w:color w:val="404040" w:themeColor="text1" w:themeTint="BF"/>
    </w:rPr>
  </w:style>
  <w:style w:type="character" w:styleId="982">
    <w:name w:val="Quote Char"/>
    <w:basedOn w:val="1015"/>
    <w:link w:val="981"/>
    <w:uiPriority w:val="29"/>
    <w:pPr>
      <w:pBdr/>
      <w:spacing/>
      <w:ind/>
    </w:pPr>
    <w:rPr>
      <w:i/>
      <w:iCs/>
      <w:color w:val="404040" w:themeColor="text1" w:themeTint="BF"/>
    </w:rPr>
  </w:style>
  <w:style w:type="character" w:styleId="983">
    <w:name w:val="Intense Emphasis"/>
    <w:basedOn w:val="1015"/>
    <w:uiPriority w:val="21"/>
    <w:qFormat/>
    <w:pPr>
      <w:pBdr/>
      <w:spacing/>
      <w:ind/>
    </w:pPr>
    <w:rPr>
      <w:i/>
      <w:iCs/>
      <w:color w:val="0f4761" w:themeColor="accent1" w:themeShade="BF"/>
    </w:rPr>
  </w:style>
  <w:style w:type="paragraph" w:styleId="984">
    <w:name w:val="Intense Quote"/>
    <w:basedOn w:val="1010"/>
    <w:next w:val="1010"/>
    <w:link w:val="9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5">
    <w:name w:val="Intense Quote Char"/>
    <w:basedOn w:val="1015"/>
    <w:link w:val="984"/>
    <w:uiPriority w:val="30"/>
    <w:pPr>
      <w:pBdr/>
      <w:spacing/>
      <w:ind/>
    </w:pPr>
    <w:rPr>
      <w:i/>
      <w:iCs/>
      <w:color w:val="0f4761" w:themeColor="accent1" w:themeShade="BF"/>
    </w:rPr>
  </w:style>
  <w:style w:type="character" w:styleId="986">
    <w:name w:val="Intense Reference"/>
    <w:basedOn w:val="1015"/>
    <w:uiPriority w:val="32"/>
    <w:qFormat/>
    <w:pPr>
      <w:pBdr/>
      <w:spacing/>
      <w:ind/>
    </w:pPr>
    <w:rPr>
      <w:b/>
      <w:bCs/>
      <w:smallCaps/>
      <w:color w:val="0f4761" w:themeColor="accent1" w:themeShade="BF"/>
      <w:spacing w:val="5"/>
    </w:rPr>
  </w:style>
  <w:style w:type="paragraph" w:styleId="987">
    <w:name w:val="No Spacing"/>
    <w:basedOn w:val="1010"/>
    <w:uiPriority w:val="1"/>
    <w:qFormat/>
    <w:pPr>
      <w:pBdr/>
      <w:spacing w:after="0" w:line="240" w:lineRule="auto"/>
      <w:ind/>
    </w:pPr>
  </w:style>
  <w:style w:type="character" w:styleId="988">
    <w:name w:val="Subtle Emphasis"/>
    <w:basedOn w:val="1015"/>
    <w:uiPriority w:val="19"/>
    <w:qFormat/>
    <w:pPr>
      <w:pBdr/>
      <w:spacing/>
      <w:ind/>
    </w:pPr>
    <w:rPr>
      <w:i/>
      <w:iCs/>
      <w:color w:val="404040" w:themeColor="text1" w:themeTint="BF"/>
    </w:rPr>
  </w:style>
  <w:style w:type="character" w:styleId="989">
    <w:name w:val="Subtle Reference"/>
    <w:basedOn w:val="1015"/>
    <w:uiPriority w:val="31"/>
    <w:qFormat/>
    <w:pPr>
      <w:pBdr/>
      <w:spacing/>
      <w:ind/>
    </w:pPr>
    <w:rPr>
      <w:smallCaps/>
      <w:color w:val="5a5a5a" w:themeColor="text1" w:themeTint="A5"/>
    </w:rPr>
  </w:style>
  <w:style w:type="character" w:styleId="990">
    <w:name w:val="Book Title"/>
    <w:basedOn w:val="1015"/>
    <w:uiPriority w:val="33"/>
    <w:qFormat/>
    <w:pPr>
      <w:pBdr/>
      <w:spacing/>
      <w:ind/>
    </w:pPr>
    <w:rPr>
      <w:b/>
      <w:bCs/>
      <w:i/>
      <w:iCs/>
      <w:spacing w:val="5"/>
    </w:rPr>
  </w:style>
  <w:style w:type="paragraph" w:styleId="991">
    <w:name w:val="Caption"/>
    <w:basedOn w:val="1010"/>
    <w:next w:val="1010"/>
    <w:uiPriority w:val="35"/>
    <w:unhideWhenUsed/>
    <w:qFormat/>
    <w:pPr>
      <w:pBdr/>
      <w:spacing w:after="200" w:line="240" w:lineRule="auto"/>
      <w:ind/>
    </w:pPr>
    <w:rPr>
      <w:i/>
      <w:iCs/>
      <w:color w:val="0e2841" w:themeColor="text2"/>
      <w:sz w:val="18"/>
      <w:szCs w:val="18"/>
    </w:rPr>
  </w:style>
  <w:style w:type="paragraph" w:styleId="992">
    <w:name w:val="footnote text"/>
    <w:basedOn w:val="1010"/>
    <w:link w:val="993"/>
    <w:uiPriority w:val="99"/>
    <w:semiHidden/>
    <w:unhideWhenUsed/>
    <w:pPr>
      <w:pBdr/>
      <w:spacing w:after="0" w:line="240" w:lineRule="auto"/>
      <w:ind/>
    </w:pPr>
    <w:rPr>
      <w:sz w:val="20"/>
      <w:szCs w:val="20"/>
    </w:rPr>
  </w:style>
  <w:style w:type="character" w:styleId="993">
    <w:name w:val="Footnote Text Char"/>
    <w:basedOn w:val="1015"/>
    <w:link w:val="992"/>
    <w:uiPriority w:val="99"/>
    <w:semiHidden/>
    <w:pPr>
      <w:pBdr/>
      <w:spacing/>
      <w:ind/>
    </w:pPr>
    <w:rPr>
      <w:sz w:val="20"/>
      <w:szCs w:val="20"/>
    </w:rPr>
  </w:style>
  <w:style w:type="character" w:styleId="994">
    <w:name w:val="footnote reference"/>
    <w:basedOn w:val="1015"/>
    <w:uiPriority w:val="99"/>
    <w:semiHidden/>
    <w:unhideWhenUsed/>
    <w:pPr>
      <w:pBdr/>
      <w:spacing/>
      <w:ind/>
    </w:pPr>
    <w:rPr>
      <w:vertAlign w:val="superscript"/>
    </w:rPr>
  </w:style>
  <w:style w:type="paragraph" w:styleId="995">
    <w:name w:val="endnote text"/>
    <w:basedOn w:val="1010"/>
    <w:link w:val="996"/>
    <w:uiPriority w:val="99"/>
    <w:semiHidden/>
    <w:unhideWhenUsed/>
    <w:pPr>
      <w:pBdr/>
      <w:spacing w:after="0" w:line="240" w:lineRule="auto"/>
      <w:ind/>
    </w:pPr>
    <w:rPr>
      <w:sz w:val="20"/>
      <w:szCs w:val="20"/>
    </w:rPr>
  </w:style>
  <w:style w:type="character" w:styleId="996">
    <w:name w:val="Endnote Text Char"/>
    <w:basedOn w:val="1015"/>
    <w:link w:val="995"/>
    <w:uiPriority w:val="99"/>
    <w:semiHidden/>
    <w:pPr>
      <w:pBdr/>
      <w:spacing/>
      <w:ind/>
    </w:pPr>
    <w:rPr>
      <w:sz w:val="20"/>
      <w:szCs w:val="20"/>
    </w:rPr>
  </w:style>
  <w:style w:type="character" w:styleId="997">
    <w:name w:val="endnote reference"/>
    <w:basedOn w:val="1015"/>
    <w:uiPriority w:val="99"/>
    <w:semiHidden/>
    <w:unhideWhenUsed/>
    <w:pPr>
      <w:pBdr/>
      <w:spacing/>
      <w:ind/>
    </w:pPr>
    <w:rPr>
      <w:vertAlign w:val="superscript"/>
    </w:rPr>
  </w:style>
  <w:style w:type="paragraph" w:styleId="998">
    <w:name w:val="toc 1"/>
    <w:basedOn w:val="1010"/>
    <w:next w:val="1010"/>
    <w:uiPriority w:val="39"/>
    <w:unhideWhenUsed/>
    <w:pPr>
      <w:pBdr/>
      <w:spacing w:after="100"/>
      <w:ind/>
    </w:pPr>
  </w:style>
  <w:style w:type="paragraph" w:styleId="999">
    <w:name w:val="toc 2"/>
    <w:basedOn w:val="1010"/>
    <w:next w:val="1010"/>
    <w:uiPriority w:val="39"/>
    <w:unhideWhenUsed/>
    <w:pPr>
      <w:pBdr/>
      <w:spacing w:after="100"/>
      <w:ind w:left="220"/>
    </w:pPr>
  </w:style>
  <w:style w:type="paragraph" w:styleId="1000">
    <w:name w:val="toc 3"/>
    <w:basedOn w:val="1010"/>
    <w:next w:val="1010"/>
    <w:uiPriority w:val="39"/>
    <w:unhideWhenUsed/>
    <w:pPr>
      <w:pBdr/>
      <w:spacing w:after="100"/>
      <w:ind w:left="440"/>
    </w:pPr>
  </w:style>
  <w:style w:type="paragraph" w:styleId="1001">
    <w:name w:val="toc 4"/>
    <w:basedOn w:val="1010"/>
    <w:next w:val="1010"/>
    <w:uiPriority w:val="39"/>
    <w:unhideWhenUsed/>
    <w:pPr>
      <w:pBdr/>
      <w:spacing w:after="100"/>
      <w:ind w:left="660"/>
    </w:pPr>
  </w:style>
  <w:style w:type="paragraph" w:styleId="1002">
    <w:name w:val="toc 5"/>
    <w:basedOn w:val="1010"/>
    <w:next w:val="1010"/>
    <w:uiPriority w:val="39"/>
    <w:unhideWhenUsed/>
    <w:pPr>
      <w:pBdr/>
      <w:spacing w:after="100"/>
      <w:ind w:left="880"/>
    </w:pPr>
  </w:style>
  <w:style w:type="paragraph" w:styleId="1003">
    <w:name w:val="toc 6"/>
    <w:basedOn w:val="1010"/>
    <w:next w:val="1010"/>
    <w:uiPriority w:val="39"/>
    <w:unhideWhenUsed/>
    <w:pPr>
      <w:pBdr/>
      <w:spacing w:after="100"/>
      <w:ind w:left="1100"/>
    </w:pPr>
  </w:style>
  <w:style w:type="paragraph" w:styleId="1004">
    <w:name w:val="toc 7"/>
    <w:basedOn w:val="1010"/>
    <w:next w:val="1010"/>
    <w:uiPriority w:val="39"/>
    <w:unhideWhenUsed/>
    <w:pPr>
      <w:pBdr/>
      <w:spacing w:after="100"/>
      <w:ind w:left="1320"/>
    </w:pPr>
  </w:style>
  <w:style w:type="paragraph" w:styleId="1005">
    <w:name w:val="toc 8"/>
    <w:basedOn w:val="1010"/>
    <w:next w:val="1010"/>
    <w:uiPriority w:val="39"/>
    <w:unhideWhenUsed/>
    <w:pPr>
      <w:pBdr/>
      <w:spacing w:after="100"/>
      <w:ind w:left="1540"/>
    </w:pPr>
  </w:style>
  <w:style w:type="paragraph" w:styleId="1006">
    <w:name w:val="toc 9"/>
    <w:basedOn w:val="1010"/>
    <w:next w:val="1010"/>
    <w:uiPriority w:val="39"/>
    <w:unhideWhenUsed/>
    <w:pPr>
      <w:pBdr/>
      <w:spacing w:after="100"/>
      <w:ind w:left="1760"/>
    </w:pPr>
  </w:style>
  <w:style w:type="character" w:styleId="1007">
    <w:name w:val="Placeholder Text"/>
    <w:basedOn w:val="1015"/>
    <w:uiPriority w:val="99"/>
    <w:semiHidden/>
    <w:pPr>
      <w:pBdr/>
      <w:spacing/>
      <w:ind/>
    </w:pPr>
    <w:rPr>
      <w:color w:val="666666"/>
    </w:rPr>
  </w:style>
  <w:style w:type="paragraph" w:styleId="1008">
    <w:name w:val="TOC Heading"/>
    <w:uiPriority w:val="39"/>
    <w:unhideWhenUsed/>
    <w:pPr>
      <w:pBdr/>
      <w:spacing/>
      <w:ind/>
    </w:pPr>
  </w:style>
  <w:style w:type="paragraph" w:styleId="1009">
    <w:name w:val="table of figures"/>
    <w:basedOn w:val="1010"/>
    <w:next w:val="1010"/>
    <w:uiPriority w:val="99"/>
    <w:unhideWhenUsed/>
    <w:pPr>
      <w:pBdr/>
      <w:spacing w:after="0" w:afterAutospacing="0"/>
      <w:ind/>
    </w:pPr>
  </w:style>
  <w:style w:type="paragraph" w:styleId="1010" w:default="1">
    <w:name w:val="Normal"/>
    <w:qFormat/>
    <w:pPr>
      <w:pBdr/>
      <w:spacing w:after="0" w:line="240" w:lineRule="auto"/>
      <w:ind/>
    </w:pPr>
    <w:rPr>
      <w:rFonts w:ascii="Times New Roman" w:hAnsi="Times New Roman" w:eastAsia="Times New Roman" w:cs="Times New Roman"/>
      <w:sz w:val="24"/>
      <w:szCs w:val="24"/>
    </w:rPr>
  </w:style>
  <w:style w:type="paragraph" w:styleId="1011">
    <w:name w:val="Heading 1"/>
    <w:basedOn w:val="1010"/>
    <w:next w:val="1010"/>
    <w:link w:val="1018"/>
    <w:qFormat/>
    <w:pPr>
      <w:keepNext w:val="true"/>
      <w:pBdr/>
      <w:spacing w:after="120" w:before="120"/>
      <w:ind/>
      <w:jc w:val="center"/>
      <w:outlineLvl w:val="0"/>
    </w:pPr>
    <w:rPr>
      <w:b/>
      <w:bCs/>
      <w:sz w:val="27"/>
      <w:szCs w:val="27"/>
    </w:rPr>
  </w:style>
  <w:style w:type="paragraph" w:styleId="1012">
    <w:name w:val="Heading 2"/>
    <w:basedOn w:val="1010"/>
    <w:next w:val="1010"/>
    <w:link w:val="101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3">
    <w:name w:val="Heading 3"/>
    <w:basedOn w:val="1010"/>
    <w:next w:val="1010"/>
    <w:link w:val="1020"/>
    <w:qFormat/>
    <w:pPr>
      <w:keepNext w:val="true"/>
      <w:pBdr/>
      <w:spacing w:before="60"/>
      <w:ind/>
      <w:outlineLvl w:val="2"/>
    </w:pPr>
    <w:rPr>
      <w:sz w:val="28"/>
      <w:szCs w:val="28"/>
    </w:rPr>
  </w:style>
  <w:style w:type="paragraph" w:styleId="1014">
    <w:name w:val="Heading 4"/>
    <w:basedOn w:val="1010"/>
    <w:next w:val="1010"/>
    <w:link w:val="1021"/>
    <w:qFormat/>
    <w:pPr>
      <w:keepNext w:val="true"/>
      <w:pBdr/>
      <w:spacing/>
      <w:ind/>
      <w:jc w:val="center"/>
      <w:outlineLvl w:val="3"/>
    </w:pPr>
    <w:rPr>
      <w:b/>
      <w:bCs/>
    </w:rPr>
  </w:style>
  <w:style w:type="character" w:styleId="1015" w:default="1">
    <w:name w:val="Default Paragraph Font"/>
    <w:uiPriority w:val="1"/>
    <w:semiHidden/>
    <w:unhideWhenUsed/>
    <w:pPr>
      <w:pBdr/>
      <w:spacing/>
      <w:ind/>
    </w:pPr>
  </w:style>
  <w:style w:type="table" w:styleId="101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7" w:default="1">
    <w:name w:val="No List"/>
    <w:uiPriority w:val="99"/>
    <w:semiHidden/>
    <w:unhideWhenUsed/>
    <w:pPr>
      <w:pBdr/>
      <w:spacing/>
      <w:ind/>
    </w:pPr>
  </w:style>
  <w:style w:type="character" w:styleId="1018" w:customStyle="1">
    <w:name w:val="Heading 1 Char"/>
    <w:basedOn w:val="1015"/>
    <w:link w:val="1011"/>
    <w:pPr>
      <w:pBdr/>
      <w:spacing/>
      <w:ind/>
    </w:pPr>
    <w:rPr>
      <w:rFonts w:ascii="Times New Roman" w:hAnsi="Times New Roman" w:eastAsia="Times New Roman" w:cs="Times New Roman"/>
      <w:b/>
      <w:bCs/>
      <w:sz w:val="27"/>
      <w:szCs w:val="27"/>
    </w:rPr>
  </w:style>
  <w:style w:type="character" w:styleId="1019" w:customStyle="1">
    <w:name w:val="Heading 2 Char"/>
    <w:basedOn w:val="1015"/>
    <w:link w:val="1012"/>
    <w:uiPriority w:val="9"/>
    <w:pPr>
      <w:pBdr/>
      <w:spacing/>
      <w:ind/>
    </w:pPr>
    <w:rPr>
      <w:rFonts w:asciiTheme="majorHAnsi" w:hAnsiTheme="majorHAnsi" w:eastAsiaTheme="majorEastAsia" w:cstheme="majorBidi"/>
      <w:color w:val="365f91" w:themeColor="accent1" w:themeShade="BF"/>
      <w:sz w:val="26"/>
      <w:szCs w:val="26"/>
    </w:rPr>
  </w:style>
  <w:style w:type="character" w:styleId="1020" w:customStyle="1">
    <w:name w:val="Heading 3 Char"/>
    <w:basedOn w:val="1015"/>
    <w:link w:val="1013"/>
    <w:pPr>
      <w:pBdr/>
      <w:spacing/>
      <w:ind/>
    </w:pPr>
    <w:rPr>
      <w:rFonts w:ascii="Times New Roman" w:hAnsi="Times New Roman" w:eastAsia="Times New Roman" w:cs="Times New Roman"/>
      <w:sz w:val="28"/>
      <w:szCs w:val="28"/>
    </w:rPr>
  </w:style>
  <w:style w:type="character" w:styleId="1021" w:customStyle="1">
    <w:name w:val="Heading 4 Char"/>
    <w:basedOn w:val="1015"/>
    <w:link w:val="1014"/>
    <w:pPr>
      <w:pBdr/>
      <w:spacing/>
      <w:ind/>
    </w:pPr>
    <w:rPr>
      <w:rFonts w:ascii="Times New Roman" w:hAnsi="Times New Roman" w:eastAsia="Times New Roman" w:cs="Times New Roman"/>
      <w:b/>
      <w:bCs/>
      <w:sz w:val="24"/>
      <w:szCs w:val="24"/>
    </w:rPr>
  </w:style>
  <w:style w:type="character" w:styleId="1022">
    <w:name w:val="Hyperlink"/>
    <w:uiPriority w:val="99"/>
    <w:pPr>
      <w:pBdr/>
      <w:spacing/>
      <w:ind/>
    </w:pPr>
    <w:rPr>
      <w:color w:val="000000"/>
      <w:u w:val="single"/>
    </w:rPr>
  </w:style>
  <w:style w:type="character" w:styleId="1023">
    <w:name w:val="Strong"/>
    <w:uiPriority w:val="22"/>
    <w:qFormat/>
    <w:pPr>
      <w:pBdr/>
      <w:spacing/>
      <w:ind/>
    </w:pPr>
    <w:rPr>
      <w:b/>
      <w:bCs/>
    </w:rPr>
  </w:style>
  <w:style w:type="paragraph" w:styleId="1024">
    <w:name w:val="Balloon Text"/>
    <w:basedOn w:val="1010"/>
    <w:link w:val="1025"/>
    <w:uiPriority w:val="99"/>
    <w:semiHidden/>
    <w:unhideWhenUsed/>
    <w:pPr>
      <w:pBdr/>
      <w:spacing/>
      <w:ind/>
    </w:pPr>
    <w:rPr>
      <w:rFonts w:ascii="Tahoma" w:hAnsi="Tahoma" w:cs="Tahoma"/>
      <w:sz w:val="16"/>
      <w:szCs w:val="16"/>
    </w:rPr>
  </w:style>
  <w:style w:type="character" w:styleId="1025" w:customStyle="1">
    <w:name w:val="Balloon Text Char"/>
    <w:basedOn w:val="1015"/>
    <w:link w:val="1024"/>
    <w:uiPriority w:val="99"/>
    <w:semiHidden/>
    <w:pPr>
      <w:pBdr/>
      <w:spacing/>
      <w:ind/>
    </w:pPr>
    <w:rPr>
      <w:rFonts w:ascii="Tahoma" w:hAnsi="Tahoma" w:eastAsia="Times New Roman" w:cs="Tahoma"/>
      <w:sz w:val="16"/>
      <w:szCs w:val="16"/>
    </w:rPr>
  </w:style>
  <w:style w:type="paragraph" w:styleId="1026">
    <w:name w:val="Header"/>
    <w:basedOn w:val="1010"/>
    <w:link w:val="1027"/>
    <w:unhideWhenUsed/>
    <w:pPr>
      <w:pBdr/>
      <w:tabs>
        <w:tab w:val="center" w:leader="none" w:pos="4680"/>
        <w:tab w:val="right" w:leader="none" w:pos="9360"/>
      </w:tabs>
      <w:spacing/>
      <w:ind/>
    </w:pPr>
  </w:style>
  <w:style w:type="character" w:styleId="1027" w:customStyle="1">
    <w:name w:val="Header Char"/>
    <w:basedOn w:val="1015"/>
    <w:link w:val="1026"/>
    <w:pPr>
      <w:pBdr/>
      <w:spacing/>
      <w:ind/>
    </w:pPr>
    <w:rPr>
      <w:rFonts w:ascii="Times New Roman" w:hAnsi="Times New Roman" w:eastAsia="Times New Roman" w:cs="Times New Roman"/>
      <w:sz w:val="24"/>
      <w:szCs w:val="24"/>
    </w:rPr>
  </w:style>
  <w:style w:type="paragraph" w:styleId="1028">
    <w:name w:val="Footer"/>
    <w:basedOn w:val="1010"/>
    <w:link w:val="1029"/>
    <w:uiPriority w:val="99"/>
    <w:unhideWhenUsed/>
    <w:pPr>
      <w:pBdr/>
      <w:tabs>
        <w:tab w:val="center" w:leader="none" w:pos="4680"/>
        <w:tab w:val="right" w:leader="none" w:pos="9360"/>
      </w:tabs>
      <w:spacing/>
      <w:ind/>
    </w:pPr>
  </w:style>
  <w:style w:type="character" w:styleId="1029" w:customStyle="1">
    <w:name w:val="Footer Char"/>
    <w:basedOn w:val="1015"/>
    <w:link w:val="1028"/>
    <w:uiPriority w:val="99"/>
    <w:pPr>
      <w:pBdr/>
      <w:spacing/>
      <w:ind/>
    </w:pPr>
    <w:rPr>
      <w:rFonts w:ascii="Times New Roman" w:hAnsi="Times New Roman" w:eastAsia="Times New Roman" w:cs="Times New Roman"/>
      <w:sz w:val="24"/>
      <w:szCs w:val="24"/>
    </w:rPr>
  </w:style>
  <w:style w:type="character" w:styleId="1030" w:customStyle="1">
    <w:name w:val="normal-h1"/>
    <w:pPr>
      <w:pBdr/>
      <w:spacing/>
      <w:ind/>
    </w:pPr>
    <w:rPr>
      <w:rFonts w:hint="default" w:ascii=".VnTime" w:hAnsi=".VnTime"/>
      <w:color w:val="0000ff"/>
      <w:sz w:val="24"/>
      <w:szCs w:val="24"/>
    </w:rPr>
  </w:style>
  <w:style w:type="paragraph" w:styleId="1031" w:customStyle="1">
    <w:name w:val="normal-p"/>
    <w:basedOn w:val="1010"/>
    <w:pPr>
      <w:pBdr/>
      <w:spacing/>
      <w:ind/>
      <w:jc w:val="both"/>
    </w:pPr>
    <w:rPr>
      <w:sz w:val="20"/>
      <w:szCs w:val="20"/>
    </w:rPr>
  </w:style>
  <w:style w:type="paragraph" w:styleId="1032">
    <w:name w:val="List Paragraph"/>
    <w:basedOn w:val="1010"/>
    <w:link w:val="1119"/>
    <w:uiPriority w:val="34"/>
    <w:qFormat/>
    <w:pPr>
      <w:pBdr/>
      <w:spacing/>
      <w:ind w:left="720"/>
    </w:pPr>
  </w:style>
  <w:style w:type="paragraph" w:styleId="1033">
    <w:name w:val="Normal (Web)"/>
    <w:basedOn w:val="1010"/>
    <w:uiPriority w:val="99"/>
    <w:pPr>
      <w:pBdr/>
      <w:spacing w:after="100" w:afterAutospacing="1" w:before="100" w:beforeAutospacing="1"/>
      <w:ind/>
    </w:pPr>
  </w:style>
  <w:style w:type="paragraph" w:styleId="1034">
    <w:name w:val="Body Text"/>
    <w:basedOn w:val="1010"/>
    <w:link w:val="1035"/>
    <w:pPr>
      <w:pBdr/>
      <w:spacing w:after="120"/>
      <w:ind/>
      <w:jc w:val="both"/>
    </w:pPr>
  </w:style>
  <w:style w:type="character" w:styleId="1035" w:customStyle="1">
    <w:name w:val="Body Text Char"/>
    <w:basedOn w:val="1015"/>
    <w:link w:val="1034"/>
    <w:pPr>
      <w:pBdr/>
      <w:spacing/>
      <w:ind/>
    </w:pPr>
    <w:rPr>
      <w:rFonts w:ascii="Times New Roman" w:hAnsi="Times New Roman" w:eastAsia="Times New Roman" w:cs="Times New Roman"/>
      <w:sz w:val="24"/>
      <w:szCs w:val="24"/>
    </w:rPr>
  </w:style>
  <w:style w:type="table" w:styleId="1036">
    <w:name w:val="Table Grid"/>
    <w:basedOn w:val="101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8">
    <w:name w:val="annotation reference"/>
    <w:basedOn w:val="1015"/>
    <w:uiPriority w:val="99"/>
    <w:semiHidden/>
    <w:unhideWhenUsed/>
    <w:pPr>
      <w:pBdr/>
      <w:spacing/>
      <w:ind/>
    </w:pPr>
    <w:rPr>
      <w:sz w:val="16"/>
      <w:szCs w:val="16"/>
    </w:rPr>
  </w:style>
  <w:style w:type="paragraph" w:styleId="1039">
    <w:name w:val="annotation text"/>
    <w:basedOn w:val="1010"/>
    <w:link w:val="1040"/>
    <w:uiPriority w:val="99"/>
    <w:unhideWhenUsed/>
    <w:pPr>
      <w:pBdr/>
      <w:spacing/>
      <w:ind/>
    </w:pPr>
    <w:rPr>
      <w:sz w:val="20"/>
      <w:szCs w:val="20"/>
    </w:rPr>
  </w:style>
  <w:style w:type="character" w:styleId="1040" w:customStyle="1">
    <w:name w:val="Comment Text Char"/>
    <w:basedOn w:val="1015"/>
    <w:link w:val="1039"/>
    <w:uiPriority w:val="99"/>
    <w:pPr>
      <w:pBdr/>
      <w:spacing/>
      <w:ind/>
    </w:pPr>
    <w:rPr>
      <w:rFonts w:ascii="Times New Roman" w:hAnsi="Times New Roman" w:eastAsia="Times New Roman" w:cs="Times New Roman"/>
      <w:sz w:val="20"/>
      <w:szCs w:val="20"/>
    </w:rPr>
  </w:style>
  <w:style w:type="paragraph" w:styleId="1041">
    <w:name w:val="annotation subject"/>
    <w:basedOn w:val="1039"/>
    <w:next w:val="1039"/>
    <w:link w:val="1042"/>
    <w:uiPriority w:val="99"/>
    <w:semiHidden/>
    <w:unhideWhenUsed/>
    <w:pPr>
      <w:pBdr/>
      <w:spacing/>
      <w:ind/>
    </w:pPr>
    <w:rPr>
      <w:b/>
      <w:bCs/>
    </w:rPr>
  </w:style>
  <w:style w:type="character" w:styleId="1042" w:customStyle="1">
    <w:name w:val="Comment Subject Char"/>
    <w:basedOn w:val="1040"/>
    <w:link w:val="1041"/>
    <w:uiPriority w:val="99"/>
    <w:semiHidden/>
    <w:pPr>
      <w:pBdr/>
      <w:spacing/>
      <w:ind/>
    </w:pPr>
    <w:rPr>
      <w:rFonts w:ascii="Times New Roman" w:hAnsi="Times New Roman" w:eastAsia="Times New Roman" w:cs="Times New Roman"/>
      <w:b/>
      <w:bCs/>
      <w:sz w:val="20"/>
      <w:szCs w:val="20"/>
    </w:rPr>
  </w:style>
  <w:style w:type="paragraph" w:styleId="1043" w:customStyle="1">
    <w:name w:val="font5"/>
    <w:basedOn w:val="1010"/>
    <w:pPr>
      <w:pBdr/>
      <w:spacing w:after="100" w:afterAutospacing="1" w:before="100" w:beforeAutospacing="1"/>
      <w:ind/>
    </w:pPr>
    <w:rPr>
      <w:rFonts w:ascii="Tahoma" w:hAnsi="Tahoma" w:cs="Tahoma"/>
      <w:color w:val="000000"/>
      <w:sz w:val="18"/>
      <w:szCs w:val="18"/>
    </w:rPr>
  </w:style>
  <w:style w:type="paragraph" w:styleId="1044" w:customStyle="1">
    <w:name w:val="font6"/>
    <w:basedOn w:val="1010"/>
    <w:pPr>
      <w:pBdr/>
      <w:spacing w:after="100" w:afterAutospacing="1" w:before="100" w:beforeAutospacing="1"/>
      <w:ind/>
    </w:pPr>
    <w:rPr>
      <w:rFonts w:ascii="Tahoma" w:hAnsi="Tahoma" w:cs="Tahoma"/>
      <w:b/>
      <w:bCs/>
      <w:color w:val="000000"/>
      <w:sz w:val="18"/>
      <w:szCs w:val="18"/>
    </w:rPr>
  </w:style>
  <w:style w:type="paragraph" w:styleId="1045" w:customStyle="1">
    <w:name w:val="xl23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34"/>
    <w:basedOn w:val="1010"/>
    <w:pPr>
      <w:pBdr/>
      <w:spacing w:after="100" w:afterAutospacing="1" w:before="100" w:beforeAutospacing="1"/>
      <w:ind/>
      <w:jc w:val="center"/>
    </w:pPr>
  </w:style>
  <w:style w:type="paragraph" w:styleId="1047" w:customStyle="1">
    <w:name w:val="xl235"/>
    <w:basedOn w:val="1010"/>
    <w:pPr>
      <w:pBdr/>
      <w:spacing w:after="100" w:afterAutospacing="1" w:before="100" w:beforeAutospacing="1"/>
      <w:ind/>
      <w:jc w:val="center"/>
    </w:pPr>
    <w:rPr>
      <w:b/>
      <w:bCs/>
    </w:rPr>
  </w:style>
  <w:style w:type="paragraph" w:styleId="1048" w:customStyle="1">
    <w:name w:val="xl236"/>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3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38"/>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1" w:customStyle="1">
    <w:name w:val="xl23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40"/>
    <w:basedOn w:val="1010"/>
    <w:pPr>
      <w:pBdr/>
      <w:spacing w:after="100" w:afterAutospacing="1" w:before="100" w:beforeAutospacing="1"/>
      <w:ind/>
    </w:pPr>
  </w:style>
  <w:style w:type="paragraph" w:styleId="1053" w:customStyle="1">
    <w:name w:val="xl241"/>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42"/>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3"/>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44"/>
    <w:basedOn w:val="1010"/>
    <w:pPr>
      <w:pBdr/>
      <w:spacing w:after="100" w:afterAutospacing="1" w:before="100" w:beforeAutospacing="1"/>
      <w:ind/>
    </w:pPr>
    <w:rPr>
      <w:b/>
      <w:bCs/>
    </w:rPr>
  </w:style>
  <w:style w:type="paragraph" w:styleId="1057" w:customStyle="1">
    <w:name w:val="xl245"/>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9" w:customStyle="1">
    <w:name w:val="xl247"/>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4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1" w:customStyle="1">
    <w:name w:val="xl24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5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5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3"/>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4"/>
    <w:basedOn w:val="101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5"/>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8"/>
    <w:basedOn w:val="101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0"/>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1"/>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2"/>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3"/>
    <w:basedOn w:val="1010"/>
    <w:pPr>
      <w:pBdr/>
      <w:shd w:val="clear" w:color="000000" w:fill="ffffff"/>
      <w:spacing w:after="100" w:afterAutospacing="1" w:before="100" w:beforeAutospacing="1"/>
      <w:ind/>
    </w:pPr>
  </w:style>
  <w:style w:type="paragraph" w:styleId="1076" w:customStyle="1">
    <w:name w:val="xl264"/>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5"/>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6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9" w:customStyle="1">
    <w:name w:val="xl26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68"/>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9"/>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7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1"/>
    <w:basedOn w:val="101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4" w:customStyle="1">
    <w:name w:val="xl27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73"/>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6" w:customStyle="1">
    <w:name w:val="xl274"/>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5"/>
    <w:basedOn w:val="1010"/>
    <w:pPr>
      <w:pBdr/>
      <w:spacing w:after="100" w:afterAutospacing="1" w:before="100" w:beforeAutospacing="1"/>
      <w:ind/>
    </w:pPr>
  </w:style>
  <w:style w:type="paragraph" w:styleId="1088" w:customStyle="1">
    <w:name w:val="xl27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77"/>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7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7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8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8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4"/>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5"/>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7"/>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8"/>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89"/>
    <w:basedOn w:val="1010"/>
    <w:pPr>
      <w:pBdr>
        <w:left w:val="single" w:color="000000" w:sz="4" w:space="0"/>
        <w:right w:val="single" w:color="000000" w:sz="4" w:space="0"/>
      </w:pBdr>
      <w:spacing w:after="100" w:afterAutospacing="1" w:before="100" w:beforeAutospacing="1"/>
      <w:ind/>
    </w:pPr>
    <w:rPr>
      <w:b/>
      <w:bCs/>
    </w:rPr>
  </w:style>
  <w:style w:type="paragraph" w:styleId="1102" w:customStyle="1">
    <w:name w:val="xl29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91"/>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92"/>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93"/>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94"/>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name w:val="Title"/>
    <w:basedOn w:val="1010"/>
    <w:link w:val="1108"/>
    <w:qFormat/>
    <w:pPr>
      <w:pBdr/>
      <w:spacing/>
      <w:ind/>
      <w:jc w:val="center"/>
    </w:pPr>
    <w:rPr>
      <w:b/>
      <w:bCs/>
      <w:sz w:val="32"/>
      <w:szCs w:val="26"/>
    </w:rPr>
  </w:style>
  <w:style w:type="character" w:styleId="1108" w:customStyle="1">
    <w:name w:val="Title Char"/>
    <w:basedOn w:val="1015"/>
    <w:link w:val="1107"/>
    <w:pPr>
      <w:pBdr/>
      <w:spacing/>
      <w:ind/>
    </w:pPr>
    <w:rPr>
      <w:rFonts w:ascii="Times New Roman" w:hAnsi="Times New Roman" w:eastAsia="Times New Roman" w:cs="Times New Roman"/>
      <w:b/>
      <w:bCs/>
      <w:sz w:val="32"/>
      <w:szCs w:val="26"/>
    </w:rPr>
  </w:style>
  <w:style w:type="character" w:styleId="1109" w:customStyle="1">
    <w:name w:val="Unresolved Mention1"/>
    <w:basedOn w:val="1015"/>
    <w:uiPriority w:val="99"/>
    <w:semiHidden/>
    <w:unhideWhenUsed/>
    <w:pPr>
      <w:pBdr/>
      <w:spacing/>
      <w:ind/>
    </w:pPr>
    <w:rPr>
      <w:color w:val="605e5c"/>
      <w:shd w:val="clear" w:color="auto" w:fill="e1dfdd"/>
    </w:rPr>
  </w:style>
  <w:style w:type="character" w:styleId="1110" w:customStyle="1">
    <w:name w:val="Body text (3)_"/>
    <w:link w:val="1111"/>
    <w:pPr>
      <w:pBdr/>
      <w:spacing/>
      <w:ind/>
    </w:pPr>
    <w:rPr>
      <w:rFonts w:ascii="Times New Roman" w:hAnsi="Times New Roman" w:cs="Times New Roman"/>
      <w:i/>
      <w:iCs/>
      <w:spacing w:val="4"/>
      <w:shd w:val="clear" w:color="auto" w:fill="ffffff"/>
    </w:rPr>
  </w:style>
  <w:style w:type="paragraph" w:styleId="1111" w:customStyle="1">
    <w:name w:val="Body text (3)1"/>
    <w:basedOn w:val="1010"/>
    <w:link w:val="111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2" w:customStyle="1">
    <w:name w:val="t-j"/>
    <w:basedOn w:val="1010"/>
    <w:pPr>
      <w:pBdr/>
      <w:spacing w:after="100" w:afterAutospacing="1" w:before="100" w:beforeAutospacing="1"/>
      <w:ind/>
    </w:pPr>
  </w:style>
  <w:style w:type="character" w:styleId="1113" w:customStyle="1">
    <w:name w:val="Unresolved Mention2"/>
    <w:basedOn w:val="1015"/>
    <w:uiPriority w:val="99"/>
    <w:semiHidden/>
    <w:unhideWhenUsed/>
    <w:pPr>
      <w:pBdr/>
      <w:spacing/>
      <w:ind/>
    </w:pPr>
    <w:rPr>
      <w:color w:val="605e5c"/>
      <w:shd w:val="clear" w:color="auto" w:fill="e1dfdd"/>
    </w:rPr>
  </w:style>
  <w:style w:type="character" w:styleId="1114">
    <w:name w:val="FollowedHyperlink"/>
    <w:basedOn w:val="1015"/>
    <w:uiPriority w:val="99"/>
    <w:semiHidden/>
    <w:unhideWhenUsed/>
    <w:pPr>
      <w:pBdr/>
      <w:spacing/>
      <w:ind/>
    </w:pPr>
    <w:rPr>
      <w:color w:val="800080" w:themeColor="followedHyperlink"/>
      <w:u w:val="single"/>
    </w:rPr>
  </w:style>
  <w:style w:type="character" w:styleId="1115" w:customStyle="1">
    <w:name w:val="text"/>
    <w:basedOn w:val="1015"/>
    <w:pPr>
      <w:pBdr/>
      <w:spacing/>
      <w:ind/>
    </w:pPr>
  </w:style>
  <w:style w:type="character" w:styleId="1116" w:customStyle="1">
    <w:name w:val="card-send-time__sendtime"/>
    <w:basedOn w:val="1015"/>
    <w:pPr>
      <w:pBdr/>
      <w:spacing/>
      <w:ind/>
    </w:pPr>
  </w:style>
  <w:style w:type="character" w:styleId="1117" w:customStyle="1">
    <w:name w:val="Đề cập Chưa giải quyết1"/>
    <w:basedOn w:val="1015"/>
    <w:uiPriority w:val="99"/>
    <w:semiHidden/>
    <w:unhideWhenUsed/>
    <w:pPr>
      <w:pBdr/>
      <w:spacing/>
      <w:ind/>
    </w:pPr>
    <w:rPr>
      <w:color w:val="605e5c"/>
      <w:shd w:val="clear" w:color="auto" w:fill="e1dfdd"/>
    </w:rPr>
  </w:style>
  <w:style w:type="paragraph" w:styleId="1118" w:customStyle="1">
    <w:name w:val="nqtitle"/>
    <w:basedOn w:val="1010"/>
    <w:pPr>
      <w:pBdr/>
      <w:spacing w:after="100" w:afterAutospacing="1" w:before="100" w:beforeAutospacing="1"/>
      <w:ind/>
    </w:pPr>
    <w:rPr>
      <w:lang w:val="vi-VN" w:eastAsia="vi-VN"/>
    </w:rPr>
  </w:style>
  <w:style w:type="character" w:styleId="1119" w:customStyle="1">
    <w:name w:val="List Paragraph Char"/>
    <w:link w:val="1032"/>
    <w:uiPriority w:val="34"/>
    <w:qFormat/>
    <w:pPr>
      <w:pBdr/>
      <w:spacing/>
      <w:ind/>
    </w:pPr>
    <w:rPr>
      <w:rFonts w:ascii="Times New Roman" w:hAnsi="Times New Roman" w:eastAsia="Times New Roman" w:cs="Times New Roman"/>
      <w:sz w:val="24"/>
      <w:szCs w:val="24"/>
    </w:rPr>
  </w:style>
  <w:style w:type="character" w:styleId="1120" w:customStyle="1">
    <w:name w:val="Đề cập Chưa giải quyết2"/>
    <w:basedOn w:val="1015"/>
    <w:uiPriority w:val="99"/>
    <w:semiHidden/>
    <w:unhideWhenUsed/>
    <w:pPr>
      <w:pBdr/>
      <w:spacing/>
      <w:ind/>
    </w:pPr>
    <w:rPr>
      <w:color w:val="605e5c"/>
      <w:shd w:val="clear" w:color="auto" w:fill="e1dfdd"/>
    </w:rPr>
  </w:style>
  <w:style w:type="character" w:styleId="1121" w:customStyle="1">
    <w:name w:val="Unresolved Mention3"/>
    <w:basedOn w:val="1015"/>
    <w:uiPriority w:val="99"/>
    <w:semiHidden/>
    <w:unhideWhenUsed/>
    <w:pPr>
      <w:pBdr/>
      <w:spacing/>
      <w:ind/>
    </w:pPr>
    <w:rPr>
      <w:color w:val="605e5c"/>
      <w:shd w:val="clear" w:color="auto" w:fill="e1dfdd"/>
    </w:rPr>
  </w:style>
  <w:style w:type="character" w:styleId="1122" w:customStyle="1">
    <w:name w:val="copy"/>
    <w:basedOn w:val="1015"/>
    <w:pPr>
      <w:pBdr/>
      <w:spacing/>
      <w:ind/>
    </w:pPr>
  </w:style>
  <w:style w:type="paragraph" w:styleId="1123" w:customStyle="1">
    <w:name w:val="align-justify"/>
    <w:basedOn w:val="1010"/>
    <w:pPr>
      <w:pBdr/>
      <w:spacing w:after="100" w:afterAutospacing="1" w:before="100" w:beforeAutospacing="1"/>
      <w:ind/>
    </w:pPr>
  </w:style>
  <w:style w:type="character" w:styleId="1124" w:customStyle="1">
    <w:name w:val="btn"/>
    <w:basedOn w:val="1015"/>
    <w:pPr>
      <w:pBdr/>
      <w:spacing/>
      <w:ind/>
    </w:pPr>
  </w:style>
  <w:style w:type="character" w:styleId="1125" w:customStyle="1">
    <w:name w:val="hide_mobile"/>
    <w:basedOn w:val="1015"/>
    <w:pPr>
      <w:pBdr/>
      <w:spacing/>
      <w:ind/>
    </w:pPr>
  </w:style>
  <w:style w:type="character" w:styleId="1126">
    <w:name w:val="Emphasis"/>
    <w:basedOn w:val="1015"/>
    <w:uiPriority w:val="20"/>
    <w:qFormat/>
    <w:pPr>
      <w:pBdr/>
      <w:spacing/>
      <w:ind/>
    </w:pPr>
    <w:rPr>
      <w:i/>
      <w:iCs/>
    </w:rPr>
  </w:style>
  <w:style w:type="character" w:styleId="1127" w:customStyle="1">
    <w:name w:val="t1"/>
    <w:basedOn w:val="1015"/>
    <w:pPr>
      <w:pBdr/>
      <w:spacing/>
      <w:ind/>
    </w:pPr>
  </w:style>
  <w:style w:type="character" w:styleId="1128" w:customStyle="1">
    <w:name w:val="Unresolved Mention4"/>
    <w:basedOn w:val="1015"/>
    <w:uiPriority w:val="99"/>
    <w:semiHidden/>
    <w:unhideWhenUsed/>
    <w:pPr>
      <w:pBdr/>
      <w:spacing/>
      <w:ind/>
    </w:pPr>
    <w:rPr>
      <w:color w:val="605e5c"/>
      <w:shd w:val="clear" w:color="auto" w:fill="e1dfdd"/>
    </w:rPr>
  </w:style>
  <w:style w:type="character" w:styleId="1129">
    <w:name w:val="Unresolved Mention"/>
    <w:basedOn w:val="101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511</cp:revision>
  <dcterms:created xsi:type="dcterms:W3CDTF">2025-09-15T02:01:00Z</dcterms:created>
  <dcterms:modified xsi:type="dcterms:W3CDTF">2026-07-20T04:07:06Z</dcterms:modified>
</cp:coreProperties>
</file>