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bCs/>
          <w:sz w:val="28"/>
          <w:szCs w:val="28"/>
          <w:lang w:val="vi-VN"/>
        </w:rPr>
      </w:pPr>
      <w:r>
        <w:rPr>
          <w:b/>
          <w:bCs/>
          <w:sz w:val="28"/>
          <w:szCs w:val="28"/>
          <w:lang w:val="vi-VN"/>
        </w:rPr>
      </w:r>
      <w:r>
        <w:rPr>
          <w:b/>
          <w:bCs/>
          <w:sz w:val="28"/>
          <w:szCs w:val="28"/>
          <w:lang w:val="vi-VN"/>
        </w:rPr>
      </w:r>
    </w:p>
    <w:p>
      <w:pPr>
        <w:pBdr/>
        <w:spacing/>
        <w:ind w:right="-1"/>
        <w:jc w:val="center"/>
        <w:rPr>
          <w:b/>
          <w:bCs/>
          <w:sz w:val="28"/>
          <w:szCs w:val="28"/>
          <w:lang w:val="vi-VN"/>
        </w:rPr>
      </w:pPr>
      <w:r>
        <w:rPr>
          <w:b/>
          <w:bCs/>
          <w:sz w:val="28"/>
          <w:szCs w:val="28"/>
          <w:lang w:val="vi-VN"/>
        </w:rPr>
      </w:r>
      <w:r>
        <w:rPr>
          <w:b/>
          <w:bCs/>
          <w:sz w:val="28"/>
          <w:szCs w:val="28"/>
          <w:lang w:val="vi-VN"/>
        </w:rPr>
      </w:r>
      <w:r>
        <w:rPr>
          <w:b/>
          <w:bCs/>
          <w:sz w:val="28"/>
          <w:szCs w:val="28"/>
          <w:lang w:val="vi-VN"/>
        </w:rPr>
      </w:r>
    </w:p>
    <w:p>
      <w:pPr>
        <w:pBdr/>
        <w:spacing/>
        <w:ind w:right="-1"/>
        <w:jc w:val="center"/>
        <w:rPr>
          <w:b/>
          <w:bCs/>
          <w:sz w:val="28"/>
          <w:szCs w:val="28"/>
          <w:lang w:val="vi-VN"/>
        </w:rPr>
      </w:pPr>
      <w:r>
        <w:rPr>
          <w:b/>
          <w:sz w:val="28"/>
          <w:lang w:val="vi-VN"/>
        </w:rPr>
      </w:r>
      <w:r>
        <w:rPr>
          <w:b/>
          <w:bCs/>
          <w:sz w:val="28"/>
          <w:szCs w:val="28"/>
          <w:lang w:val="vi-VN"/>
        </w:rPr>
      </w:r>
      <w:r>
        <w:rPr>
          <w:b/>
          <w:bCs/>
          <w:sz w:val="28"/>
          <w:szCs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444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444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275/2026/1189/VFI-CT.C01.A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Trần Khánh Ly</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w:t>
                            </w:r>
                            <w:r>
                              <w:rPr>
                                <w:color w:val="000000"/>
                              </w:rPr>
                              <w:t xml:space="preserve">ố 85, tờ bản đồ số: 42, địa chỉ: Đường Chùa Đông, phường Phố Hiến, tỉnh Hưng Yên,</w:t>
                            </w:r>
                            <w:r>
                              <w:rPr>
                                <w:color w:val="000000"/>
                              </w:rPr>
                              <w:t xml:space="preserve"> theo Giấy chứng nhận quyền sử dụng đất, quyền sở hữu nhà ở và tài sản gắn liền với đất số: DC 189730; Số vào sổ cấp GCN: CS01937 do Sở Tài nguyên và Môi trường tỉnh Hưng Yên cấp ngày 07/3/2022. Chủ sử dụng đất là bà Trần Khánh Ly </w:t>
                            </w:r>
                            <w:r>
                              <w:rPr>
                                <w:i/>
                                <w:iCs/>
                                <w:color w:val="000000"/>
                              </w:rPr>
                              <w:t xml:space="preserve">(Cập nhật ngày 08/5/2026)</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3.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275/2026/1189/VFI-CT.C01.A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Trần Khánh Ly</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w:t>
                      </w:r>
                      <w:r>
                        <w:rPr>
                          <w:color w:val="000000"/>
                        </w:rPr>
                        <w:t xml:space="preserve">ố 85, tờ bản đồ số: 42, địa chỉ: Đường Chùa Đông, phường Phố Hiến, tỉnh Hưng Yên,</w:t>
                      </w:r>
                      <w:r>
                        <w:rPr>
                          <w:color w:val="000000"/>
                        </w:rPr>
                        <w:t xml:space="preserve"> theo Giấy chứng nhận quyền sử dụng đất, quyền sở hữu nhà ở và tài sản gắn liền với đất số: DC 189730; Số vào sổ cấp GCN: CS01937 do Sở Tài nguyên và Môi trường tỉnh Hưng Yên cấp ngày 07/3/2022. Chủ sử dụng đất là bà Trần Khánh Ly </w:t>
                      </w:r>
                      <w:r>
                        <w:rPr>
                          <w:i/>
                          <w:iCs/>
                          <w:color w:val="000000"/>
                        </w:rPr>
                        <w:t xml:space="preserve">(Cập nhật ngày 08/5/2026)</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 + Pháp lý</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22-23</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24-33</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1559"/>
        <w:gridCol w:w="12826"/>
      </w:tblGrid>
      <w:tr>
        <w:trPr>
          <w:trHeight w:val="1152"/>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82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4385"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275/2026/1189/VFI-CT.C01.A                                              </w:t>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4 tháng 8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Trần Khánh Ly</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275/2026/1189/VFI-HĐTĐ.C01.A</w:t>
      </w:r>
      <w:r>
        <w:rPr>
          <w:spacing w:val="-4"/>
          <w:lang w:val="vi-VN"/>
        </w:rPr>
        <w:t xml:space="preserve"> ký ngày </w:t>
      </w:r>
      <w:r>
        <w:rPr>
          <w:color w:val="000000" w:themeColor="text1"/>
          <w:spacing w:val="-4"/>
        </w:rPr>
        <w:t xml:space="preserve">23 tháng 7 năm 2026</w:t>
      </w:r>
      <w:r>
        <w:rPr>
          <w:spacing w:val="-4"/>
          <w:lang w:val="vi-VN"/>
        </w:rPr>
        <w:t xml:space="preserve"> </w:t>
      </w:r>
      <w:r>
        <w:rPr>
          <w:spacing w:val="-4"/>
          <w:lang w:val="vi-VN"/>
        </w:rPr>
        <w:t xml:space="preserve">giữa </w:t>
      </w:r>
      <w:r>
        <w:rPr>
          <w:color w:val="000000" w:themeColor="text1"/>
          <w:spacing w:val="-4"/>
        </w:rPr>
        <w:t xml:space="preserve">Bà Trần Khánh Ly</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275/2026/1189/VFI-BC.C01.A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4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Trần Khánh Ly</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001300002700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2000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Đường Chùa Đông, phường Phố Hiến, tỉnh Hưng Yên</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i/>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85, tờ bản đồ số: 42, địa chỉ: Đường Chùa Đông, phường Phố Hiến, tỉnh Hưng Yên,</w:t>
      </w:r>
      <w:r>
        <w:rPr>
          <w:color w:val="000000" w:themeColor="text1"/>
        </w:rPr>
        <w:t xml:space="preserve"> theo Giấy chứng nhận quyền sử dụng đất, quyền sở hữu nhà ở và tài sản gắn liền với đất số: DC 189730; Số vào sổ cấp GCN: CS01937 do Sở Tài nguyên và Môi trường tỉnh Hưng Yên cấp ngày 07/3/2022. Chủ sử dụng đất là bà Trần Khánh Ly</w:t>
      </w:r>
      <w:r>
        <w:rPr>
          <w:i/>
          <w:iCs/>
          <w:color w:val="000000" w:themeColor="text1"/>
        </w:rPr>
        <w:t xml:space="preserve"> (Cập nhật ngày 08/5/2026)</w:t>
      </w:r>
      <w:r>
        <w:rPr>
          <w:i/>
          <w:iCs/>
        </w:rPr>
        <w:t xml:space="preserve">.</w:t>
      </w:r>
      <w:r>
        <w:rPr>
          <w:b/>
          <w:bCs/>
          <w:i/>
        </w:rPr>
      </w:r>
      <w:r>
        <w:rPr>
          <w:b/>
          <w:bCs/>
          <w:i/>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i/>
              </w:rPr>
            </w:pPr>
            <w:r>
              <w:rPr>
                <w:color w:val="000000"/>
              </w:rPr>
              <w:t xml:space="preserve">Quyền sử dụng đất tại Thửa đất số 85, tờ bản đồ số: 42, địa chỉ: Đường Chùa Đông, phường Phố Hiến, tỉnh Hưng Yên,</w:t>
            </w:r>
            <w:r>
              <w:rPr>
                <w:color w:val="000000"/>
              </w:rPr>
              <w:t xml:space="preserve"> theo Giấy chứng nhận quyền sử dụng đất, quyền sở hữu nhà ở và tài sản gắn liền với đất số: DC 189730; Số vào sổ cấp GCN: CS01937 do Sở Tài nguyên và Môi trường tỉnh Hưng Yên cấp ngày 07/3/2022. Chủ sử dụng đất là bà Trần Khánh Ly </w:t>
            </w:r>
            <w:r>
              <w:rPr>
                <w:i/>
                <w:iCs/>
                <w:color w:val="000000"/>
              </w:rPr>
              <w:t xml:space="preserve">(Cập nhật ngày 08/5/2026)</w:t>
            </w:r>
            <w:r>
              <w:rPr>
                <w:b/>
                <w:bCs/>
                <w:i/>
                <w:iCs/>
              </w:rPr>
              <w:t xml:space="preserve">.</w:t>
            </w:r>
            <w:r>
              <w:rPr>
                <w:b/>
                <w:bCs/>
                <w:i/>
              </w:rPr>
            </w:r>
            <w:r>
              <w:rPr>
                <w:b/>
                <w:bCs/>
                <w:i/>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163,5</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11.445.000.000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11.445.000.000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bốn trăm bốn mươi lăm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1701"/>
        <w:gridCol w:w="12688"/>
      </w:tblGrid>
      <w:tr>
        <w:trPr>
          <w:trHeight w:val="1843"/>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68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4389"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275/2026/1189/VFI-BC.C01.A                                                </w:t>
            </w: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4 tháng 8 năm 2026</w:t>
            </w:r>
            <w:r>
              <w:rPr>
                <w:color w:val="000000" w:themeColor="text1"/>
                <w:sz w:val="24"/>
                <w:szCs w:val="24"/>
              </w:rPr>
            </w:r>
            <w:r>
              <w:rPr>
                <w:color w:val="000000" w:themeColor="text1"/>
                <w:sz w:val="24"/>
                <w:szCs w:val="24"/>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275/2026/1189/VFI-CT.C01.A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4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Trần Khánh Ly</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001300002700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2000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Đường Chùa Đông, phường Phố Hiến, tỉnh Hưng Yên</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85, tờ bản đồ số: 42, địa chỉ: Đường Chùa Đông, phường Phố Hiến, tỉnh Hưng Yên,</w:t>
            </w:r>
            <w:r>
              <w:rPr>
                <w:bCs/>
                <w:color w:val="000000" w:themeColor="text1"/>
                <w:lang w:val="pt-BR"/>
              </w:rPr>
              <w:t xml:space="preserve"> theo Giấy chứng nhận quyền sử dụng đất, quyền sở hữu nhà ở và tài sản gắn liền với đất số: DC 189730; Số vào sổ cấp GCN: CS01937 do Sở Tài nguyên và Môi trường tỉnh Hưng Yên cấp ngày 07/3/2022. Chủ sử dụng đất là bà Trần Khánh Ly </w:t>
            </w:r>
            <w:r>
              <w:rPr>
                <w:bCs/>
                <w:i/>
                <w:iCs/>
                <w:color w:val="000000" w:themeColor="text1"/>
                <w:lang w:val="pt-BR"/>
              </w:rPr>
              <w:t xml:space="preserve">(Cập nhật ngày 08/5/2026)</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Phố Hiến, Tỉnh Hưng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20.656361111111, 106.06047222222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23/07/2026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spacing w:after="120" w:before="120" w:line="276" w:lineRule="auto"/>
        <w:ind/>
        <w:jc w:val="both"/>
        <w:rPr>
          <w:spacing w:val="-4"/>
          <w:lang w:val="pt-BR"/>
        </w:rPr>
      </w:pPr>
      <w:r>
        <w:rPr>
          <w:rFonts w:ascii="Times New Roman" w:hAnsi="Times New Roman" w:eastAsia="Times New Roman" w:cs="Times New Roman"/>
          <w:color w:val="000000"/>
          <w:sz w:val="24"/>
        </w:rPr>
        <w:t xml:space="preserve">Quyết định số 425/QĐ-BXD ngày 30/3/2026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gắn liền với đất số: DC 189730; Số vào sổ cấp GCN: CS01937 do Sở Tài nguyên và Môi trường tỉnh Hưng Yên cấp ngày 07/3/2022. Chủ sử dụng đất là bà Trần Khánh Ly </w:t>
      </w:r>
      <w:r>
        <w:rPr>
          <w:bCs/>
          <w:i/>
          <w:iCs/>
          <w:color w:val="000000" w:themeColor="text1"/>
          <w:lang w:val="pt-BR"/>
        </w:rPr>
        <w:t xml:space="preserve">(Cập nhật ngày 08/5/2026)</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275/2026/1189/VFI-HĐTĐ.C01.A ngày 23/07/2026 giữa Bà Trần Khánh Ly với Công ty Cổ phần Thẩm định và Đầu tư Tài chính Hoa Sen.</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360" w:lineRule="auto"/>
        <w:ind/>
        <w:rPr>
          <w:iCs/>
        </w:rPr>
      </w:pPr>
      <w:r>
        <w:rPr>
          <w:b/>
          <w:bCs/>
          <w:lang w:val="pt-BR"/>
        </w:rPr>
        <w:tab/>
      </w:r>
      <w:r>
        <w:rPr>
          <w:b/>
          <w:bCs/>
          <w:shd w:val="clear" w:color="auto" w:fill="ffffff"/>
        </w:rPr>
        <w:t xml:space="preserve">Giá đất Hưng Yên “nhảy vọt” chưa từng có: Có nơi tăng hơn 10 lần</w:t>
      </w:r>
      <w:r>
        <w:rPr>
          <w:shd w:val="clear" w:color="auto" w:fill="ffffff"/>
        </w:rPr>
        <w:br/>
        <w:tab/>
      </w:r>
      <w:r>
        <w:rPr>
          <w:shd w:val="clear" w:color="auto" w:fill="ffffff"/>
        </w:rPr>
        <w:t xml:space="preserve">HĐND tỉnh vừa thông qua nghị quyết ban hành bảng giá đất mới, chính thức áp dụng từ ngày 1/1/2026. Theo đó, mặt bằng giá đất ở tại hầu hết khu vực tăng mạnh, nhiều nơi ghi nhận mức tăng gấp 8-10 lần.</w:t>
        <w:br/>
        <w:tab/>
      </w:r>
      <w:r>
        <w:rPr>
          <w:shd w:val="clear" w:color="auto" w:fill="ffffff"/>
        </w:rPr>
        <w:t xml:space="preserve">Tại khu vực TP Hưng Yên cũ, giá đất ở đô thị đồng loạt leo thang. Mức cao nhất hiện đạt 100 triệu đồng/m2 tại mặt đ</w:t>
      </w:r>
      <w:r>
        <w:rPr>
          <w:shd w:val="clear" w:color="auto" w:fill="ffffff"/>
        </w:rPr>
        <w:t xml:space="preserve">ường Điện Biên, đoạn từ Tô Hiệu đến ngã tư Nguyễn Thiện Thuật, tăng khoảng 3,6 lần so với trước đây.</w:t>
        <w:br/>
        <w:tab/>
        <w:t xml:space="preserve">Hàng loạt tuyến phố trung tâm khác như Hồ Xuân Hương, Đoàn Thị Điểm, Chu Mạnh Trinh hay Chùa Chuông cũng ghi nhận mức tăng phổ biến từ 3 đến hơn 5 lần, đư</w:t>
      </w:r>
      <w:r>
        <w:rPr>
          <w:shd w:val="clear" w:color="auto" w:fill="ffffff"/>
        </w:rPr>
        <w:t xml:space="preserve">a giá đất nhiều tuyến tiệm cận vùng lõi các đô thị vệ tinh quanh Hà Nội.</w:t>
        <w:br/>
        <w:tab/>
        <w:t xml:space="preserve">Đáng chú ý, một số khu vực trước đây có giá thấp nay lại chứng kiến cú bứt phá mạnh. Mặt đường Nguyễn Thiện Thuật, đoạn từ đê sông Hồng đến Phan Đình Phùng, được điều chỉnh lên 40 tr</w:t>
      </w:r>
      <w:r>
        <w:rPr>
          <w:shd w:val="clear" w:color="auto" w:fill="ffffff"/>
        </w:rPr>
        <w:t xml:space="preserve">iệu đồng/m2, cao gấp hơn 10 lần so với bảng giá cũ. Tuyến Bạch Thái Bưởi cũng tăng gần 9 lần, lên khoảng 33 triệu đồng/m2. Đây là những khu vực từng có khoảng cách khá xa với giá thị trường, nay được “kéo” về mặt bằng mới.</w:t>
        <w:br/>
        <w:tab/>
      </w:r>
      <w:r>
        <w:rPr>
          <w:shd w:val="clear" w:color="auto" w:fill="ffffff"/>
        </w:rPr>
        <w:t xml:space="preserve">Ở huyện Văn Giang cũ, nơi tập trung dày đặc các khu đô thị quy mô lớn, mức tăng phổ biến khoảng 3-4 lần. Các trục giao thông chính như ĐT 379B hay đoạn ĐT 379 giáp các xã Phụng Công</w:t>
      </w:r>
      <w:r>
        <w:rPr>
          <w:shd w:val="clear" w:color="auto" w:fill="ffffff"/>
        </w:rPr>
        <w:t xml:space="preserve">, Nghĩa Trụ đều được điều chỉnh lên quanh ngưỡng 50-55 triệu đồng/m2.</w:t>
        <w:br/>
        <w:tab/>
        <w:t xml:space="preserve">Trong các khu đô thị mới, giá đất tại những tuyến đường rộng trên 15m dao động từ 45 đến 60 triệu đồng/m2, phản ánh rõ sự dịch chuyển của không gian đô thị về phía Đông Hà Nội.</w:t>
        <w:br/>
        <w:tab/>
        <w:t xml:space="preserve">Không c</w:t>
      </w:r>
      <w:r>
        <w:rPr>
          <w:shd w:val="clear" w:color="auto" w:fill="ffffff"/>
        </w:rPr>
        <w:t xml:space="preserve">hỉ Hưng Yên, khu vực TP Thái Bình cũ cũng ghi nhận mức tăng bình quân 3-5 lần. Giá đất cao nhất đã chạm 140 triệu đồng/m2 tại phố Nguyễn Thị Minh Khai. Một số tuyến trung tâm như Hai Bà Trưng, Lê Lợi, Lý Bôn đều vượt mốc 100 triệu đồng/m2. Cá biệt, tuyến T</w:t>
      </w:r>
      <w:r>
        <w:rPr>
          <w:shd w:val="clear" w:color="auto" w:fill="ffffff"/>
        </w:rPr>
        <w:t xml:space="preserve">rần Thánh Tông và Trần Quang Khải có mức tăng trên 8 lần, cho thấy sự điều chỉnh mạnh tay ở những khu vực trước đây bị định giá thấp.</w:t>
        <w:br/>
        <w:t xml:space="preserve">Ở chiều ngược lại, giá đất nông nghiệp tại nhiều xã, phường cơ bản được giữ nguyên, nhằm hạn chế xáo trộn chi phí sản xuấ</w:t>
      </w:r>
      <w:r>
        <w:rPr>
          <w:shd w:val="clear" w:color="auto" w:fill="ffffff"/>
        </w:rPr>
        <w:t xml:space="preserve">t và sinh kế của người dân.</w:t>
        <w:br/>
        <w:tab/>
        <w:t xml:space="preserve">Việc bảng giá đất tăng mạnh sẽ tạo ra tác động đa chiều. Với người dân, mức bồi thường khi Nhà nước thu hồi đất sẽ tiệm cận giá thị trường hơn, góp phần bảo đảm quyền lợi. Tuy nhiên, chi phí tài chính khi làm sổ đỏ, chuyển mục </w:t>
      </w:r>
      <w:r>
        <w:rPr>
          <w:shd w:val="clear" w:color="auto" w:fill="ffffff"/>
        </w:rPr>
        <w:t xml:space="preserve">đích sử dụng đất hay thực hiện các nghĩa vụ thuế, phí liên quan cũng sẽ tăng tương ứng.</w:t>
        <w:br/>
        <w:tab/>
        <w:t xml:space="preserve">Với doanh nghiệp bất động sản, tác động trực tiếp không quá lớn do tiền sử dụng đất trong các dự án thường được xác định theo phương pháp thặng dư, nhưng các doanh ngh</w:t>
      </w:r>
      <w:r>
        <w:rPr>
          <w:shd w:val="clear" w:color="auto" w:fill="ffffff"/>
        </w:rPr>
        <w:t xml:space="preserve">iệp thuê đất trả tiền hàng năm, đặc biệt trong lĩnh vực sản xuất - dịch vụ, có thể chịu áp lực chi phí cao hơn tại những khu vực giá đất tăng mạnh.</w:t>
      </w:r>
      <w:r>
        <w:rPr>
          <w:iCs/>
        </w:rPr>
      </w:r>
      <w:r>
        <w:rPr>
          <w:iCs/>
        </w:rPr>
      </w:r>
    </w:p>
    <w:p>
      <w:pPr>
        <w:pBdr/>
        <w:tabs>
          <w:tab w:val="left" w:leader="none" w:pos="426"/>
        </w:tabs>
        <w:spacing w:after="120" w:before="120" w:line="360" w:lineRule="auto"/>
        <w:ind/>
        <w:jc w:val="center"/>
        <w:rPr>
          <w:bCs/>
          <w:i/>
        </w:rPr>
      </w:pPr>
      <w:r>
        <w:rPr>
          <w:i/>
          <w:iCs/>
          <w:shd w:val="clear" w:color="auto" w:fill="ffffff"/>
        </w:rPr>
        <w:t xml:space="preserve">nguồn: https://cafeland.vn/tin-tuc/gia-dat-hung-yen-nhay-vot-chua-tung-co-co-noi-tang-hon-10-lan-147954.html</w:t>
      </w:r>
      <w:r>
        <w:rPr>
          <w:bCs/>
          <w:i/>
        </w:rPr>
      </w:r>
      <w:r>
        <w:rPr>
          <w:bCs/>
          <w:i/>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85, tờ bản đồ số: 42, địa chỉ: Đường Chùa Đông, phường Phố Hiến, tỉnh Hưng Yên,</w:t>
            </w:r>
            <w:r>
              <w:rPr>
                <w:b/>
                <w:bCs/>
                <w:color w:val="000000"/>
              </w:rPr>
              <w:t xml:space="preserve"> theo Giấy chứng nhận quyền sử dụng đất, quyền sở hữu nhà ở và tài sản gắn liền với đất số: DC 189730; Số vào sổ cấp GCN: CS01937 do Sở Tài nguyên và Môi trường tỉnh Hưng Yên cấp ngày 07/3/2022. Chủ sử dụng đất là bà Trần Khánh Ly </w:t>
            </w:r>
            <w:r>
              <w:rPr>
                <w:b/>
                <w:bCs/>
                <w:i/>
                <w:iCs/>
                <w:color w:val="000000"/>
              </w:rPr>
              <w:t xml:space="preserve">(Cập nhật ngày 08/5/2026)</w:t>
            </w:r>
            <w:r>
              <w:rPr>
                <w:b/>
                <w:bCs/>
                <w:i/>
                <w:i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42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Phường Phố Hiến, Tỉnh Hưng Yên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163,5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163,5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Nhà nước giao đất có thu tiền sử dụng đất: 32,3m²; Nhận chuyển nhượng đất được công nhận QSDĐ như giao đất có thu tiền sử dụng đất: 131,2m²</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w:t>
            </w:r>
            <w:r>
              <mc:AlternateContent>
                <mc:Choice Requires="wpg">
                  <w:drawing>
                    <wp:inline xmlns:wp="http://schemas.openxmlformats.org/drawingml/2006/wordprocessingDrawing" distT="0" distB="0" distL="0" distR="0">
                      <wp:extent cx="3774837" cy="181199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362314" name=""/>
                              <pic:cNvPicPr>
                                <a:picLocks noChangeAspect="1"/>
                              </pic:cNvPicPr>
                              <pic:nvPr/>
                            </pic:nvPicPr>
                            <pic:blipFill rotWithShape="1">
                              <a:blip r:embed="rId17"/>
                              <a:stretch/>
                            </pic:blipFill>
                            <pic:spPr bwMode="auto">
                              <a:xfrm flipH="0" flipV="0">
                                <a:off x="0" y="0"/>
                                <a:ext cx="3774837" cy="18119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7.23pt;height:142.6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Chùa Đông rộng 24m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24</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ff0000"/>
              </w:rPr>
            </w:pPr>
            <w:r>
              <w:rPr>
                <w:color w:val="000000" w:themeColor="text1"/>
              </w:rPr>
              <w:t xml:space="preserve">Tài sản tiếp giáp trục chính đường Chùa Đông, </w:t>
            </w:r>
            <w:r>
              <w:rPr>
                <w:color w:val="ff0000"/>
              </w:rPr>
              <w:t xml:space="preserve">đối diện công viên</w:t>
            </w:r>
            <w:r>
              <w:rPr>
                <w:color w:val="ff0000"/>
              </w:rPr>
            </w:r>
            <w:r>
              <w:rPr>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 Hướng </w:t>
            </w:r>
            <w:r>
              <w:rPr>
                <w:color w:val="ff0000"/>
              </w:rPr>
              <w:t xml:space="preserve">Tây</w:t>
            </w:r>
            <w:r>
              <w:rPr>
                <w:color w:val="000000" w:themeColor="text1"/>
              </w:rPr>
              <w:t xml:space="preserve">: Giáp đường giao thông</w:t>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t xml:space="preserve">+ Các hướng khác: Tiếp giáp các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20.656361111111</w:t>
            </w:r>
            <w:r>
              <w:rPr>
                <w:color w:val="000000"/>
              </w:rPr>
              <w:t xml:space="preserve">, </w:t>
            </w:r>
            <w:r>
              <w:rPr>
                <w:color w:val="000000"/>
              </w:rPr>
              <w:t xml:space="preserve">106.06047222222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163,5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2,6</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highlight w:val="yellow"/>
              </w:rPr>
            </w:pPr>
            <w:r>
              <w:rPr>
                <w:color w:val="000000" w:themeColor="text1"/>
                <w:highlight w:val="yellow"/>
              </w:rPr>
            </w:r>
            <w:r>
              <w:rPr>
                <w:color w:val="000000" w:themeColor="text1"/>
                <w:highlight w:val="none"/>
              </w:rPr>
              <w:t xml:space="preserve">26,74</w:t>
            </w:r>
            <w:r>
              <w:rPr>
                <w:color w:val="000000" w:themeColor="text1"/>
                <w:highlight w:val="yellow"/>
              </w:rPr>
            </w:r>
            <w:r>
              <w:rPr>
                <w:color w:val="000000" w:themeColor="text1"/>
                <w:highlight w:val="yellow"/>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Bị che khuất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ff0000"/>
              </w:rPr>
            </w:pPr>
            <w:r>
              <w:rPr>
                <w:color w:val="ff0000"/>
              </w:rPr>
              <w:t xml:space="preserve">Tây</w:t>
            </w:r>
            <w:r>
              <w:rPr>
                <w:color w:val="ff0000"/>
              </w:rPr>
            </w:r>
            <w:r>
              <w:rPr>
                <w:color w:val="ff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ff0000"/>
              </w:rPr>
            </w:pPr>
            <w:r>
              <w:rPr>
                <w:color w:val="ff0000"/>
              </w:rPr>
              <w:t xml:space="preserve">Khá</w:t>
            </w:r>
            <w:r>
              <w:rPr>
                <w:color w:val="ff0000"/>
              </w:rPr>
            </w:r>
            <w:r>
              <w:rPr>
                <w:color w:val="ff0000"/>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ff0000"/>
              </w:rPr>
            </w:pPr>
            <w:r>
              <w:rPr>
                <w:color w:val="ff0000"/>
              </w:rPr>
              <w:t xml:space="preserve">Khá</w:t>
            </w:r>
            <w:r>
              <w:rPr>
                <w:color w:val="ff0000"/>
              </w:rPr>
            </w:r>
            <w:r>
              <w:rPr>
                <w:color w:val="ff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Nhà 2 tầng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line="299" w:lineRule="atLeast"/>
              <w:ind w:right="0" w:firstLine="0" w:left="0"/>
              <w:rPr/>
            </w:pPr>
            <w:r>
              <w:rPr>
                <w:rFonts w:ascii="Times New Roman" w:hAnsi="Times New Roman" w:eastAsia="Times New Roman" w:cs="Times New Roman"/>
                <w:color w:val="000000"/>
                <w:sz w:val="24"/>
              </w:rPr>
              <w:t xml:space="preserve">+ Tại thời điểm thẩm định, trên bất động sản là ngôi nhà 2 tầng. Kết cấu: Móng BTCT ,tường gạch xây, nền gạch men, mái BCTT. Hiện đang sử dụng để ở bình thường.</w:t>
            </w:r>
            <w:r/>
          </w:p>
          <w:p>
            <w:pPr>
              <w:pBdr/>
              <w:spacing/>
              <w:ind/>
              <w:jc w:val="both"/>
              <w:rPr>
                <w:color w:val="000000"/>
              </w:rPr>
            </w:pPr>
            <w:r>
              <w:rPr>
                <w:rFonts w:ascii="Times New Roman" w:hAnsi="Times New Roman" w:eastAsia="Times New Roman" w:cs="Times New Roman"/>
                <w:color w:val="000000"/>
                <w:sz w:val="24"/>
              </w:rPr>
              <w:t xml:space="preserve">+ CTXD trên chưa được cập nhật đăng bộ trên GCN số: DC 189730.</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1"/>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w:t>
            </w:r>
            <w:r/>
          </w:p>
        </w:tc>
        <w:tc>
          <w:tcPr>
            <w:tcBorders/>
            <w:tcW w:w="1560" w:type="dxa"/>
            <w:vAlign w:val="center"/>
            <w:textDirection w:val="lrTb"/>
            <w:noWrap w:val="false"/>
          </w:tcPr>
          <w:p>
            <w:pPr>
              <w:pBdr/>
              <w:spacing/>
              <w:ind/>
              <w:jc w:val="center"/>
              <w:rPr>
                <w:color w:val="ff0000"/>
              </w:rPr>
            </w:pPr>
            <w:r>
              <w:rPr>
                <w:color w:val="ff0000"/>
              </w:rPr>
              <w:t xml:space="preserve">Đường Chùa Đông, </w:t>
            </w:r>
            <w:r>
              <w:rPr>
                <w:color w:val="ff0000"/>
              </w:rPr>
              <w:t xml:space="preserve">Phường Phố Hiến, Tỉnh Hưng Yên</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Đường Chùa Đông, </w:t>
            </w:r>
            <w:r>
              <w:rPr>
                <w:color w:val="ff0000"/>
              </w:rPr>
              <w:t xml:space="preserve">Phường Phố Hiến, Tỉnh Hưng Yên</w:t>
            </w:r>
            <w:r>
              <w:rPr>
                <w:color w:val="ff0000"/>
              </w:rPr>
            </w:r>
            <w:r>
              <w:rPr>
                <w:color w:val="ff0000"/>
              </w:rPr>
            </w:r>
          </w:p>
          <w:p>
            <w:pPr>
              <w:pBdr/>
              <w:spacing/>
              <w:ind/>
              <w:jc w:val="center"/>
              <w:rPr>
                <w:color w:val="ff0000"/>
              </w:rPr>
            </w:pPr>
            <w:r>
              <w:rPr>
                <w:color w:val="ff0000"/>
              </w:rPr>
              <w:t xml:space="preserve">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Đường tiếp giáp</w:t>
            </w:r>
            <w:r/>
          </w:p>
        </w:tc>
        <w:tc>
          <w:tcPr>
            <w:tcBorders/>
            <w:tcW w:w="1560" w:type="dxa"/>
            <w:vAlign w:val="center"/>
            <w:textDirection w:val="lrTb"/>
            <w:noWrap w:val="false"/>
          </w:tcPr>
          <w:p>
            <w:pPr>
              <w:pBdr/>
              <w:spacing/>
              <w:ind/>
              <w:jc w:val="center"/>
              <w:rPr>
                <w:color w:val="ff0000"/>
              </w:rPr>
            </w:pPr>
            <w:r>
              <w:rPr>
                <w:color w:val="ff0000"/>
              </w:rPr>
              <w:t xml:space="preserve">Đường Chùa Đông</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Đường Chùa Đông</w:t>
            </w:r>
            <w:r>
              <w:rPr>
                <w:color w:val="ff0000"/>
              </w:rPr>
              <w:t xml:space="preserve">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163,5</w:t>
            </w:r>
            <w:r/>
          </w:p>
        </w:tc>
        <w:tc>
          <w:tcPr>
            <w:tcBorders/>
            <w:tcW w:w="1605" w:type="dxa"/>
            <w:vAlign w:val="center"/>
            <w:textDirection w:val="lrTb"/>
            <w:noWrap w:val="false"/>
          </w:tcPr>
          <w:p>
            <w:pPr>
              <w:pBdr/>
              <w:spacing/>
              <w:ind/>
              <w:jc w:val="center"/>
              <w:rPr/>
            </w:pPr>
            <w:r>
              <w:t xml:space="preserve">163,5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Height w:val="308"/>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color w:val="ff0000"/>
              </w:rPr>
            </w:pPr>
            <w:r>
              <w:rPr>
                <w:color w:val="ff0000"/>
              </w:rPr>
              <w:t xml:space="preserve">3,08</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2,6 </w:t>
            </w:r>
            <w:r>
              <w:rPr>
                <w:color w:val="ff0000"/>
              </w:rPr>
            </w:r>
            <w:r>
              <w:rPr>
                <w:color w:val="ff0000"/>
              </w:rPr>
            </w:r>
          </w:p>
        </w:tc>
        <w:tc>
          <w:tcPr>
            <w:tcBorders/>
            <w:tcW w:w="1371" w:type="dxa"/>
            <w:vAlign w:val="center"/>
            <w:textDirection w:val="lrTb"/>
            <w:noWrap w:val="false"/>
          </w:tcPr>
          <w:p>
            <w:pPr>
              <w:pBdr/>
              <w:spacing/>
              <w:ind/>
              <w:jc w:val="center"/>
              <w:rPr/>
            </w:pPr>
            <w:r/>
            <w:r/>
          </w:p>
        </w:tc>
        <w:tc>
          <w:tcPr>
            <w:tcBorders/>
            <w:tcW w:w="2149" w:type="dxa"/>
            <w:vAlign w:val="center"/>
            <w:textDirection w:val="lrTb"/>
            <w:noWrap w:val="false"/>
          </w:tcPr>
          <w:p>
            <w:pPr>
              <w:pBdr/>
              <w:spacing/>
              <w:ind/>
              <w:jc w:val="center"/>
              <w:rPr>
                <w:color w:val="ff0000"/>
              </w:rPr>
            </w:pPr>
            <w:r>
              <w:rPr>
                <w:color w:val="ff0000"/>
              </w:rPr>
              <w:t xml:space="preserve">Mặt tiền thửa đất được cấp chéo vát với đường, hiện trạng mặt tiền được chủ sử dụng sử dụng ngang với đường</w:t>
            </w:r>
            <w:r>
              <w:rPr>
                <w:color w:val="ff0000"/>
              </w:rPr>
            </w:r>
            <w:r>
              <w:rPr>
                <w:color w:val="ff0000"/>
              </w:rP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Bị che khuất</w:t>
            </w:r>
            <w:r/>
          </w:p>
        </w:tc>
        <w:tc>
          <w:tcPr>
            <w:tcBorders/>
            <w:tcW w:w="1605" w:type="dxa"/>
            <w:vAlign w:val="center"/>
            <w:textDirection w:val="lrTb"/>
            <w:noWrap w:val="false"/>
          </w:tcPr>
          <w:p>
            <w:pPr>
              <w:pBdr/>
              <w:spacing/>
              <w:ind/>
              <w:jc w:val="center"/>
              <w:rPr/>
            </w:pPr>
            <w:r>
              <w:t xml:space="preserve">Bị che khuất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highlight w:val="none"/>
          <w:lang w:val="pt-BR" w:bidi="pt-BR"/>
        </w:rPr>
      </w:r>
      <w:r>
        <w:rPr>
          <w:rFonts w:ascii="Times New Roman" w:hAnsi="Times New Roman" w:eastAsia="Times New Roman" w:cs="Times New Roman"/>
          <w:color w:val="000000"/>
          <w:sz w:val="24"/>
        </w:rPr>
        <w:t xml:space="preserve">Tại thời điểm thẩm định giá, Tổ thẩm định xác định trên đất có CTXD là ngôi nhà 2 tầng, xây dựng đã lâu, hiện đang sử dụng bình thường. CTXD chưa được công nhận trên GCN QSDĐ. Tổ thẩm định không nhận được các hồ sơ pháp lý khác liên quan đến các côn</w:t>
      </w:r>
      <w:r>
        <w:rPr>
          <w:rFonts w:ascii="Times New Roman" w:hAnsi="Times New Roman" w:eastAsia="Times New Roman" w:cs="Times New Roman"/>
          <w:color w:val="000000"/>
          <w:sz w:val="24"/>
        </w:rPr>
        <w:t xml:space="preserve">g trình xây dựng. Do vậy, theo yêu cầu của Ngân hàng/khách hàng, Tổ thẩm định không xác định giá trị công trình vào tổng giá trị tài sản nhưng vẫn coi đó là phần không thể tách rời của tài sản thẩm định.</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Chùa Đông, Phường Phố Hiến,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Chùa Đông, Phường Phố Hiến,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Chùa Đông, Phường Phố Hiến, Tỉnh Hưng Yên</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Phố Tuệ Tĩnh, Phường Phố Hiến, Tỉnh Hưng Yên</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https://www.facebook.com/groups/510840263014876/permalink/2218188318946720</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0972294889</w:t>
            </w:r>
            <w:r>
              <w:rPr>
                <w:sz w:val="22"/>
                <w:szCs w:val="22"/>
              </w:rPr>
              <w:t xml:space="preserve"> </w:t>
            </w:r>
            <w:r>
              <w:rPr>
                <w:sz w:val="22"/>
                <w:szCs w:val="22"/>
              </w:rPr>
              <w:br/>
              <w:t xml:space="preserve">(</w:t>
            </w:r>
            <w:r>
              <w:rPr>
                <w:sz w:val="22"/>
                <w:szCs w:val="22"/>
              </w:rPr>
              <w:t xml:space="preserve">Lâm Biên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0784854888</w:t>
            </w:r>
            <w:r>
              <w:rPr>
                <w:sz w:val="22"/>
                <w:szCs w:val="22"/>
              </w:rPr>
              <w:br/>
            </w:r>
            <w:r>
              <w:rPr>
                <w:sz w:val="22"/>
                <w:szCs w:val="22"/>
              </w:rPr>
              <w:t xml:space="preserve">(</w:t>
            </w:r>
            <w:r>
              <w:rPr>
                <w:sz w:val="22"/>
                <w:szCs w:val="22"/>
              </w:rPr>
              <w:t xml:space="preserve">Vinh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0943977356</w:t>
            </w:r>
            <w:r>
              <w:rPr>
                <w:sz w:val="22"/>
                <w:szCs w:val="22"/>
              </w:rPr>
              <w:br/>
            </w:r>
            <w:r>
              <w:rPr>
                <w:sz w:val="22"/>
                <w:szCs w:val="22"/>
              </w:rPr>
              <w:t xml:space="preserve">(</w:t>
            </w:r>
            <w:r>
              <w:rPr>
                <w:sz w:val="22"/>
                <w:szCs w:val="22"/>
              </w:rPr>
              <w:t xml:space="preserve">Việt</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sz w:val="22"/>
                <w:szCs w:val="22"/>
              </w:rPr>
            </w:pPr>
            <w:r>
              <w:rPr>
                <w:color w:val="000000"/>
                <w:sz w:val="22"/>
                <w:szCs w:val="22"/>
              </w:rPr>
              <w:t xml:space="preserve">Đang giao dịch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sz w:val="22"/>
                <w:szCs w:val="22"/>
              </w:rPr>
            </w:pPr>
            <w:r>
              <w:rPr>
                <w:color w:val="000000"/>
                <w:sz w:val="22"/>
                <w:szCs w:val="22"/>
              </w:rPr>
              <w:t xml:space="preserve">Đang giao dịch</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rPr>
              <w:t xml:space="preserve">Tài sản tiếp giáp trục chính đường Chùa Đông, </w:t>
            </w:r>
            <w:r>
              <w:rPr>
                <w:color w:val="ff0000"/>
              </w:rPr>
              <w:t xml:space="preserve">đối diện công viên</w:t>
            </w:r>
            <w:r>
              <w:rPr>
                <w:color w:val="ff0000"/>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rPr>
              <w:t xml:space="preserve">Tài sản tiếp giáp trục chính đường Chùa Đông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rPr>
              <w:t xml:space="preserve">Tài sản tiếp giáp trục chính đường Chùa Đông, </w:t>
            </w:r>
            <w:r>
              <w:rPr>
                <w:color w:val="ff0000"/>
              </w:rPr>
              <w:t xml:space="preserve">đối diện hồ</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ff0000"/>
                <w:sz w:val="22"/>
                <w:szCs w:val="22"/>
                <w:highlight w:val="white"/>
              </w:rPr>
            </w:pPr>
            <w:r>
              <w:rPr>
                <w:color w:val="000000" w:themeColor="text1"/>
              </w:rPr>
              <w:t xml:space="preserve">Tài sản tiếp giáp đường Chu Văn An, </w:t>
            </w:r>
            <w:r>
              <w:rPr>
                <w:rFonts w:ascii="Times New Roman" w:hAnsi="Times New Roman" w:eastAsia="Times New Roman" w:cs="Times New Roman"/>
                <w:color w:val="ff0000"/>
                <w:sz w:val="22"/>
                <w:szCs w:val="22"/>
                <w:highlight w:val="white"/>
              </w:rPr>
              <w:t xml:space="preserve">Đối diện THPT Chuyên Hưng Yên</w:t>
            </w:r>
            <w:r>
              <w:rPr>
                <w:rFonts w:ascii="Times New Roman" w:hAnsi="Times New Roman" w:cs="Times New Roman"/>
                <w:color w:val="ff0000"/>
                <w:sz w:val="22"/>
                <w:szCs w:val="22"/>
                <w:highlight w:val="white"/>
              </w:rPr>
            </w:r>
            <w:r>
              <w:rPr>
                <w:rFonts w:ascii="Times New Roman" w:hAnsi="Times New Roman" w:cs="Times New Roman"/>
                <w:color w:val="ff0000"/>
                <w:sz w:val="22"/>
                <w:szCs w:val="22"/>
                <w:highlight w:val="white"/>
              </w:rPr>
            </w:r>
          </w:p>
        </w:tc>
      </w:tr>
      <w:tr>
        <w:trPr>
          <w:trHeight w:val="50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71,4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26,74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15,69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Bị che khuất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highlight w:val="none"/>
              </w:rPr>
            </w:pPr>
            <w:r>
              <w:rPr>
                <w:color w:val="000000"/>
                <w:sz w:val="22"/>
                <w:szCs w:val="22"/>
                <w:highlight w:val="none"/>
              </w:rPr>
              <w:t xml:space="preserve">1</w:t>
            </w:r>
            <w:r>
              <w:rPr>
                <w:color w:val="000000"/>
                <w:sz w:val="22"/>
                <w:szCs w:val="22"/>
                <w:highlight w:val="none"/>
              </w:rPr>
              <w:t xml:space="preserve">6</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Công trình xây dựng </w:t>
            </w:r>
            <w:commentRangeStart w:id="0"/>
            <w:r>
              <w:rPr>
                <w:color w:val="000000" w:themeColor="text1"/>
                <w:sz w:val="22"/>
                <w:szCs w:val="22"/>
                <w:highlight w:val="none"/>
              </w:rPr>
              <w:t xml:space="preserve">trên</w:t>
            </w:r>
            <w:commentRangeEnd w:id="0"/>
            <w:r>
              <w:commentReference w:id="0"/>
            </w:r>
            <w:r>
              <w:rPr>
                <w:color w:val="000000" w:themeColor="text1"/>
                <w:sz w:val="22"/>
                <w:szCs w:val="22"/>
                <w:highlight w:val="none"/>
              </w:rPr>
              <w:t xml:space="preserve"> đất</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5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Pr>
                <w:color w:val="000000" w:themeColor="text1"/>
                <w:sz w:val="22"/>
                <w:szCs w:val="22"/>
              </w:rPr>
              <w:t xml:space="preserve">Nhà 4 tầng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rPr/>
            </w:pPr>
            <w:r>
              <w:rPr>
                <w:color w:val="000000" w:themeColor="text1"/>
                <w:sz w:val="22"/>
                <w:szCs w:val="22"/>
              </w:rPr>
              <w:t xml:space="preserve">Nhà 2 tầng</w:t>
            </w:r>
            <w:r>
              <w:rPr>
                <w:color w:val="000000" w:themeColor="text1"/>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ff0000"/>
                <w:sz w:val="22"/>
                <w:szCs w:val="22"/>
                <w:highlight w:val="none"/>
              </w:rPr>
            </w:pPr>
            <w:r>
              <w:rPr>
                <w:color w:val="ff0000"/>
                <w:sz w:val="22"/>
                <w:szCs w:val="22"/>
                <w:highlight w:val="none"/>
              </w:rPr>
              <w:t xml:space="preserve">-</w:t>
            </w:r>
            <w:r>
              <w:rPr>
                <w:color w:val="ff0000"/>
                <w:sz w:val="22"/>
                <w:szCs w:val="22"/>
                <w:highlight w:val="none"/>
              </w:rPr>
            </w:r>
            <w:r>
              <w:rPr>
                <w:color w:val="ff0000"/>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Số tầng</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ff0000"/>
                <w:sz w:val="22"/>
                <w:szCs w:val="22"/>
                <w:highlight w:val="none"/>
              </w:rPr>
            </w:pPr>
            <w:r>
              <w:rPr>
                <w:color w:val="ff0000"/>
                <w:sz w:val="22"/>
                <w:szCs w:val="22"/>
                <w:highlight w:val="none"/>
              </w:rPr>
              <w:t xml:space="preserve">-</w:t>
            </w:r>
            <w:r>
              <w:rPr>
                <w:color w:val="ff0000"/>
                <w:sz w:val="22"/>
                <w:szCs w:val="22"/>
                <w:highlight w:val="none"/>
              </w:rPr>
            </w:r>
            <w:r>
              <w:rPr>
                <w:color w:val="ff0000"/>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none"/>
              </w:rPr>
            </w:pPr>
            <w:r>
              <w:rPr>
                <w:color w:val="000000" w:themeColor="text1"/>
                <w:sz w:val="22"/>
                <w:szCs w:val="22"/>
                <w:highlight w:val="none"/>
              </w:rPr>
              <w:t xml:space="preserve">Diện tích sàn</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none"/>
              </w:rPr>
            </w:pPr>
            <w:r>
              <w:rPr>
                <w:color w:val="000000" w:themeColor="text1"/>
                <w:sz w:val="22"/>
                <w:szCs w:val="22"/>
              </w:rPr>
            </w:r>
            <w:r>
              <w:rPr>
                <w:rFonts w:ascii="Arial" w:hAnsi="Arial" w:eastAsia="Arial" w:cs="Arial"/>
                <w:color w:val="000000" w:themeColor="text1"/>
                <w:sz w:val="20"/>
                <w:highlight w:val="none"/>
              </w:rPr>
              <w:t xml:space="preserve">463,5</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288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142,8</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17</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Giá rao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none"/>
              </w:rPr>
            </w:pPr>
            <w:r>
              <w:rPr>
                <w:color w:val="000000"/>
                <w:sz w:val="22"/>
                <w:szCs w:val="22"/>
                <w:highlight w:val="none"/>
              </w:rPr>
              <w:t xml:space="preserve">18</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none"/>
              </w:rPr>
            </w:pPr>
            <w:r>
              <w:rPr>
                <w:color w:val="000000" w:themeColor="text1"/>
                <w:sz w:val="22"/>
                <w:szCs w:val="22"/>
                <w:highlight w:val="none"/>
              </w:rPr>
              <w:t xml:space="preserve">Giá thương lượng/bán (đồng)</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12.150.000.000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8.370.000.000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none"/>
              </w:rPr>
            </w:pPr>
            <w:r>
              <w:rPr>
                <w:b/>
                <w:bCs/>
                <w:color w:val="000000"/>
                <w:sz w:val="22"/>
                <w:szCs w:val="22"/>
                <w:highlight w:val="none"/>
              </w:rPr>
              <w:t xml:space="preserve">1</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none"/>
              </w:rPr>
            </w:pPr>
            <w:r>
              <w:rPr>
                <w:b/>
                <w:bCs/>
                <w:color w:val="000000"/>
                <w:sz w:val="22"/>
                <w:szCs w:val="22"/>
                <w:highlight w:val="none"/>
              </w:rPr>
              <w:t xml:space="preserve">Giá trị tài sản trên </w:t>
            </w:r>
            <w:commentRangeStart w:id="1"/>
            <w:r>
              <w:rPr>
                <w:b/>
                <w:bCs/>
                <w:color w:val="000000"/>
                <w:sz w:val="22"/>
                <w:szCs w:val="22"/>
                <w:highlight w:val="none"/>
              </w:rPr>
              <w:t xml:space="preserve">đất</w:t>
            </w:r>
            <w:commentRangeEnd w:id="1"/>
            <w:r>
              <w:commentReference w:id="1"/>
            </w:r>
            <w:r>
              <w:rPr>
                <w:b/>
                <w:bCs/>
                <w:color w:val="000000"/>
                <w:sz w:val="22"/>
                <w:szCs w:val="22"/>
                <w:highlight w:val="none"/>
              </w:rPr>
              <w:t xml:space="preserve"> (đồng)</w:t>
            </w:r>
            <w:r>
              <w:rPr>
                <w:b/>
                <w:bCs/>
                <w:color w:val="000000"/>
                <w:sz w:val="22"/>
                <w:szCs w:val="22"/>
                <w:highlight w:val="none"/>
              </w:rPr>
            </w:r>
            <w:r>
              <w:rPr>
                <w:b/>
                <w:bCs/>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none"/>
              </w:rPr>
            </w:pPr>
            <w:r>
              <w:rPr>
                <w:color w:val="000000"/>
                <w:sz w:val="22"/>
                <w:szCs w:val="22"/>
                <w:highlight w:val="none"/>
              </w:rPr>
              <w:t xml:space="preserve"> </w:t>
            </w:r>
            <w:r>
              <w:rPr>
                <w:color w:val="000000"/>
                <w:sz w:val="22"/>
                <w:szCs w:val="22"/>
                <w:highlight w:val="none"/>
              </w:rPr>
            </w:r>
            <w:r>
              <w:rPr>
                <w:color w:val="00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clear" w:color="ffffff" w:themeColor="background1" w:fill="ffffff" w:themeFill="background1"/>
              <w:spacing/>
              <w:ind/>
              <w:jc w:val="center"/>
              <w:rPr>
                <w:color w:val="000000" w:themeColor="text1"/>
                <w:sz w:val="22"/>
                <w:szCs w:val="22"/>
                <w:highlight w:val="none"/>
              </w:rPr>
            </w:pPr>
            <w:r>
              <w:rPr>
                <w:color w:val="000000" w:themeColor="text1"/>
                <w:sz w:val="22"/>
                <w:szCs w:val="22"/>
                <w:highlight w:val="yellow"/>
              </w:rPr>
            </w:r>
            <w:r>
              <w:rPr>
                <w:rFonts w:ascii="Arial" w:hAnsi="Arial" w:eastAsia="Arial" w:cs="Arial"/>
                <w:color w:val="000000" w:themeColor="text1"/>
                <w:sz w:val="20"/>
                <w:highlight w:val="none"/>
              </w:rPr>
              <w:t xml:space="preserve">2.438.259.549</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clear" w:color="ffffff" w:themeColor="background1" w:fill="ffffff" w:themeFill="background1"/>
              <w:spacing/>
              <w:ind/>
              <w:jc w:val="center"/>
              <w:rPr>
                <w:color w:val="000000" w:themeColor="text1"/>
                <w:sz w:val="22"/>
                <w:szCs w:val="22"/>
                <w:highlight w:val="none"/>
              </w:rPr>
            </w:pPr>
            <w:r>
              <w:rPr>
                <w:color w:val="000000" w:themeColor="text1"/>
                <w:sz w:val="22"/>
                <w:szCs w:val="22"/>
                <w:highlight w:val="none"/>
              </w:rPr>
            </w:r>
            <w:r>
              <w:rPr>
                <w:rFonts w:ascii="Arial" w:hAnsi="Arial" w:eastAsia="Arial" w:cs="Arial"/>
                <w:color w:val="000000" w:themeColor="text1"/>
                <w:sz w:val="20"/>
                <w:highlight w:val="none"/>
              </w:rPr>
              <w:t xml:space="preserve">1.869.717.946</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hd w:val="clear" w:color="ffffff" w:themeColor="background1" w:fill="ffffff" w:themeFill="background1"/>
              <w:spacing/>
              <w:ind/>
              <w:jc w:val="center"/>
              <w:rPr>
                <w:color w:val="000000" w:themeColor="text1"/>
                <w:sz w:val="22"/>
                <w:szCs w:val="22"/>
                <w:highlight w:val="none"/>
              </w:rPr>
            </w:pPr>
            <w:r>
              <w:rPr>
                <w:color w:val="000000" w:themeColor="text1"/>
                <w:sz w:val="22"/>
                <w:szCs w:val="22"/>
                <w:highlight w:val="none"/>
              </w:rPr>
            </w:r>
            <w:r>
              <w:rPr>
                <w:rFonts w:ascii="Arial" w:hAnsi="Arial" w:eastAsia="Arial" w:cs="Arial"/>
                <w:color w:val="000000" w:themeColor="text1"/>
                <w:sz w:val="20"/>
                <w:highlight w:val="none"/>
              </w:rPr>
              <w:t xml:space="preserve">978.572.285</w:t>
            </w:r>
            <w:r>
              <w:rPr>
                <w:color w:val="000000" w:themeColor="text1"/>
                <w:sz w:val="22"/>
                <w:szCs w:val="22"/>
                <w:highlight w:val="none"/>
              </w:rPr>
            </w:r>
            <w:r>
              <w:rPr>
                <w:color w:val="000000" w:themeColor="text1"/>
                <w:sz w:val="22"/>
                <w:szCs w:val="22"/>
                <w:highlight w:val="non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val="0"/>
                <w:bCs w:val="0"/>
                <w:color w:val="000000"/>
                <w:sz w:val="22"/>
                <w:szCs w:val="22"/>
              </w:rPr>
            </w:pPr>
            <w:r>
              <w:rPr>
                <w:rFonts w:ascii="Times New Roman" w:hAnsi="Times New Roman" w:eastAsia="Times New Roman" w:cs="Times New Roman"/>
                <w:b w:val="0"/>
                <w:bCs w:val="0"/>
                <w:color w:val="000000"/>
                <w:sz w:val="22"/>
                <w:szCs w:val="22"/>
              </w:rPr>
              <w:t xml:space="preserve">Đơn giá xây dựng theo </w:t>
            </w:r>
            <w:r>
              <w:rPr>
                <w:rFonts w:ascii="Times New Roman" w:hAnsi="Times New Roman" w:eastAsia="Times New Roman" w:cs="Times New Roman"/>
                <w:b w:val="0"/>
                <w:bCs w:val="0"/>
                <w:spacing w:val="-4"/>
                <w:sz w:val="22"/>
                <w:szCs w:val="22"/>
                <w:lang w:val="pt-BR"/>
              </w:rPr>
              <w:t xml:space="preserve">Quyết định số </w:t>
            </w:r>
            <w:r>
              <w:rPr>
                <w:rFonts w:ascii="Times New Roman" w:hAnsi="Times New Roman" w:eastAsia="Times New Roman" w:cs="Times New Roman"/>
                <w:b w:val="0"/>
                <w:bCs w:val="0"/>
                <w:color w:val="000000"/>
                <w:sz w:val="22"/>
                <w:szCs w:val="22"/>
                <w:highlight w:val="white"/>
              </w:rPr>
              <w:t xml:space="preserve">425/QĐ-BXD</w:t>
            </w:r>
            <w:r>
              <w:rPr>
                <w:rFonts w:ascii="Times New Roman" w:hAnsi="Times New Roman" w:eastAsia="Times New Roman" w:cs="Times New Roman"/>
                <w:b w:val="0"/>
                <w:bCs w:val="0"/>
                <w:spacing w:val="-4"/>
                <w:sz w:val="22"/>
                <w:szCs w:val="22"/>
                <w:lang w:val="pt-BR"/>
              </w:rPr>
              <w:t xml:space="preserve"> ngày 30/3/2026 của Bộ Xây dựng</w:t>
            </w:r>
            <w:r>
              <w:rPr>
                <w:rFonts w:ascii="Times New Roman" w:hAnsi="Times New Roman" w:cs="Times New Roman"/>
                <w:b w:val="0"/>
                <w:bCs w:val="0"/>
                <w:color w:val="000000"/>
                <w:sz w:val="22"/>
                <w:szCs w:val="22"/>
              </w:rPr>
            </w:r>
            <w:r>
              <w:rPr>
                <w:rFonts w:ascii="Times New Roman" w:hAnsi="Times New Roman" w:cs="Times New Roman"/>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6.575.673</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7.213.418</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7.213.418</w:t>
            </w:r>
            <w:r>
              <w:rPr>
                <w:color w:val="000000" w:themeColor="text1"/>
                <w:sz w:val="22"/>
                <w:szCs w:val="22"/>
                <w:highlight w:val="yellow"/>
              </w:rPr>
            </w:r>
            <w:r>
              <w:rPr>
                <w:color w:val="000000" w:themeColor="text1"/>
                <w:sz w:val="22"/>
                <w:szCs w:val="22"/>
                <w:highlight w:val="yellow"/>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w:t>
            </w:r>
            <w:commentRangeStart w:id="2"/>
            <w:r>
              <w:rPr>
                <w:b/>
                <w:bCs/>
                <w:color w:val="000000"/>
                <w:sz w:val="22"/>
                <w:szCs w:val="22"/>
              </w:rPr>
              <w:t xml:space="preserve">trị</w:t>
            </w:r>
            <w:commentRangeEnd w:id="2"/>
            <w:r>
              <w:commentReference w:id="2"/>
            </w:r>
            <w:r>
              <w:rPr>
                <w:b/>
                <w:bCs/>
                <w:color w:val="000000"/>
                <w:sz w:val="22"/>
                <w:szCs w:val="22"/>
              </w:rPr>
              <w:t xml:space="preserve">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11.961.740.451</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10.280.282.054</w:t>
            </w:r>
            <w:r>
              <w:rPr>
                <w:color w:val="000000" w:themeColor="text1"/>
                <w:sz w:val="22"/>
                <w:szCs w:val="22"/>
                <w:highlight w:val="yellow"/>
              </w:rPr>
            </w:r>
            <w:r>
              <w:rPr>
                <w:color w:val="000000" w:themeColor="text1"/>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yellow"/>
              </w:rPr>
            </w:pPr>
            <w:r>
              <w:rPr>
                <w:color w:val="000000" w:themeColor="text1"/>
                <w:sz w:val="22"/>
                <w:szCs w:val="22"/>
                <w:highlight w:val="yellow"/>
              </w:rPr>
            </w:r>
            <w:r>
              <w:rPr>
                <w:rFonts w:ascii="Arial" w:hAnsi="Arial" w:eastAsia="Arial" w:cs="Arial"/>
                <w:color w:val="000000" w:themeColor="text1"/>
                <w:sz w:val="20"/>
                <w:highlight w:val="white"/>
              </w:rPr>
              <w:t xml:space="preserve">7.391.427.715</w:t>
            </w:r>
            <w:r>
              <w:rPr>
                <w:color w:val="000000" w:themeColor="text1"/>
                <w:sz w:val="22"/>
                <w:szCs w:val="22"/>
                <w:highlight w:val="yellow"/>
              </w:rPr>
            </w:r>
            <w:r>
              <w:rPr>
                <w:color w:val="000000" w:themeColor="text1"/>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129.037.114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142.781.695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103.521.397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1</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2</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3</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4</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5</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6</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7</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8</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9</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11.961.740.451</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10.280.282.054</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7.391.427.715</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129.037.114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142.781.695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103.521.397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129.037.114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142.781.695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103.521.397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rPr>
              <w:t xml:space="preserve">Tài sản tiếp giáp trục chính đường Chùa Đông, </w:t>
            </w:r>
            <w:r>
              <w:rPr>
                <w:color w:val="ff0000"/>
              </w:rPr>
              <w:t xml:space="preserve">đối diện công viên</w:t>
            </w:r>
            <w:r/>
          </w:p>
        </w:tc>
        <w:tc>
          <w:tcPr>
            <w:shd w:val="clear" w:color="000000" w:fill="ffffff"/>
            <w:tcBorders/>
            <w:tcW w:w="1522" w:type="dxa"/>
            <w:vAlign w:val="center"/>
            <w:textDirection w:val="lrTb"/>
            <w:noWrap w:val="false"/>
          </w:tcPr>
          <w:p>
            <w:pPr>
              <w:pBdr/>
              <w:spacing/>
              <w:ind/>
              <w:jc w:val="center"/>
              <w:rPr/>
            </w:pPr>
            <w:r>
              <w:rPr>
                <w:color w:val="000000" w:themeColor="text1"/>
              </w:rPr>
              <w:t xml:space="preserve">Tài sản tiếp giáp trục chính đường Chùa Đông</w:t>
            </w:r>
            <w:r/>
          </w:p>
        </w:tc>
        <w:tc>
          <w:tcPr>
            <w:shd w:val="clear" w:color="000000" w:fill="ffffff"/>
            <w:tcBorders/>
            <w:tcW w:w="1522" w:type="dxa"/>
            <w:vAlign w:val="center"/>
            <w:textDirection w:val="lrTb"/>
            <w:noWrap w:val="false"/>
          </w:tcPr>
          <w:p>
            <w:pPr>
              <w:pBdr/>
              <w:spacing/>
              <w:ind/>
              <w:jc w:val="center"/>
              <w:rPr/>
            </w:pPr>
            <w:r>
              <w:rPr>
                <w:color w:val="000000" w:themeColor="text1"/>
              </w:rPr>
              <w:t xml:space="preserve">Tài sản tiếp giáp trục chính đường Chùa Đông, </w:t>
            </w:r>
            <w:r>
              <w:rPr>
                <w:color w:val="ff0000"/>
              </w:rPr>
              <w:t xml:space="preserve">đối diện hồ</w:t>
            </w: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ff0000"/>
                <w:sz w:val="22"/>
                <w:szCs w:val="22"/>
                <w:highlight w:val="white"/>
              </w:rPr>
            </w:pPr>
            <w:r>
              <w:rPr>
                <w:color w:val="000000" w:themeColor="text1"/>
              </w:rPr>
              <w:t xml:space="preserve">Tài sản tiếp giáp đường Chu Văn An, </w:t>
            </w:r>
            <w:r>
              <w:rPr>
                <w:rFonts w:ascii="Times New Roman" w:hAnsi="Times New Roman" w:eastAsia="Times New Roman" w:cs="Times New Roman"/>
                <w:color w:val="ff0000"/>
                <w:sz w:val="22"/>
                <w:szCs w:val="22"/>
                <w:highlight w:val="white"/>
              </w:rPr>
              <w:t xml:space="preserve">Đối diện THPT Chuyên Hưng Yên</w:t>
            </w:r>
            <w:r>
              <w:rPr>
                <w:rFonts w:ascii="Times New Roman" w:hAnsi="Times New Roman" w:cs="Times New Roman"/>
                <w:color w:val="ff0000"/>
                <w:sz w:val="22"/>
                <w:szCs w:val="22"/>
                <w:highlight w:val="white"/>
              </w:rPr>
            </w:r>
            <w:r>
              <w:rPr>
                <w:rFonts w:ascii="Times New Roman" w:hAnsi="Times New Roman" w:cs="Times New Roman"/>
                <w:color w:val="ff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2.580.742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10.352.140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131.617.856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142.781.695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113.873.537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131.617.856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142.781.695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113.873.537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10.352.140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131.617.856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142.781.695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124.225.677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92,7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71,4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-10.498.408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-14.759.160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-10.352.140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121.119.448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128.022.535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113.873.537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-13.123.010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-13.283.244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-10.352.140</w:t>
            </w:r>
            <w:r>
              <w:rPr>
                <w:color w:val="000000"/>
                <w:sz w:val="22"/>
                <w:szCs w:val="22"/>
              </w:rPr>
            </w:r>
            <w:r>
              <w:rPr>
                <w:color w:val="000000"/>
                <w:sz w:val="22"/>
                <w:szCs w:val="22"/>
              </w:rPr>
            </w:r>
          </w:p>
        </w:tc>
      </w:tr>
      <w:tr>
        <w:trPr>
          <w:trHeight w:val="522"/>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107.996.438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114.739.291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103.521.397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26,74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18,54</w:t>
            </w:r>
            <w:r>
              <w:rPr>
                <w:b/>
                <w:bCs/>
                <w:color w:val="000000"/>
                <w:sz w:val="22"/>
                <w:szCs w:val="22"/>
                <w:highlight w:val="yellow"/>
              </w:rPr>
            </w:r>
            <w:r>
              <w:rPr>
                <w:b/>
                <w:bCs/>
                <w:color w:val="000000"/>
                <w:sz w:val="22"/>
                <w:szCs w:val="22"/>
                <w:highlight w:val="yellow"/>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yellow"/>
              </w:rPr>
            </w:pPr>
            <w:r>
              <w:rPr>
                <w:color w:val="000000" w:themeColor="text1"/>
                <w:sz w:val="22"/>
                <w:szCs w:val="22"/>
                <w:highlight w:val="yellow"/>
              </w:rPr>
              <w:t xml:space="preserve">15,69</w:t>
            </w:r>
            <w:r>
              <w:rPr>
                <w:b/>
                <w:bCs/>
                <w:color w:val="000000"/>
                <w:sz w:val="22"/>
                <w:szCs w:val="22"/>
                <w:highlight w:val="yellow"/>
              </w:rPr>
            </w:r>
            <w:r>
              <w:rPr>
                <w:b/>
                <w:bCs/>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-10.322.969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-11.422.536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-10.352.140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97.673.469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103.316.755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93.169.257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-5.176.070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97.673.469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103.316.755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87.993.187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Bị che khuất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Vạt góc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-26.246.020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-29.518.320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-20.704.279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71.427.449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73.798.435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67.288.908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71.427.449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73.798.435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67.288.908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70.838.264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0,83%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62.771.149</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68.983.260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77.641.049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57.609.665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68.983.260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36.232.489</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-5,01</w:t>
      </w:r>
      <w:r>
        <w:t xml:space="preserve">% đến</w:t>
      </w:r>
      <w:r>
        <w:t xml:space="preserve"> </w:t>
      </w:r>
      <w:r>
        <w:t xml:space="preserve"> </w:t>
      </w:r>
      <w:r>
        <w:t xml:space="preserve">4,18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71.427.449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23.813.911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73.798.435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24.597.018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67.288.908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22.427.393</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70.838.322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70.000.000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85, tờ bản đồ số: 42, địa chỉ: Đường Chùa Đông, phường Phố Hiến, tỉnh Hưng Yên,</w:t>
            </w:r>
            <w:r>
              <w:rPr>
                <w:color w:val="000000"/>
              </w:rPr>
              <w:t xml:space="preserve"> theo Giấy chứng nhận quyền sử dụng đất, quyền sở hữu nhà ở và tài sản gắn liền với đất số: DC 189730; Số vào sổ cấp GCN: CS01937 do Sở Tài nguyên và Môi trường tỉnh Hưng Yên cấp ngày 07/3/2022. Chủ sử dụng đất là bà Trần Khánh Ly</w:t>
            </w:r>
            <w:r>
              <w:rPr>
                <w:i/>
                <w:iCs/>
                <w:color w:val="000000"/>
              </w:rPr>
              <w:t xml:space="preserve"> (Cập nhật ngày 08/5/2026)</w:t>
            </w:r>
            <w:r>
              <w:rPr>
                <w:b/>
                <w:bCs/>
                <w:i/>
                <w:i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163.5</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70.000.000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11.445.000.000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1</w:t>
            </w:r>
            <w:r>
              <w:rPr>
                <w:b/>
                <w:bCs/>
              </w:rPr>
              <w:t xml:space="preserve">1.</w:t>
            </w:r>
            <w:r>
              <w:rPr>
                <w:b/>
                <w:bCs/>
              </w:rPr>
              <w:t xml:space="preserve">445.000.000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bốn trăm bốn mươi lăm triệu đồng</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5"/>
        </w:numPr>
        <w:pBdr/>
        <w:spacing w:after="120" w:before="120" w:line="288" w:lineRule="auto"/>
        <w:ind/>
        <w:jc w:val="both"/>
        <w:rPr>
          <w:lang w:val="vi-VN"/>
          <w14:ligatures w14:val="none"/>
        </w:rPr>
      </w:pPr>
      <w:r>
        <w:rPr>
          <w:lang w:val="vi-VN" w:bidi="vi-VN"/>
        </w:rPr>
      </w:r>
      <w:r>
        <w:rPr>
          <w:lang w:val="vi-VN"/>
        </w:rPr>
        <w:t xml:space="preserve">Tại thời điểm thẩm định giá, Tổ thẩm định xác định trên đất có CTXD là ngôi nhà 2 tầng, xây dựng đã lâu, hiện đang sử dụng bình thường. CTXD chưa được công nhận trên GCN QSDĐ. Tổ thẩm định không nhận được các hồ sơ pháp lý khác liên quan đến các côn</w:t>
      </w:r>
      <w:r>
        <w:rPr>
          <w:lang w:val="vi-VN"/>
        </w:rPr>
        <w:t xml:space="preserve">g trình xây dựng. Do vậy, theo yêu cầu của Ngân hàng/khách hàng, Tổ thẩm định không xác định giá trị công trình vào tổng giá trị tài sản nhưng vẫn coi đó là phần không thể tách rời của tài sản thẩm định.</w:t>
      </w:r>
      <w:r>
        <w:rPr>
          <w:lang w:val="vi-VN"/>
          <w14:ligatures w14:val="none"/>
        </w:rPr>
      </w:r>
      <w:r>
        <w:rPr>
          <w:lang w:val="vi-VN"/>
          <w14:ligatures w14:val="none"/>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275/2026/1189/VFI-CT.C01.A</w:t>
      </w:r>
      <w:r>
        <w:rPr>
          <w:color w:val="ff0000"/>
          <w:lang w:val="vi-VN"/>
        </w:rPr>
        <w:t xml:space="preserve"> </w:t>
      </w:r>
      <w:r>
        <w:rPr>
          <w:color w:val="000000" w:themeColor="text1"/>
        </w:rPr>
        <w:t xml:space="preserve">ngày 4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Mạnh Tuấn</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bCs/>
          <w:u w:val="single"/>
          <w:lang w:val="vi-VN"/>
        </w:rPr>
      </w:pPr>
      <w:r>
        <w:rPr>
          <w:b/>
          <w:highlight w:val="none"/>
          <w:lang w:val="pt-BR"/>
        </w:rPr>
      </w:r>
      <w:r>
        <w:rPr>
          <w:b/>
          <w:bCs/>
          <w:u w:val="single"/>
          <w:lang w:val="vi-VN"/>
        </w:rPr>
      </w:r>
      <w:r>
        <w:rPr>
          <w:b/>
          <w:bCs/>
          <w:u w:val="single"/>
          <w:lang w:val="vi-VN"/>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bCs/>
          <w:highlight w:val="none"/>
          <w:lang w:val="pt-BR"/>
        </w:rPr>
      </w:r>
      <w:r>
        <w:rPr>
          <w:b/>
          <w:bCs/>
          <w:highlight w:val="none"/>
          <w:lang w:val="pt-BR"/>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275/2026/1189/VFI-BC.C01.A</w:t>
      </w:r>
      <w:r>
        <w:rPr>
          <w:i/>
          <w:lang w:val="pt-BR"/>
        </w:rPr>
        <w:t xml:space="preserve"> ngày </w:t>
      </w:r>
      <w:r>
        <w:rPr>
          <w:i/>
          <w:lang w:val="pt-BR"/>
        </w:rPr>
        <w:t xml:space="preserve">4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895170" cy="194022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91661" name=""/>
                              <pic:cNvPicPr>
                                <a:picLocks noChangeAspect="1"/>
                              </pic:cNvPicPr>
                              <pic:nvPr/>
                            </pic:nvPicPr>
                            <pic:blipFill rotWithShape="1">
                              <a:blip r:embed="rId19"/>
                              <a:stretch/>
                            </pic:blipFill>
                            <pic:spPr bwMode="auto">
                              <a:xfrm flipH="0" flipV="0">
                                <a:off x="0" y="0"/>
                                <a:ext cx="895170" cy="19402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70.49pt;height:152.77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6966" cy="200022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542973" name=""/>
                              <pic:cNvPicPr>
                                <a:picLocks noChangeAspect="1"/>
                              </pic:cNvPicPr>
                              <pic:nvPr/>
                            </pic:nvPicPr>
                            <pic:blipFill rotWithShape="1">
                              <a:blip r:embed="rId20"/>
                              <a:stretch/>
                            </pic:blipFill>
                            <pic:spPr bwMode="auto">
                              <a:xfrm flipH="0" flipV="0">
                                <a:off x="0" y="0"/>
                                <a:ext cx="2666965" cy="2000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0.00pt;height:157.5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919490" cy="143961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99475" name=""/>
                              <pic:cNvPicPr>
                                <a:picLocks noChangeAspect="1"/>
                              </pic:cNvPicPr>
                              <pic:nvPr/>
                            </pic:nvPicPr>
                            <pic:blipFill rotWithShape="1">
                              <a:blip r:embed="rId21"/>
                              <a:stretch/>
                            </pic:blipFill>
                            <pic:spPr bwMode="auto">
                              <a:xfrm flipH="0" flipV="0">
                                <a:off x="0" y="0"/>
                                <a:ext cx="1919488" cy="14396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51.14pt;height:113.3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10742" cy="141203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515423" name=""/>
                              <pic:cNvPicPr>
                                <a:picLocks noChangeAspect="1"/>
                              </pic:cNvPicPr>
                              <pic:nvPr/>
                            </pic:nvPicPr>
                            <pic:blipFill rotWithShape="1">
                              <a:blip r:embed="rId22"/>
                              <a:stretch/>
                            </pic:blipFill>
                            <pic:spPr bwMode="auto">
                              <a:xfrm flipH="0" flipV="0">
                                <a:off x="0" y="0"/>
                                <a:ext cx="2210741" cy="14120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74.07pt;height:111.1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137495" cy="160312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42462" name=""/>
                              <pic:cNvPicPr>
                                <a:picLocks noChangeAspect="1"/>
                              </pic:cNvPicPr>
                              <pic:nvPr/>
                            </pic:nvPicPr>
                            <pic:blipFill rotWithShape="1">
                              <a:blip r:embed="rId23"/>
                              <a:stretch/>
                            </pic:blipFill>
                            <pic:spPr bwMode="auto">
                              <a:xfrm flipH="0" flipV="0">
                                <a:off x="0" y="0"/>
                                <a:ext cx="2137494" cy="16031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68.31pt;height:126.2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171562" cy="162867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817155" name=""/>
                              <pic:cNvPicPr>
                                <a:picLocks noChangeAspect="1"/>
                              </pic:cNvPicPr>
                              <pic:nvPr/>
                            </pic:nvPicPr>
                            <pic:blipFill rotWithShape="1">
                              <a:blip r:embed="rId24"/>
                              <a:stretch/>
                            </pic:blipFill>
                            <pic:spPr bwMode="auto">
                              <a:xfrm flipH="0" flipV="0">
                                <a:off x="0" y="0"/>
                                <a:ext cx="2171562" cy="16286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70.99pt;height:128.2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ind/>
              <w:jc w:val="center"/>
              <w:rPr/>
            </w:pPr>
            <w:r>
              <mc:AlternateContent>
                <mc:Choice Requires="wpg">
                  <w:drawing>
                    <wp:inline xmlns:wp="http://schemas.openxmlformats.org/drawingml/2006/wordprocessingDrawing" distT="0" distB="0" distL="0" distR="0">
                      <wp:extent cx="2274704" cy="193202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75293" name=""/>
                              <pic:cNvPicPr>
                                <a:picLocks noChangeAspect="1"/>
                              </pic:cNvPicPr>
                              <pic:nvPr/>
                            </pic:nvPicPr>
                            <pic:blipFill rotWithShape="1">
                              <a:blip r:embed="rId25"/>
                              <a:stretch/>
                            </pic:blipFill>
                            <pic:spPr bwMode="auto">
                              <a:xfrm flipH="0" flipV="0">
                                <a:off x="0" y="0"/>
                                <a:ext cx="2274703" cy="19320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79.11pt;height:152.13pt;mso-wrap-distance-left:0.00pt;mso-wrap-distance-top:0.00pt;mso-wrap-distance-right:0.00pt;mso-wrap-distance-bottom:0.00pt;z-index:1;" stroked="false">
                      <v:imagedata r:id="rId25" o:title=""/>
                      <o:lock v:ext="edit" rotation="t"/>
                    </v:shape>
                  </w:pict>
                </mc:Fallback>
              </mc:AlternateContent>
            </w: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0015" cy="192751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08322" name=""/>
                              <pic:cNvPicPr>
                                <a:picLocks noChangeAspect="1"/>
                              </pic:cNvPicPr>
                              <pic:nvPr/>
                            </pic:nvPicPr>
                            <pic:blipFill rotWithShape="1">
                              <a:blip r:embed="rId26"/>
                              <a:stretch/>
                            </pic:blipFill>
                            <pic:spPr bwMode="auto">
                              <a:xfrm flipH="0" flipV="0">
                                <a:off x="0" y="0"/>
                                <a:ext cx="2570014" cy="19275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2.36pt;height:151.77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b/>
          <w:bCs/>
          <w:highlight w:val="none"/>
          <w:lang w:val="pt-BR"/>
        </w:rPr>
      </w:pPr>
      <w:r>
        <w:rPr>
          <w:b/>
          <w:highlight w:val="none"/>
          <w:lang w:val="pt-BR"/>
        </w:rPr>
      </w:r>
      <w:r>
        <w:rPr>
          <w:b/>
          <w:bCs/>
          <w:highlight w:val="none"/>
          <w:lang w:val="pt-BR"/>
        </w:rPr>
      </w:r>
      <w:r>
        <w:rPr>
          <w:b/>
          <w:bCs/>
          <w:highlight w:val="none"/>
          <w:lang w:val="pt-BR"/>
        </w:rPr>
      </w:r>
    </w:p>
    <w:p>
      <w:pPr>
        <w:pBdr/>
        <w:spacing w:after="200" w:line="276" w:lineRule="auto"/>
        <w:ind/>
        <w:jc w:val="center"/>
        <w:rPr>
          <w:b/>
          <w:bCs/>
          <w:lang w:val="vi-VN"/>
        </w:rPr>
      </w:pPr>
      <w:r>
        <w:rPr>
          <w:b/>
          <w:bCs/>
          <w:lang w:val="vi-VN"/>
        </w:rPr>
        <w:t xml:space="preserve">PHÁP LÝ</w:t>
      </w:r>
      <w:r>
        <w:rPr>
          <w:b/>
          <w:bCs/>
          <w:lang w:val="vi-VN"/>
        </w:rPr>
      </w:r>
      <w:r>
        <w:rPr>
          <w:b/>
          <w:bCs/>
          <w:lang w:val="vi-VN"/>
        </w:rPr>
      </w:r>
    </w:p>
    <w:p>
      <w:pPr>
        <w:pBdr/>
        <w:spacing w:after="200" w:line="276" w:lineRule="auto"/>
        <w:ind/>
        <w:jc w:val="center"/>
        <w:rPr>
          <w:lang w:val="vi-VN"/>
        </w:rPr>
      </w:pPr>
      <w:r>
        <w:rPr>
          <w:b/>
          <w:bCs/>
          <w:lang w:val="vi-VN"/>
        </w:rPr>
      </w:r>
      <w:r>
        <mc:AlternateContent>
          <mc:Choice Requires="wpg">
            <w:drawing>
              <wp:inline xmlns:wp="http://schemas.openxmlformats.org/drawingml/2006/wordprocessingDrawing" distT="0" distB="0" distL="0" distR="0">
                <wp:extent cx="5447960" cy="408597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769809" name=""/>
                        <pic:cNvPicPr>
                          <a:picLocks noChangeAspect="1"/>
                        </pic:cNvPicPr>
                        <pic:nvPr/>
                      </pic:nvPicPr>
                      <pic:blipFill rotWithShape="1">
                        <a:blip r:embed="rId27"/>
                        <a:stretch/>
                      </pic:blipFill>
                      <pic:spPr bwMode="auto">
                        <a:xfrm flipH="0" flipV="0">
                          <a:off x="0" y="0"/>
                          <a:ext cx="5447958" cy="40859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28.97pt;height:321.73pt;mso-wrap-distance-left:0.00pt;mso-wrap-distance-top:0.00pt;mso-wrap-distance-right:0.00pt;mso-wrap-distance-bottom:0.00pt;z-index:1;" stroked="false">
                <v:imagedata r:id="rId27" o:title=""/>
                <o:lock v:ext="edit" rotation="t"/>
              </v:shape>
            </w:pict>
          </mc:Fallback>
        </mc:AlternateContent>
      </w:r>
      <w:r>
        <w:rPr>
          <w:lang w:val="vi-VN"/>
        </w:rPr>
      </w:r>
      <w:r>
        <w:rPr>
          <w:lang w:val="vi-VN"/>
        </w:rPr>
      </w:r>
    </w:p>
    <w:p>
      <w:pPr>
        <w:pBdr/>
        <w:spacing/>
        <w:ind/>
        <w:jc w:val="center"/>
        <w:rPr>
          <w:highlight w:val="none"/>
        </w:rPr>
      </w:pPr>
      <w:r>
        <w:rPr>
          <w:lang w:val="vi-VN"/>
        </w:rPr>
      </w:r>
      <w:r>
        <mc:AlternateContent>
          <mc:Choice Requires="wpg">
            <w:drawing>
              <wp:inline xmlns:wp="http://schemas.openxmlformats.org/drawingml/2006/wordprocessingDrawing" distT="0" distB="0" distL="0" distR="0">
                <wp:extent cx="4885985" cy="366448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6355" name=""/>
                        <pic:cNvPicPr>
                          <a:picLocks noChangeAspect="1"/>
                        </pic:cNvPicPr>
                        <pic:nvPr/>
                      </pic:nvPicPr>
                      <pic:blipFill rotWithShape="1">
                        <a:blip r:embed="rId28"/>
                        <a:stretch/>
                      </pic:blipFill>
                      <pic:spPr bwMode="auto">
                        <a:xfrm flipH="0" flipV="0">
                          <a:off x="0" y="0"/>
                          <a:ext cx="4885982" cy="36644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84.72pt;height:288.54pt;mso-wrap-distance-left:0.00pt;mso-wrap-distance-top:0.00pt;mso-wrap-distance-right:0.00pt;mso-wrap-distance-bottom:0.00pt;z-index:1;" stroked="false">
                <v:imagedata r:id="rId28" o:title=""/>
                <o:lock v:ext="edit" rotation="t"/>
              </v:shape>
            </w:pict>
          </mc:Fallback>
        </mc:AlternateContent>
      </w:r>
      <w:r>
        <w:rPr>
          <w:highlight w:val="none"/>
        </w:rPr>
      </w:r>
      <w:r>
        <w:rPr>
          <w:highlight w:val="none"/>
        </w:rPr>
      </w:r>
    </w:p>
    <w:p>
      <w:pPr>
        <w:pBdr/>
        <w:spacing/>
        <w:ind/>
        <w:jc w:val="center"/>
        <w:rPr/>
      </w:pPr>
      <w:r/>
      <w:r/>
    </w:p>
    <w:p>
      <w:pPr>
        <w:pBdr/>
        <w:spacing/>
        <w:ind/>
        <w:jc w:val="center"/>
        <w:rPr/>
      </w:pPr>
      <w:r>
        <w:rPr>
          <w:highlight w:val="none"/>
        </w:rPr>
      </w:r>
      <w:r>
        <w:rPr>
          <w:highlight w:val="none"/>
        </w:rPr>
      </w:r>
      <w:r/>
    </w:p>
    <w:p>
      <w:pPr>
        <w:pBdr/>
        <w:spacing w:after="200" w:line="276" w:lineRule="auto"/>
        <w:ind/>
        <w:rPr/>
      </w:p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w:t>
      </w:r>
      <w:commentRangeStart w:id="3"/>
      <w:r>
        <w:rPr>
          <w:b/>
          <w:lang w:val="vi-VN"/>
        </w:rPr>
        <w:t xml:space="preserve">U THẬP T</w:t>
      </w:r>
      <w:commentRangeEnd w:id="3"/>
      <w:r>
        <w:commentReference w:id="3"/>
      </w:r>
      <w:r>
        <w:rPr>
          <w:b/>
          <w:lang w:val="vi-VN"/>
        </w:rPr>
        <w:t xml:space="preserve">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275/2026/1189/VFI-BC</w:t>
      </w:r>
      <w:commentRangeStart w:id="4"/>
      <w:r>
        <w:rPr>
          <w:i/>
          <w:highlight w:val="yellow"/>
        </w:rPr>
        <w:t xml:space="preserve">.C01.A</w:t>
      </w:r>
      <w:r>
        <w:rPr>
          <w:i/>
          <w:highlight w:val="yellow"/>
          <w:lang w:val="pt-BR"/>
        </w:rPr>
        <w:t xml:space="preserve"> </w:t>
      </w:r>
      <w:r>
        <w:rPr>
          <w:i/>
          <w:highlight w:val="yellow"/>
          <w:lang w:val="pt-BR"/>
        </w:rPr>
        <w:t xml:space="preserve">ngày 4 thán</w:t>
      </w:r>
      <w:r>
        <w:rPr>
          <w:i/>
          <w:lang w:val="pt-BR"/>
        </w:rPr>
      </w:r>
      <w:commentRangeEnd w:id="4"/>
      <w:r>
        <w:commentReference w:id="4"/>
      </w:r>
      <w:r>
        <w:rPr>
          <w:i/>
          <w:lang w:val="pt-BR"/>
        </w:rPr>
        <w:t xml:space="preserve">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0972294889</w:t>
            </w:r>
            <w:r>
              <w:rPr>
                <w:sz w:val="22"/>
                <w:szCs w:val="22"/>
              </w:rPr>
              <w:t xml:space="preserve"> </w:t>
            </w:r>
            <w:r>
              <w:rPr>
                <w:sz w:val="22"/>
                <w:szCs w:val="22"/>
              </w:rPr>
              <w:br/>
              <w:t xml:space="preserve">(Lâm Biên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(92,7m²)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Chùa Đông, Phường Phố Hiến, Tỉnh Hưng Yên. Tài sản tiếp giáp đường Chùa Đông</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sz w:val="22"/>
                <w:szCs w:val="22"/>
              </w:rPr>
            </w:pPr>
            <w:r>
              <w:rPr>
                <w:b/>
                <w:bCs/>
                <w:color w:val="000000"/>
                <w:sz w:val="22"/>
                <w:szCs w:val="22"/>
              </w:rPr>
              <w:t xml:space="preserve">16</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Công trình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Nhà 5 tầng, diện tích xây dựng khoảng</w:t>
            </w:r>
            <w:r>
              <w:t xml:space="preserve"> </w:t>
            </w:r>
            <w:r>
              <w:rPr>
                <w:highlight w:val="none"/>
              </w:rPr>
              <w:t xml:space="preserve">463,5m²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1642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5164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5.62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72505"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47250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52.17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40248"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44024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49.63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33.3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Mạnh Tuấn</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0784854888</w:t>
            </w:r>
            <w:r>
              <w:rPr>
                <w:sz w:val="22"/>
                <w:szCs w:val="22"/>
              </w:rPr>
              <w:t xml:space="preserve"> </w:t>
            </w:r>
            <w:r>
              <w:rPr>
                <w:sz w:val="22"/>
                <w:szCs w:val="22"/>
              </w:rPr>
              <w:br/>
              <w:t xml:space="preserve">(Vinh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Chùa Đông, Phường Phố Hiến, Tỉnh Hưng Yên. Tài sản tiếp giáp đường Chùa Đông</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sz w:val="22"/>
                <w:szCs w:val="22"/>
              </w:rPr>
            </w:pPr>
            <w:r>
              <w:rPr>
                <w:b/>
                <w:bCs/>
                <w:color w:val="000000"/>
                <w:sz w:val="22"/>
                <w:szCs w:val="22"/>
              </w:rPr>
              <w:t xml:space="preserve">16</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Công trình trên đất </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Nhà 4 tầng, diện tích xây dựng khoả</w:t>
            </w:r>
            <w:r>
              <w:rPr>
                <w:rFonts w:ascii="Times New Roman" w:hAnsi="Times New Roman" w:eastAsia="Times New Roman" w:cs="Times New Roman"/>
                <w:sz w:val="24"/>
                <w:szCs w:val="24"/>
              </w:rPr>
              <w:t xml:space="preserve">ng </w:t>
            </w:r>
            <w:r>
              <w:rPr>
                <w:rFonts w:ascii="Times New Roman" w:hAnsi="Times New Roman" w:eastAsia="Times New Roman" w:cs="Times New Roman"/>
                <w:color w:val="000000" w:themeColor="text1"/>
                <w:sz w:val="24"/>
                <w:szCs w:val="24"/>
                <w:highlight w:val="none"/>
              </w:rPr>
              <w:t xml:space="preserve">288m²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78189"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437818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44.74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28376"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262837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06.96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99906"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49990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54.32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33.33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33.33pt;height:250.00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33.33pt;height:250.00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87.50pt;height:250.00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https://www.facebook.com/groups/510840263014876/permalink/2218188318946720</w:t>
            </w:r>
            <w:r>
              <w:rPr>
                <w:color w:val="000000" w:themeColor="text1"/>
                <w:sz w:val="22"/>
                <w:szCs w:val="22"/>
              </w:rPr>
              <w:br/>
            </w:r>
            <w:r>
              <w:rPr>
                <w:sz w:val="22"/>
                <w:szCs w:val="22"/>
              </w:rPr>
              <w:t xml:space="preserve">SĐT: </w:t>
            </w:r>
            <w:r>
              <w:rPr>
                <w:color w:val="000000" w:themeColor="text1"/>
                <w:sz w:val="22"/>
                <w:szCs w:val="22"/>
              </w:rPr>
              <w:t xml:space="preserve">0943977356</w:t>
            </w:r>
            <w:r>
              <w:rPr>
                <w:sz w:val="22"/>
                <w:szCs w:val="22"/>
              </w:rPr>
              <w:t xml:space="preserve"> </w:t>
            </w:r>
            <w:r>
              <w:rPr>
                <w:sz w:val="22"/>
                <w:szCs w:val="22"/>
              </w:rPr>
              <w:br/>
              <w:t xml:space="preserve">(Việt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8.370.000.000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(71,4m²)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phố Tuệ Tĩnh, Phường Phố Hiến, Tỉnh Hưng Yên. Tài sản tiếp giáp phố Tuệ Tĩnh</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71,4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1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Vạt góc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bCs/>
                <w:color w:val="000000"/>
                <w:sz w:val="22"/>
                <w:szCs w:val="22"/>
              </w:rPr>
            </w:pPr>
            <w:r>
              <w:rPr>
                <w:b/>
                <w:bCs/>
                <w:color w:val="000000"/>
                <w:sz w:val="22"/>
                <w:szCs w:val="22"/>
              </w:rPr>
              <w:t xml:space="preserve">16</w:t>
            </w:r>
            <w:r>
              <w:rPr>
                <w:b/>
                <w:bCs/>
                <w:color w:val="000000"/>
                <w:sz w:val="22"/>
                <w:szCs w:val="22"/>
              </w:rPr>
            </w:r>
            <w:r>
              <w:rPr>
                <w:b/>
                <w:bCs/>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t xml:space="preserve">Công trình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Nhà 2 tầng, diện tích xây dựng khoảng</w:t>
            </w:r>
            <w:r>
              <w:rPr>
                <w:rFonts w:ascii="Times New Roman" w:hAnsi="Times New Roman" w:eastAsia="Times New Roman" w:cs="Times New Roman"/>
                <w:color w:val="000000" w:themeColor="text1"/>
                <w:sz w:val="24"/>
                <w:szCs w:val="24"/>
                <w:highlight w:val="none"/>
              </w:rPr>
              <w:t xml:space="preserve"> </w:t>
            </w:r>
            <w:r>
              <w:rPr>
                <w:rFonts w:ascii="Times New Roman" w:hAnsi="Times New Roman" w:eastAsia="Times New Roman" w:cs="Times New Roman"/>
                <w:color w:val="000000" w:themeColor="text1"/>
                <w:sz w:val="24"/>
                <w:szCs w:val="24"/>
                <w:highlight w:val="none"/>
              </w:rPr>
              <w:t xml:space="preserve">142,8m²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76805" cy="3175000"/>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a:off x="0" y="0"/>
                                <a:ext cx="297680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234.39pt;height:250.00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87.50pt;height:250.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Mạnh Tuấn</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BIÊN BẢN KHẢO SÁT</w:t>
      </w:r>
      <w:r>
        <w:rPr>
          <w:b/>
          <w:bCs/>
          <w:iCs/>
          <w:highlight w:val="none"/>
          <w:lang w:val="pt-BR"/>
        </w:rPr>
      </w:r>
      <w:r>
        <w:rPr>
          <w:b/>
          <w:bCs/>
          <w:iCs/>
          <w:highlight w:val="none"/>
          <w:lang w:val="pt-BR"/>
        </w:rP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68151" name=""/>
                        <pic:cNvPicPr>
                          <a:picLocks noChangeAspect="1"/>
                        </pic:cNvPicPr>
                        <pic:nvPr/>
                      </pic:nvPicPr>
                      <pic:blipFill rotWithShape="1">
                        <a:blip r:embed="rId4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476.25pt;height:635.00pt;mso-wrap-distance-left:0.00pt;mso-wrap-distance-top:0.00pt;mso-wrap-distance-right:0.00pt;mso-wrap-distance-bottom:0.00pt;z-index:1;" stroked="false">
                <v:imagedata r:id="rId44"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Nguyễn Thị Thùy Dương" w:date="2026-08-13T12:50:24Z" w:initials="NTTD">
    <w:p w14:paraId="00000001" w14:textId="00000001">
      <w:pPr>
        <w:spacing w:line="240" w:after="0" w:lineRule="auto" w:before="0"/>
        <w:ind w:firstLine="0" w:left="0" w:right="0"/>
        <w:jc w:val="left"/>
      </w:pPr>
      <w:r>
        <w:rPr>
          <w:rFonts w:eastAsia="Arial" w:ascii="Arial" w:hAnsi="Arial" w:cs="Arial"/>
          <w:sz w:val="22"/>
        </w:rPr>
        <w:t xml:space="preserve">Ngày</w:t>
      </w:r>
    </w:p>
  </w:comment>
  <w:comment w:id="3" w:author="Nguyễn Thị Thùy Dương" w:date="2026-08-13T12:50:42Z" w:initials="NTTD">
    <w:p w14:paraId="00000002" w14:textId="00000002">
      <w:pPr>
        <w:spacing w:line="240" w:after="0" w:lineRule="auto" w:before="0"/>
        <w:ind w:firstLine="0" w:left="0" w:right="0"/>
        <w:jc w:val="left"/>
      </w:pPr>
      <w:r>
        <w:rPr>
          <w:rFonts w:eastAsia="Arial" w:ascii="Arial" w:hAnsi="Arial" w:cs="Arial"/>
          <w:sz w:val="22"/>
        </w:rPr>
        <w:t xml:space="preserve">Bổ sung thông tin công trình trên đất các TSSS</w:t>
      </w:r>
    </w:p>
  </w:comment>
  <w:comment w:id="2" w:author="Nguyễn Thị Thùy Dương" w:date="2026-08-13T12:45:36Z" w:initials="NTTD">
    <w:p w14:paraId="00000003" w14:textId="00000003">
      <w:pPr>
        <w:spacing w:line="240" w:after="0" w:lineRule="auto" w:before="0"/>
        <w:ind w:firstLine="0" w:left="0" w:right="0"/>
        <w:jc w:val="left"/>
      </w:pPr>
      <w:r>
        <w:rPr>
          <w:rFonts w:eastAsia="Arial" w:ascii="Arial" w:hAnsi="Arial" w:cs="Arial"/>
          <w:sz w:val="22"/>
        </w:rPr>
        <w:t xml:space="preserve">Giá trị chưa trừ nhà</w:t>
      </w:r>
    </w:p>
  </w:comment>
  <w:comment w:id="1" w:author="Nguyễn Thị Thùy Dương" w:date="2026-08-13T12:44:52Z" w:initials="NTTD">
    <w:p w14:paraId="00000004" w14:textId="00000004">
      <w:pPr>
        <w:spacing w:line="240" w:after="0" w:lineRule="auto" w:before="0"/>
        <w:ind w:firstLine="0" w:left="0" w:right="0"/>
        <w:jc w:val="left"/>
      </w:pPr>
      <w:r>
        <w:rPr>
          <w:rFonts w:eastAsia="Arial" w:ascii="Arial" w:hAnsi="Arial" w:cs="Arial"/>
          <w:sz w:val="22"/>
        </w:rPr>
        <w:t xml:space="preserve">Trình bày</w:t>
      </w:r>
    </w:p>
  </w:comment>
  <w:comment w:id="0" w:author="Nguyễn Thị Thùy Dương" w:date="2026-08-13T12:45:25Z" w:initials="NTTD">
    <w:p w14:paraId="00000005" w14:textId="00000005">
      <w:pPr>
        <w:spacing w:line="240" w:after="0" w:lineRule="auto" w:before="0"/>
        <w:ind w:firstLine="0" w:left="0" w:right="0"/>
        <w:jc w:val="left"/>
      </w:pPr>
      <w:r>
        <w:rPr>
          <w:rFonts w:eastAsia="Arial" w:ascii="Arial" w:hAnsi="Arial" w:cs="Arial"/>
          <w:sz w:val="22"/>
        </w:rPr>
        <w:t xml:space="preserve">Mô tả</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Ex w15:paraId="000000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B00BF" w16cex:dateUtc="2026-08-13T05:50:24Z"/>
  <w16cex:commentExtensible w16cex:durableId="1EBDC512" w16cex:dateUtc="2026-08-13T05:50:42Z"/>
  <w16cex:commentExtensible w16cex:durableId="791533E3" w16cex:dateUtc="2026-08-13T05:45:36Z"/>
  <w16cex:commentExtensible w16cex:durableId="2805F909" w16cex:dateUtc="2026-08-13T05:44:52Z"/>
  <w16cex:commentExtensible w16cex:durableId="6B31C551" w16cex:dateUtc="2026-08-13T05:45:25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23CB00BF"/>
  <w16cid:commentId w16cid:paraId="00000002" w16cid:durableId="1EBDC512"/>
  <w16cid:commentId w16cid:paraId="00000003" w16cid:durableId="791533E3"/>
  <w16cid:commentId w16cid:paraId="00000004" w16cid:durableId="2805F909"/>
  <w16cid:commentId w16cid:paraId="00000005" w16cid:durableId="6B31C55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png"/><Relationship Id="rId43" Type="http://schemas.openxmlformats.org/officeDocument/2006/relationships/image" Target="media/image29.jpg"/><Relationship Id="rId44" Type="http://schemas.openxmlformats.org/officeDocument/2006/relationships/image" Target="media/image30.jpg"/><Relationship Id="rId45" Type="http://schemas.openxmlformats.org/officeDocument/2006/relationships/comments" Target="comments.xml" /><Relationship Id="rId46" Type="http://schemas.microsoft.com/office/2011/relationships/commentsExtended" Target="commentsExtended.xml" /><Relationship Id="rId47" Type="http://schemas.microsoft.com/office/2018/08/relationships/commentsExtensible" Target="commentsExtensible.xml" /><Relationship Id="rId48" Type="http://schemas.microsoft.com/office/2016/09/relationships/commentsIds" Target="commentsIds.xml" /><Relationship Id="rId49"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Mạnh Tuấn</cp:lastModifiedBy>
  <cp:revision>285</cp:revision>
  <dcterms:created xsi:type="dcterms:W3CDTF">2025-09-15T09:58:00Z</dcterms:created>
  <dcterms:modified xsi:type="dcterms:W3CDTF">2026-08-14T09:47:37Z</dcterms:modified>
</cp:coreProperties>
</file>