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lang w:val="vi-VN"/>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397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397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275/2026/1094/VFI-CT.65.A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cổ phần thương mại vận tải Dầu khí Ngân Hà - Oil Trading</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và tài sản gắn liền v</w:t>
                            </w:r>
                            <w:r>
                              <w:rPr>
                                <w:color w:val="000000"/>
                              </w:rPr>
                              <w:t xml:space="preserve">ới đất tại thửa đất số 289, tờ bản đồ số 16 có địa chỉ: Thửa số 02, lô No-01, khu nhà ở 97 đường Bạch Đằng, phường Hạ Lý, quận Hồng Bàng, TP Hải Phòng (nay là phường Hồng Bàng, thành phố Hải Ph</w:t>
                            </w:r>
                            <w:r>
                              <w:rPr>
                                <w:color w:val="000000"/>
                              </w:rPr>
                              <w:t xml:space="preserve">òng) theo Giấy chứng nhận quyền sử dụng đất quyền sở hữu nhà ở và tài </w:t>
                            </w:r>
                            <w:r>
                              <w:rPr>
                                <w:color w:val="000000"/>
                              </w:rPr>
                              <w:t xml:space="preserve">sản khác gắn liền với đất số: CK 252227, số vào sổ c</w:t>
                            </w:r>
                            <w:r>
                              <w:rPr>
                                <w:color w:val="000000"/>
                              </w:rPr>
                              <w:t xml:space="preserve">ấp GCN: CH 01308 do Uỷ ban nhân dân quận Hồng Bàng cấp ngày 04/8/2017; chủ sử dụng đất là ông Vũ Đức Duy và vợ là bà Đặng Thị Mai Thêu</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2.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275/2026/1094/VFI-CT.65.A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cổ phần thương mại vận tải Dầu khí Ngân Hà - Oil Trading</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và tài sản gắn liền v</w:t>
                      </w:r>
                      <w:r>
                        <w:rPr>
                          <w:color w:val="000000"/>
                        </w:rPr>
                        <w:t xml:space="preserve">ới đất tại thửa đất số 289, tờ bản đồ số 16 có địa chỉ: Thửa số 02, lô No-01, khu nhà ở 97 đường Bạch Đằng, phường Hạ Lý, quận Hồng Bàng, TP Hải Phòng (nay là phường Hồng Bàng, thành phố Hải Ph</w:t>
                      </w:r>
                      <w:r>
                        <w:rPr>
                          <w:color w:val="000000"/>
                        </w:rPr>
                        <w:t xml:space="preserve">òng) theo Giấy chứng nhận quyền sử dụng đất quyền sở hữu nhà ở và tài </w:t>
                      </w:r>
                      <w:r>
                        <w:rPr>
                          <w:color w:val="000000"/>
                        </w:rPr>
                        <w:t xml:space="preserve">sản khác gắn liền với đất số: CK 252227, số vào sổ c</w:t>
                      </w:r>
                      <w:r>
                        <w:rPr>
                          <w:color w:val="000000"/>
                        </w:rPr>
                        <w:t xml:space="preserve">ấp GCN: CH 01308 do Uỷ ban nhân dân quận Hồng Bàng cấp ngày 04/8/2017; chủ sử dụng đất là ông Vũ Đức Duy và vợ là bà Đặng Thị Mai Thêu</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right"/>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4-22</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23-26</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27-31</w:t>
            </w:r>
            <w:r>
              <w:rPr>
                <w:b/>
                <w:bCs/>
                <w:color w:val="000000" w:themeColor="text1"/>
              </w:rPr>
            </w:r>
            <w:r>
              <w:rPr>
                <w:b/>
                <w:bCs/>
                <w:color w:val="000000" w:themeColor="text1"/>
              </w:rPr>
            </w:r>
          </w:p>
        </w:tc>
      </w:tr>
    </w:tbl>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9785" w:type="dxa"/>
        <w:tblBorders/>
        <w:tblLayout w:type="fixed"/>
        <w:tblLook w:val="04A0" w:firstRow="1" w:lastRow="0" w:firstColumn="1" w:lastColumn="0" w:noHBand="0" w:noVBand="1"/>
      </w:tblPr>
      <w:tblGrid>
        <w:gridCol w:w="29"/>
        <w:gridCol w:w="1701"/>
        <w:gridCol w:w="3543"/>
        <w:gridCol w:w="4513"/>
      </w:tblGrid>
      <w:tr>
        <w:trPr>
          <w:trHeight w:val="1842"/>
        </w:trPr>
        <w:tc>
          <w:tcPr>
            <w:gridSpan w:val="2"/>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056"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1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428"/>
        </w:trPr>
        <w:tc>
          <w:tcPr>
            <w:gridSpan w:val="2"/>
            <w:shd w:val="clear" w:color="auto" w:fill="auto"/>
            <w:tcBorders/>
            <w:tcMar>
              <w:left w:w="108" w:type="dxa"/>
              <w:top w:w="0" w:type="dxa"/>
              <w:right w:w="108" w:type="dxa"/>
              <w:bottom w:w="0" w:type="dxa"/>
            </w:tcMar>
            <w:tcW w:w="5244"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275/2026/1094/VFI-CT.65.A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513" w:type="dxa"/>
            <w:textDirection w:val="lrTb"/>
            <w:noWrap w:val="false"/>
          </w:tcPr>
          <w:p>
            <w:pPr>
              <w:pStyle w:val="1024"/>
              <w:pBdr/>
              <w:spacing w:after="60"/>
              <w:ind w:right="-56"/>
              <w:jc w:val="right"/>
              <w:rPr>
                <w:color w:val="000000" w:themeColor="text1"/>
                <w:sz w:val="24"/>
                <w:szCs w:val="24"/>
              </w:rPr>
            </w:pPr>
            <w:r>
              <w:rPr>
                <w:rStyle w:val="1023"/>
                <w:rFonts w:ascii="Times New Roman" w:hAnsi="Times New Roman"/>
                <w:i/>
                <w:color w:val="000000" w:themeColor="text1"/>
              </w:rPr>
              <w:t xml:space="preserve">TP. Hà Nội</w:t>
            </w:r>
            <w:r>
              <w:rPr>
                <w:rStyle w:val="1023"/>
                <w:rFonts w:ascii="Times New Roman" w:hAnsi="Times New Roman"/>
                <w:i/>
                <w:color w:val="000000" w:themeColor="text1"/>
                <w:lang w:val="vi-VN"/>
              </w:rPr>
              <w:t xml:space="preserve">, </w:t>
            </w:r>
            <w:r>
              <w:rPr>
                <w:rStyle w:val="1023"/>
                <w:rFonts w:ascii="Times New Roman" w:hAnsi="Times New Roman"/>
                <w:i/>
                <w:color w:val="000000" w:themeColor="text1"/>
                <w:lang w:val="vi-VN"/>
              </w:rPr>
              <w:t xml:space="preserve">ngày 21 tháng 7 năm 2026</w:t>
            </w:r>
            <w:r>
              <w:rPr>
                <w:color w:val="000000" w:themeColor="text1"/>
                <w:sz w:val="24"/>
                <w:szCs w:val="24"/>
              </w:rPr>
            </w:r>
            <w:r>
              <w:rPr>
                <w:color w:val="000000" w:themeColor="text1"/>
                <w:sz w:val="24"/>
                <w:szCs w:val="24"/>
              </w:rPr>
            </w:r>
          </w:p>
        </w:tc>
      </w:tr>
    </w:tbl>
    <w:p>
      <w:pPr>
        <w:pStyle w:val="1024"/>
        <w:pBdr/>
        <w:spacing w:after="120" w:before="200" w:line="288" w:lineRule="auto"/>
        <w:ind/>
        <w:jc w:val="center"/>
        <w:rPr>
          <w:rStyle w:val="1023"/>
          <w:rFonts w:ascii="Times New Roman" w:hAnsi="Times New Roman"/>
          <w:b/>
          <w:bCs/>
          <w:color w:val="000000" w:themeColor="text1"/>
          <w:sz w:val="30"/>
          <w:szCs w:val="30"/>
        </w:rPr>
      </w:pPr>
      <w:r>
        <w:rPr>
          <w:rStyle w:val="1023"/>
          <w:rFonts w:ascii="Times New Roman" w:hAnsi="Times New Roman"/>
          <w:b/>
          <w:bCs/>
          <w:color w:val="000000" w:themeColor="text1"/>
          <w:sz w:val="30"/>
          <w:szCs w:val="30"/>
          <w:lang w:val="vi-VN"/>
        </w:rPr>
        <w:t xml:space="preserve">CHỨNG THƯ THẨM ĐỊNH GIÁ</w:t>
      </w:r>
      <w:r>
        <w:rPr>
          <w:rStyle w:val="1023"/>
          <w:rFonts w:ascii="Times New Roman" w:hAnsi="Times New Roman"/>
          <w:b/>
          <w:bCs/>
          <w:color w:val="000000" w:themeColor="text1"/>
          <w:sz w:val="30"/>
          <w:szCs w:val="30"/>
        </w:rPr>
      </w:r>
      <w:r>
        <w:rPr>
          <w:rStyle w:val="1023"/>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CÔNG TY CỔ PHẦN THƯƠNG MẠI VẬN TẢI DẦU KHÍ NGÂN HÀ – OIL TRADING</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275/2026/1094/VFI-HĐTĐ.65.A</w:t>
      </w:r>
      <w:r>
        <w:rPr>
          <w:color w:val="000000" w:themeColor="text1"/>
          <w:spacing w:val="-4"/>
          <w:lang w:val="vi-VN"/>
        </w:rPr>
        <w:t xml:space="preserve"> ký ngày </w:t>
      </w:r>
      <w:r>
        <w:rPr>
          <w:color w:val="000000" w:themeColor="text1"/>
          <w:spacing w:val="-4"/>
        </w:rPr>
        <w:t xml:space="preserve">17 tháng 7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Công ty cổ phần thương mại vận tải Dầu khí Ngân Hà - Oil Trading</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275/2026/1094/VFI-BC.65.A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21 tháng 7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Tên khách hàng</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auto" w:fill="auto"/>
            <w:tcBorders/>
            <w:tcW w:w="472"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0" w:type="dxa"/>
            <w:vAlign w:val="center"/>
            <w:textDirection w:val="lrTb"/>
            <w:noWrap w:val="false"/>
          </w:tcPr>
          <w:p>
            <w:pPr>
              <w:pBdr/>
              <w:spacing/>
              <w:ind/>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color w:val="000000" w:themeColor="text1"/>
                <w:sz w:val="24"/>
                <w:szCs w:val="24"/>
                <w:lang w:val="pt-BR"/>
              </w:rPr>
              <w:t xml:space="preserve">CÔNG TY CỔ PHẦN THƯƠNG MẠI VẬN TẢI DẦU KHÍ NGÂN HÀ – OIL TRADING </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MST</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auto" w:fill="auto"/>
            <w:tcBorders/>
            <w:tcW w:w="472"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0" w:type="dxa"/>
            <w:vAlign w:val="center"/>
            <w:textDirection w:val="lrTb"/>
            <w:noWrap w:val="false"/>
          </w:tcPr>
          <w:p>
            <w:pPr>
              <w:pBdr/>
              <w:spacing w:after="40" w:before="40" w:line="276" w:lineRule="auto"/>
              <w:ind/>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lang w:val="vi-VN"/>
              </w:rPr>
            </w:r>
            <w:r>
              <w:rPr>
                <w:rFonts w:ascii="Times New Roman" w:hAnsi="Times New Roman" w:eastAsia="Times New Roman" w:cs="Times New Roman"/>
                <w:b w:val="0"/>
                <w:bCs w:val="0"/>
                <w:color w:val="000000" w:themeColor="text1"/>
                <w:spacing w:val="-2"/>
                <w:sz w:val="24"/>
                <w:szCs w:val="24"/>
                <w:highlight w:val="white"/>
              </w:rPr>
              <w:t xml:space="preserve">0201181028</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tc>
      </w:tr>
      <w:tr>
        <w:trPr>
          <w:trHeight w:val="20"/>
        </w:trPr>
        <w:tc>
          <w:tcPr>
            <w:shd w:val="clear" w:color="ffffff" w:fill="ffffff"/>
            <w:tcBorders/>
            <w:tcW w:w="2113" w:type="dxa"/>
            <w:vAlign w:val="center"/>
            <w:vMerge w:val="restart"/>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Địa chỉ</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ffffff" w:fill="ffffff"/>
            <w:tcBorders/>
            <w:tcW w:w="472" w:type="dxa"/>
            <w:vAlign w:val="center"/>
            <w:vMerge w:val="restart"/>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0" w:type="dxa"/>
            <w:vAlign w:val="center"/>
            <w:vMerge w:val="restart"/>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2"/>
                <w:sz w:val="24"/>
                <w:szCs w:val="24"/>
                <w:highlight w:val="white"/>
              </w:rPr>
              <w:t xml:space="preserve">Số 135 Nguyễn Bỉnh Khiêm, Phường Gia Viên, Thành phố Hải Phòng, Việt Nam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Người đại diện</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shd w:val="clear" w:color="auto" w:fill="auto"/>
            <w:tcBorders/>
            <w:tcW w:w="472"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0" w:type="dxa"/>
            <w:vAlign w:val="center"/>
            <w:textDirection w:val="lrTb"/>
            <w:noWrap w:val="false"/>
          </w:tcPr>
          <w:p>
            <w:pPr>
              <w:pBdr/>
              <w:spacing w:after="40" w:before="40" w:line="276" w:lineRule="auto"/>
              <w:ind/>
              <w:jc w:val="both"/>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lang w:val="vi-VN"/>
              </w:rPr>
              <w:t xml:space="preserve">Đặng </w:t>
            </w:r>
            <w:r>
              <w:rPr>
                <w:rFonts w:ascii="Times New Roman" w:hAnsi="Times New Roman" w:eastAsia="Times New Roman" w:cs="Times New Roman"/>
                <w:b/>
                <w:bCs/>
                <w:color w:val="000000" w:themeColor="text1"/>
                <w:sz w:val="24"/>
                <w:szCs w:val="24"/>
                <w:lang w:val="vi-VN"/>
              </w:rPr>
              <w:t xml:space="preserve">Thị</w:t>
            </w:r>
            <w:r>
              <w:rPr>
                <w:rFonts w:ascii="Times New Roman" w:hAnsi="Times New Roman" w:eastAsia="Times New Roman" w:cs="Times New Roman"/>
                <w:b/>
                <w:bCs/>
                <w:color w:val="000000" w:themeColor="text1"/>
                <w:sz w:val="24"/>
                <w:szCs w:val="24"/>
                <w:lang w:val="vi-VN"/>
              </w:rPr>
              <w:t xml:space="preserve"> Mai Thêu</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r>
      <w:tr>
        <w:trPr>
          <w:trHeight w:val="20"/>
        </w:trPr>
        <w:tc>
          <w:tcPr>
            <w:shd w:val="clear" w:color="ffffff" w:fill="ffffff"/>
            <w:tcBorders/>
            <w:tcW w:w="2113" w:type="dxa"/>
            <w:vAlign w:val="center"/>
            <w:vMerge w:val="restart"/>
            <w:textDirection w:val="lrTb"/>
            <w:noWrap w:val="false"/>
          </w:tcPr>
          <w:p>
            <w:pPr>
              <w:pBdr/>
              <w:spacing w:after="40" w:before="40" w:line="276" w:lineRule="auto"/>
              <w:ind/>
              <w:jc w:val="both"/>
              <w:rPr>
                <w:rFonts w:ascii="Times New Roman" w:hAnsi="Times New Roman" w:eastAsia="Times New Roman" w:cs="Times New Roman"/>
                <w:bCs/>
                <w:color w:val="000000" w:themeColor="text1"/>
                <w:sz w:val="24"/>
                <w:szCs w:val="24"/>
                <w:lang w:val="pt-BR"/>
              </w:rPr>
            </w:pPr>
            <w:r>
              <w:rPr>
                <w:rFonts w:ascii="Times New Roman" w:hAnsi="Times New Roman" w:eastAsia="Times New Roman" w:cs="Times New Roman"/>
                <w:bCs/>
                <w:color w:val="000000" w:themeColor="text1"/>
                <w:sz w:val="24"/>
                <w:szCs w:val="24"/>
                <w:lang w:val="pt-BR"/>
              </w:rPr>
              <w:t xml:space="preserve">Chức vụ</w:t>
            </w:r>
            <w:r>
              <w:rPr>
                <w:rFonts w:ascii="Times New Roman" w:hAnsi="Times New Roman" w:eastAsia="Times New Roman" w:cs="Times New Roman"/>
                <w:bCs/>
                <w:color w:val="000000" w:themeColor="text1"/>
                <w:sz w:val="24"/>
                <w:szCs w:val="24"/>
                <w:lang w:val="pt-BR"/>
              </w:rPr>
            </w:r>
          </w:p>
        </w:tc>
        <w:tc>
          <w:tcPr>
            <w:shd w:val="clear" w:color="ffffff" w:fill="ffffff"/>
            <w:tcBorders/>
            <w:tcW w:w="472" w:type="dxa"/>
            <w:vAlign w:val="center"/>
            <w:vMerge w:val="restart"/>
            <w:textDirection w:val="lrTb"/>
            <w:noWrap w:val="false"/>
          </w:tcPr>
          <w:p>
            <w:pPr>
              <w:pBdr/>
              <w:spacing w:after="40" w:before="40" w:line="276" w:lineRule="auto"/>
              <w:ind/>
              <w:jc w:val="center"/>
              <w:rPr>
                <w:rFonts w:ascii="Times New Roman" w:hAnsi="Times New Roman" w:eastAsia="Times New Roman" w:cs="Times New Roman"/>
                <w:bCs/>
                <w:color w:val="000000" w:themeColor="text1"/>
                <w:sz w:val="24"/>
                <w:szCs w:val="24"/>
                <w:lang w:val="pt-BR"/>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eastAsia="Times New Roman" w:cs="Times New Roman"/>
                <w:bCs/>
                <w:color w:val="000000" w:themeColor="text1"/>
                <w:sz w:val="24"/>
                <w:szCs w:val="24"/>
                <w:lang w:val="pt-BR"/>
              </w:rPr>
            </w:r>
          </w:p>
        </w:tc>
        <w:tc>
          <w:tcPr>
            <w:tcBorders/>
            <w:tcW w:w="6940" w:type="dxa"/>
            <w:vAlign w:val="center"/>
            <w:vMerge w:val="restart"/>
            <w:textDirection w:val="lrTb"/>
            <w:noWrap w:val="false"/>
          </w:tcPr>
          <w:p>
            <w:pPr>
              <w:pBdr/>
              <w:spacing w:after="40" w:before="40" w:line="276" w:lineRule="auto"/>
              <w:ind/>
              <w:jc w:val="both"/>
              <w:rPr>
                <w:rFonts w:ascii="Times New Roman" w:hAnsi="Times New Roman" w:eastAsia="Times New Roman" w:cs="Times New Roman"/>
                <w:b/>
                <w:bCs/>
                <w:color w:val="000000" w:themeColor="text1"/>
                <w:sz w:val="24"/>
                <w:szCs w:val="24"/>
                <w:lang w:val="vi-VN"/>
              </w:rPr>
            </w:pPr>
            <w:r>
              <w:rPr>
                <w:rFonts w:ascii="Times New Roman" w:hAnsi="Times New Roman" w:eastAsia="Times New Roman" w:cs="Times New Roman"/>
                <w:b/>
                <w:bCs/>
                <w:color w:val="000000" w:themeColor="text1"/>
                <w:sz w:val="24"/>
                <w:szCs w:val="24"/>
                <w:lang w:val="vi-VN"/>
              </w:rPr>
              <w:t xml:space="preserve">Giám đốc</w:t>
            </w:r>
            <w:r>
              <w:rPr>
                <w:rFonts w:ascii="Times New Roman" w:hAnsi="Times New Roman" w:eastAsia="Times New Roman" w:cs="Times New Roman"/>
                <w:b/>
                <w:bCs/>
                <w:color w:val="000000" w:themeColor="text1"/>
                <w:sz w:val="24"/>
                <w:szCs w:val="24"/>
                <w:lang w:val="vi-VN"/>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r>
            <w:r>
              <w:rPr>
                <w:b/>
                <w:bCs/>
                <w:color w:val="000000" w:themeColor="text1"/>
              </w:rPr>
            </w:r>
            <w:r>
              <w:rPr>
                <w:b/>
                <w:bCs/>
                <w:color w:val="000000" w:themeColor="text1"/>
              </w:rPr>
            </w:r>
          </w:p>
          <w:p>
            <w:pPr>
              <w:pBdr/>
              <w:spacing w:after="40" w:before="40" w:line="276" w:lineRule="auto"/>
              <w:ind/>
              <w:rPr>
                <w:b/>
                <w:bCs/>
                <w:color w:val="000000" w:themeColor="text1"/>
              </w:rPr>
            </w:pP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289, tờ bản đồ số 16 có địa chỉ: Thửa số 02, lô No-01, khu nhà ở 97 đường Bạch Đằng, phường Hạ Lý, quận Hồng Bàng, TP Hải Phòng (nay là phường Hồng Bàng, thành phố Hải Ph</w:t>
      </w:r>
      <w:r>
        <w:rPr>
          <w:color w:val="000000" w:themeColor="text1"/>
        </w:rPr>
        <w:t xml:space="preserve">òng) theo Giấy chứng nhận quyền sử dụng đất quyền sở hữu nhà ở và tài sản khác gắn liền với đất số: CK 252227, số vào sổ cấp GCN: CH 01308 do Uỷ ban nhân dân quận Hồng Bàng cấp ngày 04/8/2017; chủ sử dụng đất là ông Vũ Đức Duy và vợ là bà Đặng Thị Mai Thêu</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07/2026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99"/>
        <w:gridCol w:w="982"/>
        <w:gridCol w:w="1223"/>
        <w:gridCol w:w="1417"/>
        <w:gridCol w:w="1984"/>
        <w:gridCol w:w="1361"/>
        <w:gridCol w:w="1758"/>
      </w:tblGrid>
      <w:tr>
        <w:trPr>
          <w:trHeight w:val="20"/>
        </w:trPr>
        <w:tc>
          <w:tcPr>
            <w:shd w:val="clear" w:color="000000" w:fill="ffffff"/>
            <w:tcBorders/>
            <w:tcW w:w="79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gridSpan w:val="2"/>
            <w:shd w:val="clear" w:color="000000" w:fill="ffffff"/>
            <w:tcBorders/>
            <w:tcW w:w="220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41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198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1361" w:type="dxa"/>
            <w:vAlign w:val="center"/>
            <w:textDirection w:val="lrTb"/>
            <w:noWrap w:val="false"/>
          </w:tcPr>
          <w:p>
            <w:pPr>
              <w:pBdr/>
              <w:spacing/>
              <w:ind/>
              <w:jc w:val="center"/>
              <w:rPr>
                <w:b/>
                <w:bCs/>
                <w:color w:val="000000" w:themeColor="text1"/>
              </w:rPr>
            </w:pPr>
            <w:r>
              <w:rPr>
                <w:b/>
                <w:bCs/>
                <w:color w:val="000000" w:themeColor="text1"/>
              </w:rPr>
              <w:t xml:space="preserve">Tỷ lệ CLCL (%)</w:t>
            </w:r>
            <w:r>
              <w:rPr>
                <w:b/>
                <w:bCs/>
                <w:color w:val="000000" w:themeColor="text1"/>
              </w:rPr>
            </w:r>
            <w:r>
              <w:rPr>
                <w:b/>
                <w:bCs/>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5"/>
            <w:shd w:val="clear" w:color="000000" w:fill="ffffff"/>
            <w:tcBorders/>
            <w:tcW w:w="6967"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và tài sản gắn liền với đất tại thửa đất số 289, tờ bản đồ số 16 có địa chỉ: Thửa số 02, lô No-01, khu nhà ở 97 đường Bạch Đằng, phường Hạ Lý, quận Hồng Bàng, TP Hải Phòng (nay là phường Hồng Bàng, thành phố Hải Ph</w:t>
            </w:r>
            <w:r>
              <w:rPr>
                <w:color w:val="000000" w:themeColor="text1"/>
              </w:rPr>
              <w:t xml:space="preserve">òng) theo Giấy chứng nhận quyền sử dụng đất quyền sở hữu nhà ở và tài sản khác gắn liền với đất số: CK 252227, số vào sổ cấp GCN: CH 01308 do Uỷ ban nhân dân quận Hồng Bàng cấp ngày 04/8/2017; chủ sử dụng đất là ông Vũ Đức Duy và vợ là bà Đặng Thị Mai Thêu</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1758"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1</w:t>
            </w:r>
            <w:r>
              <w:rPr>
                <w:b w:val="0"/>
                <w:bCs w:val="0"/>
                <w:color w:val="000000" w:themeColor="text1"/>
              </w:rPr>
            </w:r>
            <w:r>
              <w:rPr>
                <w:b w:val="0"/>
                <w:bCs w:val="0"/>
                <w:color w:val="000000" w:themeColor="text1"/>
              </w:rPr>
            </w:r>
          </w:p>
        </w:tc>
        <w:tc>
          <w:tcPr>
            <w:gridSpan w:val="2"/>
            <w:shd w:val="clear" w:color="000000" w:fill="ffffff"/>
            <w:tcBorders/>
            <w:tcW w:w="2205"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417" w:type="dxa"/>
            <w:vAlign w:val="center"/>
            <w:textDirection w:val="lrTb"/>
            <w:noWrap/>
          </w:tcPr>
          <w:p>
            <w:pPr>
              <w:pBdr/>
              <w:spacing w:after="40" w:before="40" w:line="288" w:lineRule="auto"/>
              <w:ind/>
              <w:jc w:val="center"/>
              <w:rPr>
                <w:color w:val="000000" w:themeColor="text1"/>
              </w:rPr>
            </w:pPr>
            <w:r>
              <w:rPr>
                <w:color w:val="000000" w:themeColor="text1"/>
              </w:rPr>
              <w:t xml:space="preserve">78,5</w:t>
            </w:r>
            <w:r>
              <w:rPr>
                <w:color w:val="000000" w:themeColor="text1"/>
              </w:rPr>
            </w:r>
            <w:r>
              <w:rPr>
                <w:color w:val="000000" w:themeColor="text1"/>
              </w:rPr>
            </w:r>
          </w:p>
        </w:tc>
        <w:tc>
          <w:tcPr>
            <w:shd w:val="clear" w:color="000000" w:fill="ffffff"/>
            <w:tcBorders/>
            <w:tcW w:w="198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107.000.000</w:t>
            </w:r>
            <w:r>
              <w:rPr>
                <w:color w:val="000000" w:themeColor="text1"/>
              </w:rPr>
            </w:r>
            <w:r>
              <w:rPr>
                <w:color w:val="000000" w:themeColor="text1"/>
              </w:rPr>
            </w:r>
          </w:p>
        </w:tc>
        <w:tc>
          <w:tcPr>
            <w:shd w:val="clear" w:color="000000" w:fill="ffffff"/>
            <w:tcBorders/>
            <w:tcW w:w="1361"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color w:val="000000" w:themeColor="text1"/>
              </w:rPr>
            </w:pPr>
            <w:r>
              <w:rPr>
                <w:color w:val="000000" w:themeColor="text1"/>
              </w:rPr>
              <w:t xml:space="preserve">8.399.500.000</w:t>
            </w:r>
            <w:r>
              <w:rPr>
                <w:color w:val="000000" w:themeColor="text1"/>
              </w:rPr>
            </w:r>
            <w:r>
              <w:rPr>
                <w:color w:val="000000" w:themeColor="text1"/>
              </w:rP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2</w:t>
            </w:r>
            <w:r>
              <w:rPr>
                <w:b w:val="0"/>
                <w:bCs w:val="0"/>
                <w:color w:val="000000" w:themeColor="text1"/>
              </w:rPr>
            </w:r>
            <w:r>
              <w:rPr>
                <w:b w:val="0"/>
                <w:bCs w:val="0"/>
                <w:color w:val="000000" w:themeColor="text1"/>
              </w:rPr>
            </w:r>
          </w:p>
        </w:tc>
        <w:tc>
          <w:tcPr>
            <w:gridSpan w:val="2"/>
            <w:shd w:val="clear" w:color="000000" w:fill="ffffff"/>
            <w:tcBorders/>
            <w:tcW w:w="2205"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Nhà 3 tầng</w:t>
            </w:r>
            <w:r>
              <w:rPr>
                <w:b w:val="0"/>
                <w:bCs w:val="0"/>
                <w:color w:val="000000" w:themeColor="text1"/>
              </w:rPr>
            </w:r>
            <w:r>
              <w:rPr>
                <w:b w:val="0"/>
                <w:bCs w:val="0"/>
                <w:color w:val="000000" w:themeColor="text1"/>
              </w:rPr>
            </w:r>
          </w:p>
        </w:tc>
        <w:tc>
          <w:tcPr>
            <w:tcBorders/>
            <w:tcW w:w="1417" w:type="dxa"/>
            <w:vAlign w:val="center"/>
            <w:textDirection w:val="lrTb"/>
            <w:noWrap/>
          </w:tcPr>
          <w:p>
            <w:pPr>
              <w:pBdr/>
              <w:spacing w:after="40" w:before="40" w:line="288" w:lineRule="auto"/>
              <w:ind/>
              <w:jc w:val="center"/>
              <w:rPr>
                <w:color w:val="000000" w:themeColor="text1"/>
              </w:rPr>
            </w:pPr>
            <w:r>
              <w:rPr>
                <w:color w:val="000000" w:themeColor="text1"/>
              </w:rPr>
              <w:t xml:space="preserve">225,5</w:t>
            </w:r>
            <w:r>
              <w:rPr>
                <w:color w:val="000000" w:themeColor="text1"/>
              </w:rPr>
            </w:r>
            <w:r>
              <w:rPr>
                <w:color w:val="000000" w:themeColor="text1"/>
              </w:rPr>
            </w:r>
          </w:p>
        </w:tc>
        <w:tc>
          <w:tcPr>
            <w:shd w:val="clear" w:color="000000" w:fill="ffffff"/>
            <w:tcBorders/>
            <w:tcW w:w="198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7.934.760</w:t>
            </w:r>
            <w:r>
              <w:rPr>
                <w:color w:val="000000" w:themeColor="text1"/>
              </w:rPr>
            </w:r>
            <w:r>
              <w:rPr>
                <w:color w:val="000000" w:themeColor="text1"/>
              </w:rPr>
            </w:r>
          </w:p>
        </w:tc>
        <w:tc>
          <w:tcPr>
            <w:shd w:val="clear" w:color="000000" w:fill="ffffff"/>
            <w:tcBorders/>
            <w:tcW w:w="1361"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82%</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1.467.216.472</w:t>
            </w:r>
            <w:r>
              <w:rPr>
                <w:color w:val="000000" w:themeColor="text1"/>
              </w:rPr>
            </w:r>
            <w:r>
              <w:rPr>
                <w:color w:val="000000" w:themeColor="text1"/>
              </w:rPr>
            </w:r>
          </w:p>
        </w:tc>
      </w:tr>
      <w:tr>
        <w:trPr>
          <w:trHeight w:val="20"/>
        </w:trPr>
        <w:tc>
          <w:tcPr>
            <w:gridSpan w:val="6"/>
            <w:tcBorders/>
            <w:tcW w:w="7767"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1758" w:type="dxa"/>
            <w:vAlign w:val="center"/>
            <w:textDirection w:val="lrTb"/>
            <w:noWrap/>
          </w:tcPr>
          <w:p>
            <w:pPr>
              <w:pBdr/>
              <w:spacing w:after="40" w:before="40" w:line="288" w:lineRule="auto"/>
              <w:ind/>
              <w:jc w:val="center"/>
              <w:rPr>
                <w:b/>
                <w:bCs/>
                <w:color w:val="000000" w:themeColor="text1"/>
              </w:rPr>
            </w:pPr>
            <w:r>
              <w:rPr>
                <w:color w:val="000000" w:themeColor="text1"/>
              </w:rPr>
              <w:t xml:space="preserve">9.866.716.472</w:t>
            </w:r>
            <w:r>
              <w:rPr>
                <w:b/>
                <w:bCs/>
                <w:color w:val="000000" w:themeColor="text1"/>
              </w:rPr>
            </w:r>
            <w:r>
              <w:rPr>
                <w:b/>
                <w:bCs/>
                <w:color w:val="000000" w:themeColor="text1"/>
              </w:rPr>
            </w:r>
          </w:p>
        </w:tc>
      </w:tr>
      <w:tr>
        <w:trPr>
          <w:trHeight w:val="20"/>
        </w:trPr>
        <w:tc>
          <w:tcPr>
            <w:gridSpan w:val="6"/>
            <w:tcBorders/>
            <w:tcW w:w="7767"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1758"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9.867.000.000</w:t>
            </w:r>
            <w:r>
              <w:rPr>
                <w:b/>
                <w:bCs/>
                <w:color w:val="000000" w:themeColor="text1"/>
              </w:rPr>
            </w:r>
            <w:r>
              <w:rPr>
                <w:b/>
                <w:bCs/>
                <w:color w:val="000000" w:themeColor="text1"/>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Chín tỷ tám trăm sáu mươi bảy triệu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rFonts w:eastAsia="Calibri"/>
          <w:b/>
          <w:color w:val="000000" w:themeColor="text1"/>
          <w:spacing w:val="-4"/>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rPr>
      </w:r>
      <w:r>
        <w:rPr>
          <w:rFonts w:eastAsia="Calibri"/>
          <w:b/>
          <w:color w:val="000000" w:themeColor="text1"/>
          <w:spacing w:val="-4"/>
        </w:rPr>
      </w:r>
    </w:p>
    <w:p>
      <w:pPr>
        <w:pBdr/>
        <w:spacing w:after="120" w:before="120" w:line="312" w:lineRule="auto"/>
        <w:ind/>
        <w:rPr>
          <w:color w:val="000000" w:themeColor="text1"/>
        </w:rPr>
      </w:pP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54"/>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Nguyễn Thị Thùy Dương</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10025" w:type="dxa"/>
        <w:tblBorders/>
        <w:tblLayout w:type="fixed"/>
        <w:tblLook w:val="04A0" w:firstRow="1" w:lastRow="0" w:firstColumn="1" w:lastColumn="0" w:noHBand="0" w:noVBand="1"/>
      </w:tblPr>
      <w:tblGrid>
        <w:gridCol w:w="29"/>
        <w:gridCol w:w="1701"/>
        <w:gridCol w:w="2976"/>
        <w:gridCol w:w="5319"/>
      </w:tblGrid>
      <w:tr>
        <w:trPr>
          <w:trHeight w:val="1559"/>
        </w:trPr>
        <w:tc>
          <w:tcPr>
            <w:gridSpan w:val="2"/>
            <w:tcBorders/>
            <w:tcW w:w="1729" w:type="dxa"/>
            <w:textDirection w:val="lrTb"/>
            <w:noWrap w:val="false"/>
          </w:tcPr>
          <w:p>
            <w:pPr>
              <w:pBdr/>
              <w:spacing w:line="360" w:lineRule="auto"/>
              <w:ind w:hanging="108"/>
              <w:rPr>
                <w:i/>
                <w:color w:val="000000" w:themeColor="text1"/>
                <w:szCs w:val="26"/>
                <w:highlight w:val="white"/>
              </w:rPr>
            </w:pPr>
            <w:r>
              <w:rPr>
                <w:i/>
                <w:color w:val="000000" w:themeColor="text1"/>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highlight w:val="white"/>
              </w:rPr>
            </w:r>
            <w:r>
              <w:rPr>
                <w:i/>
                <w:color w:val="000000" w:themeColor="text1"/>
                <w:szCs w:val="26"/>
                <w:highlight w:val="white"/>
              </w:rPr>
            </w:r>
          </w:p>
        </w:tc>
        <w:tc>
          <w:tcPr>
            <w:gridSpan w:val="2"/>
            <w:tcBorders/>
            <w:tcW w:w="8296" w:type="dxa"/>
            <w:textDirection w:val="lrTb"/>
            <w:noWrap w:val="false"/>
          </w:tcPr>
          <w:p>
            <w:pPr>
              <w:pBdr/>
              <w:spacing w:line="312" w:lineRule="auto"/>
              <w:ind/>
              <w:jc w:val="both"/>
              <w:rPr>
                <w:b/>
                <w:color w:val="000000" w:themeColor="text1"/>
                <w:highlight w:val="white"/>
              </w:rPr>
            </w:pPr>
            <w:r>
              <w:rPr>
                <w:b/>
                <w:color w:val="000000" w:themeColor="text1"/>
                <w:highlight w:val="white"/>
                <w:lang w:val="da-DK"/>
              </w:rPr>
              <w:t xml:space="preserve">CÔNG TY CỔ PHẦN THẨM ĐỊNH VÀ ĐẦU TƯ TÀI CHÍNH HOA SEN</w:t>
            </w:r>
            <w:r>
              <w:rPr>
                <w:b/>
                <w:color w:val="000000" w:themeColor="text1"/>
                <w:highlight w:val="white"/>
              </w:rPr>
            </w:r>
            <w:r>
              <w:rPr>
                <w:b/>
                <w:color w:val="000000" w:themeColor="text1"/>
                <w:highlight w:val="white"/>
              </w:rPr>
            </w:r>
          </w:p>
          <w:p>
            <w:pPr>
              <w:pBdr/>
              <w:spacing w:line="312" w:lineRule="auto"/>
              <w:ind/>
              <w:jc w:val="both"/>
              <w:rPr>
                <w:color w:val="000000" w:themeColor="text1"/>
                <w:highlight w:val="white"/>
              </w:rPr>
            </w:pPr>
            <w:r>
              <w:rPr>
                <w:color w:val="000000" w:themeColor="text1"/>
                <w:highlight w:val="white"/>
                <w:lang w:val="da-DK"/>
              </w:rPr>
              <w:t xml:space="preserve">Trụ sở: BT5 </w:t>
            </w:r>
            <w:r>
              <w:rPr>
                <w:color w:val="000000" w:themeColor="text1"/>
                <w:highlight w:val="white"/>
                <w:lang w:val="da-DK"/>
              </w:rPr>
              <w:t xml:space="preserve">-</w:t>
            </w:r>
            <w:r>
              <w:rPr>
                <w:color w:val="000000" w:themeColor="text1"/>
                <w:highlight w:val="white"/>
                <w:lang w:val="da-DK"/>
              </w:rPr>
              <w:t xml:space="preserve"> 23, Khu đô thị mới Văn Phú, Phường Kiến Hưng, </w:t>
            </w:r>
            <w:r>
              <w:rPr>
                <w:color w:val="000000" w:themeColor="text1"/>
                <w:highlight w:val="white"/>
                <w:lang w:val="da-DK"/>
              </w:rPr>
              <w:t xml:space="preserve">T</w:t>
            </w:r>
            <w:r>
              <w:rPr>
                <w:color w:val="000000" w:themeColor="text1"/>
                <w:highlight w:val="white"/>
                <w:lang w:val="da-DK"/>
              </w:rPr>
              <w:t xml:space="preserve">hành phố Hà Nội</w:t>
            </w:r>
            <w:r>
              <w:rPr>
                <w:color w:val="000000" w:themeColor="text1"/>
                <w:highlight w:val="white"/>
              </w:rPr>
            </w:r>
            <w:r>
              <w:rPr>
                <w:color w:val="000000" w:themeColor="text1"/>
                <w:highlight w:val="white"/>
              </w:rPr>
            </w:r>
          </w:p>
          <w:p>
            <w:pPr>
              <w:pBdr/>
              <w:spacing w:line="312" w:lineRule="auto"/>
              <w:ind/>
              <w:jc w:val="both"/>
              <w:rPr>
                <w:color w:val="000000" w:themeColor="text1"/>
                <w:highlight w:val="white"/>
              </w:rPr>
            </w:pPr>
            <w:r>
              <w:rPr>
                <w:color w:val="000000" w:themeColor="text1"/>
                <w:highlight w:val="white"/>
                <w:lang w:val="da-DK"/>
              </w:rPr>
              <w:t xml:space="preserve">Điện thoại:  085 329 3333/ 024 2264 4333</w:t>
            </w:r>
            <w:r>
              <w:rPr>
                <w:color w:val="000000" w:themeColor="text1"/>
                <w:highlight w:val="white"/>
              </w:rPr>
            </w:r>
            <w:r>
              <w:rPr>
                <w:color w:val="000000" w:themeColor="text1"/>
                <w:highlight w:val="white"/>
              </w:rPr>
            </w:r>
          </w:p>
          <w:p>
            <w:pPr>
              <w:pBdr/>
              <w:spacing w:line="276" w:lineRule="auto"/>
              <w:ind/>
              <w:jc w:val="both"/>
              <w:rPr>
                <w:color w:val="000000" w:themeColor="text1"/>
                <w:highlight w:val="white"/>
              </w:rPr>
            </w:pPr>
            <w:r>
              <w:rPr>
                <w:color w:val="000000" w:themeColor="text1"/>
                <w:highlight w:val="white"/>
                <w:lang w:val="da-DK"/>
              </w:rPr>
              <w:t xml:space="preserve">Email: </w:t>
            </w:r>
            <w:r>
              <w:rPr>
                <w:color w:val="000000" w:themeColor="text1"/>
                <w:highlight w:val="white"/>
                <w:lang w:val="da-DK"/>
              </w:rPr>
              <w:tab/>
            </w:r>
            <w:hyperlink r:id="rId16" w:tooltip="mailto:ilotus.contact@gmail.com" w:history="1">
              <w:r>
                <w:rPr>
                  <w:rStyle w:val="1015"/>
                  <w:rFonts w:eastAsiaTheme="majorEastAsia"/>
                  <w:color w:val="000000" w:themeColor="text1"/>
                  <w:highlight w:val="white"/>
                  <w:lang w:val="fr-FR"/>
                </w:rPr>
                <w:t xml:space="preserve">ilotus.contact@gmail.com</w:t>
              </w:r>
            </w:hyperlink>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da-DK"/>
              </w:rPr>
              <w:t xml:space="preserve">Website: ilotus.com.vn</w:t>
            </w:r>
            <w:r>
              <w:rPr>
                <w:color w:val="000000" w:themeColor="text1"/>
                <w:highlight w:val="white"/>
              </w:rPr>
            </w:r>
            <w:r>
              <w:rPr>
                <w:color w:val="000000" w:themeColor="text1"/>
                <w:highlight w:val="white"/>
              </w:rPr>
            </w:r>
          </w:p>
        </w:tc>
      </w:tr>
      <w:tr>
        <w:trPr>
          <w:gridBefore w:val="1"/>
          <w:trHeight w:val="302"/>
        </w:trPr>
        <w:tc>
          <w:tcPr>
            <w:gridSpan w:val="2"/>
            <w:shd w:val="clear" w:color="auto" w:fill="auto"/>
            <w:tcBorders/>
            <w:tcMar>
              <w:left w:w="108" w:type="dxa"/>
              <w:top w:w="0" w:type="dxa"/>
              <w:right w:w="108" w:type="dxa"/>
              <w:bottom w:w="0" w:type="dxa"/>
            </w:tcMar>
            <w:tcW w:w="4677" w:type="dxa"/>
            <w:textDirection w:val="lrTb"/>
            <w:noWrap w:val="false"/>
          </w:tcPr>
          <w:p>
            <w:pPr>
              <w:pStyle w:val="1024"/>
              <w:pBdr/>
              <w:spacing w:after="60"/>
              <w:ind/>
              <w:rPr>
                <w:color w:val="000000" w:themeColor="text1"/>
                <w:sz w:val="24"/>
                <w:szCs w:val="24"/>
                <w:highlight w:val="white"/>
              </w:rPr>
            </w:pPr>
            <w:r>
              <w:rPr>
                <w:rStyle w:val="1023"/>
                <w:rFonts w:ascii="Times New Roman" w:hAnsi="Times New Roman"/>
                <w:color w:val="000000" w:themeColor="text1"/>
                <w:highlight w:val="white"/>
                <w:lang w:val="pt-BR"/>
              </w:rPr>
              <w:t xml:space="preserve">Số: </w:t>
            </w:r>
            <w:r>
              <w:rPr>
                <w:rStyle w:val="1023"/>
                <w:rFonts w:ascii="Times New Roman" w:hAnsi="Times New Roman"/>
                <w:color w:val="000000" w:themeColor="text1"/>
                <w:highlight w:val="white"/>
                <w:lang w:val="pt-BR"/>
              </w:rPr>
              <w:t xml:space="preserve">275/2026/1094/</w:t>
            </w:r>
            <w:r>
              <w:rPr>
                <w:rStyle w:val="1023"/>
                <w:rFonts w:ascii="Times New Roman" w:hAnsi="Times New Roman"/>
                <w:color w:val="000000" w:themeColor="text1"/>
                <w:highlight w:val="white"/>
                <w:lang w:val="pt-BR"/>
              </w:rPr>
              <w:t xml:space="preserve">VFI-BC.65.A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319" w:type="dxa"/>
            <w:textDirection w:val="lrTb"/>
            <w:noWrap w:val="false"/>
          </w:tcPr>
          <w:p>
            <w:pPr>
              <w:pStyle w:val="1024"/>
              <w:pBdr/>
              <w:spacing w:after="60"/>
              <w:ind w:right="-56"/>
              <w:jc w:val="right"/>
              <w:rPr>
                <w:color w:val="000000" w:themeColor="text1"/>
                <w:sz w:val="24"/>
                <w:szCs w:val="24"/>
              </w:rPr>
            </w:pPr>
            <w:r>
              <w:rPr>
                <w:rStyle w:val="1023"/>
                <w:rFonts w:ascii="Times New Roman" w:hAnsi="Times New Roman"/>
                <w:i/>
                <w:color w:val="000000" w:themeColor="text1"/>
              </w:rPr>
              <w:t xml:space="preserve">TP. Hà Nội</w:t>
            </w:r>
            <w:r>
              <w:rPr>
                <w:rStyle w:val="1023"/>
                <w:rFonts w:ascii="Times New Roman" w:hAnsi="Times New Roman"/>
                <w:i/>
                <w:color w:val="000000" w:themeColor="text1"/>
                <w:lang w:val="vi-VN"/>
              </w:rPr>
              <w:t xml:space="preserve">, </w:t>
            </w:r>
            <w:r>
              <w:rPr>
                <w:rStyle w:val="1023"/>
                <w:rFonts w:ascii="Times New Roman" w:hAnsi="Times New Roman"/>
                <w:i/>
                <w:color w:val="000000" w:themeColor="text1"/>
                <w:lang w:val="vi-VN"/>
              </w:rPr>
              <w:t xml:space="preserve">ngày 21 tháng 7 năm 2026</w:t>
            </w:r>
            <w:r>
              <w:rPr>
                <w:color w:val="000000" w:themeColor="text1"/>
                <w:sz w:val="24"/>
                <w:szCs w:val="24"/>
              </w:rPr>
            </w:r>
            <w:r>
              <w:rPr>
                <w:color w:val="000000" w:themeColor="text1"/>
                <w:sz w:val="24"/>
                <w:szCs w:val="24"/>
              </w:rPr>
            </w:r>
          </w:p>
        </w:tc>
      </w:tr>
    </w:tbl>
    <w:p>
      <w:pPr>
        <w:pStyle w:val="1024"/>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04"/>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275/2026/1094/VFI-CT.65.A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21 tháng 7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04"/>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r>
            <w:r>
              <w:rPr>
                <w:b/>
                <w:bCs/>
                <w:color w:val="000000" w:themeColor="text1"/>
              </w:rPr>
            </w:r>
            <w:r>
              <w:rPr>
                <w:b/>
                <w:bCs/>
                <w:color w:val="000000" w:themeColor="text1"/>
              </w:rPr>
            </w:r>
          </w:p>
          <w:p>
            <w:pPr>
              <w:pBdr/>
              <w:spacing w:after="60" w:before="60" w:line="276" w:lineRule="auto"/>
              <w:ind/>
              <w:rPr>
                <w:b/>
                <w:bCs/>
                <w:color w:val="000000" w:themeColor="text1"/>
              </w:rPr>
            </w:pP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Style w:val="1025"/>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Tên khách hàng</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5" w:type="dxa"/>
            <w:vAlign w:val="center"/>
            <w:textDirection w:val="lrTb"/>
            <w:noWrap w:val="false"/>
          </w:tcPr>
          <w:p>
            <w:pPr>
              <w:pBdr/>
              <w:spacing/>
              <w:ind/>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color w:val="000000" w:themeColor="text1"/>
                <w:sz w:val="24"/>
                <w:szCs w:val="24"/>
                <w:lang w:val="pt-BR"/>
              </w:rPr>
              <w:t xml:space="preserve">CÔNG TY CỔ PHẦN THƯƠNG MẠI VẬN TẢI DẦU KHÍ NGÂN HÀ – OIL TRADING </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MST</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lang w:val="vi-VN"/>
              </w:rPr>
            </w:r>
            <w:r>
              <w:rPr>
                <w:rFonts w:ascii="Times New Roman" w:hAnsi="Times New Roman" w:eastAsia="Times New Roman" w:cs="Times New Roman"/>
                <w:b w:val="0"/>
                <w:bCs w:val="0"/>
                <w:color w:val="000000" w:themeColor="text1"/>
                <w:spacing w:val="-2"/>
                <w:sz w:val="24"/>
                <w:szCs w:val="24"/>
                <w:highlight w:val="white"/>
              </w:rPr>
              <w:t xml:space="preserve">0201181028</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Địa chỉ</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lang w:val="vi-VN"/>
              </w:rPr>
            </w:r>
            <w:r>
              <w:rPr>
                <w:rFonts w:ascii="Times New Roman" w:hAnsi="Times New Roman" w:eastAsia="Times New Roman" w:cs="Times New Roman"/>
                <w:color w:val="000000" w:themeColor="text1"/>
                <w:spacing w:val="-2"/>
                <w:sz w:val="24"/>
                <w:szCs w:val="24"/>
                <w:highlight w:val="white"/>
              </w:rPr>
              <w:t xml:space="preserve">Số 135 Nguyễn Bỉnh Khiêm, Phường Gia Viên, Thành phố Hải Phòng, Việt Nam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Người đại diện</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cs="Times New Roman"/>
                <w:bCs/>
                <w:color w:val="000000" w:themeColor="text1"/>
                <w:sz w:val="24"/>
                <w:szCs w:val="24"/>
              </w:rPr>
            </w:r>
            <w:r>
              <w:rPr>
                <w:rFonts w:ascii="Times New Roman" w:hAnsi="Times New Roman" w:cs="Times New Roman"/>
                <w:bCs/>
                <w:color w:val="000000" w:themeColor="text1"/>
                <w:sz w:val="24"/>
                <w:szCs w:val="24"/>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lang w:val="vi-VN"/>
              </w:rPr>
              <w:t xml:space="preserve">Đặng Thị Mai Thêu</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r>
      <w:tr>
        <w:trPr>
          <w:trHeight w:val="20"/>
        </w:trPr>
        <w:tc>
          <w:tcPr>
            <w:tcBorders/>
            <w:tcW w:w="2518" w:type="dxa"/>
            <w:vAlign w:val="center"/>
            <w:vMerge w:val="restart"/>
            <w:textDirection w:val="lrTb"/>
            <w:noWrap w:val="false"/>
          </w:tcPr>
          <w:p>
            <w:pPr>
              <w:pBdr/>
              <w:spacing w:after="40" w:before="40" w:line="276" w:lineRule="auto"/>
              <w:ind/>
              <w:jc w:val="both"/>
              <w:rPr>
                <w:rFonts w:ascii="Times New Roman" w:hAnsi="Times New Roman" w:eastAsia="Times New Roman" w:cs="Times New Roman"/>
                <w:bCs/>
                <w:color w:val="000000" w:themeColor="text1"/>
                <w:sz w:val="24"/>
                <w:szCs w:val="24"/>
                <w:lang w:val="pt-BR"/>
              </w:rPr>
            </w:pPr>
            <w:r>
              <w:rPr>
                <w:rFonts w:ascii="Times New Roman" w:hAnsi="Times New Roman" w:eastAsia="Times New Roman" w:cs="Times New Roman"/>
                <w:bCs/>
                <w:color w:val="000000" w:themeColor="text1"/>
                <w:sz w:val="24"/>
                <w:szCs w:val="24"/>
                <w:lang w:val="pt-BR"/>
              </w:rPr>
              <w:t xml:space="preserve">Chức vụ</w:t>
            </w: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bCs/>
                <w:color w:val="000000" w:themeColor="text1"/>
                <w:sz w:val="24"/>
                <w:szCs w:val="24"/>
                <w:lang w:val="pt-BR"/>
              </w:rPr>
            </w:r>
          </w:p>
        </w:tc>
        <w:tc>
          <w:tcPr>
            <w:tcBorders/>
            <w:tcW w:w="284" w:type="dxa"/>
            <w:vAlign w:val="center"/>
            <w:vMerge w:val="restart"/>
            <w:textDirection w:val="lrTb"/>
            <w:noWrap w:val="false"/>
          </w:tcPr>
          <w:p>
            <w:pPr>
              <w:pBdr/>
              <w:spacing w:after="40" w:before="40" w:line="276" w:lineRule="auto"/>
              <w:ind/>
              <w:jc w:val="center"/>
              <w:rPr>
                <w:rFonts w:ascii="Times New Roman" w:hAnsi="Times New Roman" w:eastAsia="Times New Roman" w:cs="Times New Roman"/>
                <w:bCs/>
                <w:color w:val="000000" w:themeColor="text1"/>
                <w:sz w:val="24"/>
                <w:szCs w:val="24"/>
                <w:lang w:val="pt-BR"/>
              </w:rPr>
            </w:pPr>
            <w:r>
              <w:rPr>
                <w:rFonts w:ascii="Times New Roman" w:hAnsi="Times New Roman" w:eastAsia="Times New Roman" w:cs="Times New Roman"/>
                <w:bCs/>
                <w:color w:val="000000" w:themeColor="text1"/>
                <w:sz w:val="24"/>
                <w:szCs w:val="24"/>
                <w:lang w:val="pt-BR"/>
              </w:rPr>
              <w:t xml:space="preserve">:</w:t>
            </w: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bCs/>
                <w:color w:val="000000" w:themeColor="text1"/>
                <w:sz w:val="24"/>
                <w:szCs w:val="24"/>
                <w:lang w:val="pt-BR"/>
              </w:rPr>
            </w:r>
          </w:p>
        </w:tc>
        <w:tc>
          <w:tcPr>
            <w:tcBorders/>
            <w:tcW w:w="6945" w:type="dxa"/>
            <w:vAlign w:val="center"/>
            <w:vMerge w:val="restart"/>
            <w:textDirection w:val="lrTb"/>
            <w:noWrap w:val="false"/>
          </w:tcPr>
          <w:p>
            <w:pPr>
              <w:pBdr/>
              <w:spacing w:after="40" w:before="40" w:line="276" w:lineRule="auto"/>
              <w:ind/>
              <w:jc w:val="both"/>
              <w:rPr>
                <w:rFonts w:ascii="Times New Roman" w:hAnsi="Times New Roman" w:eastAsia="Times New Roman" w:cs="Times New Roman"/>
                <w:b/>
                <w:bCs/>
                <w:color w:val="000000" w:themeColor="text1"/>
                <w:sz w:val="24"/>
                <w:szCs w:val="24"/>
                <w:lang w:val="vi-VN"/>
              </w:rPr>
            </w:pPr>
            <w:r>
              <w:rPr>
                <w:rFonts w:ascii="Times New Roman" w:hAnsi="Times New Roman" w:eastAsia="Times New Roman" w:cs="Times New Roman"/>
                <w:b/>
                <w:bCs/>
                <w:color w:val="000000" w:themeColor="text1"/>
                <w:sz w:val="24"/>
                <w:szCs w:val="24"/>
                <w:lang w:val="vi-VN"/>
              </w:rPr>
              <w:t xml:space="preserve">Giám đốc</w:t>
            </w:r>
            <w:r>
              <w:rPr>
                <w:rFonts w:ascii="Times New Roman" w:hAnsi="Times New Roman" w:eastAsia="Times New Roman" w:cs="Times New Roman"/>
                <w:b/>
                <w:bCs/>
                <w:color w:val="000000" w:themeColor="text1"/>
                <w:sz w:val="24"/>
                <w:szCs w:val="24"/>
                <w:lang w:val="vi-VN"/>
              </w:rPr>
            </w:r>
            <w:r>
              <w:rPr>
                <w:rFonts w:ascii="Times New Roman" w:hAnsi="Times New Roman" w:eastAsia="Times New Roman" w:cs="Times New Roman"/>
                <w:b/>
                <w:bCs/>
                <w:color w:val="000000" w:themeColor="text1"/>
                <w:sz w:val="24"/>
                <w:szCs w:val="24"/>
                <w:lang w:val="vi-VN"/>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t xml:space="preserve">Quyền sử dụng đất và tài sản gắn liền với đất tại thửa đất số 289, tờ bản đồ số 16 có địa chỉ: Thửa số 02, lô No-01, khu nhà ở 97 đường Bạch Đằng, phường Hạ Lý, quận Hồng Bàng, TP Hải Phòng (nay là phường Hồng Bàng, thành phố Hải Ph</w:t>
            </w:r>
            <w:r>
              <w:rPr>
                <w:bCs/>
                <w:color w:val="000000" w:themeColor="text1"/>
                <w:lang w:val="pt-BR"/>
              </w:rPr>
              <w:t xml:space="preserve">òng) theo Giấy chứng nhận quyền sử dụng đất quyền sở hữu nhà ở và tài sản khác gắn liền với đất số: CK 252227, số vào sổ cấp GCN: CH 01308 do Uỷ ban nhân dân quận Hồng Bàng cấp ngày 04/8/2017; chủ sử dụng đất là ông Vũ Đức Duy và vợ là bà Đặng Thị Mai Thêu</w:t>
            </w:r>
            <w:r>
              <w:rPr>
                <w:bCs/>
                <w:color w:val="000000" w:themeColor="text1"/>
                <w:spacing w:val="2"/>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07/2026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Thửa số 02, lô No-01, khu nhà ở 97 đường Bạch Đằng, phường Hạ Lý, quận Hồng Bàng, TP Hải Phòng</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05"/>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(20.86125, 106.67111111111)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17/07/2026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25"/>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25"/>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25"/>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25"/>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25"/>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color w:val="000000" w:themeColor="text1"/>
          <w:spacing w:val="-4"/>
        </w:rPr>
      </w:r>
      <w:r>
        <w:rPr>
          <w:bCs/>
          <w:color w:val="000000" w:themeColor="text1"/>
          <w:spacing w:val="-4"/>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25"/>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t xml:space="preserve">Giấy chứng nhận quyền sử dụng đất quyền sở hữu nhà ở và tài sản khác gắn liền với đất số: CK 252227, số vào sổ cấp GCN: CH 01308 do Uỷ ban nhân dân quận Hồng Bàng cấp ngày 04/8/2017; chủ sử dụng đất là ông Vũ Đức Duy và vợ là bà Đặng Thị Mai Thêu</w:t>
      </w:r>
      <w:r>
        <w:rPr>
          <w:color w:val="000000" w:themeColor="text1"/>
          <w:lang w:val="pt-BR"/>
        </w:rPr>
        <w:t xml:space="preserve">.</w:t>
      </w:r>
      <w:r>
        <w:rPr>
          <w:i/>
          <w:iCs/>
          <w:color w:val="000000" w:themeColor="text1"/>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275/2026/1094/VFI-HĐTĐ.65.A ngày 17/07/2026 giữa Công ty cổ phần thương mại vận tải Dầu khí Ngân Hà - Oil Trading với Công ty Cổ phần Thẩm định và Đầu tư Tài chính Hoa Sen.</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jc w:val="both"/>
        <w:rPr>
          <w:iCs/>
          <w:color w:val="000000" w:themeColor="text1"/>
        </w:rPr>
      </w:pPr>
      <w:r>
        <w:rPr>
          <w:color w:val="000000" w:themeColor="text1"/>
          <w:shd w:val="clear" w:color="auto" w:fill="ffffff"/>
        </w:rPr>
        <w:t xml:space="preserve">Thị trường bất động sản Hải Phòng 2026 đang có bước chuyển mình mạnh mẽ khi thoát khỏi những cơn sốt ảo để tiến vào chu kỳ tăng trưởng mới. Với sự gia nhập của các chủ đầu tư lớn và nguồn cung đa dạng, Hải Phòng không chỉ khẳng định vị trên</w:t>
      </w:r>
      <w:r>
        <w:rPr>
          <w:color w:val="000000" w:themeColor="text1"/>
          <w:shd w:val="clear" w:color="auto" w:fill="ffffff"/>
        </w:rPr>
        <w:t xml:space="preserve"> bản đồ bất động sản khu vực miền Bắc mà còn thiết lập một “luật chơi” minh bạch, ưu tiên giá trị an cư bền vững.</w:t>
      </w:r>
      <w:r>
        <w:rPr>
          <w:iCs/>
          <w:color w:val="000000" w:themeColor="text1"/>
        </w:rPr>
      </w:r>
      <w:r>
        <w:rPr>
          <w:i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Bước sang năm 2026, Hải Phòng vươn mình trở thành cực tăng trưởng trọng điểm của khu vực miền Bắc nhờ cú hích từ chủ trương sáp nhập hành chín</w:t>
      </w:r>
      <w:r>
        <w:rPr>
          <w:color w:val="000000" w:themeColor="text1"/>
          <w:shd w:val="clear" w:color="auto" w:fill="ffffff"/>
        </w:rPr>
        <w:t xml:space="preserve">h và chiến lược mở rộng không gian đô thị. Nơi đây không chỉ khẳng định vị thế một trung tâm kinh tế mũi nhọn mà còn thu hút dòng vốn bất động sản nhờ sự kết hợp giữa hạ tầng hiện đại và nhu cầu nhà ở thực đang bùng nổ.</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Một số điểm nổi bật của thị trường b</w:t>
      </w:r>
      <w:r>
        <w:rPr>
          <w:color w:val="000000" w:themeColor="text1"/>
          <w:shd w:val="clear" w:color="auto" w:fill="ffffff"/>
        </w:rPr>
        <w:t xml:space="preserve">ất động sản Hải Phòng trong năm 2026 có thể kể đến như:</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w:t>
        <w:tab/>
        <w:t xml:space="preserve">Vị thế kinh tế top đầu cả nước: Với GRDP đạt khoảng 734.420 tỷ đồng (tương đương 29,3 tỷ USD), Hải Phòng hiện đứng thứ 3 cả nước về quy mô kinh tế. Sự lớn mạnh này đi kèm với quy mô dân số ấn tượng </w:t>
      </w:r>
      <w:r>
        <w:rPr>
          <w:color w:val="000000" w:themeColor="text1"/>
          <w:shd w:val="clear" w:color="auto" w:fill="ffffff"/>
        </w:rPr>
        <w:t xml:space="preserve">đạt khoảng 4,6 triệu người, tạo nên một thị trường tiêu dùng và đầu tư đầy tiềm năng cho các doanh nghiệp bất động sản.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w:t>
        <w:tab/>
        <w:t xml:space="preserve">Áp lực về nhu cầu nhà ở tăng cao: Dự báo dân số thành phố sẽ tiếp tục bùng nổ, đạt 6,3 triệu người vào năm 2035 và hướng tới cột mốc 9</w:t>
      </w:r>
      <w:r>
        <w:rPr>
          <w:color w:val="000000" w:themeColor="text1"/>
          <w:shd w:val="clear" w:color="auto" w:fill="ffffff"/>
        </w:rPr>
        <w:t xml:space="preserve">,7 triệu người năm 2050. Dòng dịch chuyển lao động đổ về các Khu công nghiệp ngày càng lớn, tạo ra nhu cầu an cư thực tế rất cao, là ngòi nổ cho các dự án nhà ở xã hội và căn hộ tầm trung phát triển mạnh mẽ hơn nữa.</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w:t>
        <w:tab/>
        <w:t xml:space="preserve">Thị trường chuyển dịch sang chiều sâu:</w:t>
      </w:r>
      <w:r>
        <w:rPr>
          <w:color w:val="000000" w:themeColor="text1"/>
          <w:shd w:val="clear" w:color="auto" w:fill="ffffff"/>
        </w:rPr>
        <w:t xml:space="preserve"> Thay vì những cơn “sốt” đất ảo, thị trường bất động sản Hải Phòng năm 2026 đã có sự chuyển dịch sang chu kỳ mới. Theo ghi nhận của các chuyên gia, dòng tiền hiện tập trung vào các sản phẩm đáp ứng nhu cầu ở thực với mức giá còn khá “dễ thở”, dao động phổ </w:t>
      </w:r>
      <w:r>
        <w:rPr>
          <w:color w:val="000000" w:themeColor="text1"/>
          <w:shd w:val="clear" w:color="auto" w:fill="ffffff"/>
        </w:rPr>
        <w:t xml:space="preserve">biến từ 35 – 85 triệu đồng/m². Tỷ lệ thanh khoản ghi nhận sự chọn lọc khắt khe nhưng vẫn duy trì ở mức cao, đạt khoảng 70% đối với những dự án có pháp lý minh bạch và vị trí kết nối tốt.</w:t>
        <w:br/>
        <w:t xml:space="preserve">Lợi thế nền tảng tạo đà bứt phá cho bất động sản Hải Phòng 2026</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Hải P</w:t>
      </w:r>
      <w:r>
        <w:rPr>
          <w:color w:val="000000" w:themeColor="text1"/>
          <w:shd w:val="clear" w:color="auto" w:fill="ffffff"/>
        </w:rPr>
        <w:t xml:space="preserve">hòng sở hữu nền tảng hạ tầng đồng bộ và phát triển. Trong đó, công nghiệp và logistics hiện đang là 2 lĩnh vực kinh tế dẫn đầu, đóng vai trò định hình thị trường bất động sản trong giai đoạn mới. Nhờ sự cộng hưởng giữa tốc độ tăng trưởng kinh tế và dòng vố</w:t>
      </w:r>
      <w:r>
        <w:rPr>
          <w:color w:val="000000" w:themeColor="text1"/>
          <w:shd w:val="clear" w:color="auto" w:fill="ffffff"/>
        </w:rPr>
        <w:t xml:space="preserve">n ngoại dồi dào đã tạo nên một bệ phóng vững chắc, đưa Hải Phòng trở thành điểm đến ưu tiên hàng đầu của các nhà đầu tư.</w:t>
        <w:br/>
        <w:t xml:space="preserve">Hạ tầng kết nối “độc nhất” cả nước</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Hải Phòng đang nắm giữ lợi thế cạnh tranh “độc bản” khi là địa phương duy nhất tại miền Bắc hội tụ t</w:t>
      </w:r>
      <w:r>
        <w:rPr>
          <w:color w:val="000000" w:themeColor="text1"/>
          <w:shd w:val="clear" w:color="auto" w:fill="ffffff"/>
        </w:rPr>
        <w:t xml:space="preserve">rọn bộ 5 loại hình giao thông chiến lược: đường biển, đường hàng không, đường bộ cao tốc, đường sắt và đường thủy nội địa. Sự cộng hưởng này không chỉ biến thành phố cảng thành cửa ngõ giao thương quốc tế mà còn là thỏi nam châm thu hút dòng vốn đầu tư bất</w:t>
      </w:r>
      <w:r>
        <w:rPr>
          <w:color w:val="000000" w:themeColor="text1"/>
          <w:shd w:val="clear" w:color="auto" w:fill="ffffff"/>
        </w:rPr>
        <w:t xml:space="preserve"> động sản đổ về các trục hạ tầng huyết mạch.</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Đòn bẩy thực tế giúp thị trường bứt phá trong năm 2026 chính là tiến độ hoàn thiện của các công trình trọng điểm, trực tiếp mở rộng không gian đô thị và gia tăng giá trị tài sản: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w:t>
        <w:tab/>
        <w:t xml:space="preserve">Vành đai 2 – Cầu Hải Thành: Dự</w:t>
      </w:r>
      <w:r>
        <w:rPr>
          <w:color w:val="000000" w:themeColor="text1"/>
          <w:shd w:val="clear" w:color="auto" w:fill="ffffff"/>
        </w:rPr>
        <w:t xml:space="preserve"> kiến hoàn thành vào tháng 3/2026, công trình dài 30km này không chỉ giải quyết bài toán ùn tắc trung tâm mà còn mở ra không gian phát triển đô thị mới dọc hai bên tuyến.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w:t>
        <w:tab/>
        <w:t xml:space="preserve">Đường sắt tốc độ cao: Tuyến Lào Cai – Hà Nội – Hải Phòng với tốc độ 200km/h (hoàn t</w:t>
      </w:r>
      <w:r>
        <w:rPr>
          <w:color w:val="000000" w:themeColor="text1"/>
          <w:shd w:val="clear" w:color="auto" w:fill="ffffff"/>
        </w:rPr>
        <w:t xml:space="preserve">hành báo cáo khả thi tháng 6/2026) sẽ rút ngắn khoảng cách giao thương, biến Hải Phòng thành đầu mối logistics trọng điểm.</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w:t>
        <w:tab/>
        <w:t xml:space="preserve">Nâng cấp cửa ngõ quốc tế: Việc mở rộng cảng Lạch Huyện giai đoạn 2 (tăng công suất thêm 40 triệu tấn/năm) và sân bay Cát Bi (đón 10</w:t>
      </w:r>
      <w:r>
        <w:rPr>
          <w:color w:val="000000" w:themeColor="text1"/>
          <w:shd w:val="clear" w:color="auto" w:fill="ffffff"/>
        </w:rPr>
        <w:t xml:space="preserve"> triệu khách/năm) là đòn bẩy trực tiếp đẩy giá trị bất động sản công nghiệp và dịch vụ tăng cao.</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Công nghiệp – logistics trở thành trụ cột thị trường</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Trong năm 2026, Hải Phòng đã thực hiện bước chuyển mình ấn tượng khi lấy mô hình sản xuất – logistics – đô</w:t>
      </w:r>
      <w:r>
        <w:rPr>
          <w:color w:val="000000" w:themeColor="text1"/>
          <w:shd w:val="clear" w:color="auto" w:fill="ffffff"/>
        </w:rPr>
        <w:t xml:space="preserve"> thị cảng làm mục tiêu phát triển cốt lõi. Sự thay đổi này biến bất động sản công nghiệp trở thành bệ phóng dẫn dắt toàn bộ thị trường địa ốc thoát khỏi những cơn sốt ảo để tiến vào chu kỳ tăng trưởng bền vững.</w:t>
      </w:r>
      <w:r>
        <w:rPr>
          <w:color w:val="000000" w:themeColor="text1"/>
        </w:rPr>
      </w:r>
      <w:r>
        <w:rPr>
          <w:color w:val="000000" w:themeColor="text1"/>
        </w:rPr>
      </w:r>
    </w:p>
    <w:p>
      <w:pPr>
        <w:pBdr/>
        <w:tabs>
          <w:tab w:val="left" w:leader="none" w:pos="426"/>
        </w:tabs>
        <w:spacing w:after="120" w:before="120" w:line="276" w:lineRule="auto"/>
        <w:ind/>
        <w:jc w:val="both"/>
        <w:rPr>
          <w:bCs/>
          <w:i/>
          <w:color w:val="000000" w:themeColor="text1"/>
        </w:rPr>
      </w:pPr>
      <w:r>
        <w:rPr>
          <w:color w:val="000000" w:themeColor="text1"/>
          <w:shd w:val="clear" w:color="auto" w:fill="ffffff"/>
        </w:rPr>
        <w:t xml:space="preserve">Với hệ thống 43 khu công nghiệp có tổng diện </w:t>
      </w:r>
      <w:r>
        <w:rPr>
          <w:color w:val="000000" w:themeColor="text1"/>
          <w:shd w:val="clear" w:color="auto" w:fill="ffffff"/>
        </w:rPr>
        <w:t xml:space="preserve">tích lên đến 11.852 ha, Hải Phòng hiện là nơi quy tụ của nhiều cơ sở sản xuất quy mô toàn cầu như VSIP Hải Phòng (lấp đầy 90%), Tràng Duệ (thu hút hơn 10,65 tỷ USD từ tập đoàn LG), hay các khu công nghiệp tiêu chuẩn quốc tế như Deep C và Đình Vũ – Cát Hải.</w:t>
      </w:r>
      <w:r>
        <w:rPr>
          <w:bCs/>
          <w:i/>
          <w:color w:val="000000" w:themeColor="text1"/>
        </w:rPr>
      </w:r>
      <w:r>
        <w:rPr>
          <w:bCs/>
          <w:i/>
          <w:color w:val="000000" w:themeColor="text1"/>
        </w:rPr>
      </w:r>
    </w:p>
    <w:p>
      <w:pPr>
        <w:pStyle w:val="1025"/>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t xml:space="preserve">Quyền sử dụng đất và tài sản gắn liền với đất tại thửa đất số 289, tờ bản đồ số 16 có địa chỉ: Thửa số 02, lô No-01, khu nhà ở 97 đường Bạch Đằng, phường Hạ Lý, quận Hồng Bàng, TP Hải Phòng (nay là phường Hồng Bàng, thành phố Hải Ph</w:t>
            </w:r>
            <w:r>
              <w:rPr>
                <w:b/>
                <w:bCs/>
                <w:color w:val="000000" w:themeColor="text1"/>
              </w:rPr>
              <w:t xml:space="preserve">òng) theo Giấy chứng nhận quyền sử dụng đất quyền sở hữu nhà ở và tài sản khác gắn liền với đất số: CK 252227, số vào sổ cấp GCN: CH 01308 do Uỷ ban nhân dân quận Hồng Bàng cấp ngày 04/8/2017; chủ sử dụng đất là ông Vũ Đức Duy và vợ là bà Đặng Thị Mai Thêu</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289</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Thửa số 02, lô No-01, khu nhà ở 97 đường Bạch Đằng, phường Hạ Lý, quận Hồng Bàng, TP Hải Phòng (nay là phường Hồng Bàng, thành phố Hải Phòng)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78,5</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Nhận chuyển nhượng đất được Nhà nước giao đất có thu tiền sử dụng đất.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 xác </w:t>
            </w:r>
            <w:r>
              <w:rPr>
                <w:rFonts w:ascii="Times New Roman" w:hAnsi="Times New Roman" w:eastAsia="Times New Roman" w:cs="Times New Roman"/>
                <w:color w:val="000000" w:themeColor="text1"/>
                <w:sz w:val="24"/>
              </w:rPr>
              <w:t xml:space="preserve">định vị trí tài sản thuộc quy hoạch đất ở</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gridSpan w:val="4"/>
            <w:tcBorders/>
            <w:tcW w:w="8781" w:type="dxa"/>
            <w:vAlign w:val="center"/>
            <w:vMerge w:val="restart"/>
            <w:textDirection w:val="lrTb"/>
            <w:noWrap w:val="false"/>
          </w:tcPr>
          <w:p>
            <w:pPr>
              <w:pBdr/>
              <w:spacing/>
              <w:ind/>
              <w:jc w:val="center"/>
              <w:rPr>
                <w:b/>
                <w:bCs/>
                <w:color w:val="000000" w:themeColor="text1"/>
              </w:rPr>
            </w:pPr>
            <w:r>
              <w:rPr>
                <w:b/>
                <w:bCs/>
                <w:color w:val="000000" w:themeColor="text1"/>
              </w:rPr>
            </w:r>
            <w:r>
              <w:rPr>
                <w:color w:val="000000" w:themeColor="text1"/>
              </w:rPr>
              <mc:AlternateContent>
                <mc:Choice Requires="wpg">
                  <w:drawing>
                    <wp:inline xmlns:wp="http://schemas.openxmlformats.org/drawingml/2006/wordprocessingDrawing" distT="0" distB="0" distL="0" distR="0">
                      <wp:extent cx="5314020" cy="241366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27510" name=""/>
                              <pic:cNvPicPr>
                                <a:picLocks noChangeAspect="1"/>
                              </pic:cNvPicPr>
                              <pic:nvPr/>
                            </pic:nvPicPr>
                            <pic:blipFill rotWithShape="1">
                              <a:blip r:embed="rId17"/>
                              <a:stretch/>
                            </pic:blipFill>
                            <pic:spPr bwMode="auto">
                              <a:xfrm flipH="0" flipV="0">
                                <a:off x="0" y="0"/>
                                <a:ext cx="5314019" cy="24136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8.43pt;height:190.05pt;mso-wrap-distance-left:0.00pt;mso-wrap-distance-top:0.00pt;mso-wrap-distance-right:0.00pt;mso-wrap-distance-bottom:0.00pt;z-index:1;" stroked="false">
                      <v:imagedata r:id="rId17" o:title=""/>
                      <o:lock v:ext="edit" rotation="t"/>
                    </v:shape>
                  </w:pict>
                </mc:Fallback>
              </mc:AlternateConten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nhựa có vỉa hè</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7m + vỉa hè 3m</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7m + vỉa hè 3m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Tài sản tiếp giáp đường nội bộ khu nhà ở 97 đường Bạch Đằng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 </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Nam: Tiếp giáp đường giao thông</w:t>
              <w:b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(20.86125, 106.67111111111)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jc w:val="center"/>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5085420" cy="2879185"/>
                      <wp:effectExtent l="0" t="0" r="0" b="0"/>
                      <wp:docPr id="6" name=""/>
                      <wp:cNvGraphicFramePr/>
                      <a:graphic xmlns:a="http://schemas.openxmlformats.org/drawingml/2006/main">
                        <a:graphicData uri="http://schemas.openxmlformats.org/drawingml/2006/picture">
                          <pic:pic xmlns:pic="http://schemas.openxmlformats.org/drawingml/2006/picture">
                            <pic:nvPicPr>
                              <pic:cNvPr id="535344867" name="" descr=""/>
                              <pic:cNvPicPr/>
                              <pic:nvPr/>
                            </pic:nvPicPr>
                            <pic:blipFill rotWithShape="1">
                              <a:blip r:embed="rId18"/>
                              <a:stretch/>
                            </pic:blipFill>
                            <pic:spPr bwMode="auto">
                              <a:xfrm flipH="0" flipV="0">
                                <a:off x="0" y="0"/>
                                <a:ext cx="5085419" cy="28791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00.43pt;height:226.71pt;mso-wrap-distance-left:0.00pt;mso-wrap-distance-top:0.00pt;mso-wrap-distance-right:0.00pt;mso-wrap-distance-bottom:0.00pt;z-index:1;" stroked="false">
                      <v:imagedata r:id="rId18"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78,5</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5,0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15,7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Hình chữ nhật</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Nam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Cấp điện, cấp nước sạch, mạng internet,… hoàn thiện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Môi trường trong lành, an ninh đảm bảo, dân trí 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Cao/đông đúc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hợp để ở</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spacing/>
              <w:ind/>
              <w:jc w:val="both"/>
              <w:rPr>
                <w:color w:val="000000" w:themeColor="text1"/>
              </w:rPr>
            </w:pPr>
            <w:r>
              <w:rPr>
                <w:color w:val="000000" w:themeColor="text1"/>
              </w:rPr>
              <w:t xml:space="preserve">+ </w:t>
            </w:r>
            <w:r>
              <w:rPr>
                <w:rFonts w:ascii="Times New Roman" w:hAnsi="Times New Roman" w:eastAsia="Times New Roman" w:cs="Times New Roman"/>
                <w:color w:val="000000" w:themeColor="text1"/>
                <w:sz w:val="24"/>
              </w:rPr>
              <w:t xml:space="preserve">Theo GCN, trên đất là Nhà ở riêng lẻ diện tích xây dựng: 78,5</w:t>
            </w:r>
            <w:r>
              <w:rPr>
                <w:color w:val="000000" w:themeColor="text1"/>
              </w:rPr>
              <w:t xml:space="preserve">m²</w:t>
            </w:r>
            <w:r>
              <w:rPr>
                <w:rFonts w:ascii="Times New Roman" w:hAnsi="Times New Roman" w:eastAsia="Times New Roman" w:cs="Times New Roman"/>
                <w:color w:val="000000" w:themeColor="text1"/>
                <w:sz w:val="24"/>
              </w:rPr>
              <w:t xml:space="preserve">; diện tích sàn: 225,5</w:t>
            </w:r>
            <w:r>
              <w:rPr>
                <w:color w:val="000000" w:themeColor="text1"/>
              </w:rPr>
              <w:t xml:space="preserve">m²</w:t>
            </w:r>
            <w:r>
              <w:rPr>
                <w:rFonts w:ascii="Times New Roman" w:hAnsi="Times New Roman" w:eastAsia="Times New Roman" w:cs="Times New Roman"/>
                <w:color w:val="000000" w:themeColor="text1"/>
                <w:sz w:val="24"/>
              </w:rPr>
              <w:t xml:space="preserve">. Tuy nhiên, tại thời điểm khảo sát, CTXD gắn liền với đất là 01 nhà 04 tầng xây dựng hết đất, </w:t>
            </w:r>
            <w:r>
              <w:rPr>
                <w:rFonts w:ascii="Times New Roman" w:hAnsi="Times New Roman" w:eastAsia="Times New Roman" w:cs="Times New Roman"/>
                <w:color w:val="000000" w:themeColor="text1"/>
                <w:sz w:val="24"/>
              </w:rPr>
              <w:t xml:space="preserve">được cải tạo và sửa lại từ CTXD đã được chứng nhận trên giấy chứng nhận trên GCN</w:t>
            </w:r>
            <w:r>
              <w:rPr>
                <w:rFonts w:ascii="Times New Roman" w:hAnsi="Times New Roman" w:eastAsia="Times New Roman" w:cs="Times New Roman"/>
                <w:color w:val="000000" w:themeColor="text1"/>
                <w:sz w:val="24"/>
              </w:rPr>
              <w:t xml:space="preserve">. CTXD tại thời điểm khảo sát khác với CTXD được chứng nhận t</w:t>
            </w:r>
            <w:r>
              <w:rPr>
                <w:rFonts w:ascii="Times New Roman" w:hAnsi="Times New Roman" w:eastAsia="Times New Roman" w:cs="Times New Roman"/>
                <w:color w:val="000000" w:themeColor="text1"/>
                <w:sz w:val="24"/>
              </w:rPr>
              <w:t xml:space="preserve">rên Giấy chứng nhận quyền sử dụng đất. </w:t>
            </w:r>
            <w:r>
              <w:rPr>
                <w:rFonts w:ascii="Times New Roman" w:hAnsi="Times New Roman" w:eastAsia="Times New Roman" w:cs="Times New Roman"/>
                <w:color w:val="000000" w:themeColor="text1"/>
                <w:sz w:val="24"/>
              </w:rPr>
              <w:t xml:space="preserve">Do vậy, theo đề nghị của Ngân hàng/Khách hàng, tổ thẩm định xác định giá trị của công trình theo CTXD được chứng nhận trên GCN. Kính đề nghị đơn vị sử dụng kết quả lưu ý.</w:t>
            </w:r>
            <w:r>
              <w:rPr>
                <w:color w:val="000000" w:themeColor="text1"/>
              </w:rPr>
            </w:r>
            <w:r>
              <w:rPr>
                <w:color w:val="000000" w:themeColor="text1"/>
              </w:rPr>
            </w:r>
          </w:p>
        </w:tc>
      </w:tr>
    </w:tbl>
    <w:p>
      <w:pPr>
        <w:pBdr/>
        <w:spacing/>
        <w:ind/>
        <w:rPr>
          <w:b/>
          <w:bCs/>
          <w:color w:val="000000" w:themeColor="text1"/>
        </w:rPr>
      </w:pPr>
      <w:r>
        <w:rPr>
          <w:b/>
          <w:bCs/>
          <w:color w:val="000000" w:themeColor="text1"/>
        </w:rPr>
      </w:r>
      <w:r>
        <w:rPr>
          <w:b/>
          <w:bCs/>
          <w:color w:val="000000" w:themeColor="text1"/>
        </w:rPr>
      </w:r>
      <w:r>
        <w:rPr>
          <w:b/>
          <w:bCs/>
          <w:color w:val="000000" w:themeColor="text1"/>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Bám đầm, ao lớn thuộc sở hữu nhà nước (ao lớn - S=0.5ha)&lt;5ha</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0"/>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nằm dưới chân cầu, đường dốc cao (Thế bị xung</w:t>
            </w:r>
            <w:r>
              <w:rPr>
                <w:color w:val="000000" w:themeColor="text1"/>
                <w:lang w:eastAsia="ko-KR"/>
              </w:rPr>
              <w:t xml:space="preserve"> :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Style w:val="1025"/>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25"/>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pPr>
        <w:pStyle w:val="1025"/>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highlight w:val="none"/>
          <w:lang w:val="pt-BR" w:bidi="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color w:val="000000" w:themeColor="text1"/>
          <w:spacing w:val="-2"/>
          <w:highlight w:val="none"/>
          <w:lang w:val="pt-BR" w:bidi="pt-BR"/>
        </w:rPr>
        <w:t xml:space="preserve">.</w:t>
      </w:r>
      <w:r>
        <w:rPr>
          <w:color w:val="000000" w:themeColor="text1"/>
          <w:spacing w:val="-2"/>
        </w:rPr>
      </w:r>
      <w:r>
        <w:rPr>
          <w:color w:val="000000" w:themeColor="text1"/>
          <w:spacing w:val="-2"/>
        </w:rPr>
      </w:r>
    </w:p>
    <w:p>
      <w:pPr>
        <w:pStyle w:val="1025"/>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25"/>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25"/>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2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2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25"/>
        <w:numPr>
          <w:ilvl w:val="0"/>
          <w:numId w:val="3"/>
        </w:numPr>
        <w:pBdr/>
        <w:spacing w:after="60" w:before="60" w:line="276" w:lineRule="auto"/>
        <w:ind/>
        <w:jc w:val="both"/>
        <w:rPr>
          <w:color w:val="000000" w:themeColor="text1"/>
        </w:rPr>
      </w:pPr>
      <w:r>
        <w:rPr>
          <w:i/>
          <w:iCs/>
          <w:color w:val="000000" w:themeColor="text1"/>
          <w:lang w:val="vi-VN"/>
        </w:rPr>
        <w:t xml:space="preserve">Cách tiếp cận từ chi phí</w:t>
      </w:r>
      <w:r>
        <w:rPr>
          <w:i/>
          <w:iCs/>
          <w:color w:val="000000" w:themeColor="text1"/>
        </w:rPr>
        <w:t xml:space="preserve">:</w:t>
      </w:r>
      <w:r>
        <w:rPr>
          <w:i/>
          <w:iCs/>
          <w:color w:val="000000" w:themeColor="text1"/>
          <w:lang w:val="vi-VN"/>
        </w:rPr>
        <w:t xml:space="preserve"> </w:t>
      </w:r>
      <w:r>
        <w:rPr>
          <w:color w:val="000000" w:themeColor="text1"/>
        </w:rPr>
        <w:t xml:space="preserve">L</w:t>
      </w:r>
      <w:r>
        <w:rPr>
          <w:color w:val="000000" w:themeColor="text1"/>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color w:val="000000" w:themeColor="text1"/>
          <w:lang w:val="pt-BR"/>
        </w:rPr>
        <w:t xml:space="preserve">.</w:t>
      </w:r>
      <w:r>
        <w:rPr>
          <w:color w:val="000000" w:themeColor="text1"/>
        </w:rPr>
      </w:r>
      <w:r>
        <w:rPr>
          <w:color w:val="000000" w:themeColor="text1"/>
        </w:rPr>
      </w:r>
    </w:p>
    <w:p>
      <w:pPr>
        <w:pStyle w:val="1025"/>
        <w:numPr>
          <w:ilvl w:val="0"/>
          <w:numId w:val="3"/>
        </w:numPr>
        <w:pBdr/>
        <w:tabs>
          <w:tab w:val="left" w:leader="none" w:pos="993"/>
        </w:tabs>
        <w:spacing w:after="120" w:before="120" w:line="264" w:lineRule="auto"/>
        <w:ind/>
        <w:jc w:val="both"/>
        <w:rPr>
          <w:color w:val="000000" w:themeColor="text1"/>
          <w:spacing w:val="-2"/>
        </w:rPr>
      </w:pPr>
      <w:r>
        <w:rPr>
          <w:i/>
          <w:iCs/>
          <w:color w:val="000000" w:themeColor="text1"/>
          <w:lang w:val="vi-VN"/>
        </w:rPr>
        <w:t xml:space="preserve">Phương pháp chi phí thay thế</w:t>
      </w:r>
      <w:r>
        <w:rPr>
          <w:i/>
          <w:iCs/>
          <w:color w:val="000000" w:themeColor="text1"/>
        </w:rPr>
        <w:t xml:space="preserve">:</w:t>
      </w:r>
      <w:r>
        <w:rPr>
          <w:color w:val="000000" w:themeColor="text1"/>
          <w:lang w:val="vi-VN"/>
        </w:rPr>
        <w:t xml:space="preserve"> </w:t>
      </w:r>
      <w:r>
        <w:rPr>
          <w:color w:val="000000" w:themeColor="text1"/>
        </w:rPr>
        <w:t xml:space="preserve">L</w:t>
      </w:r>
      <w:r>
        <w:rPr>
          <w:color w:val="000000" w:themeColor="text1"/>
          <w:lang w:val="vi-VN"/>
        </w:rPr>
        <w:t xml:space="preserve">à phương pháp thẩm </w:t>
      </w:r>
      <w:r>
        <w:rPr>
          <w:color w:val="000000" w:themeColor="text1"/>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color w:val="000000" w:themeColor="text1"/>
          <w:spacing w:val="-2"/>
          <w:lang w:val="pt-BR"/>
        </w:rPr>
        <w:t xml:space="preserve">.</w:t>
      </w:r>
      <w:r>
        <w:rPr>
          <w:color w:val="000000" w:themeColor="text1"/>
          <w:spacing w:val="-2"/>
        </w:rPr>
      </w:r>
      <w:r>
        <w:rPr>
          <w:color w:val="000000" w:themeColor="text1"/>
          <w:spacing w:val="-2"/>
        </w:rPr>
      </w:r>
    </w:p>
    <w:p>
      <w:pPr>
        <w:pStyle w:val="1025"/>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25"/>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25"/>
        <w:numPr>
          <w:ilvl w:val="0"/>
          <w:numId w:val="3"/>
        </w:numPr>
        <w:pBdr/>
        <w:spacing w:after="120" w:before="120" w:line="276" w:lineRule="auto"/>
        <w:ind/>
        <w:jc w:val="both"/>
        <w:rPr>
          <w:color w:val="000000" w:themeColor="text1"/>
        </w:rPr>
      </w:pPr>
      <w:r>
        <w:rPr>
          <w:color w:val="000000" w:themeColor="text1"/>
          <w:spacing w:val="-4"/>
          <w:lang w:val="pt-BR"/>
        </w:rPr>
      </w:r>
      <w:r>
        <w:rPr>
          <w:rFonts w:ascii="Times New Roman" w:hAnsi="Times New Roman" w:eastAsia="Times New Roman" w:cs="Times New Roman"/>
          <w:color w:val="000000" w:themeColor="text1"/>
          <w:sz w:val="24"/>
        </w:rPr>
        <w:t xml:space="preserve">Theo GCN, trên đất là Nhà ở riêng lẻ diện tích xây dựng: 78,5</w:t>
      </w:r>
      <w:r>
        <w:rPr>
          <w:color w:val="000000" w:themeColor="text1"/>
        </w:rPr>
        <w:t xml:space="preserve">m²</w:t>
      </w:r>
      <w:r>
        <w:rPr>
          <w:rFonts w:ascii="Times New Roman" w:hAnsi="Times New Roman" w:eastAsia="Times New Roman" w:cs="Times New Roman"/>
          <w:color w:val="000000" w:themeColor="text1"/>
          <w:sz w:val="24"/>
        </w:rPr>
        <w:t xml:space="preserve">; diện tích sàn: 225,5</w:t>
      </w:r>
      <w:r>
        <w:rPr>
          <w:color w:val="000000" w:themeColor="text1"/>
        </w:rPr>
        <w:t xml:space="preserve">m²</w:t>
      </w:r>
      <w:r>
        <w:rPr>
          <w:rFonts w:ascii="Times New Roman" w:hAnsi="Times New Roman" w:eastAsia="Times New Roman" w:cs="Times New Roman"/>
          <w:color w:val="000000" w:themeColor="text1"/>
          <w:sz w:val="24"/>
        </w:rPr>
        <w:t xml:space="preserve">. Tuy nhiên, tại thời điểm khảo sát, CTXD gắn liền với đất là 01 nhà 04 tầng xây dựng hết đất, </w:t>
      </w:r>
      <w:r>
        <w:rPr>
          <w:rFonts w:ascii="Times New Roman" w:hAnsi="Times New Roman" w:eastAsia="Times New Roman" w:cs="Times New Roman"/>
          <w:color w:val="000000" w:themeColor="text1"/>
          <w:sz w:val="24"/>
        </w:rPr>
        <w:t xml:space="preserve">được cải tạo và sửa lại từ CTXD đã được chứng nhận trên giấy chứng nhận trên GCN</w:t>
      </w:r>
      <w:r>
        <w:rPr>
          <w:rFonts w:ascii="Times New Roman" w:hAnsi="Times New Roman" w:eastAsia="Times New Roman" w:cs="Times New Roman"/>
          <w:color w:val="000000" w:themeColor="text1"/>
          <w:sz w:val="24"/>
        </w:rPr>
        <w:t xml:space="preserve">. CTXD tại thời điểm khảo sát khác với CTXD được chứng nhận t</w:t>
      </w:r>
      <w:r>
        <w:rPr>
          <w:rFonts w:ascii="Times New Roman" w:hAnsi="Times New Roman" w:eastAsia="Times New Roman" w:cs="Times New Roman"/>
          <w:color w:val="000000" w:themeColor="text1"/>
          <w:sz w:val="24"/>
        </w:rPr>
        <w:t xml:space="preserve">rên Giấy chứng nhận quyền sử dụng đất. </w:t>
      </w:r>
      <w:r>
        <w:rPr>
          <w:rFonts w:ascii="Times New Roman" w:hAnsi="Times New Roman" w:eastAsia="Times New Roman" w:cs="Times New Roman"/>
          <w:color w:val="000000" w:themeColor="text1"/>
          <w:sz w:val="24"/>
        </w:rPr>
        <w:t xml:space="preserve">Do vậy, theo đề nghị của Ngân hàng/Khách hàng, tổ thẩm định xác định giá trị của công trình theo CTXD được chứng nhận trên GCN. Kính đề nghị đơn vị sử dụng kết quả lưu ý</w:t>
      </w:r>
      <w:r>
        <w:rPr>
          <w:color w:val="000000" w:themeColor="text1"/>
          <w:spacing w:val="-2"/>
          <w:lang w:val="pt-BR"/>
        </w:rPr>
        <w:t xml:space="preserve">.</w:t>
      </w:r>
      <w:r>
        <w:rPr>
          <w:color w:val="000000" w:themeColor="text1"/>
        </w:rPr>
      </w:r>
      <w:r>
        <w:rPr>
          <w:color w:val="000000" w:themeColor="text1"/>
        </w:rPr>
      </w:r>
    </w:p>
    <w:p>
      <w:pPr>
        <w:pStyle w:val="1025"/>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25"/>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25"/>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color w:val="000000" w:themeColor="text1"/>
        </w:rPr>
      </w:r>
      <w:r>
        <w:rPr>
          <w:bCs/>
          <w:color w:val="000000" w:themeColor="text1"/>
        </w:rPr>
      </w:r>
    </w:p>
    <w:p>
      <w:pPr>
        <w:pStyle w:val="1025"/>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STT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ĐẶC ĐIỂM BĐS</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TSTĐ</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A</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Thông tin về tài sản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Địa chỉ</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w:t>
            </w:r>
            <w:r>
              <w:rPr>
                <w:rFonts w:ascii="Times New Roman" w:hAnsi="Times New Roman" w:eastAsia="Times New Roman" w:cs="Times New Roman"/>
                <w:color w:val="000000" w:themeColor="text1"/>
                <w:sz w:val="22"/>
                <w:szCs w:val="22"/>
              </w:rPr>
              <w:t xml:space="preserve">Hạ Lý, quận Hồng Bàng, TP Hải Phòng (nay là phường Hồng Bàng, thành phố Hải Phòng)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w:t>
            </w:r>
            <w:r>
              <w:rPr>
                <w:rFonts w:ascii="Times New Roman" w:hAnsi="Times New Roman" w:eastAsia="Times New Roman" w:cs="Times New Roman"/>
                <w:color w:val="000000" w:themeColor="text1"/>
                <w:sz w:val="22"/>
                <w:szCs w:val="22"/>
              </w:rPr>
              <w:t xml:space="preserve">Hạ Lý, quận Hồng Bàng, TP Hải Phòng (nay là phường Hồng Bàng, thành phố Hải Phòng)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w:t>
            </w:r>
            <w:r>
              <w:rPr>
                <w:rFonts w:ascii="Times New Roman" w:hAnsi="Times New Roman" w:eastAsia="Times New Roman" w:cs="Times New Roman"/>
                <w:color w:val="000000" w:themeColor="text1"/>
                <w:sz w:val="22"/>
                <w:szCs w:val="22"/>
              </w:rPr>
              <w:t xml:space="preserve">Hạ Lý, quận Hồng Bàng, TP Hải Phòng (nay là phường Hồng Bàng, thành phố Hải Phòng)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w:t>
            </w:r>
            <w:r>
              <w:rPr>
                <w:rFonts w:ascii="Times New Roman" w:hAnsi="Times New Roman" w:eastAsia="Times New Roman" w:cs="Times New Roman"/>
                <w:color w:val="000000" w:themeColor="text1"/>
                <w:sz w:val="22"/>
                <w:szCs w:val="22"/>
              </w:rPr>
              <w:t xml:space="preserve">Hạ Lý, quận Hồng Bàng, TP Hải Phòng (nay là phường Hồng Bàng, thành phố Hải Phòng)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35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Nguồn tham khảo</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https://alonhadat.com.vn/ban-nha-4-5-tang-khu-nha-o-cao-cap-97-bach-dang-thuong-ly-co-dong-tien-88m-12-ty-18332867.html</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https://alonhadat.com.vn/ms-linh-ban-nha-4-tang-khu-cao-cap-97-bach-dang-ha-ly-hong-bang-16298225.html</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Liên hệ trực tiếp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Thông tin liên lạc</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SĐT: </w:t>
            </w:r>
            <w:r>
              <w:rPr>
                <w:rFonts w:ascii="Times New Roman" w:hAnsi="Times New Roman" w:eastAsia="Times New Roman" w:cs="Times New Roman"/>
                <w:color w:val="000000" w:themeColor="text1"/>
                <w:sz w:val="22"/>
                <w:szCs w:val="22"/>
              </w:rPr>
              <w:t xml:space="preserve">0977924125</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br/>
              <w:t xml:space="preserve">(</w:t>
            </w:r>
            <w:r>
              <w:rPr>
                <w:rFonts w:ascii="Times New Roman" w:hAnsi="Times New Roman" w:eastAsia="Times New Roman" w:cs="Times New Roman"/>
                <w:color w:val="000000" w:themeColor="text1"/>
                <w:sz w:val="22"/>
                <w:szCs w:val="22"/>
              </w:rPr>
              <w:t xml:space="preserve">Hồi</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SĐT: </w:t>
            </w:r>
            <w:r>
              <w:rPr>
                <w:rFonts w:ascii="Times New Roman" w:hAnsi="Times New Roman" w:eastAsia="Times New Roman" w:cs="Times New Roman"/>
                <w:color w:val="000000" w:themeColor="text1"/>
                <w:sz w:val="22"/>
                <w:szCs w:val="22"/>
              </w:rPr>
              <w:t xml:space="preserve">0835831662</w:t>
            </w:r>
            <w:r>
              <w:rPr>
                <w:rFonts w:ascii="Times New Roman" w:hAnsi="Times New Roman" w:eastAsia="Times New Roman" w:cs="Times New Roman"/>
                <w:color w:val="000000" w:themeColor="text1"/>
                <w:sz w:val="22"/>
                <w:szCs w:val="22"/>
              </w:rPr>
              <w:br/>
            </w: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t xml:space="preserve">Linh</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SĐT: </w:t>
            </w:r>
            <w:r>
              <w:rPr>
                <w:rFonts w:ascii="Times New Roman" w:hAnsi="Times New Roman" w:eastAsia="Times New Roman" w:cs="Times New Roman"/>
                <w:color w:val="000000" w:themeColor="text1"/>
                <w:sz w:val="22"/>
                <w:szCs w:val="22"/>
              </w:rPr>
              <w:t xml:space="preserve">0912499666</w:t>
            </w:r>
            <w:r>
              <w:rPr>
                <w:rFonts w:ascii="Times New Roman" w:hAnsi="Times New Roman" w:eastAsia="Times New Roman" w:cs="Times New Roman"/>
                <w:color w:val="000000" w:themeColor="text1"/>
                <w:sz w:val="22"/>
                <w:szCs w:val="22"/>
              </w:rPr>
              <w:br/>
            </w: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t xml:space="preserve">Mạnh</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Tình trạng giao dịch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Đang giao dịch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Đang giao dịch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Đang giao dịch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Thời điểm thu thập thông tin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Tháng 07/2026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Tháng 07/2026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Tháng 07/2026</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Mục đích sử dụng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Thời hạn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Khu nhà ở 97 đường Bạch Đằng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Khu nhà ở 97 đường Bạch Đằng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Khu nhà ở 97 đường Bạch Đằng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Khu nhà ở 97 đường Bạch Đằng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tiếp giáp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nhựa có vỉa hè</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nhựa có vỉa hè</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nhựa có vỉa hè</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nhựa có vỉa hè</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trước tài sản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Cơ sở hạ tầng kỹ thuật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Hạ tầng khu đô thị, khu phân lô/tái định cư</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Hạ tầng khu đô thị, khu phân lô/tái định cư</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Hạ tầng khu đô thị, khu phân lô/tái định cư</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Hạ tầng khu đô thị, khu phân lô/tái định cư</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môi trường an ninh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đất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78,5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88,5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88,5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Mặt tiền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Lợi thế thương mại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có lợi thế thương mại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có lợi thế thương mại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có lợi thế thương mại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có lợi thế thương mại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Bất lợi thương mại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có bất lợi thương mại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Đường hướng vào đất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có bất lợi thương mại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có bất lợi thương mại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abs>
                <w:tab w:val="center" w:leader="none" w:pos="813"/>
              </w:tabs>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trên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Nhà ở</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Nhà ở</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Nhà ở</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0"/>
                <w:highlight w:val="white"/>
              </w:rPr>
              <w:t xml:space="preserve">Số tầng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0"/>
                <w:highlight w:val="none"/>
              </w:rPr>
              <w:t xml:space="preserve">Diện tích sàn sử dụng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12.000.000.000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12.500.000.000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13.000.000.000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thương lượng/bán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10.800.000.000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11.250.000.000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11.700.000.000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B</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Chi tiết tính toán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 trị tài sản trên đất (đồng)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1.665.446.400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1.665.446.400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2.169.972.000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Đơn giá xây dựng theo Quyết định số 409/QĐ-BXD ngày 11/4/2025 của Bộ Xây Dựng (đồng/m²)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7.401.984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7.401.984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7.233.240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8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Tỷ lệ % CLCL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 trị đất (đồng)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9.584.553.600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9.584.553.600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9.530.028.000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Đơn giá QSDĐ (đồng/m²)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108.300.041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108.300.041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95.300.280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C</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NHẬN XÉT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7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Mục đích sử dụng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tiếp giáp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trước tài sản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Cơ sở hạ tầng kỹ thuật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đất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Mặt tiền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dựa trên ba tài sản so sánh tương đồng với tài sản thẩm định giá, Tổ thẩm định phân tích các </w:t>
      </w:r>
      <w:r>
        <w:rPr>
          <w:color w:val="000000" w:themeColor="text1"/>
          <w:lang w:val="it-IT"/>
        </w:rPr>
        <w:t xml:space="preserve">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25"/>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STT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Yếu tố so sánh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Đơn vị tính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TSTĐ</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A</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 trị QSDĐ thị trường (Ước tính sau thương lượng)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Đồng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9.584.553.600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9.584.553.600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9.530.028.000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B</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Đơn giá đất ước tính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Đồng/m²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108.300.041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108.300.041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95.300.280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C</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Điều chỉnh các yếu tố so sánh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Pháp lý</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108.300.041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108.300.041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95.300.280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Mục đích sử dụng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108.300.041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108.300.041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95.300.280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Vị trí</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Khu nhà ở 97 đường Bạch Đằng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Khu nhà ở 97 đường Bạch Đằng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Khu nhà ở 97 đường Bạch Đằng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Khu nhà ở 97 đường Bạch Đằng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108.300.041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108.300.041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95.300.280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Đường tiếp giáp</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108.300.041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108.300.041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95.300.280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Độ rộng đường trước tài sản (m)</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7</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7</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7</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7</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106.887.611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106.887.611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95.300.280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Cơ sở hạ tầng kỹ thuật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108.300.041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108.300.041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95.300.280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Diện tích đất (m²)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(m2)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78,5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88,5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88,5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100</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2.166.001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2.166.001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4.765.014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110.466.042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110.466.042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100.065.294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Mặt tiền (m)</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110.466.042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110.466.042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100.065.294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Số lượng mặt tiếp giáp</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110.466.042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110.466.042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100.065.294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D</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Mức giá chỉ dẫn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Đồng/m²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highlight w:val="white"/>
              </w:rPr>
              <w:t xml:space="preserve">110.466.042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highlight w:val="white"/>
              </w:rPr>
              <w:t xml:space="preserve">110.466.042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100.065.294</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trị trung bình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highlight w:val="white"/>
              </w:rPr>
              <w:t xml:space="preserve">106.999.126</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độ chênh lệch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3,24%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3,24%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-6,48%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Tổng hợp các số liệu điều chỉnh tại mục C</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giá trị điều chỉnh gộp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2.166.001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2.166.001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4.765.014</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số lần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Lần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Biên độ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 - 2%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 - 2%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 - 5%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giá trị điều chỉnh thuần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2.166.001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2.166.001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4.765.014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từ </w:t>
      </w:r>
      <w:r>
        <w:rPr>
          <w:color w:val="000000" w:themeColor="text1"/>
        </w:rPr>
        <w:t xml:space="preserve"> </w:t>
      </w:r>
      <w:r>
        <w:rPr>
          <w:color w:val="000000" w:themeColor="text1"/>
        </w:rPr>
        <w:t xml:space="preserve">3,22</w:t>
      </w:r>
      <w:r>
        <w:rPr>
          <w:color w:val="000000" w:themeColor="text1"/>
        </w:rPr>
        <w:t xml:space="preserve">% đến 6,47</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TT</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Tài sản</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Mức giá chỉ dẫn của các TSSS</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Trọng số của các TSSS sau điều chỉnh</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Giá trị trung bình của mức giá chỉ dẫn sau điều chỉnh</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Tài sản so sánh 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110.466.042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33,34</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36.829.378</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Tài sản so sánh 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110.466.042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33,33</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36.818.332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Tài sản so sánh 3</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100.065.294</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33,33</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33.351.762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Giá trị bình quân theo trọng số:</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lang w:val="vi-VN"/>
              </w:rPr>
            </w:r>
            <w:r>
              <w:rPr>
                <w:rFonts w:ascii="Times New Roman" w:hAnsi="Times New Roman" w:eastAsia="Times New Roman" w:cs="Times New Roman"/>
                <w:color w:val="000000" w:themeColor="text1"/>
                <w:sz w:val="24"/>
                <w:szCs w:val="24"/>
                <w:highlight w:val="white"/>
              </w:rPr>
              <w:t xml:space="preserve">106.999.473</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Làm tròn:</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lang w:val="vi-VN"/>
              </w:rPr>
              <w:t xml:space="preserve">107.000.000</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107.000.000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25"/>
        <w:numPr>
          <w:ilvl w:val="0"/>
          <w:numId w:val="26"/>
        </w:numPr>
        <w:pBdr/>
        <w:spacing w:after="120" w:before="120" w:line="276" w:lineRule="auto"/>
        <w:ind w:hanging="357" w:left="357"/>
        <w:jc w:val="both"/>
        <w:rPr>
          <w:b/>
          <w:bCs/>
          <w:color w:val="000000" w:themeColor="text1"/>
        </w:rPr>
      </w:pPr>
      <w:r>
        <w:rPr>
          <w:b/>
          <w:bCs/>
          <w:color w:val="000000" w:themeColor="text1"/>
        </w:rPr>
        <w:t xml:space="preserve">Xác định giá trị tài sản gắn liền với đất</w:t>
      </w:r>
      <w:r>
        <w:rPr>
          <w:b/>
          <w:bCs/>
          <w:color w:val="000000" w:themeColor="text1"/>
        </w:rPr>
      </w:r>
      <w:r>
        <w:rPr>
          <w:b/>
          <w:bCs/>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Q</w:t>
      </w:r>
      <w:r>
        <w:rPr>
          <w:rFonts w:ascii="Times New Roman" w:hAnsi="Times New Roman" w:eastAsia="Times New Roman" w:cs="Times New Roman"/>
          <w:color w:val="000000" w:themeColor="text1"/>
          <w:sz w:val="24"/>
        </w:rPr>
        <w:t xml:space="preserve">ua tham khảo thị trường về đơn giá xây dựng mới đối với công trình </w:t>
      </w:r>
      <w:r>
        <w:rPr>
          <w:rFonts w:ascii="Times New Roman" w:hAnsi="Times New Roman" w:eastAsia="Times New Roman" w:cs="Times New Roman"/>
          <w:color w:val="000000" w:themeColor="text1"/>
          <w:sz w:val="24"/>
        </w:rPr>
        <w:t xml:space="preserve">Nhà 03 tầng</w:t>
      </w:r>
      <w:r>
        <w:rPr>
          <w:rFonts w:ascii="Times New Roman" w:hAnsi="Times New Roman" w:eastAsia="Times New Roman" w:cs="Times New Roman"/>
          <w:color w:val="000000" w:themeColor="text1"/>
          <w:sz w:val="24"/>
        </w:rPr>
        <w:t xml:space="preserve">, cân nhắc và  xem xét với mức độ hoàn thiện của công trình xây dựng hiện có, Tổ thẩm định nhận thấy đơn giá  vận dụng theo Quyết định số 425/QĐ-BXD ngày 30/03/2026 của Bộ Xây d</w:t>
      </w:r>
      <w:r>
        <w:rPr>
          <w:rFonts w:ascii="Times New Roman" w:hAnsi="Times New Roman" w:eastAsia="Times New Roman" w:cs="Times New Roman"/>
          <w:color w:val="000000" w:themeColor="text1"/>
          <w:sz w:val="24"/>
        </w:rPr>
        <w:t xml:space="preserve">ựng về việc Công bố suất vốn đầu tư xây dựng công trình và giá xây dựng tổng hợp bộ phận kết cấu công trình năm 2025 là  khá phù hợp với thị trường, theo đó: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i/>
          <w:color w:val="000000" w:themeColor="text1"/>
          <w:sz w:val="24"/>
        </w:rPr>
        <w:t xml:space="preserve">“</w:t>
      </w:r>
      <w:r>
        <w:rPr>
          <w:rFonts w:ascii="Times New Roman" w:hAnsi="Times New Roman" w:eastAsia="Times New Roman" w:cs="Times New Roman"/>
          <w:i/>
          <w:color w:val="000000" w:themeColor="text1"/>
          <w:sz w:val="24"/>
        </w:rPr>
        <w:t xml:space="preserve">Suất vốn đầu tư </w:t>
      </w:r>
      <w:r>
        <w:rPr>
          <w:rFonts w:ascii="Times New Roman" w:hAnsi="Times New Roman" w:eastAsia="Times New Roman" w:cs="Times New Roman"/>
          <w:i/>
          <w:color w:val="000000" w:themeColor="text1"/>
          <w:sz w:val="24"/>
          <w:highlight w:val="white"/>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i/>
          <w:color w:val="000000" w:themeColor="text1"/>
          <w:sz w:val="24"/>
        </w:rPr>
        <w:t xml:space="preserve"> có đơn giá là: 8.370.000 đồng/m².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i/>
          <w:color w:val="000000" w:themeColor="text1"/>
          <w:sz w:val="24"/>
        </w:rPr>
        <w:t xml:space="preserve">Hệ số điều chỉnh vùng cho Suất vốn đầu tư: Thành phố Hải Phòng thuộc vùng 2 có hệ số điều chỉnh  là 0,948.”</w:t>
      </w:r>
      <w:r>
        <w:rPr>
          <w:color w:val="000000" w:themeColor="text1"/>
        </w:rPr>
      </w:r>
      <w:r>
        <w:rPr>
          <w:color w:val="000000" w:themeColor="text1"/>
        </w:rPr>
      </w:r>
    </w:p>
    <w:p>
      <w:pPr>
        <w:pBdr/>
        <w:spacing w:after="60" w:before="60"/>
        <w:ind/>
        <w:jc w:val="left"/>
        <w:rPr>
          <w:color w:val="000000" w:themeColor="text1"/>
          <w:sz w:val="22"/>
          <w:szCs w:val="22"/>
        </w:rPr>
      </w:pPr>
      <w:r>
        <w:rPr>
          <w:rFonts w:ascii="Times New Roman" w:hAnsi="Times New Roman" w:eastAsia="Times New Roman" w:cs="Times New Roman"/>
          <w:color w:val="000000" w:themeColor="text1"/>
          <w:sz w:val="24"/>
        </w:rPr>
        <w:t xml:space="preserve">Do đó, Tổ thẩm định xác định đơn giá xây mới của công trình xây dựng là: (Suất vốn đầu tư)  x (Hệ số vùng) = 8.370.000 x 0,948 = </w:t>
      </w:r>
      <w:r>
        <w:rPr>
          <w:b/>
          <w:bCs/>
          <w:color w:val="000000" w:themeColor="text1"/>
          <w:sz w:val="24"/>
          <w:szCs w:val="24"/>
        </w:rPr>
        <w:t xml:space="preserve">7.934.760</w:t>
      </w:r>
      <w:r>
        <w:rPr>
          <w:rFonts w:ascii="Times New Roman" w:hAnsi="Times New Roman" w:eastAsia="Times New Roman" w:cs="Times New Roman"/>
          <w:b/>
          <w:color w:val="000000" w:themeColor="text1"/>
          <w:sz w:val="24"/>
        </w:rPr>
        <w:t xml:space="preserve"> đồng/m². </w:t>
      </w:r>
      <w:r>
        <w:rPr>
          <w:color w:val="000000" w:themeColor="text1"/>
          <w:sz w:val="22"/>
          <w:szCs w:val="22"/>
        </w:rPr>
      </w:r>
      <w:r>
        <w:rPr>
          <w:color w:val="000000" w:themeColor="text1"/>
          <w:sz w:val="22"/>
          <w:szCs w:val="22"/>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Qua khảo sát hiện trạng, dựa vào đặc điểm tài sản và tham khảo ý kiến các chuyên giá về xây  dựng, Tổ thẩm định đánh giá chất lượng còn lại của công trình xây dựng theo Văn bản số 1326/BXD QLN do Bộ Xây dựng ban hành ngày 08/8/2011 về việc hướng dẫn kiểm k</w:t>
      </w:r>
      <w:r>
        <w:rPr>
          <w:rFonts w:ascii="Times New Roman" w:hAnsi="Times New Roman" w:eastAsia="Times New Roman" w:cs="Times New Roman"/>
          <w:color w:val="000000" w:themeColor="text1"/>
          <w:sz w:val="24"/>
        </w:rPr>
        <w:t xml:space="preserve">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nề</w:t>
      </w:r>
      <w:r>
        <w:rPr>
          <w:rFonts w:ascii="Times New Roman" w:hAnsi="Times New Roman" w:eastAsia="Times New Roman" w:cs="Times New Roman"/>
          <w:color w:val="000000" w:themeColor="text1"/>
          <w:sz w:val="24"/>
        </w:rPr>
        <w:t xml:space="preserve">n, sàn, kết cấu đỡ mái và mái) tạo nên nhà đó và tỷ lệ giá trị của các kết  cấu chính đó so với tổng giá trị của nhà hoặc vật kiến trúc.</w:t>
      </w:r>
      <w:r>
        <w:rPr>
          <w:color w:val="000000" w:themeColor="text1"/>
        </w:rPr>
      </w:r>
      <w:r>
        <w:rPr>
          <w:color w:val="000000" w:themeColor="text1"/>
        </w:rPr>
      </w:r>
    </w:p>
    <w:tbl>
      <w:tblPr>
        <w:tblStyle w:val="102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47"/>
        <w:gridCol w:w="527"/>
        <w:gridCol w:w="659"/>
        <w:gridCol w:w="2696"/>
        <w:gridCol w:w="599"/>
        <w:gridCol w:w="2316"/>
      </w:tblGrid>
      <w:tr>
        <w:trPr>
          <w:trHeight w:val="20"/>
        </w:trPr>
        <w:tc>
          <w:tcPr>
            <w:tcBorders/>
            <w:tcMar>
              <w:left w:w="108" w:type="dxa"/>
              <w:top w:w="0" w:type="dxa"/>
              <w:right w:w="108" w:type="dxa"/>
              <w:bottom w:w="0" w:type="dxa"/>
            </w:tcMar>
            <w:tcW w:w="194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Tỷ lệ chất lượng còn lại của nhà, vật kiến trúc (%)</w:t>
            </w:r>
            <w:r>
              <w:rPr>
                <w:color w:val="000000" w:themeColor="text1"/>
              </w:rPr>
            </w:r>
            <w:r>
              <w:rPr>
                <w:color w:val="000000" w:themeColor="text1"/>
              </w:rPr>
            </w:r>
          </w:p>
        </w:tc>
        <w:tc>
          <w:tcPr>
            <w:tcBorders/>
            <w:tcMar>
              <w:left w:w="108" w:type="dxa"/>
              <w:top w:w="0" w:type="dxa"/>
              <w:right w:w="108" w:type="dxa"/>
              <w:bottom w:w="0" w:type="dxa"/>
            </w:tcMar>
            <w:tcW w:w="52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Tỷ lệ chất lượng còn lại của kết cấu chính thức i (%)</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5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x</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Tỷ lệ giá trị của kết cấu chính thứ i so với tổng giá trị của ngôi nhà hoặc vật kiến trúc (%)</w:t>
            </w:r>
            <w:r>
              <w:rPr>
                <w:color w:val="000000" w:themeColor="text1"/>
              </w:rPr>
            </w:r>
            <w:r>
              <w:rPr>
                <w:color w:val="000000" w:themeColor="text1"/>
              </w:rPr>
            </w:r>
          </w:p>
        </w:tc>
      </w:tr>
      <w:tr>
        <w:trPr>
          <w:trHeight w:val="20"/>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Tổng tỷ lệ giá trị của các kết cấu chính so với tổng giá trị của ngôi nhà hoặc vật kiến trúc (%)</w:t>
            </w: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Trong đó: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i: số thứ tự của kết cấu chính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n: số các kết cấu chính. </w:t>
      </w:r>
      <w:r>
        <w:rPr>
          <w:color w:val="000000" w:themeColor="text1"/>
        </w:rPr>
      </w:r>
      <w:r>
        <w:rPr>
          <w:color w:val="000000" w:themeColor="text1"/>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9"/>
        <w:gridCol w:w="3729"/>
        <w:gridCol w:w="2258"/>
        <w:gridCol w:w="1417"/>
        <w:gridCol w:w="1559"/>
      </w:tblGrid>
      <w:tr>
        <w:trPr>
          <w:trHeight w:val="936"/>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TÊN KẾT CẤU CHÍNH</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giá trị các kết cấu chính (%)</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chất lượng còn lại các kết cấu chính (%)</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giá trị còn lại các kết cấu chính (%)</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a</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b</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c</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d</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e = c x d/g</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Móng</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8%</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10%</w:t>
            </w:r>
            <w:r>
              <w:rPr>
                <w:color w:val="000000" w:themeColor="text1"/>
              </w:rPr>
            </w:r>
            <w:r>
              <w:rPr>
                <w:color w:val="000000" w:themeColor="text1"/>
              </w:rPr>
            </w:r>
          </w:p>
        </w:tc>
      </w:tr>
      <w:tr>
        <w:trPr>
          <w:trHeight w:val="341"/>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Khung, cột</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13%</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Tường</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16%</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Nền, sàn</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16%</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21%</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Kết cấu đỡ mái</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16%</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Mái</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7%</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b/>
                <w:color w:val="000000" w:themeColor="text1"/>
                <w:sz w:val="24"/>
              </w:rPr>
              <w:t xml:space="preserve">Tổng cộng (g)</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63%</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b/>
                <w:color w:val="000000" w:themeColor="text1"/>
                <w:sz w:val="24"/>
              </w:rPr>
              <w:t xml:space="preserve">Tỷ lệ chất lượng còn lại:</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82,0%</w:t>
            </w: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Tổ thẩm định xác định Tỷ lệ chất lượng còn lại của tài sản thẩm định là: 82,0%, tương đương tỷ  lệ hao mòn của tài sản thẩm định là 18%</w:t>
      </w:r>
      <w:r>
        <w:rPr>
          <w:color w:val="000000" w:themeColor="text1"/>
        </w:rPr>
      </w:r>
      <w:r>
        <w:rPr>
          <w:color w:val="000000" w:themeColor="text1"/>
        </w:rPr>
      </w:r>
    </w:p>
    <w:tbl>
      <w:tblPr>
        <w:tblInd w:w="-114" w:type="dxa"/>
        <w:tblW w:w="97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276"/>
        <w:gridCol w:w="992"/>
        <w:gridCol w:w="1559"/>
        <w:gridCol w:w="1559"/>
        <w:gridCol w:w="1134"/>
        <w:gridCol w:w="1417"/>
        <w:gridCol w:w="1843"/>
      </w:tblGrid>
      <w:tr>
        <w:trPr>
          <w:trHeight w:val="936"/>
        </w:trPr>
        <w:tc>
          <w:tcPr>
            <w:shd w:val="clear" w:color="000000" w:fill="ffffff"/>
            <w:tcBorders/>
            <w:tcW w:w="1276"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Tài sản</w:t>
            </w:r>
            <w:r>
              <w:rPr>
                <w:b/>
                <w:bCs/>
                <w:color w:val="000000" w:themeColor="text1"/>
                <w:sz w:val="22"/>
                <w:szCs w:val="22"/>
              </w:rPr>
            </w:r>
            <w:r>
              <w:rPr>
                <w:b/>
                <w:bCs/>
                <w:color w:val="000000" w:themeColor="text1"/>
                <w:sz w:val="22"/>
                <w:szCs w:val="22"/>
              </w:rPr>
            </w:r>
          </w:p>
        </w:tc>
        <w:tc>
          <w:tcPr>
            <w:shd w:val="clear" w:color="000000" w:fill="ffffff"/>
            <w:tcBorders/>
            <w:tcW w:w="992"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Diện tích sàn (m²)</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Đơn giá xây dựng mới (đồng/m² sàn)</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Chi phí thay thế (đồng)</w:t>
            </w:r>
            <w:r>
              <w:rPr>
                <w:b/>
                <w:bCs/>
                <w:color w:val="000000" w:themeColor="text1"/>
                <w:sz w:val="22"/>
                <w:szCs w:val="22"/>
              </w:rPr>
            </w:r>
            <w:r>
              <w:rPr>
                <w:b/>
                <w:bCs/>
                <w:color w:val="000000" w:themeColor="text1"/>
                <w:sz w:val="22"/>
                <w:szCs w:val="22"/>
              </w:rPr>
            </w:r>
          </w:p>
        </w:tc>
        <w:tc>
          <w:tcPr>
            <w:shd w:val="clear" w:color="000000" w:fill="ffffff"/>
            <w:tcBorders/>
            <w:tcW w:w="1134"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Tỷ lệ hao mòn (%)</w:t>
            </w:r>
            <w:r>
              <w:rPr>
                <w:b/>
                <w:bCs/>
                <w:color w:val="000000" w:themeColor="text1"/>
                <w:sz w:val="22"/>
                <w:szCs w:val="22"/>
              </w:rPr>
            </w:r>
            <w:r>
              <w:rPr>
                <w:b/>
                <w:bCs/>
                <w:color w:val="000000" w:themeColor="text1"/>
                <w:sz w:val="22"/>
                <w:szCs w:val="22"/>
              </w:rPr>
            </w:r>
          </w:p>
        </w:tc>
        <w:tc>
          <w:tcPr>
            <w:shd w:val="clear" w:color="000000" w:fill="ffffff"/>
            <w:tcBorders/>
            <w:tcW w:w="1417"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Giá trị hao mòn (đồng)</w:t>
            </w:r>
            <w:r>
              <w:rPr>
                <w:b/>
                <w:bCs/>
                <w:color w:val="000000" w:themeColor="text1"/>
                <w:sz w:val="22"/>
                <w:szCs w:val="22"/>
              </w:rPr>
            </w:r>
            <w:r>
              <w:rPr>
                <w:b/>
                <w:bCs/>
                <w:color w:val="000000" w:themeColor="text1"/>
                <w:sz w:val="22"/>
                <w:szCs w:val="22"/>
              </w:rPr>
            </w:r>
          </w:p>
        </w:tc>
        <w:tc>
          <w:tcPr>
            <w:shd w:val="clear" w:color="000000" w:fill="ffffff"/>
            <w:tcBorders/>
            <w:tcW w:w="1843"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Giá trị thẩm định tại thời điểm thẩm định giá (đồng)</w:t>
            </w:r>
            <w:r>
              <w:rPr>
                <w:b/>
                <w:bCs/>
                <w:color w:val="000000" w:themeColor="text1"/>
                <w:sz w:val="22"/>
                <w:szCs w:val="22"/>
              </w:rPr>
            </w:r>
            <w:r>
              <w:rPr>
                <w:b/>
                <w:bCs/>
                <w:color w:val="000000" w:themeColor="text1"/>
                <w:sz w:val="22"/>
                <w:szCs w:val="22"/>
              </w:rPr>
            </w:r>
          </w:p>
        </w:tc>
      </w:tr>
      <w:tr>
        <w:trPr>
          <w:trHeight w:val="300"/>
        </w:trPr>
        <w:tc>
          <w:tcPr>
            <w:shd w:val="clear" w:color="000000" w:fill="ffffff"/>
            <w:tcBorders/>
            <w:tcW w:w="1276"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shd w:val="clear" w:color="000000" w:fill="ffffff"/>
            <w:tcBorders/>
            <w:tcW w:w="992"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(4) = (2) * (3)</w:t>
            </w:r>
            <w:r>
              <w:rPr>
                <w:b/>
                <w:bCs/>
                <w:color w:val="000000" w:themeColor="text1"/>
                <w:sz w:val="22"/>
                <w:szCs w:val="22"/>
              </w:rPr>
            </w:r>
            <w:r>
              <w:rPr>
                <w:b/>
                <w:bCs/>
                <w:color w:val="000000" w:themeColor="text1"/>
                <w:sz w:val="22"/>
                <w:szCs w:val="22"/>
              </w:rPr>
            </w:r>
          </w:p>
        </w:tc>
        <w:tc>
          <w:tcPr>
            <w:shd w:val="clear" w:color="000000" w:fill="ffffff"/>
            <w:tcBorders/>
            <w:tcW w:w="1134"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(5)</w:t>
            </w:r>
            <w:r>
              <w:rPr>
                <w:b/>
                <w:bCs/>
                <w:color w:val="000000" w:themeColor="text1"/>
                <w:sz w:val="22"/>
                <w:szCs w:val="22"/>
              </w:rPr>
            </w:r>
            <w:r>
              <w:rPr>
                <w:b/>
                <w:bCs/>
                <w:color w:val="000000" w:themeColor="text1"/>
                <w:sz w:val="22"/>
                <w:szCs w:val="22"/>
              </w:rPr>
            </w:r>
          </w:p>
        </w:tc>
        <w:tc>
          <w:tcPr>
            <w:shd w:val="clear" w:color="000000" w:fill="ffffff"/>
            <w:tcBorders/>
            <w:tcW w:w="1417"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w:t>
            </w:r>
            <w:r>
              <w:rPr>
                <w:b/>
                <w:bCs/>
                <w:color w:val="000000" w:themeColor="text1"/>
                <w:sz w:val="22"/>
                <w:szCs w:val="22"/>
              </w:rPr>
              <w:t xml:space="preserve">6</w:t>
            </w:r>
            <w:r>
              <w:rPr>
                <w:b/>
                <w:bCs/>
                <w:color w:val="000000" w:themeColor="text1"/>
                <w:sz w:val="22"/>
                <w:szCs w:val="22"/>
              </w:rPr>
              <w:t xml:space="preserve">)</w:t>
            </w:r>
            <w:r>
              <w:rPr>
                <w:b/>
                <w:bCs/>
                <w:color w:val="000000" w:themeColor="text1"/>
                <w:sz w:val="22"/>
                <w:szCs w:val="22"/>
              </w:rPr>
              <w:t xml:space="preserve">=(4)*(5)</w:t>
            </w:r>
            <w:r>
              <w:rPr>
                <w:b/>
                <w:bCs/>
                <w:color w:val="000000" w:themeColor="text1"/>
                <w:sz w:val="22"/>
                <w:szCs w:val="22"/>
              </w:rPr>
            </w:r>
            <w:r>
              <w:rPr>
                <w:b/>
                <w:bCs/>
                <w:color w:val="000000" w:themeColor="text1"/>
                <w:sz w:val="22"/>
                <w:szCs w:val="22"/>
              </w:rPr>
            </w:r>
          </w:p>
        </w:tc>
        <w:tc>
          <w:tcPr>
            <w:shd w:val="clear" w:color="000000" w:fill="ffffff"/>
            <w:tcBorders/>
            <w:tcW w:w="1843"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w:t>
            </w:r>
            <w:r>
              <w:rPr>
                <w:b/>
                <w:bCs/>
                <w:color w:val="000000" w:themeColor="text1"/>
                <w:sz w:val="22"/>
                <w:szCs w:val="22"/>
              </w:rPr>
              <w:t xml:space="preserve">7</w:t>
            </w:r>
            <w:r>
              <w:rPr>
                <w:b/>
                <w:bCs/>
                <w:color w:val="000000" w:themeColor="text1"/>
                <w:sz w:val="22"/>
                <w:szCs w:val="22"/>
              </w:rPr>
              <w:t xml:space="preserve">) = (4) - (</w:t>
            </w:r>
            <w:r>
              <w:rPr>
                <w:b/>
                <w:bCs/>
                <w:color w:val="000000" w:themeColor="text1"/>
                <w:sz w:val="22"/>
                <w:szCs w:val="22"/>
              </w:rPr>
              <w:t xml:space="preserve">6</w:t>
            </w:r>
            <w:r>
              <w:rPr>
                <w:b/>
                <w:bCs/>
                <w:color w:val="000000" w:themeColor="text1"/>
                <w:sz w:val="22"/>
                <w:szCs w:val="22"/>
              </w:rPr>
              <w:t xml:space="preserve">)</w:t>
            </w:r>
            <w:r>
              <w:rPr>
                <w:b/>
                <w:bCs/>
                <w:color w:val="000000" w:themeColor="text1"/>
                <w:sz w:val="22"/>
                <w:szCs w:val="22"/>
              </w:rPr>
            </w:r>
            <w:r>
              <w:rPr>
                <w:b/>
                <w:bCs/>
                <w:color w:val="000000" w:themeColor="text1"/>
                <w:sz w:val="22"/>
                <w:szCs w:val="22"/>
              </w:rPr>
            </w:r>
          </w:p>
        </w:tc>
      </w:tr>
      <w:tr>
        <w:trPr>
          <w:trHeight w:val="312"/>
        </w:trPr>
        <w:tc>
          <w:tcPr>
            <w:tcBorders/>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rFonts w:ascii="Times New Roman" w:hAnsi="Times New Roman" w:eastAsia="Times New Roman" w:cs="Times New Roman"/>
                <w:color w:val="000000" w:themeColor="text1"/>
                <w:sz w:val="24"/>
              </w:rPr>
            </w:pPr>
            <w:r>
              <w:rPr>
                <w:rFonts w:ascii="Times New Roman" w:hAnsi="Times New Roman" w:eastAsia="Times New Roman" w:cs="Times New Roman"/>
                <w:color w:val="000000" w:themeColor="text1"/>
                <w:sz w:val="22"/>
              </w:rPr>
              <w:t xml:space="preserve">Nhà 3 tầng</w: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tc>
        <w:tc>
          <w:tcPr>
            <w:tcBorders/>
            <w:tcW w:w="992"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225,5</w:t>
            </w:r>
            <w:r>
              <w:rPr>
                <w:color w:val="000000" w:themeColor="text1"/>
                <w:sz w:val="22"/>
                <w:szCs w:val="22"/>
              </w:rPr>
            </w:r>
            <w:r>
              <w:rPr>
                <w:color w:val="000000" w:themeColor="text1"/>
                <w:sz w:val="22"/>
                <w:szCs w:val="22"/>
              </w:rPr>
            </w:r>
          </w:p>
        </w:tc>
        <w:tc>
          <w:tcPr>
            <w:tcBorders/>
            <w:tcW w:w="1559"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7.934.760</w:t>
            </w:r>
            <w:r>
              <w:rPr>
                <w:color w:val="000000" w:themeColor="text1"/>
                <w:sz w:val="22"/>
                <w:szCs w:val="22"/>
              </w:rPr>
            </w:r>
            <w:r>
              <w:rPr>
                <w:color w:val="000000" w:themeColor="text1"/>
                <w:sz w:val="22"/>
                <w:szCs w:val="22"/>
              </w:rPr>
            </w:r>
          </w:p>
        </w:tc>
        <w:tc>
          <w:tcPr>
            <w:tcBorders/>
            <w:tcW w:w="1559"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1.789.288.380</w:t>
            </w:r>
            <w:r>
              <w:rPr>
                <w:color w:val="000000" w:themeColor="text1"/>
                <w:sz w:val="22"/>
                <w:szCs w:val="22"/>
              </w:rPr>
            </w:r>
            <w:r>
              <w:rPr>
                <w:color w:val="000000" w:themeColor="text1"/>
                <w:sz w:val="22"/>
                <w:szCs w:val="22"/>
              </w:rPr>
            </w:r>
          </w:p>
        </w:tc>
        <w:tc>
          <w:tcPr>
            <w:tcBorders/>
            <w:tcW w:w="1134"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cW w:w="1417"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322.071.908</w:t>
            </w:r>
            <w:r>
              <w:rPr>
                <w:color w:val="000000" w:themeColor="text1"/>
                <w:sz w:val="22"/>
                <w:szCs w:val="22"/>
              </w:rPr>
            </w:r>
            <w:r>
              <w:rPr>
                <w:color w:val="000000" w:themeColor="text1"/>
                <w:sz w:val="22"/>
                <w:szCs w:val="22"/>
              </w:rPr>
            </w:r>
          </w:p>
        </w:tc>
        <w:tc>
          <w:tcPr>
            <w:tcBorders/>
            <w:tcW w:w="1843"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1.467.216.472</w:t>
            </w:r>
            <w:r>
              <w:rPr>
                <w:color w:val="000000" w:themeColor="text1"/>
                <w:sz w:val="22"/>
                <w:szCs w:val="22"/>
              </w:rPr>
            </w:r>
            <w:r>
              <w:rPr>
                <w:color w:val="000000" w:themeColor="text1"/>
                <w:sz w:val="22"/>
                <w:szCs w:val="22"/>
              </w:rPr>
            </w:r>
          </w:p>
        </w:tc>
      </w:tr>
    </w:tbl>
    <w:p>
      <w:pPr>
        <w:pStyle w:val="1025"/>
        <w:pBdr/>
        <w:spacing w:after="120" w:before="120" w:line="276" w:lineRule="auto"/>
        <w:ind w:left="357"/>
        <w:jc w:val="both"/>
        <w:rPr>
          <w:b/>
          <w:color w:val="000000" w:themeColor="text1"/>
        </w:rPr>
      </w:pPr>
      <w:r>
        <w:rPr>
          <w:b/>
          <w:color w:val="000000" w:themeColor="text1"/>
          <w:lang w:val="pt-BR"/>
        </w:rPr>
      </w:r>
      <w:r>
        <w:rPr>
          <w:b/>
          <w:color w:val="000000" w:themeColor="text1"/>
        </w:rPr>
      </w:r>
      <w:r>
        <w:rPr>
          <w:b/>
          <w:color w:val="000000" w:themeColor="text1"/>
        </w:rPr>
      </w:r>
    </w:p>
    <w:p>
      <w:pPr>
        <w:pStyle w:val="1025"/>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25"/>
        <w:pBdr/>
        <w:tabs>
          <w:tab w:val="left" w:leader="none" w:pos="993"/>
        </w:tabs>
        <w:spacing w:after="120" w:before="120" w:line="276" w:lineRule="auto"/>
        <w:ind w:left="0"/>
        <w:jc w:val="both"/>
        <w:rPr>
          <w:color w:val="000000" w:themeColor="text1"/>
          <w:highlight w:val="none"/>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lang w:val="pt-BR"/>
        </w:rPr>
        <w:t xml:space="preserve">tháng 07/2026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highlight w:val="none"/>
        </w:rPr>
      </w:r>
    </w:p>
    <w:p>
      <w:pPr>
        <w:pStyle w:val="1025"/>
        <w:pBdr/>
        <w:tabs>
          <w:tab w:val="left" w:leader="none" w:pos="993"/>
        </w:tabs>
        <w:spacing w:after="120" w:before="120" w:line="276" w:lineRule="auto"/>
        <w:ind w:left="0"/>
        <w:jc w:val="both"/>
        <w:rPr>
          <w:color w:val="000000" w:themeColor="text1"/>
        </w:rPr>
      </w:pPr>
      <w:r>
        <w:rPr>
          <w:color w:val="000000" w:themeColor="text1"/>
          <w:highlight w:val="none"/>
        </w:rPr>
      </w:r>
      <w:r>
        <w:rPr>
          <w:color w:val="000000" w:themeColor="text1"/>
          <w:highlight w:val="none"/>
        </w:rPr>
      </w:r>
      <w:r>
        <w:rPr>
          <w:color w:val="000000" w:themeColor="text1"/>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99"/>
        <w:gridCol w:w="982"/>
        <w:gridCol w:w="1223"/>
        <w:gridCol w:w="1417"/>
        <w:gridCol w:w="1984"/>
        <w:gridCol w:w="1361"/>
        <w:gridCol w:w="1758"/>
      </w:tblGrid>
      <w:tr>
        <w:trPr>
          <w:trHeight w:val="20"/>
        </w:trPr>
        <w:tc>
          <w:tcPr>
            <w:shd w:val="clear" w:color="000000" w:fill="ffffff"/>
            <w:tcBorders/>
            <w:tcW w:w="79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gridSpan w:val="2"/>
            <w:shd w:val="clear" w:color="000000" w:fill="ffffff"/>
            <w:tcBorders/>
            <w:tcW w:w="220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41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198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1361" w:type="dxa"/>
            <w:vAlign w:val="center"/>
            <w:textDirection w:val="lrTb"/>
            <w:noWrap w:val="false"/>
          </w:tcPr>
          <w:p>
            <w:pPr>
              <w:pBdr/>
              <w:spacing/>
              <w:ind/>
              <w:jc w:val="center"/>
              <w:rPr>
                <w:b/>
                <w:bCs/>
                <w:color w:val="000000" w:themeColor="text1"/>
              </w:rPr>
            </w:pPr>
            <w:r>
              <w:rPr>
                <w:b/>
                <w:bCs/>
                <w:color w:val="000000" w:themeColor="text1"/>
              </w:rPr>
              <w:t xml:space="preserve">Tỷ lệ CLCL (%)</w:t>
            </w:r>
            <w:r>
              <w:rPr>
                <w:b/>
                <w:bCs/>
                <w:color w:val="000000" w:themeColor="text1"/>
              </w:rPr>
            </w:r>
            <w:r>
              <w:rPr>
                <w:b/>
                <w:bCs/>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5"/>
            <w:shd w:val="clear" w:color="000000" w:fill="ffffff"/>
            <w:tcBorders/>
            <w:tcW w:w="6967"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và tài sản gắn liền với đất tại thửa đất số 289, tờ bản đồ số 16 có địa chỉ: Thửa số 02, lô No-01, khu nhà ở 97 đường Bạch Đằng, phường Hạ Lý, quận Hồng Bàng, TP Hải Phòng (nay là phường Hồng Bàng, thành phố Hải Ph</w:t>
            </w:r>
            <w:r>
              <w:rPr>
                <w:color w:val="000000" w:themeColor="text1"/>
              </w:rPr>
              <w:t xml:space="preserve">òng) theo Giấy chứng nhận quyền sử dụng đất quyền sở hữu nhà ở và tài sản khác gắn liền với đất số: CK 252227, số vào sổ cấp GCN: CH 01308 do Uỷ ban nhân dân quận Hồng Bàng cấp ngày 04/8/2017; chủ sử dụng đất là ông Vũ Đức Duy và vợ là bà Đặng Thị Mai Thêu</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1758"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1</w:t>
            </w:r>
            <w:r>
              <w:rPr>
                <w:b w:val="0"/>
                <w:bCs w:val="0"/>
                <w:color w:val="000000" w:themeColor="text1"/>
              </w:rPr>
            </w:r>
            <w:r>
              <w:rPr>
                <w:b w:val="0"/>
                <w:bCs w:val="0"/>
                <w:color w:val="000000" w:themeColor="text1"/>
              </w:rPr>
            </w:r>
          </w:p>
        </w:tc>
        <w:tc>
          <w:tcPr>
            <w:gridSpan w:val="2"/>
            <w:shd w:val="clear" w:color="000000" w:fill="ffffff"/>
            <w:tcBorders/>
            <w:tcW w:w="2205"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417" w:type="dxa"/>
            <w:vAlign w:val="center"/>
            <w:textDirection w:val="lrTb"/>
            <w:noWrap/>
          </w:tcPr>
          <w:p>
            <w:pPr>
              <w:pBdr/>
              <w:spacing w:after="40" w:before="40" w:line="288" w:lineRule="auto"/>
              <w:ind/>
              <w:jc w:val="center"/>
              <w:rPr>
                <w:color w:val="000000" w:themeColor="text1"/>
              </w:rPr>
            </w:pPr>
            <w:r>
              <w:rPr>
                <w:color w:val="000000" w:themeColor="text1"/>
              </w:rPr>
              <w:t xml:space="preserve">78,5</w:t>
            </w:r>
            <w:r>
              <w:rPr>
                <w:color w:val="000000" w:themeColor="text1"/>
              </w:rPr>
            </w:r>
            <w:r>
              <w:rPr>
                <w:color w:val="000000" w:themeColor="text1"/>
              </w:rPr>
            </w:r>
          </w:p>
        </w:tc>
        <w:tc>
          <w:tcPr>
            <w:shd w:val="clear" w:color="000000" w:fill="ffffff"/>
            <w:tcBorders/>
            <w:tcW w:w="198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107.000.000</w:t>
            </w:r>
            <w:r>
              <w:rPr>
                <w:color w:val="000000" w:themeColor="text1"/>
              </w:rPr>
            </w:r>
            <w:r>
              <w:rPr>
                <w:color w:val="000000" w:themeColor="text1"/>
              </w:rPr>
            </w:r>
          </w:p>
        </w:tc>
        <w:tc>
          <w:tcPr>
            <w:shd w:val="clear" w:color="000000" w:fill="ffffff"/>
            <w:tcBorders/>
            <w:tcW w:w="1361"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color w:val="000000" w:themeColor="text1"/>
              </w:rPr>
            </w:pPr>
            <w:r>
              <w:rPr>
                <w:color w:val="000000" w:themeColor="text1"/>
              </w:rPr>
              <w:t xml:space="preserve">8.399.500.000</w:t>
            </w:r>
            <w:r>
              <w:rPr>
                <w:color w:val="000000" w:themeColor="text1"/>
              </w:rPr>
            </w:r>
            <w:r>
              <w:rPr>
                <w:color w:val="000000" w:themeColor="text1"/>
              </w:rP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2</w:t>
            </w:r>
            <w:r>
              <w:rPr>
                <w:b w:val="0"/>
                <w:bCs w:val="0"/>
                <w:color w:val="000000" w:themeColor="text1"/>
              </w:rPr>
            </w:r>
            <w:r>
              <w:rPr>
                <w:b w:val="0"/>
                <w:bCs w:val="0"/>
                <w:color w:val="000000" w:themeColor="text1"/>
              </w:rPr>
            </w:r>
          </w:p>
        </w:tc>
        <w:tc>
          <w:tcPr>
            <w:gridSpan w:val="2"/>
            <w:shd w:val="clear" w:color="000000" w:fill="ffffff"/>
            <w:tcBorders/>
            <w:tcW w:w="2205"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Nhà 3 tầng</w:t>
            </w:r>
            <w:r>
              <w:rPr>
                <w:b w:val="0"/>
                <w:bCs w:val="0"/>
                <w:color w:val="000000" w:themeColor="text1"/>
              </w:rPr>
            </w:r>
            <w:r>
              <w:rPr>
                <w:b w:val="0"/>
                <w:bCs w:val="0"/>
                <w:color w:val="000000" w:themeColor="text1"/>
              </w:rPr>
            </w:r>
          </w:p>
        </w:tc>
        <w:tc>
          <w:tcPr>
            <w:tcBorders/>
            <w:tcW w:w="1417" w:type="dxa"/>
            <w:vAlign w:val="center"/>
            <w:textDirection w:val="lrTb"/>
            <w:noWrap/>
          </w:tcPr>
          <w:p>
            <w:pPr>
              <w:pBdr/>
              <w:spacing w:after="40" w:before="40" w:line="288" w:lineRule="auto"/>
              <w:ind/>
              <w:jc w:val="center"/>
              <w:rPr>
                <w:color w:val="000000" w:themeColor="text1"/>
              </w:rPr>
            </w:pPr>
            <w:r>
              <w:rPr>
                <w:color w:val="000000" w:themeColor="text1"/>
              </w:rPr>
              <w:t xml:space="preserve">225,5</w:t>
            </w:r>
            <w:r>
              <w:rPr>
                <w:color w:val="000000" w:themeColor="text1"/>
              </w:rPr>
            </w:r>
            <w:r>
              <w:rPr>
                <w:color w:val="000000" w:themeColor="text1"/>
              </w:rPr>
            </w:r>
          </w:p>
        </w:tc>
        <w:tc>
          <w:tcPr>
            <w:shd w:val="clear" w:color="000000" w:fill="ffffff"/>
            <w:tcBorders/>
            <w:tcW w:w="198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7.934.760</w:t>
            </w:r>
            <w:r>
              <w:rPr>
                <w:color w:val="000000" w:themeColor="text1"/>
              </w:rPr>
            </w:r>
            <w:r>
              <w:rPr>
                <w:color w:val="000000" w:themeColor="text1"/>
              </w:rPr>
            </w:r>
          </w:p>
        </w:tc>
        <w:tc>
          <w:tcPr>
            <w:shd w:val="clear" w:color="000000" w:fill="ffffff"/>
            <w:tcBorders/>
            <w:tcW w:w="1361"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82%</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1.467.216.472</w:t>
            </w:r>
            <w:r>
              <w:rPr>
                <w:color w:val="000000" w:themeColor="text1"/>
              </w:rPr>
            </w:r>
            <w:r>
              <w:rPr>
                <w:color w:val="000000" w:themeColor="text1"/>
              </w:rPr>
            </w:r>
          </w:p>
        </w:tc>
      </w:tr>
      <w:tr>
        <w:trPr>
          <w:trHeight w:val="20"/>
        </w:trPr>
        <w:tc>
          <w:tcPr>
            <w:gridSpan w:val="6"/>
            <w:tcBorders/>
            <w:tcW w:w="7767"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1758" w:type="dxa"/>
            <w:vAlign w:val="center"/>
            <w:textDirection w:val="lrTb"/>
            <w:noWrap/>
          </w:tcPr>
          <w:p>
            <w:pPr>
              <w:pBdr/>
              <w:spacing w:after="40" w:before="40" w:line="288" w:lineRule="auto"/>
              <w:ind/>
              <w:jc w:val="center"/>
              <w:rPr>
                <w:b/>
                <w:bCs/>
                <w:color w:val="000000" w:themeColor="text1"/>
              </w:rPr>
            </w:pPr>
            <w:r>
              <w:rPr>
                <w:color w:val="000000" w:themeColor="text1"/>
              </w:rPr>
              <w:t xml:space="preserve">9.866.716.472</w:t>
            </w:r>
            <w:r>
              <w:rPr>
                <w:b/>
                <w:bCs/>
                <w:color w:val="000000" w:themeColor="text1"/>
              </w:rPr>
            </w:r>
            <w:r>
              <w:rPr>
                <w:b/>
                <w:bCs/>
                <w:color w:val="000000" w:themeColor="text1"/>
              </w:rPr>
            </w:r>
          </w:p>
        </w:tc>
      </w:tr>
      <w:tr>
        <w:trPr>
          <w:trHeight w:val="20"/>
        </w:trPr>
        <w:tc>
          <w:tcPr>
            <w:gridSpan w:val="6"/>
            <w:tcBorders/>
            <w:tcW w:w="7767"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1758"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9.867.000.000</w:t>
            </w:r>
            <w:r>
              <w:rPr>
                <w:b/>
                <w:bCs/>
                <w:color w:val="000000" w:themeColor="text1"/>
              </w:rPr>
            </w:r>
            <w:r>
              <w:rPr>
                <w:b/>
                <w:bCs/>
                <w:color w:val="000000" w:themeColor="text1"/>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Chín tỷ tám trăm sáu mươi bảy triệu đồng</w:t>
            </w:r>
            <w:r>
              <w:rPr>
                <w:b/>
                <w:bCs/>
                <w:i/>
                <w:iCs/>
                <w:color w:val="000000" w:themeColor="text1"/>
              </w:rPr>
              <w:t xml:space="preserve">./.)</w:t>
            </w:r>
            <w:r>
              <w:rPr>
                <w:b/>
                <w:bCs/>
                <w:i/>
                <w:iCs/>
                <w:color w:val="000000" w:themeColor="text1"/>
              </w:rPr>
            </w:r>
            <w:r>
              <w:rPr>
                <w:b/>
                <w:bCs/>
                <w:i/>
                <w:iCs/>
                <w:color w:val="000000" w:themeColor="text1"/>
              </w:rPr>
            </w:r>
          </w:p>
        </w:tc>
      </w:tr>
    </w:tbl>
    <w:p>
      <w:pPr>
        <w:pStyle w:val="1025"/>
        <w:pBdr/>
        <w:tabs>
          <w:tab w:val="left" w:leader="none" w:pos="993"/>
        </w:tabs>
        <w:spacing w:after="120" w:before="120" w:line="276" w:lineRule="auto"/>
        <w:ind w:left="0"/>
        <w:jc w:val="both"/>
        <w:rPr>
          <w:color w:val="000000" w:themeColor="text1"/>
        </w:rPr>
      </w:pPr>
      <w:r>
        <w:rPr>
          <w:color w:val="000000" w:themeColor="text1"/>
        </w:rPr>
      </w:r>
      <w:r>
        <w:rPr>
          <w:color w:val="000000" w:themeColor="text1"/>
        </w:rPr>
      </w:r>
      <w:r>
        <w:rPr>
          <w:color w:val="000000" w:themeColor="text1"/>
        </w:rPr>
      </w:r>
    </w:p>
    <w:p>
      <w:pPr>
        <w:pStyle w:val="1025"/>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25"/>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25"/>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w:t>
      </w:r>
      <w:r>
        <w:rPr>
          <w:color w:val="000000" w:themeColor="text1"/>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color w:val="000000" w:themeColor="text1"/>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25"/>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25"/>
        <w:numPr>
          <w:ilvl w:val="0"/>
          <w:numId w:val="5"/>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25"/>
        <w:numPr>
          <w:ilvl w:val="0"/>
          <w:numId w:val="5"/>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25"/>
        <w:numPr>
          <w:ilvl w:val="0"/>
          <w:numId w:val="5"/>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đất  đã cung cấp cho chúng tôi.</w:t>
      </w:r>
      <w:r>
        <w:rPr>
          <w:color w:val="000000" w:themeColor="text1"/>
          <w:shd w:val="clear" w:color="auto" w:fill="ffffff"/>
        </w:rPr>
      </w:r>
      <w:r>
        <w:rPr>
          <w:color w:val="000000" w:themeColor="text1"/>
          <w:shd w:val="clear" w:color="auto" w:fill="ffffff"/>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highlight w:val="none"/>
          <w:shd w:val="clear" w:color="auto" w:fill="ffffff"/>
          <w:lang w:val="pt-BR"/>
        </w:rPr>
      </w: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color w:val="000000" w:themeColor="text1"/>
          <w:highlight w:val="none"/>
          <w:shd w:val="clear" w:color="auto" w:fill="ffffff"/>
          <w:lang w:val="pt-BR"/>
        </w:rPr>
        <w:t xml:space="preserve">.</w:t>
      </w:r>
      <w:r>
        <w:rPr>
          <w:color w:val="000000" w:themeColor="text1"/>
        </w:rPr>
      </w:r>
      <w:r>
        <w:rPr>
          <w:color w:val="000000" w:themeColor="text1"/>
        </w:rPr>
      </w:r>
    </w:p>
    <w:p>
      <w:pPr>
        <w:pStyle w:val="1025"/>
        <w:numPr>
          <w:ilvl w:val="0"/>
          <w:numId w:val="5"/>
        </w:numPr>
        <w:pBdr/>
        <w:spacing w:after="120" w:before="120" w:line="288"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bCs/>
          <w:color w:val="000000" w:themeColor="text1"/>
          <w:spacing w:val="-2"/>
          <w:highlight w:val="white"/>
        </w:rPr>
      </w:pPr>
      <w:r>
        <w:rPr>
          <w:bCs/>
          <w:color w:val="000000" w:themeColor="text1"/>
          <w:spacing w:val="-2"/>
          <w:highlight w:val="white"/>
          <w:lang w:val="pt-BR"/>
        </w:rPr>
      </w:r>
      <w:r>
        <w:rPr>
          <w:rFonts w:ascii="Times New Roman" w:hAnsi="Times New Roman" w:eastAsia="Times New Roman" w:cs="Times New Roman"/>
          <w:color w:val="000000" w:themeColor="text1"/>
          <w:sz w:val="24"/>
        </w:rPr>
        <w:t xml:space="preserve">Theo GCN, trên đất là Nhà ở riêng lẻ diện tích xây dựng: 78,5</w:t>
      </w:r>
      <w:r>
        <w:rPr>
          <w:color w:val="000000" w:themeColor="text1"/>
        </w:rPr>
        <w:t xml:space="preserve">m²</w:t>
      </w:r>
      <w:r>
        <w:rPr>
          <w:rFonts w:ascii="Times New Roman" w:hAnsi="Times New Roman" w:eastAsia="Times New Roman" w:cs="Times New Roman"/>
          <w:color w:val="000000" w:themeColor="text1"/>
          <w:sz w:val="24"/>
        </w:rPr>
        <w:t xml:space="preserve">; diện tích sàn: 225,5</w:t>
      </w:r>
      <w:r>
        <w:rPr>
          <w:color w:val="000000" w:themeColor="text1"/>
        </w:rPr>
        <w:t xml:space="preserve">m²</w:t>
      </w:r>
      <w:r>
        <w:rPr>
          <w:rFonts w:ascii="Times New Roman" w:hAnsi="Times New Roman" w:eastAsia="Times New Roman" w:cs="Times New Roman"/>
          <w:color w:val="000000" w:themeColor="text1"/>
          <w:sz w:val="24"/>
        </w:rPr>
        <w:t xml:space="preserve">. Tuy nhiên, tại thời điểm khảo sát, CTXD gắn liền với đất là 01 nhà 04 tầng xây dựng hết đất, </w:t>
      </w:r>
      <w:r>
        <w:rPr>
          <w:rFonts w:ascii="Times New Roman" w:hAnsi="Times New Roman" w:eastAsia="Times New Roman" w:cs="Times New Roman"/>
          <w:color w:val="000000" w:themeColor="text1"/>
          <w:sz w:val="24"/>
        </w:rPr>
        <w:t xml:space="preserve">được cải tạo và sửa lại từ CTXD đã được chứng nhận trên giấy chứng nhận trên GCN</w:t>
      </w:r>
      <w:r>
        <w:rPr>
          <w:rFonts w:ascii="Times New Roman" w:hAnsi="Times New Roman" w:eastAsia="Times New Roman" w:cs="Times New Roman"/>
          <w:color w:val="000000" w:themeColor="text1"/>
          <w:sz w:val="24"/>
        </w:rPr>
        <w:t xml:space="preserve">. CTXD tại thời điểm khảo sát khác với CTXD được chứng nhận t</w:t>
      </w:r>
      <w:r>
        <w:rPr>
          <w:rFonts w:ascii="Times New Roman" w:hAnsi="Times New Roman" w:eastAsia="Times New Roman" w:cs="Times New Roman"/>
          <w:color w:val="000000" w:themeColor="text1"/>
          <w:sz w:val="24"/>
        </w:rPr>
        <w:t xml:space="preserve">rên Giấy chứng nhận quyền sử dụng đất. </w:t>
      </w:r>
      <w:r>
        <w:rPr>
          <w:rFonts w:ascii="Times New Roman" w:hAnsi="Times New Roman" w:eastAsia="Times New Roman" w:cs="Times New Roman"/>
          <w:color w:val="000000" w:themeColor="text1"/>
          <w:sz w:val="24"/>
        </w:rPr>
        <w:t xml:space="preserve">Do vậy, theo đề nghị của Ngân hàng/Khách hàng, tổ thẩm định xác định giá trị của công trình theo CTXD được chứng nhận trên GCN. Kính đề nghị đơn vị sử dụng kết quả lưu ý</w:t>
      </w:r>
      <w:r>
        <w:rPr>
          <w:rFonts w:ascii="Times New Roman" w:hAnsi="Times New Roman" w:eastAsia="Times New Roman" w:cs="Times New Roman"/>
          <w:color w:val="000000" w:themeColor="text1"/>
          <w:sz w:val="24"/>
          <w:highlight w:val="white"/>
        </w:rPr>
        <w:t xml:space="preserve">a công trình theo CTXD được chứng nhận trên GCN. Kính đề nghị đơn vị sử dụng kết quả lưu ý</w:t>
      </w:r>
      <w:r>
        <w:rPr>
          <w:bCs/>
          <w:color w:val="000000" w:themeColor="text1"/>
          <w:spacing w:val="-2"/>
          <w:highlight w:val="white"/>
          <w:lang w:val="pt-BR"/>
        </w:rPr>
        <w:t xml:space="preserve">.</w:t>
      </w:r>
      <w:r>
        <w:rPr>
          <w:bCs/>
          <w:color w:val="000000" w:themeColor="text1"/>
          <w:spacing w:val="-2"/>
          <w:highlight w:val="white"/>
        </w:rPr>
      </w:r>
      <w:r>
        <w:rPr>
          <w:bCs/>
          <w:color w:val="000000" w:themeColor="text1"/>
          <w:spacing w:val="-2"/>
          <w:highlight w:val="white"/>
        </w:rPr>
      </w:r>
    </w:p>
    <w:p>
      <w:pPr>
        <w:pStyle w:val="1025"/>
        <w:numPr>
          <w:ilvl w:val="0"/>
          <w:numId w:val="3"/>
        </w:numPr>
        <w:pBdr/>
        <w:tabs>
          <w:tab w:val="left" w:leader="none" w:pos="993"/>
        </w:tabs>
        <w:spacing w:after="120" w:before="120" w:line="288" w:lineRule="auto"/>
        <w:ind/>
        <w:jc w:val="both"/>
        <w:rPr>
          <w:color w:val="000000" w:themeColor="text1"/>
        </w:rPr>
      </w:pPr>
      <w:r>
        <w:rPr>
          <w:color w:val="000000" w:themeColor="text1"/>
          <w:highlight w:val="white"/>
          <w:lang w:val="vi-VN"/>
        </w:rPr>
        <w:t xml:space="preserve">Tổ thẩm định giá sử dụng Phương pháp so sánh để xác định giá trị tài sản thẩm định giá trong </w:t>
      </w:r>
      <w:r>
        <w:rPr>
          <w:color w:val="000000" w:themeColor="text1"/>
          <w:lang w:val="vi-VN"/>
        </w:rPr>
        <w:t xml:space="preserve">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rPr>
      </w:r>
      <w:bookmarkStart w:id="3"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color w:val="000000" w:themeColor="text1"/>
        </w:rPr>
      </w:r>
      <w:r>
        <w:rPr>
          <w:color w:val="000000" w:themeColor="text1"/>
        </w:rPr>
      </w:r>
    </w:p>
    <w:p>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25"/>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pPr>
        <w:pStyle w:val="1025"/>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275/2026/1094/VFI-CT.65.A</w:t>
      </w:r>
      <w:r>
        <w:rPr>
          <w:color w:val="000000" w:themeColor="text1"/>
          <w:lang w:val="vi-VN"/>
        </w:rPr>
        <w:t xml:space="preserve"> </w:t>
      </w:r>
      <w:r>
        <w:rPr>
          <w:color w:val="000000" w:themeColor="text1"/>
        </w:rPr>
        <w:t xml:space="preserve">ngày 21 tháng 7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Thùy Dương</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Hồng Phúc</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275/2026/1094/VFI-BC.65.A</w:t>
      </w:r>
      <w:r>
        <w:rPr>
          <w:i/>
          <w:color w:val="000000" w:themeColor="text1"/>
        </w:rPr>
        <w:t xml:space="preserve"> ngày</w:t>
      </w:r>
      <w:r>
        <w:rPr>
          <w:i/>
          <w:color w:val="000000" w:themeColor="text1"/>
          <w:lang w:val="pt-BR"/>
        </w:rPr>
        <w:t xml:space="preserve"> </w:t>
      </w:r>
      <w:r>
        <w:rPr>
          <w:i/>
          <w:color w:val="000000" w:themeColor="text1"/>
          <w:lang w:val="pt-BR"/>
        </w:rPr>
        <w:t xml:space="preserve">21 tháng 7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Tổng quan tài</w:t>
            </w:r>
            <w:r>
              <w:rPr>
                <w:b/>
                <w:bCs/>
                <w:i/>
                <w:color w:val="000000" w:themeColor="text1"/>
                <w:lang w:val="pt-BR"/>
              </w:rPr>
              <w:t xml:space="preserve">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1949695" cy="250748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582000" name=""/>
                              <pic:cNvPicPr>
                                <a:picLocks noChangeAspect="1"/>
                              </pic:cNvPicPr>
                              <pic:nvPr/>
                            </pic:nvPicPr>
                            <pic:blipFill rotWithShape="1">
                              <a:blip r:embed="rId19"/>
                              <a:stretch/>
                            </pic:blipFill>
                            <pic:spPr bwMode="auto">
                              <a:xfrm flipH="0" flipV="0">
                                <a:off x="0" y="0"/>
                                <a:ext cx="1949694" cy="25074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3.52pt;height:197.44pt;mso-wrap-distance-left:0.00pt;mso-wrap-distance-top:0.00pt;mso-wrap-distance-right:0.00pt;mso-wrap-distance-bottom:0.00pt;z-index:1;" stroked="false">
                      <v:imagedata r:id="rId19"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216309" cy="241223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884470" name=""/>
                              <pic:cNvPicPr>
                                <a:picLocks noChangeAspect="1"/>
                              </pic:cNvPicPr>
                              <pic:nvPr/>
                            </pic:nvPicPr>
                            <pic:blipFill rotWithShape="1">
                              <a:blip r:embed="rId20"/>
                              <a:stretch/>
                            </pic:blipFill>
                            <pic:spPr bwMode="auto">
                              <a:xfrm flipH="0" flipV="0">
                                <a:off x="0" y="0"/>
                                <a:ext cx="3216308" cy="24122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3.25pt;height:189.94pt;mso-wrap-distance-left:0.00pt;mso-wrap-distance-top:0.00pt;mso-wrap-distance-right:0.00pt;mso-wrap-distance-bottom:0.00pt;z-index:1;" stroked="false">
                      <v:imagedata r:id="rId20" o:title=""/>
                      <o:lock v:ext="edit" rotation="t"/>
                    </v:shape>
                  </w:pict>
                </mc:Fallback>
              </mc:AlternateContent>
            </w:r>
            <w:r>
              <w:rPr>
                <w:b/>
                <w:bCs/>
                <w:i/>
                <w:color w:val="000000" w:themeColor="text1"/>
              </w:rPr>
            </w:r>
            <w:r>
              <w:rPr>
                <w:b/>
                <w:bCs/>
                <w:i/>
                <w:color w:val="000000" w:themeColor="text1"/>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Tổng quan tài</w:t>
            </w:r>
            <w:r>
              <w:rPr>
                <w:b/>
                <w:bCs/>
                <w:i/>
                <w:color w:val="000000" w:themeColor="text1"/>
                <w:lang w:val="pt-BR"/>
              </w:rPr>
              <w:t xml:space="preserve">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1852769" cy="247035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75036" name=""/>
                              <pic:cNvPicPr>
                                <a:picLocks noChangeAspect="1"/>
                              </pic:cNvPicPr>
                              <pic:nvPr/>
                            </pic:nvPicPr>
                            <pic:blipFill rotWithShape="1">
                              <a:blip r:embed="rId21"/>
                              <a:stretch/>
                            </pic:blipFill>
                            <pic:spPr bwMode="auto">
                              <a:xfrm flipH="0" flipV="0">
                                <a:off x="0" y="0"/>
                                <a:ext cx="1852769" cy="24703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5.89pt;height:194.52pt;mso-wrap-distance-left:0.00pt;mso-wrap-distance-top:0.00pt;mso-wrap-distance-right:0.00pt;mso-wrap-distance-bottom:0.00pt;z-index:1;" stroked="false">
                      <v:imagedata r:id="rId21"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341298" cy="250597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609050" name=""/>
                              <pic:cNvPicPr>
                                <a:picLocks noChangeAspect="1"/>
                              </pic:cNvPicPr>
                              <pic:nvPr/>
                            </pic:nvPicPr>
                            <pic:blipFill rotWithShape="1">
                              <a:blip r:embed="rId22"/>
                              <a:stretch/>
                            </pic:blipFill>
                            <pic:spPr bwMode="auto">
                              <a:xfrm flipH="0" flipV="0">
                                <a:off x="0" y="0"/>
                                <a:ext cx="3341297" cy="25059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63.09pt;height:197.32pt;mso-wrap-distance-left:0.00pt;mso-wrap-distance-top:0.00pt;mso-wrap-distance-right:0.00pt;mso-wrap-distance-bottom:0.00pt;z-index:1;" stroked="false">
                      <v:imagedata r:id="rId22" o:title=""/>
                      <o:lock v:ext="edit" rotation="t"/>
                    </v:shape>
                  </w:pict>
                </mc:Fallback>
              </mc:AlternateConten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1849153" cy="246553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528854" name=""/>
                              <pic:cNvPicPr>
                                <a:picLocks noChangeAspect="1"/>
                              </pic:cNvPicPr>
                              <pic:nvPr/>
                            </pic:nvPicPr>
                            <pic:blipFill rotWithShape="1">
                              <a:blip r:embed="rId23"/>
                              <a:stretch/>
                            </pic:blipFill>
                            <pic:spPr bwMode="auto">
                              <a:xfrm rot="0" flipH="0" flipV="0">
                                <a:off x="0" y="0"/>
                                <a:ext cx="1849153" cy="24655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5.60pt;height:194.14pt;mso-wrap-distance-left:0.00pt;mso-wrap-distance-top:0.00pt;mso-wrap-distance-right:0.00pt;mso-wrap-distance-bottom:0.00pt;rotation:0;z-index:1;" stroked="false">
                      <v:imagedata r:id="rId23"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302912" cy="247718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739313" name=""/>
                              <pic:cNvPicPr>
                                <a:picLocks noChangeAspect="1"/>
                              </pic:cNvPicPr>
                              <pic:nvPr/>
                            </pic:nvPicPr>
                            <pic:blipFill rotWithShape="1">
                              <a:blip r:embed="rId24"/>
                              <a:stretch/>
                            </pic:blipFill>
                            <pic:spPr bwMode="auto">
                              <a:xfrm flipH="0" flipV="0">
                                <a:off x="0" y="0"/>
                                <a:ext cx="3302911" cy="24771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60.07pt;height:195.05pt;mso-wrap-distance-left:0.00pt;mso-wrap-distance-top:0.00pt;mso-wrap-distance-right:0.00pt;mso-wrap-distance-bottom:0.00pt;z-index:1;" stroked="false">
                      <v:imagedata r:id="rId24" o:title=""/>
                      <o:lock v:ext="edit" rotation="t"/>
                    </v:shape>
                  </w:pict>
                </mc:Fallback>
              </mc:AlternateContent>
            </w:r>
            <w:r>
              <w:rPr>
                <w:b/>
                <w:bCs/>
                <w:i/>
                <w:color w:val="000000" w:themeColor="text1"/>
              </w:rPr>
            </w:r>
            <w:r>
              <w:rPr>
                <w:b/>
                <w:bCs/>
                <w:i/>
                <w:color w:val="000000" w:themeColor="text1"/>
              </w:rPr>
            </w:r>
          </w:p>
        </w:tc>
      </w:tr>
    </w:tbl>
    <w:p>
      <w:pPr>
        <w:pBdr/>
        <w:spacing w:after="200" w:line="276" w:lineRule="auto"/>
        <w:ind/>
        <w:rPr>
          <w:color w:val="000000" w:themeColor="text1"/>
        </w:rPr>
      </w:pPr>
      <w:r>
        <w:rPr>
          <w:color w:val="000000" w:themeColor="text1"/>
          <w:highlight w:val="none"/>
        </w:rPr>
      </w:r>
      <w:r>
        <w:rPr>
          <w:color w:val="000000" w:themeColor="text1"/>
        </w:rPr>
      </w:r>
      <w:r>
        <w:rPr>
          <w:color w:val="000000" w:themeColor="text1"/>
        </w:rPr>
      </w:r>
    </w:p>
    <w:p>
      <w:pPr>
        <w:pBdr/>
        <w:spacing w:after="200" w:line="276"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6048375" cy="80645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588610" name=""/>
                        <pic:cNvPicPr>
                          <a:picLocks noChangeAspect="1"/>
                        </pic:cNvPicPr>
                        <pic:nvPr/>
                      </pic:nvPicPr>
                      <pic:blipFill rotWithShape="1">
                        <a:blip r:embed="rId25"/>
                        <a:stretch/>
                      </pic:blipFill>
                      <pic:spPr bwMode="auto">
                        <a:xfrm rot="0" flipH="0" flipV="0">
                          <a:off x="0" y="0"/>
                          <a:ext cx="6048374" cy="80645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5.00pt;mso-wrap-distance-left:0.00pt;mso-wrap-distance-top:0.00pt;mso-wrap-distance-right:0.00pt;mso-wrap-distance-bottom:0.00pt;rotation:0;z-index:1;" stroked="false">
                <v:imagedata r:id="rId25" o:title=""/>
                <o:lock v:ext="edit" rotation="t"/>
              </v:shape>
            </w:pict>
          </mc:Fallback>
        </mc:AlternateContent>
      </w:r>
      <w:r>
        <w:rPr>
          <w:color w:val="000000" w:themeColor="text1"/>
        </w:rPr>
      </w:r>
      <w:r>
        <w:rPr>
          <w:color w:val="000000" w:themeColor="text1"/>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05661" name=""/>
                        <pic:cNvPicPr>
                          <a:picLocks noChangeAspect="1"/>
                        </pic:cNvPicPr>
                        <pic:nvPr/>
                      </pic:nvPicPr>
                      <pic:blipFill rotWithShape="1">
                        <a:blip r:embed="rId2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6" o:title=""/>
                <o:lock v:ext="edit" rotation="t"/>
              </v:shape>
            </w:pict>
          </mc:Fallback>
        </mc:AlternateContent>
      </w:r>
      <w:r>
        <w:rPr>
          <w:color w:val="000000" w:themeColor="text1"/>
        </w:rPr>
      </w:r>
      <w:r>
        <w:rPr>
          <w:color w:val="000000" w:themeColor="text1"/>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rP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70182" name=""/>
                        <pic:cNvPicPr>
                          <a:picLocks noChangeAspect="1"/>
                        </pic:cNvPicPr>
                        <pic:nvPr/>
                      </pic:nvPicPr>
                      <pic:blipFill rotWithShape="1">
                        <a:blip r:embed="rId2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z-index:1;" stroked="false">
                <v:imagedata r:id="rId27" o:title=""/>
                <o:lock v:ext="edit" rotation="t"/>
              </v:shape>
            </w:pict>
          </mc:Fallback>
        </mc:AlternateContent>
      </w:r>
      <w:r>
        <w:rPr>
          <w:color w:val="000000" w:themeColor="text1"/>
        </w:rPr>
        <w:br w:type="page" w:clear="all"/>
      </w:r>
      <w:r>
        <w:rPr>
          <w:color w:val="000000" w:themeColor="text1"/>
          <w:highlight w:val="none"/>
        </w:rPr>
      </w:r>
      <w:r>
        <w:rPr>
          <w:color w:val="000000" w:themeColor="text1"/>
          <w:highlight w:val="none"/>
        </w:rPr>
      </w:r>
    </w:p>
    <w:p>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rPr>
      </w:r>
      <w:r>
        <w:rPr>
          <w:i/>
          <w:color w:val="000000" w:themeColor="text1"/>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275/2026/1094/VFI-BC.65.A</w:t>
      </w:r>
      <w:r>
        <w:rPr>
          <w:i/>
          <w:color w:val="000000" w:themeColor="text1"/>
        </w:rPr>
        <w:t xml:space="preserve"> ngày</w:t>
      </w:r>
      <w:r>
        <w:rPr>
          <w:i/>
          <w:color w:val="000000" w:themeColor="text1"/>
          <w:lang w:val="pt-BR"/>
        </w:rPr>
        <w:t xml:space="preserve"> </w:t>
      </w:r>
      <w:r>
        <w:rPr>
          <w:i/>
          <w:color w:val="000000" w:themeColor="text1"/>
          <w:lang w:val="pt-BR"/>
        </w:rPr>
        <w:t xml:space="preserve">21 tháng 7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https://alonhadat.com.vn/ban-nha-4-5-tang-khu-nha-o-cao-cap-97-bach-dang-thuong-ly-co-dong-tien-88m-12-ty-18332867.html</w:t>
            </w:r>
            <w:r>
              <w:rPr>
                <w:color w:val="000000" w:themeColor="text1"/>
                <w:sz w:val="22"/>
                <w:szCs w:val="22"/>
              </w:rPr>
              <w:br/>
              <w:t xml:space="preserve">0977924125</w:t>
            </w:r>
            <w:r>
              <w:rPr>
                <w:color w:val="000000" w:themeColor="text1"/>
                <w:sz w:val="22"/>
                <w:szCs w:val="22"/>
              </w:rPr>
              <w:t xml:space="preserve"> </w:t>
            </w:r>
            <w:r>
              <w:rPr>
                <w:color w:val="000000" w:themeColor="text1"/>
                <w:sz w:val="22"/>
                <w:szCs w:val="22"/>
              </w:rPr>
              <w:t xml:space="preserve">(Hồi</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12.000.000.000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10.800.000.000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Khu nhà ở 97 đường Bạch Đằng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Đường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12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88,5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hướng vào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3607140" cy="2644357"/>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3607139" cy="26443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84.03pt;height:208.22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644357" cy="1825965"/>
                      <wp:effectExtent l="0" t="0" r="0" b="0"/>
                      <wp:docPr id="17" name=""/>
                      <wp:cNvGraphicFramePr/>
                      <a:graphic xmlns:a="http://schemas.openxmlformats.org/drawingml/2006/main">
                        <a:graphicData uri="http://schemas.openxmlformats.org/drawingml/2006/picture">
                          <pic:pic xmlns:pic="http://schemas.openxmlformats.org/drawingml/2006/picture">
                            <pic:nvPicPr>
                              <pic:cNvPr id="75011985" name="" descr=""/>
                              <pic:cNvPicPr/>
                              <pic:nvPr/>
                            </pic:nvPicPr>
                            <pic:blipFill rotWithShape="1">
                              <a:blip r:embed="rId29"/>
                              <a:stretch/>
                            </pic:blipFill>
                            <pic:spPr bwMode="auto">
                              <a:xfrm rot="16199969" flipH="0" flipV="0">
                                <a:off x="0" y="0"/>
                                <a:ext cx="2644356" cy="18259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8.22pt;height:143.78pt;mso-wrap-distance-left:0.00pt;mso-wrap-distance-top:0.00pt;mso-wrap-distance-right:0.00pt;mso-wrap-distance-bottom:0.00pt;rotation:269;z-index:1;" stroked="false">
                      <v:imagedata r:id="rId29" o:title=""/>
                      <o:lock v:ext="edit" rotation="t"/>
                    </v:shape>
                  </w:pict>
                </mc:Fallback>
              </mc:AlternateContent>
            </w: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931463188" name="" descr=""/>
                              <pic:cNvPicPr/>
                              <pic:nvPr/>
                            </pic:nvPicPr>
                            <pic:blipFill rotWithShape="1">
                              <a:blip r:embed="rId30"/>
                              <a:stretch/>
                            </pic:blipFill>
                            <pic:spPr bwMode="auto">
                              <a:xfrm rot="0" flipH="0" flipV="0">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rotation:0;z-index:1;" stroked="false">
                      <v:imagedata r:id="rId30" o:title=""/>
                      <o:lock v:ext="edit" rotation="t"/>
                    </v:shape>
                  </w:pict>
                </mc:Fallback>
              </mc:AlternateContent>
              <w:t xml:space="preserve"> </w:t>
            </w:r>
            <w:r>
              <w:rPr>
                <w:color w:val="000000" w:themeColor="text1"/>
                <w:sz w:val="22"/>
                <w:szCs w:val="22"/>
              </w:rPr>
              <mc:AlternateContent>
                <mc:Choice Requires="wpg">
                  <w:drawing>
                    <wp:inline xmlns:wp="http://schemas.openxmlformats.org/drawingml/2006/wordprocessingDrawing" distT="0" distB="0" distL="0" distR="0">
                      <wp:extent cx="3137744"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923268695" name="" descr=""/>
                              <pic:cNvPicPr/>
                              <pic:nvPr/>
                            </pic:nvPicPr>
                            <pic:blipFill rotWithShape="1">
                              <a:blip r:embed="rId31"/>
                              <a:stretch/>
                            </pic:blipFill>
                            <pic:spPr bwMode="auto">
                              <a:xfrm rot="0" flipH="0" flipV="0">
                                <a:off x="0" y="0"/>
                                <a:ext cx="313774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47.07pt;height:250.00pt;mso-wrap-distance-left:0.00pt;mso-wrap-distance-top:0.00pt;mso-wrap-distance-right:0.00pt;mso-wrap-distance-bottom:0.00pt;rotation:0;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jc w:val="center"/>
          <w:trHeight w:val="293"/>
        </w:trPr>
        <w:tc>
          <w:tcPr>
            <w:tcBorders/>
            <w:tcW w:w="3812"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left"/>
              <w:rPr>
                <w:color w:val="000000" w:themeColor="text1"/>
              </w:rPr>
            </w:pPr>
            <w:r>
              <w:rPr>
                <w:color w:val="000000" w:themeColor="text1"/>
              </w:rPr>
            </w:r>
            <w:r>
              <w:rPr>
                <w:color w:val="000000" w:themeColor="text1"/>
              </w:rPr>
            </w:r>
            <w:r>
              <w:rPr>
                <w:color w:val="000000" w:themeColor="text1"/>
              </w:rPr>
            </w:r>
          </w:p>
          <w:p>
            <w:pPr>
              <w:pBdr/>
              <w:spacing/>
              <w:ind/>
              <w:jc w:val="left"/>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bl>
    <w:p>
      <w:pPr>
        <w:pBdr/>
        <w:spacing/>
        <w:ind/>
        <w:rPr>
          <w:color w:val="000000" w:themeColor="text1"/>
        </w:rPr>
      </w:pPr>
      <w:r>
        <w:rPr>
          <w:color w:val="000000" w:themeColor="text1"/>
        </w:rPr>
        <w:br w:type="page" w:clear="all"/>
      </w:r>
      <w:r>
        <w:rPr>
          <w:color w:val="000000" w:themeColor="text1"/>
        </w:rPr>
      </w:r>
      <w:r>
        <w:rPr>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TSSS2</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https://alonhadat.com.vn/ms-linh-ban-nha-4-tang-khu-cao-cap-97-bach-dang-ha-ly-hong-bang-16298225.html</w:t>
            </w:r>
            <w:r>
              <w:rPr>
                <w:color w:val="000000" w:themeColor="text1"/>
                <w:sz w:val="22"/>
                <w:szCs w:val="22"/>
              </w:rPr>
              <w:br/>
              <w:t xml:space="preserve">0835831662</w:t>
            </w:r>
            <w:r>
              <w:rPr>
                <w:color w:val="000000" w:themeColor="text1"/>
                <w:sz w:val="22"/>
                <w:szCs w:val="22"/>
              </w:rPr>
              <w:t xml:space="preserve"> </w:t>
            </w:r>
            <w:r>
              <w:rPr>
                <w:color w:val="000000" w:themeColor="text1"/>
                <w:sz w:val="22"/>
                <w:szCs w:val="22"/>
              </w:rPr>
              <w:t xml:space="preserve">(Linh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12.500.000.000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11.250.000.000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Khu nhà ở 97 đường Bạch Đằng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Đường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12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88,5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426415" cy="3790053"/>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5426414" cy="37900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27.28pt;height:298.43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r>
        <w:trPr>
          <w:trHeight w:val="298"/>
        </w:trPr>
        <w:tc>
          <w:tcPr>
            <w:tcBorders/>
            <w:tcW w:w="4358" w:type="dxa"/>
            <w:vAlign w:val="bottom"/>
            <w:textDirection w:val="lrTb"/>
            <w:noWrap w:val="false"/>
          </w:tcPr>
          <w:p>
            <w:pPr>
              <w:pBdr/>
              <w:spacing/>
              <w:ind/>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0912499666</w:t>
            </w:r>
            <w:r>
              <w:rPr>
                <w:color w:val="000000" w:themeColor="text1"/>
                <w:sz w:val="22"/>
                <w:szCs w:val="22"/>
              </w:rPr>
              <w:t xml:space="preserve"> </w:t>
            </w:r>
            <w:r>
              <w:rPr>
                <w:color w:val="000000" w:themeColor="text1"/>
                <w:sz w:val="22"/>
                <w:szCs w:val="22"/>
              </w:rPr>
              <w:t xml:space="preserve">(Mạnh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13.000.000.000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11.700.000.000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Khu nhà ở 97 đường Bạch Đằng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Đường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12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3159465" cy="275536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3159464" cy="27553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48.78pt;height:216.96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854540" cy="2755360"/>
                      <wp:effectExtent l="0" t="0" r="0" b="0"/>
                      <wp:docPr id="24" name=""/>
                      <wp:cNvGraphicFramePr/>
                      <a:graphic xmlns:a="http://schemas.openxmlformats.org/drawingml/2006/main">
                        <a:graphicData uri="http://schemas.openxmlformats.org/drawingml/2006/picture">
                          <pic:pic xmlns:pic="http://schemas.openxmlformats.org/drawingml/2006/picture">
                            <pic:nvPicPr>
                              <pic:cNvPr id="959993111" name="" descr=""/>
                              <pic:cNvPicPr/>
                              <pic:nvPr/>
                            </pic:nvPicPr>
                            <pic:blipFill rotWithShape="1">
                              <a:blip r:embed="rId36"/>
                              <a:stretch/>
                            </pic:blipFill>
                            <pic:spPr bwMode="auto">
                              <a:xfrm rot="0" flipH="0" flipV="0">
                                <a:off x="0" y="0"/>
                                <a:ext cx="1854539" cy="27553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46.03pt;height:216.96pt;mso-wrap-distance-left:0.00pt;mso-wrap-distance-top:0.00pt;mso-wrap-distance-right:0.00pt;mso-wrap-distance-bottom:0.00pt;rotation:0;z-index:1;" stroked="false">
                      <v:imagedata r:id="rId36" o:title=""/>
                      <o:lock v:ext="edit" rotation="t"/>
                    </v:shape>
                  </w:pict>
                </mc:Fallback>
              </mc:AlternateContent>
            </w:r>
            <w:r>
              <w:rPr>
                <w:color w:val="000000" w:themeColor="text1"/>
                <w:sz w:val="22"/>
                <w:szCs w:val="22"/>
              </w:rPr>
            </w:r>
            <w:r>
              <w:rPr>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ind/>
        <w:jc w:val="left"/>
        <w:rPr>
          <w:color w:val="000000" w:themeColor="text1"/>
        </w:rPr>
      </w:pPr>
      <w:r>
        <w:rPr>
          <w:color w:val="000000" w:themeColor="text1"/>
        </w:rPr>
      </w:r>
      <w:r>
        <w:rPr>
          <w:color w:val="000000" w:themeColor="text1"/>
        </w:rPr>
      </w:r>
      <w:r>
        <w:rPr>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518</cp:revision>
  <dcterms:created xsi:type="dcterms:W3CDTF">2025-09-15T02:01:00Z</dcterms:created>
  <dcterms:modified xsi:type="dcterms:W3CDTF">2026-07-23T02:09:02Z</dcterms:modified>
</cp:coreProperties>
</file>