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9159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9159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275/2026/1118/VFI-CT.53.A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BÀ TRẦN THỊ THANH THÚY</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Quyền sử dụng đất tại thửa đất số: 407;408, tờ bản đồ số 46 có địa chỉ: Bằng A, phường Hoàng Liệt, quận Hoàng Mai, Thành phố Hà Nội (Nay là phường Hoàng Liệt, Thành phố Hà Nội)</w:t>
                            </w:r>
                            <w:r>
                              <w:rPr>
                                <w:color w:val="000000"/>
                              </w:rPr>
                              <w:t xml:space="preserve"> theo G</w:t>
                            </w:r>
                            <w:r>
                              <w:rPr>
                                <w:color w:val="000000"/>
                              </w:rPr>
                              <w:t xml:space="preserve">iấy chứng nhận quyền sử dụng đất, quyền sở hữu nhà ở và tài sản khác gắn liền với đất  số: DM 463888, số vào sổ cấp GCN: CN 04303 do Chi nhánh Văn phòng Đăng ký Đất đai Hà Nội - Quận Hoàng Mai cấp ngày 24/10/2023; Chủ sử dụng đất là Bà Trần Thị Thanh Thúy</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08.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275/2026/1118/VFI-CT.53.A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BÀ TRẦN THỊ THANH THÚY</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Quyền sử dụng đất tại thửa đất số: 407;408, tờ bản đồ số 46 có địa chỉ: Bằng A, phường Hoàng Liệt, quận Hoàng Mai, Thành phố Hà Nội (Nay là phường Hoàng Liệt, Thành phố Hà Nội)</w:t>
                      </w:r>
                      <w:r>
                        <w:rPr>
                          <w:color w:val="000000"/>
                        </w:rPr>
                        <w:t xml:space="preserve"> theo G</w:t>
                      </w:r>
                      <w:r>
                        <w:rPr>
                          <w:color w:val="000000"/>
                        </w:rPr>
                        <w:t xml:space="preserve">iấy chứng nhận quyền sử dụng đất, quyền sở hữu nhà ở và tài sản khác gắn liền với đất  số: DM 463888, số vào sổ cấp GCN: CN 04303 do Chi nhánh Văn phòng Đăng ký Đất đai Hà Nội - Quận Hoàng Mai cấp ngày 24/10/2023; Chủ sử dụng đất là Bà Trần Thị Thanh Thúy</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w:t>
            </w:r>
            <w:r>
              <w:rPr>
                <w:b/>
                <w:color w:val="000000" w:themeColor="text1"/>
                <w:highlight w:val="white"/>
              </w:rPr>
              <w:t xml:space="preserve">20</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highlight w:val="white"/>
              </w:rPr>
            </w:pPr>
            <w:r>
              <w:rPr>
                <w:bCs/>
                <w:highlight w:val="white"/>
                <w:lang w:val="pt-BR"/>
              </w:rPr>
              <w:t xml:space="preserve">Phụ lục 1: Thông tin hiện trạng</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21</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22</w:t>
            </w:r>
            <w:r>
              <w:rPr>
                <w:b/>
                <w:bCs/>
                <w:highlight w:val="white"/>
              </w:rPr>
              <w:t xml:space="preserve">-2</w:t>
            </w:r>
            <w:r>
              <w:rPr>
                <w:b/>
                <w:bCs/>
                <w:highlight w:val="white"/>
              </w:rPr>
              <w:t xml:space="preserve">7</w:t>
            </w:r>
            <w:r>
              <w:rPr>
                <w:b/>
                <w:bCs/>
                <w:highlight w:val="white"/>
              </w:rPr>
            </w:r>
            <w:r>
              <w:rPr>
                <w:b/>
                <w:bCs/>
                <w:highlight w:val="white"/>
              </w:rPr>
            </w:r>
          </w:p>
        </w:tc>
      </w:tr>
    </w:tbl>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157"/>
        <w:gridCol w:w="12401"/>
      </w:tblGrid>
      <w:tr>
        <w:trPr>
          <w:trHeight w:val="1152"/>
        </w:trPr>
        <w:tc>
          <w:tcPr>
            <w:gridSpan w:val="2"/>
            <w:tcBorders/>
            <w:tcW w:w="2013"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40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275/2026/1118/VFI-CT.53.A</w:t>
            </w:r>
            <w:r>
              <w:rPr>
                <w:color w:val="000000" w:themeColor="text1"/>
                <w:sz w:val="24"/>
                <w:szCs w:val="24"/>
              </w:rPr>
            </w:r>
            <w:r>
              <w:rPr>
                <w:color w:val="000000" w:themeColor="text1"/>
                <w:sz w:val="24"/>
                <w:szCs w:val="24"/>
              </w:rPr>
            </w:r>
          </w:p>
          <w:p>
            <w:pPr>
              <w:pStyle w:val="1032"/>
              <w:pBdr/>
              <w:spacing w:after="60"/>
              <w:ind w:right="-56"/>
              <w:jc w:val="center"/>
              <w:rPr>
                <w:color w:val="000000" w:themeColor="text1"/>
                <w:sz w:val="24"/>
                <w:szCs w:val="24"/>
                <w:lang w:val="vi-VN"/>
              </w:rPr>
            </w:pP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23 tháng 7 năm 2026</w:t>
            </w:r>
            <w:r>
              <w:rPr>
                <w:color w:val="000000" w:themeColor="text1"/>
                <w:sz w:val="24"/>
                <w:szCs w:val="24"/>
                <w:lang w:val="vi-VN"/>
              </w:rPr>
            </w:r>
            <w:r>
              <w:rPr>
                <w:color w:val="000000" w:themeColor="text1"/>
                <w:sz w:val="24"/>
                <w:szCs w:val="24"/>
                <w:lang w:val="vi-VN"/>
              </w:rPr>
            </w:r>
          </w:p>
        </w:tc>
      </w:tr>
    </w:tbl>
    <w:p>
      <w:pPr>
        <w:pStyle w:val="1032"/>
        <w:pBdr/>
        <w:spacing w:after="120" w:before="200" w:line="288" w:lineRule="auto"/>
        <w:ind/>
        <w:jc w:val="center"/>
        <w:rPr>
          <w:rStyle w:val="1031"/>
          <w:rFonts w:ascii="Times New Roman" w:hAnsi="Times New Roman"/>
          <w:b/>
          <w:bCs/>
          <w:color w:val="auto"/>
          <w:sz w:val="30"/>
          <w:szCs w:val="30"/>
          <w:lang w:val="vi-VN"/>
        </w:rPr>
      </w:pPr>
      <w:r>
        <w:rPr>
          <w:rStyle w:val="1031"/>
          <w:rFonts w:ascii="Times New Roman" w:hAnsi="Times New Roman"/>
          <w:b/>
          <w:bCs/>
          <w:color w:val="auto"/>
          <w:sz w:val="30"/>
          <w:szCs w:val="30"/>
          <w:lang w:val="vi-VN"/>
        </w:rPr>
        <w:t xml:space="preserve">CHỨNG THƯ THẨM ĐỊNH GIÁ</w:t>
      </w:r>
      <w:r>
        <w:rPr>
          <w:rStyle w:val="1031"/>
          <w:rFonts w:ascii="Times New Roman" w:hAnsi="Times New Roman"/>
          <w:b/>
          <w:bCs/>
          <w:color w:val="auto"/>
          <w:sz w:val="30"/>
          <w:szCs w:val="30"/>
          <w:lang w:val="vi-VN"/>
        </w:rPr>
      </w:r>
      <w:r>
        <w:rPr>
          <w:rStyle w:val="1031"/>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TRẦN THỊ THANH THÚY</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highlight w:val="white"/>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w:t>
      </w:r>
      <w:r>
        <w:rPr>
          <w:color w:val="000000" w:themeColor="text1"/>
          <w:spacing w:val="-4"/>
          <w:highlight w:val="white"/>
          <w:lang w:val="vi-VN"/>
        </w:rPr>
        <w:t xml:space="preserve">5/20</w:t>
      </w:r>
      <w:r>
        <w:rPr>
          <w:color w:val="000000" w:themeColor="text1"/>
          <w:spacing w:val="-4"/>
          <w:highlight w:val="white"/>
          <w:lang w:val="vi-VN"/>
        </w:rPr>
        <w:t xml:space="preserve">26/1118/VFI-</w:t>
      </w:r>
      <w:r>
        <w:rPr>
          <w:color w:val="000000" w:themeColor="text1"/>
          <w:spacing w:val="-4"/>
          <w:highlight w:val="white"/>
          <w:lang w:val="vi-VN"/>
        </w:rPr>
        <w:t xml:space="preserve">HĐTĐ.53.A</w:t>
      </w:r>
      <w:r>
        <w:rPr>
          <w:spacing w:val="-4"/>
          <w:highlight w:val="white"/>
          <w:lang w:val="vi-VN"/>
        </w:rPr>
        <w:t xml:space="preserve"> ký ngày </w:t>
      </w:r>
      <w:r>
        <w:rPr>
          <w:color w:val="000000" w:themeColor="text1"/>
          <w:spacing w:val="-4"/>
          <w:highlight w:val="white"/>
        </w:rPr>
        <w:t xml:space="preserve">15 tháng 7 năm 2026</w:t>
      </w:r>
      <w:r>
        <w:rPr>
          <w:spacing w:val="-4"/>
          <w:highlight w:val="white"/>
          <w:lang w:val="vi-VN"/>
        </w:rPr>
        <w:t xml:space="preserve"> </w:t>
      </w:r>
      <w:r>
        <w:rPr>
          <w:spacing w:val="-4"/>
          <w:highlight w:val="white"/>
          <w:lang w:val="vi-VN"/>
        </w:rPr>
        <w:t xml:space="preserve">giữa </w:t>
      </w:r>
      <w:r>
        <w:rPr>
          <w:color w:val="000000" w:themeColor="text1"/>
          <w:highlight w:val="white"/>
          <w:lang w:val="pt-BR"/>
        </w:rPr>
        <w:t xml:space="preserve">Bà Trần Thị Thanh Thúy</w:t>
      </w:r>
      <w:r>
        <w:rPr>
          <w:bCs/>
          <w:highlight w:val="white"/>
        </w:rPr>
        <w:t xml:space="preserve"> </w:t>
      </w:r>
      <w:r>
        <w:rPr>
          <w:spacing w:val="-6"/>
          <w:highlight w:val="white"/>
        </w:rPr>
        <w:t xml:space="preserve">v</w:t>
      </w:r>
      <w:r>
        <w:rPr>
          <w:spacing w:val="-6"/>
          <w:highlight w:val="white"/>
        </w:rPr>
        <w:t xml:space="preserve">ới</w:t>
      </w:r>
      <w:r>
        <w:rPr>
          <w:spacing w:val="-6"/>
          <w:highlight w:val="white"/>
        </w:rPr>
        <w:t xml:space="preserve"> </w:t>
      </w:r>
      <w:r>
        <w:rPr>
          <w:spacing w:val="-6"/>
          <w:highlight w:val="white"/>
        </w:rPr>
        <w:t xml:space="preserve"> </w:t>
      </w:r>
      <w:r>
        <w:rPr>
          <w:color w:val="000000" w:themeColor="text1"/>
          <w:spacing w:val="-4"/>
          <w:highlight w:val="white"/>
          <w:lang w:val="vi-VN"/>
        </w:rPr>
        <w:t xml:space="preserve">Công ty Cổ phần Thẩm định và Đầu tư Tài chính Hoa Sen</w:t>
      </w:r>
      <w:r>
        <w:rPr>
          <w:spacing w:val="-4"/>
          <w:highlight w:val="white"/>
        </w:rPr>
        <w:t xml:space="preserve">;</w:t>
      </w:r>
      <w:r>
        <w:rPr>
          <w:spacing w:val="-4"/>
          <w:highlight w:val="white"/>
        </w:rPr>
      </w:r>
      <w:r>
        <w:rPr>
          <w:spacing w:val="-4"/>
          <w:highlight w:val="white"/>
        </w:rPr>
      </w:r>
    </w:p>
    <w:p>
      <w:pPr>
        <w:pBdr/>
        <w:spacing w:after="120" w:before="120" w:line="288" w:lineRule="auto"/>
        <w:ind w:firstLine="432"/>
        <w:jc w:val="both"/>
        <w:rPr>
          <w:spacing w:val="-2"/>
          <w:highlight w:val="white"/>
        </w:rPr>
      </w:pPr>
      <w:r>
        <w:rPr>
          <w:spacing w:val="-2"/>
          <w:highlight w:val="white"/>
          <w:lang w:val="pt-BR"/>
        </w:rPr>
        <w:t xml:space="preserve">Căn cứ Báo cáo thẩm định giá số</w:t>
      </w:r>
      <w:r>
        <w:rPr>
          <w:spacing w:val="-2"/>
          <w:highlight w:val="white"/>
          <w:lang w:val="vi-VN"/>
        </w:rPr>
        <w:t xml:space="preserve"> </w:t>
      </w:r>
      <w:r>
        <w:rPr>
          <w:color w:val="000000" w:themeColor="text1"/>
          <w:spacing w:val="-2"/>
          <w:highlight w:val="white"/>
          <w:lang w:val="pt-BR"/>
        </w:rPr>
        <w:t xml:space="preserve">275/2026/1118/VFI-BC.53.A</w:t>
      </w:r>
      <w:r>
        <w:rPr>
          <w:spacing w:val="-2"/>
          <w:highlight w:val="white"/>
          <w:lang w:val="pt-BR"/>
        </w:rPr>
        <w:t xml:space="preserve"> </w:t>
      </w:r>
      <w:r>
        <w:rPr>
          <w:spacing w:val="-2"/>
          <w:highlight w:val="white"/>
          <w:lang w:val="pt-BR"/>
        </w:rPr>
        <w:t xml:space="preserve">ngày</w:t>
      </w:r>
      <w:r>
        <w:rPr>
          <w:spacing w:val="-2"/>
          <w:highlight w:val="white"/>
          <w:lang w:val="vi-VN"/>
        </w:rPr>
        <w:t xml:space="preserve"> </w:t>
      </w:r>
      <w:r>
        <w:rPr>
          <w:color w:val="000000" w:themeColor="text1"/>
          <w:spacing w:val="-2"/>
          <w:highlight w:val="white"/>
        </w:rPr>
        <w:t xml:space="preserve">23 tháng 7 năm 2026</w:t>
      </w:r>
      <w:r>
        <w:rPr>
          <w:spacing w:val="-2"/>
          <w:highlight w:val="white"/>
          <w:lang w:val="vi-VN"/>
        </w:rPr>
        <w:t xml:space="preserve"> </w:t>
      </w:r>
      <w:r>
        <w:rPr>
          <w:spacing w:val="-2"/>
          <w:highlight w:val="white"/>
          <w:lang w:val="pt-BR"/>
        </w:rPr>
        <w:t xml:space="preserve">của </w:t>
      </w:r>
      <w:r>
        <w:rPr>
          <w:color w:val="000000" w:themeColor="text1"/>
          <w:spacing w:val="-2"/>
          <w:highlight w:val="white"/>
          <w:lang w:val="pt-BR"/>
        </w:rPr>
        <w:t xml:space="preserve">Công ty Cổ phần Thẩm định và Đầu tư Tài chính Hoa Sen</w:t>
      </w:r>
      <w:r>
        <w:rPr>
          <w:spacing w:val="-2"/>
          <w:highlight w:val="white"/>
          <w:lang w:val="pt-BR"/>
        </w:rPr>
        <w:t xml:space="preserve">;</w:t>
      </w:r>
      <w:r>
        <w:rPr>
          <w:spacing w:val="-2"/>
          <w:highlight w:val="white"/>
        </w:rPr>
      </w:r>
      <w:r>
        <w:rPr>
          <w:spacing w:val="-2"/>
          <w:highlight w:val="white"/>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TRẦN THỊ THANH THÚY</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001184005042</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Tổ 1, Bằng A, Phường Hoàng Liệt, quận Hoàng Mai, Thành phố Hà Nội (Nay là Phường Hoàng Liệt, Thành phố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407;408, tờ bản đồ số 46 có địa chỉ: Bằng A, phường Hoàng Liệt, quận Hoàng Mai, Thành phố Hà Nội (Nay là phường Hoàng Liệt, Thành phố Hà Nội) theo G</w:t>
      </w:r>
      <w:r>
        <w:rPr>
          <w:color w:val="000000" w:themeColor="text1"/>
        </w:rPr>
        <w:t xml:space="preserve">iấy chứng nhận quyền sử dụng đất, quyền sở hữu nhà ở và tài sản khác gắn liền với đất  số: DM 463888, số vào sổ cấp GCN: CN 04303 do Chi nhánh Văn phòng Đăng ký Đất đai Hà Nội - Quận Hoàng Mai  cấp ngày 24/10/2023; Chủ sử dụng đất là Bà Trần Thị Thanh Thúy</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76"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76"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76"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76"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76"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76"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76" w:lineRule="auto"/>
              <w:ind/>
              <w:jc w:val="both"/>
              <w:rPr>
                <w:b/>
                <w:bCs/>
              </w:rPr>
            </w:pPr>
            <w:r>
              <w:rPr>
                <w:b/>
                <w:bCs/>
                <w:color w:val="000000"/>
              </w:rPr>
              <w:t xml:space="preserve">Quyền sử dụng đất tại thửa đất số: 407;408, tờ bản đồ số 46 có địa chỉ: Bằng A, phường Hoàng Liệt, quận Hoàng Mai, Thành phố Hà Nội (Nay là phường Hoàng Liệt, Thành phố Hà Nội) theo G</w:t>
            </w:r>
            <w:r>
              <w:rPr>
                <w:b/>
                <w:bCs/>
                <w:color w:val="000000"/>
              </w:rPr>
              <w:t xml:space="preserve">iấy chứng nhận quyền sử dụng đất, quyền sở hữu nhà ở và tài sản khác gắn liền với đất  số: DM 463888, số vào sổ cấp GCN: CN 04303 do Chi nhánh Văn phòng Đăng ký Đất đai Hà Nội - Quận Hoàng Mai  cấp ngày 24/10/2023; Chủ sử dụng đất là Bà Trần Thị Thanh Thúy</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76"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76" w:lineRule="auto"/>
              <w:ind/>
              <w:jc w:val="center"/>
              <w:rPr>
                <w:b w:val="0"/>
                <w:bCs w:val="0"/>
              </w:rPr>
            </w:pPr>
            <w:r>
              <w:rPr>
                <w:b w:val="0"/>
                <w:bCs w:val="0"/>
              </w:rPr>
            </w: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76" w:lineRule="auto"/>
              <w:ind/>
              <w:rPr>
                <w:b w:val="0"/>
                <w:bCs w:val="0"/>
              </w:rPr>
            </w:pPr>
            <w:r>
              <w:rPr>
                <w:b w:val="0"/>
                <w:bCs w:val="0"/>
              </w:rPr>
              <w:t xml:space="preserve">Đất ở tại đô thị</w:t>
            </w:r>
            <w:r>
              <w:rPr>
                <w:b w:val="0"/>
                <w:bCs w:val="0"/>
              </w:rPr>
              <w:t xml:space="preserve"> nằm ngoài chỉ giới</w:t>
            </w:r>
            <w:r>
              <w:rPr>
                <w:b w:val="0"/>
                <w:bCs w:val="0"/>
              </w:rPr>
            </w:r>
            <w:r>
              <w:rPr>
                <w:b w:val="0"/>
                <w:bCs w:val="0"/>
              </w:rPr>
            </w:r>
          </w:p>
        </w:tc>
        <w:tc>
          <w:tcPr>
            <w:tcBorders/>
            <w:tcW w:w="946" w:type="pct"/>
            <w:vAlign w:val="center"/>
            <w:textDirection w:val="lrTb"/>
            <w:noWrap/>
          </w:tcPr>
          <w:p>
            <w:pPr>
              <w:pBdr/>
              <w:spacing w:after="40" w:before="40" w:line="276" w:lineRule="auto"/>
              <w:ind/>
              <w:jc w:val="center"/>
              <w:rPr>
                <w:color w:val="000000"/>
              </w:rPr>
            </w:pPr>
            <w:r>
              <w:rPr>
                <w:color w:val="000000" w:themeColor="text1"/>
              </w:rPr>
              <w:t xml:space="preserve">17,3</w:t>
            </w:r>
            <w:r>
              <w:rPr>
                <w:color w:val="000000"/>
              </w:rPr>
            </w:r>
            <w:r>
              <w:rPr>
                <w:color w:val="000000"/>
              </w:rPr>
            </w:r>
          </w:p>
        </w:tc>
        <w:tc>
          <w:tcPr>
            <w:shd w:val="clear" w:color="000000" w:fill="ffffff"/>
            <w:tcBorders/>
            <w:tcW w:w="1355" w:type="pct"/>
            <w:vAlign w:val="center"/>
            <w:textDirection w:val="lrTb"/>
            <w:noWrap w:val="false"/>
          </w:tcPr>
          <w:p>
            <w:pPr>
              <w:pBdr/>
              <w:spacing w:after="40" w:before="40" w:line="276" w:lineRule="auto"/>
              <w:ind/>
              <w:jc w:val="center"/>
              <w:rPr/>
            </w:pPr>
            <w:r>
              <w:rPr>
                <w:color w:val="000000" w:themeColor="text1"/>
              </w:rPr>
              <w:t xml:space="preserve">210.000.000</w:t>
            </w:r>
            <w:r/>
          </w:p>
        </w:tc>
        <w:tc>
          <w:tcPr>
            <w:shd w:val="clear" w:color="000000" w:fill="ffffff"/>
            <w:tcBorders/>
            <w:tcW w:w="1136" w:type="pct"/>
            <w:vAlign w:val="center"/>
            <w:textDirection w:val="lrTb"/>
            <w:noWrap w:val="false"/>
          </w:tcPr>
          <w:p>
            <w:pPr>
              <w:pBdr/>
              <w:spacing w:after="40" w:before="40" w:line="276" w:lineRule="auto"/>
              <w:ind/>
              <w:jc w:val="center"/>
              <w:rPr/>
            </w:pPr>
            <w:r>
              <w:rPr>
                <w:color w:val="000000" w:themeColor="text1"/>
              </w:rPr>
              <w:t xml:space="preserve">3.633.000.000</w:t>
            </w:r>
            <w:r/>
          </w:p>
        </w:tc>
      </w:tr>
      <w:tr>
        <w:trPr>
          <w:trHeight w:val="400"/>
        </w:trPr>
        <w:tc>
          <w:tcPr>
            <w:shd w:val="clear" w:color="000000" w:fill="ffffff"/>
            <w:tcBorders/>
            <w:tcW w:w="500" w:type="pct"/>
            <w:vAlign w:val="center"/>
            <w:vMerge w:val="restart"/>
            <w:textDirection w:val="lrTb"/>
            <w:noWrap w:val="false"/>
          </w:tcPr>
          <w:p>
            <w:pPr>
              <w:pBdr/>
              <w:spacing w:after="40" w:before="40" w:line="276" w:lineRule="auto"/>
              <w:ind/>
              <w:jc w:val="center"/>
              <w:rPr>
                <w:b w:val="0"/>
                <w:bCs w:val="0"/>
              </w:rPr>
            </w:pPr>
            <w:r>
              <w:rPr>
                <w:b w:val="0"/>
                <w:bCs w:val="0"/>
              </w:rPr>
              <w:t xml:space="preserve">2</w:t>
            </w:r>
            <w:r>
              <w:rPr>
                <w:b w:val="0"/>
                <w:bCs w:val="0"/>
              </w:rPr>
            </w:r>
            <w:r>
              <w:rPr>
                <w:b w:val="0"/>
                <w:bCs w:val="0"/>
              </w:rPr>
            </w:r>
          </w:p>
        </w:tc>
        <w:tc>
          <w:tcPr>
            <w:shd w:val="clear" w:color="000000" w:fill="ffffff"/>
            <w:tcBorders/>
            <w:tcW w:w="1063" w:type="pct"/>
            <w:vAlign w:val="center"/>
            <w:vMerge w:val="restart"/>
            <w:textDirection w:val="lrTb"/>
            <w:noWrap w:val="false"/>
          </w:tcPr>
          <w:p>
            <w:pPr>
              <w:pBdr/>
              <w:spacing w:after="40" w:before="40" w:line="276" w:lineRule="auto"/>
              <w:ind/>
              <w:rPr>
                <w:b w:val="0"/>
                <w:bCs w:val="0"/>
              </w:rPr>
            </w:pPr>
            <w:r>
              <w:rPr>
                <w:b w:val="0"/>
                <w:bCs w:val="0"/>
              </w:rPr>
              <w:t xml:space="preserve">Đất ở tại đô thị nằm trong chỉ giới</w:t>
            </w:r>
            <w:r>
              <w:rPr>
                <w:b w:val="0"/>
                <w:bCs w:val="0"/>
              </w:rPr>
            </w:r>
            <w:r>
              <w:rPr>
                <w:b w:val="0"/>
                <w:bCs w:val="0"/>
              </w:rPr>
            </w:r>
          </w:p>
        </w:tc>
        <w:tc>
          <w:tcPr>
            <w:tcBorders/>
            <w:tcW w:w="946" w:type="pct"/>
            <w:vAlign w:val="center"/>
            <w:vMerge w:val="restart"/>
            <w:textDirection w:val="lrTb"/>
            <w:noWrap/>
          </w:tcPr>
          <w:p>
            <w:pPr>
              <w:pBdr/>
              <w:spacing w:after="40" w:before="40" w:line="276" w:lineRule="auto"/>
              <w:ind/>
              <w:jc w:val="center"/>
              <w:rPr>
                <w:color w:val="000000" w:themeColor="text1"/>
              </w:rPr>
            </w:pPr>
            <w:r>
              <w:rPr>
                <w:color w:val="000000" w:themeColor="text1"/>
              </w:rPr>
              <w:t xml:space="preserve">12,7</w:t>
            </w:r>
            <w:r>
              <w:rPr>
                <w:color w:val="000000" w:themeColor="text1"/>
              </w:rPr>
            </w:r>
            <w:r>
              <w:rPr>
                <w:color w:val="000000" w:themeColor="text1"/>
              </w:rPr>
            </w:r>
          </w:p>
        </w:tc>
        <w:tc>
          <w:tcPr>
            <w:shd w:val="clear" w:color="000000" w:fill="ffffff"/>
            <w:tcBorders/>
            <w:tcW w:w="1355" w:type="pct"/>
            <w:vAlign w:val="center"/>
            <w:vMerge w:val="restart"/>
            <w:textDirection w:val="lrTb"/>
            <w:noWrap w:val="false"/>
          </w:tcPr>
          <w:p>
            <w:pPr>
              <w:pBdr/>
              <w:spacing w:after="40" w:before="40" w:line="276" w:lineRule="auto"/>
              <w:ind/>
              <w:jc w:val="center"/>
              <w:rPr>
                <w:color w:val="000000" w:themeColor="text1"/>
              </w:rPr>
            </w:pPr>
            <w:r>
              <w:rPr>
                <w:color w:val="000000" w:themeColor="text1"/>
              </w:rPr>
            </w:r>
            <w:r>
              <w:rPr>
                <w:color w:val="000000" w:themeColor="text1"/>
              </w:rPr>
            </w:r>
          </w:p>
        </w:tc>
        <w:tc>
          <w:tcPr>
            <w:shd w:val="clear" w:color="000000" w:fill="ffffff"/>
            <w:tcBorders/>
            <w:tcW w:w="1136" w:type="pct"/>
            <w:vAlign w:val="center"/>
            <w:vMerge w:val="restart"/>
            <w:textDirection w:val="lrTb"/>
            <w:noWrap w:val="false"/>
          </w:tcPr>
          <w:p>
            <w:pPr>
              <w:pBdr/>
              <w:spacing w:after="40" w:before="40" w:line="276" w:lineRule="auto"/>
              <w:ind/>
              <w:jc w:val="center"/>
              <w:rPr>
                <w:color w:val="000000" w:themeColor="text1"/>
              </w:rPr>
            </w:pPr>
            <w:r>
              <w:rPr>
                <w:color w:val="000000" w:themeColor="text1"/>
              </w:rPr>
              <w:t xml:space="preserve">-</w:t>
            </w:r>
            <w:r>
              <w:rPr>
                <w:color w:val="000000" w:themeColor="text1"/>
              </w:rPr>
            </w:r>
            <w:r>
              <w:rPr>
                <w:color w:val="000000" w:themeColor="text1"/>
              </w:rPr>
            </w:r>
          </w:p>
        </w:tc>
      </w:tr>
      <w:tr>
        <w:trPr>
          <w:trHeight w:val="20"/>
        </w:trPr>
        <w:tc>
          <w:tcPr>
            <w:gridSpan w:val="4"/>
            <w:tcBorders/>
            <w:tcW w:w="3864" w:type="pct"/>
            <w:vAlign w:val="center"/>
            <w:textDirection w:val="lrTb"/>
            <w:noWrap/>
          </w:tcPr>
          <w:p>
            <w:pPr>
              <w:pBdr/>
              <w:spacing w:after="40" w:before="40" w:line="276"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line="276" w:lineRule="auto"/>
              <w:ind/>
              <w:jc w:val="center"/>
              <w:rPr>
                <w:b/>
                <w:bCs/>
              </w:rPr>
            </w:pPr>
            <w:r>
              <w:rPr>
                <w:b/>
                <w:bCs/>
                <w:color w:val="000000" w:themeColor="text1"/>
              </w:rPr>
              <w:t xml:space="preserve">3.633.000.000</w:t>
            </w:r>
            <w:r>
              <w:rPr>
                <w:b/>
                <w:bCs/>
              </w:rPr>
            </w:r>
            <w:r>
              <w:rPr>
                <w:b/>
                <w:bCs/>
              </w:rPr>
            </w:r>
          </w:p>
        </w:tc>
      </w:tr>
      <w:tr>
        <w:trPr>
          <w:trHeight w:val="20"/>
        </w:trPr>
        <w:tc>
          <w:tcPr>
            <w:gridSpan w:val="5"/>
            <w:tcBorders/>
            <w:tcW w:w="5000" w:type="pct"/>
            <w:vAlign w:val="center"/>
            <w:textDirection w:val="lrTb"/>
            <w:noWrap w:val="false"/>
          </w:tcPr>
          <w:p>
            <w:pPr>
              <w:pBdr/>
              <w:spacing w:after="40" w:before="40" w:line="276" w:lineRule="auto"/>
              <w:ind/>
              <w:jc w:val="center"/>
              <w:rPr>
                <w:b/>
                <w:bCs/>
                <w:i/>
                <w:iCs/>
                <w:color w:val="000000"/>
              </w:rPr>
            </w:pPr>
            <w:r>
              <w:rPr>
                <w:b/>
                <w:bCs/>
                <w:i/>
                <w:iCs/>
                <w:color w:val="000000"/>
              </w:rPr>
              <w:t xml:space="preserve">(Bằng chữ: </w:t>
            </w:r>
            <w:r>
              <w:rPr>
                <w:b/>
                <w:bCs/>
                <w:i/>
                <w:iCs/>
                <w:color w:val="000000"/>
              </w:rPr>
              <w:t xml:space="preserve">Ba tỷ, sáu trăm ba mươi ba triệu đồng chẵn./.)</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874"/>
        <w:gridCol w:w="12688"/>
      </w:tblGrid>
      <w:tr>
        <w:trPr>
          <w:trHeight w:val="1843"/>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68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3562"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275/2026/1118/VFI-BC.53.A</w:t>
            </w:r>
            <w:r>
              <w:rPr>
                <w:color w:val="000000" w:themeColor="text1"/>
                <w:sz w:val="24"/>
                <w:szCs w:val="24"/>
              </w:rPr>
            </w:r>
            <w:r>
              <w:rPr>
                <w:color w:val="000000" w:themeColor="text1"/>
                <w:sz w:val="24"/>
                <w:szCs w:val="24"/>
              </w:rPr>
            </w:r>
          </w:p>
          <w:p>
            <w:pPr>
              <w:pStyle w:val="1032"/>
              <w:pBdr/>
              <w:spacing w:after="60"/>
              <w:ind w:right="-56"/>
              <w:jc w:val="center"/>
              <w:rPr>
                <w:color w:val="000000" w:themeColor="text1"/>
                <w:sz w:val="24"/>
                <w:szCs w:val="24"/>
                <w:lang w:val="vi-VN"/>
              </w:rPr>
            </w:pP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23 tháng 7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874" w:type="dxa"/>
            <w:textDirection w:val="lrTb"/>
            <w:noWrap w:val="false"/>
          </w:tcPr>
          <w:p>
            <w:pPr>
              <w:pStyle w:val="1032"/>
              <w:pBdr/>
              <w:spacing w:after="60"/>
              <w:ind/>
              <w:rPr>
                <w:rStyle w:val="1031"/>
                <w:rFonts w:ascii="Times New Roman" w:hAnsi="Times New Roman"/>
                <w:color w:val="000000" w:themeColor="text1"/>
                <w:lang w:val="pt-BR"/>
              </w:rPr>
            </w:pPr>
            <w:r>
              <w:rPr>
                <w:rStyle w:val="1031"/>
                <w:rFonts w:ascii="Times New Roman" w:hAnsi="Times New Roman"/>
                <w:color w:val="000000" w:themeColor="text1"/>
                <w:lang w:val="pt-BR"/>
              </w:rPr>
            </w:r>
            <w:r>
              <w:rPr>
                <w:rStyle w:val="1031"/>
                <w:rFonts w:ascii="Times New Roman" w:hAnsi="Times New Roman"/>
                <w:color w:val="000000" w:themeColor="text1"/>
                <w:lang w:val="pt-BR"/>
              </w:rPr>
            </w:r>
            <w:r>
              <w:rPr>
                <w:rStyle w:val="1031"/>
                <w:rFonts w:ascii="Times New Roman" w:hAnsi="Times New Roman"/>
                <w:color w:val="000000" w:themeColor="text1"/>
                <w:lang w:val="pt-BR"/>
              </w:rPr>
            </w:r>
          </w:p>
        </w:tc>
        <w:tc>
          <w:tcPr>
            <w:shd w:val="clear" w:color="auto" w:fill="auto"/>
            <w:tcBorders/>
            <w:tcMar>
              <w:left w:w="108" w:type="dxa"/>
              <w:top w:w="0" w:type="dxa"/>
              <w:right w:w="108" w:type="dxa"/>
              <w:bottom w:w="0" w:type="dxa"/>
            </w:tcMar>
            <w:tcW w:w="12688" w:type="dxa"/>
            <w:textDirection w:val="lrTb"/>
            <w:noWrap w:val="false"/>
          </w:tcPr>
          <w:p>
            <w:pPr>
              <w:pStyle w:val="1032"/>
              <w:pBdr/>
              <w:spacing w:after="60"/>
              <w:ind w:right="-56"/>
              <w:rPr>
                <w:rStyle w:val="1031"/>
                <w:rFonts w:ascii="Times New Roman" w:hAnsi="Times New Roman"/>
                <w:i/>
                <w:color w:val="auto"/>
              </w:rPr>
            </w:pPr>
            <w:r>
              <w:rPr>
                <w:rFonts w:ascii="Times New Roman" w:hAnsi="Times New Roman"/>
                <w:i/>
                <w:color w:val="auto"/>
              </w:rPr>
            </w:r>
            <w:r>
              <w:rPr>
                <w:rStyle w:val="1031"/>
                <w:rFonts w:ascii="Times New Roman" w:hAnsi="Times New Roman"/>
                <w:i/>
                <w:color w:val="auto"/>
              </w:rPr>
            </w:r>
            <w:r>
              <w:rPr>
                <w:rStyle w:val="1031"/>
                <w:rFonts w:ascii="Times New Roman" w:hAnsi="Times New Roman"/>
                <w:i/>
                <w:color w:val="auto"/>
              </w:rPr>
            </w:r>
          </w:p>
        </w:tc>
      </w:tr>
    </w:tbl>
    <w:p>
      <w:pPr>
        <w:pStyle w:val="1032"/>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275/2026/1118/VFI-CT.53.A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23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BÀ TRẦN THỊ THANH THÚY</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001184005042</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Tổ 1, Bằng A, Phường Hoàng Liệt, quận Hoàng Mai, Thành phố Hà Nội (Nay là Phường Hoàng Liệt,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407;408, tờ bản đồ số 46 có địa chỉ: Bằng A, phường Hoàng Liệt, quận Hoàng Mai, Thành phố Hà Nội (Nay là phường Hoàng Liệt, Thành phố Hà Nội) theo G</w:t>
            </w:r>
            <w:r>
              <w:rPr>
                <w:bCs/>
                <w:color w:val="000000" w:themeColor="text1"/>
                <w:lang w:val="pt-BR"/>
              </w:rPr>
              <w:t xml:space="preserve">iấy chứng nhận quyền sử dụng đất, quyền sở hữu nhà ở và tài sản khác gắn liền với đất  số: DM 463888, số vào sổ cấp GCN: CN 04303 do Chi nhánh Văn phòng Đăng ký Đất đai Hà Nội - Quận Hoàng Mai  cấp ngày 24/10/2023; Chủ sử dụng đất là Bà Trần Thị Thanh Thúy</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 Phường Hoàng Liệt, TP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3"/>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(20.962694444444, 105.8215)</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Ngày 15/07/2026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3"/>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3"/>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3"/>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3"/>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numPr>
          <w:ilvl w:val="0"/>
          <w:numId w:val="39"/>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color w:val="000000"/>
          <w:sz w:val="24"/>
        </w:rPr>
        <w:t xml:space="preserve">Quyết định số 425/QĐ-BXD ngày 30/03/2026 của Bộ Xây dựng về việc Công bố suất vốn đầu tư xây dựng công trình và giá xây dựng tổng hợp bộ phận kết cấu công trình năm 2025;</w:t>
      </w:r>
      <w:r>
        <w:rPr>
          <w:rFonts w:ascii="Times New Roman" w:hAnsi="Times New Roman" w:eastAsia="Times New Roman" w:cs="Times New Roman"/>
          <w:sz w:val="24"/>
        </w:rPr>
      </w:r>
      <w:r/>
    </w:p>
    <w:p>
      <w:pPr>
        <w:pStyle w:val="1033"/>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3"/>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3"/>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w:t>
      </w:r>
      <w:r>
        <w:rPr>
          <w:bCs/>
          <w:color w:val="000000" w:themeColor="text1"/>
          <w:lang w:val="pt-BR"/>
        </w:rPr>
        <w:t xml:space="preserve">iấy chứng nhận quyền sử dụng đất, quyền sở hữu nhà ở và tài sản khác gắn liền với đất  số: DM 463888, số vào sổ cấp GCN: CN 04303 do Chi nhánh Văn phòng Đăng ký Đất đai Hà Nội - Quận Hoàng Mai cấp ngày 24/10/2023; Chủ sử dụng đất là Bà Trần Thị Thanh Thúy</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3"/>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w:t>
      </w:r>
      <w:r>
        <w:rPr>
          <w:color w:val="000000" w:themeColor="text1"/>
          <w:highlight w:val="white"/>
          <w:lang w:val="pt-BR"/>
        </w:rPr>
        <w:t xml:space="preserve">ố 275/20</w:t>
      </w:r>
      <w:r>
        <w:rPr>
          <w:color w:val="000000" w:themeColor="text1"/>
          <w:highlight w:val="white"/>
          <w:lang w:val="pt-BR"/>
        </w:rPr>
        <w:t xml:space="preserve">26/1118/VFI-H</w:t>
      </w:r>
      <w:r>
        <w:rPr>
          <w:color w:val="000000" w:themeColor="text1"/>
          <w:highlight w:val="white"/>
          <w:lang w:val="pt-BR"/>
        </w:rPr>
        <w:t xml:space="preserve">ĐTĐ.53.A ngày 15/07/2026 giữa Bà Trần Thị Thanh Thúy với Công ty Cổ phần Thẩm định và Đầu tư Tài chính Hoa Sen.</w:t>
      </w:r>
      <w:r>
        <w:rPr>
          <w:b/>
          <w:lang w:val="pt-BR"/>
        </w:rPr>
      </w:r>
      <w:r>
        <w:rPr>
          <w:b/>
          <w:lang w:val="pt-BR"/>
        </w:rPr>
      </w:r>
    </w:p>
    <w:p>
      <w:pPr>
        <w:pStyle w:val="1033"/>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rPr/>
      </w:pPr>
      <w:r>
        <w:rPr>
          <w:rFonts w:ascii="Times New Roman" w:hAnsi="Times New Roman" w:eastAsia="Times New Roman" w:cs="Times New Roman"/>
          <w:color w:val="000000"/>
          <w:sz w:val="24"/>
        </w:rPr>
        <w:t xml:space="preserve">Quận Hoàng Mai, được thành lập vào năm 2004, sở hữu diện tích tự nhiên 41km2, đứng thứ tư về diện tích trong số các quận của Hà Nội. Sau quá trình sắp xếp lại đơn vị hành chính vào năm 2025, số lượng phường của quận đã giảm từ 14 xuống còn 7, nhằm tối ưu h</w:t>
      </w:r>
      <w:r>
        <w:rPr>
          <w:rFonts w:ascii="Times New Roman" w:hAnsi="Times New Roman" w:eastAsia="Times New Roman" w:cs="Times New Roman"/>
          <w:color w:val="000000"/>
          <w:sz w:val="24"/>
        </w:rPr>
        <w:t xml:space="preserve">óa quản lý và thúc đẩy phát triển đồng bộ. Sự thay đổi này không chỉ đơn thuần là điều chỉnh địa giới mà còn mở ra cơ hội để quận Hoàng Mai định hình lại chiến lược phát triển trong giai đoạn mới.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rPr/>
      </w:pPr>
      <w:r>
        <w:rPr>
          <w:rFonts w:ascii="Times New Roman" w:hAnsi="Times New Roman" w:eastAsia="Times New Roman" w:cs="Times New Roman"/>
          <w:color w:val="000000"/>
          <w:sz w:val="24"/>
        </w:rPr>
        <w:t xml:space="preserve">Với lợi thế về vị trí và diện tích, quận Hoàng Mai được định hướng trở thành một trong những khu vực phát triển năng động của Hà Nội. Chính quyền địa phương đang tập trung vào việc nâng cấp hạ tầng giao thông, thu hút đầu tư vào các dự án nhà ở và khu đô t</w:t>
      </w:r>
      <w:r>
        <w:rPr>
          <w:rFonts w:ascii="Times New Roman" w:hAnsi="Times New Roman" w:eastAsia="Times New Roman" w:cs="Times New Roman"/>
          <w:color w:val="000000"/>
          <w:sz w:val="24"/>
        </w:rPr>
        <w:t xml:space="preserve">hị mới, đồng thời thúc đẩy phát triển kinh tế - xã hội. Các mục tiêu chính bao gồm cải thiện môi trường sống, tạo thêm việc làm, và xây dựng các tiện ích công cộng hiện đại, từ đó nâng cao chất lượng cuộc sống cho cư dân và tăng sức hấp dẫn đối với nhà đầu</w:t>
      </w:r>
      <w:r>
        <w:rPr>
          <w:rFonts w:ascii="Times New Roman" w:hAnsi="Times New Roman" w:eastAsia="Times New Roman" w:cs="Times New Roman"/>
          <w:color w:val="000000"/>
          <w:sz w:val="24"/>
        </w:rPr>
        <w:t xml:space="preserve"> tư.</w:t>
      </w:r>
      <w:r/>
    </w:p>
    <w:p>
      <w:pPr>
        <w:pBdr>
          <w:top w:val="single" w:color="e5e5ea" w:sz="2" w:space="0"/>
          <w:left w:val="single" w:color="e5e5ea" w:sz="2" w:space="0"/>
          <w:bottom w:val="single" w:color="e5e5ea" w:sz="2" w:space="0"/>
          <w:right w:val="single" w:color="e5e5ea" w:sz="2" w:space="0"/>
        </w:pBdr>
        <w:spacing w:after="299" w:before="299"/>
        <w:ind w:right="0" w:firstLine="0" w:left="0"/>
        <w:rPr/>
      </w:pPr>
      <w:r>
        <w:rPr>
          <w:rFonts w:ascii="Times New Roman" w:hAnsi="Times New Roman" w:eastAsia="Times New Roman" w:cs="Times New Roman"/>
          <w:color w:val="000000"/>
          <w:sz w:val="24"/>
        </w:rPr>
        <w:t xml:space="preserve">Tuy nhiên, bên cạnh cơ hội, nhà đầu tư cũng cần đối mặt với một số rủi ro. Giá bất động sản tăng mạnh có thể dẫn đến biến động cung cầu, đặc biệt khi nguồn cung căn hộ cũ ngày càng hạn chế. Các vấn đề pháp lý liên quan đến đất đai và thủ tục dự án cũng là </w:t>
      </w:r>
      <w:r>
        <w:rPr>
          <w:rFonts w:ascii="Times New Roman" w:hAnsi="Times New Roman" w:eastAsia="Times New Roman" w:cs="Times New Roman"/>
          <w:color w:val="000000"/>
          <w:sz w:val="24"/>
        </w:rPr>
        <w:t xml:space="preserve">một thách thức, đòi hỏi nhà đầu tư phải kiểm tra kỹ lưỡng để tránh rủi ro. Hơn nữa, những biến động kinh tế vĩ mô, như lạm phát hoặc thay đổi chính sách tín dụng, có thể ảnh hưởng đến khả năng thanh khoản của thị trường bất động sản, làm tăng rủi ro cho cá</w:t>
      </w:r>
      <w:r>
        <w:rPr>
          <w:rFonts w:ascii="Times New Roman" w:hAnsi="Times New Roman" w:eastAsia="Times New Roman" w:cs="Times New Roman"/>
          <w:color w:val="000000"/>
          <w:sz w:val="24"/>
        </w:rPr>
        <w:t xml:space="preserve">c khoản đầu tư dài hạn. Nhà đầu tư cần cân nhắc kỹ lưỡng và tham khảo ý kiến từ các chuyên gia để đưa ra quyết định phù hợp.</w:t>
      </w:r>
      <w:r/>
    </w:p>
    <w:p>
      <w:pPr>
        <w:pBdr>
          <w:top w:val="single" w:color="e5e5ea" w:sz="2" w:space="0"/>
          <w:left w:val="single" w:color="e5e5ea" w:sz="2" w:space="0"/>
          <w:bottom w:val="single" w:color="e5e5ea" w:sz="2" w:space="0"/>
          <w:right w:val="single" w:color="e5e5ea" w:sz="2" w:space="0"/>
        </w:pBdr>
        <w:spacing w:after="299" w:before="299"/>
        <w:ind w:right="0" w:firstLine="0" w:left="0"/>
        <w:rPr/>
      </w:pPr>
      <w:r>
        <w:rPr>
          <w:rFonts w:ascii="Times New Roman" w:hAnsi="Times New Roman" w:eastAsia="Times New Roman" w:cs="Times New Roman"/>
          <w:color w:val="000000"/>
          <w:sz w:val="24"/>
        </w:rPr>
        <w:t xml:space="preserve">Quy hoạch quận Hoàng Mai, Hà Nội, sau khi sắp xếp hành chính năm 2025, mở ra giai đoạn phát triển mới với các khu đô thị hiện đại, hạ tầng giao thông cải thiện, và thị trường bất động sản sôi động năm 2025. Tuy nhiên, nhà đầu tư cần cân nhắc rủi ro về giá </w:t>
      </w:r>
      <w:r>
        <w:rPr>
          <w:rFonts w:ascii="Times New Roman" w:hAnsi="Times New Roman" w:eastAsia="Times New Roman" w:cs="Times New Roman"/>
          <w:color w:val="000000"/>
          <w:sz w:val="24"/>
        </w:rPr>
        <w:t xml:space="preserve">cả và pháp lý để đảm bảo đầu tư bền vững.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rPr>
          <w:u w:val="single"/>
        </w:rPr>
      </w:pPr>
      <w:r>
        <w:rPr>
          <w:rFonts w:ascii="Times New Roman" w:hAnsi="Times New Roman" w:eastAsia="Times New Roman" w:cs="Times New Roman"/>
          <w:i/>
          <w:color w:val="000000"/>
          <w:sz w:val="24"/>
          <w:u w:val="single"/>
        </w:rPr>
        <w:t xml:space="preserve">(Nguồn:https://onehousing.vn/blog/quy-hoach-quan-hoang-mai-ha-noi-sau-khi-sap-xep-lai-don-vi-hanh-chinh-n17t)</w:t>
      </w:r>
      <w:r>
        <w:rPr>
          <w:u w:val="single"/>
        </w:rPr>
      </w:r>
      <w:r>
        <w:rPr>
          <w:u w:val="single"/>
        </w:rPr>
      </w:r>
    </w:p>
    <w:p>
      <w:pPr>
        <w:pStyle w:val="1033"/>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6"/>
        <w:gridCol w:w="2323"/>
        <w:gridCol w:w="2050"/>
        <w:gridCol w:w="2441"/>
        <w:gridCol w:w="2394"/>
      </w:tblGrid>
      <w:tr>
        <w:trPr>
          <w:trHeight w:val="0"/>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8"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4"/>
              </w:rPr>
              <w:t xml:space="preserve">Quyền sử dụng đất tại thửa đất số: 407;408, tờ bản đồ số 46 có địa chỉ: Bằng A, phường Hoàng Liệt, quận Hoàng Mai, Thành phố Hà Nội (Nay là phường Hoàng Liệt, Thành phố Hà Nội) theo Giấy chứng nhận quyền sử dụng đất, quyền sở hữu nhà ở và tài sản khác gắn </w:t>
            </w:r>
            <w:r>
              <w:rPr>
                <w:rFonts w:ascii="Times New Roman" w:hAnsi="Times New Roman" w:eastAsia="Times New Roman" w:cs="Times New Roman"/>
                <w:b/>
                <w:color w:val="000000"/>
                <w:sz w:val="24"/>
              </w:rPr>
              <w:t xml:space="preserve">liền với đất  số: DM 463888, số vào sổ cấp GCN: CN 04303 do Chi nhánh Văn phòng Đăng ký Đất đai Hà Nội - Quận Hoàng Mai  cấp ngày 24/10/2023; Chủ sử dụng đất là Bà Trần Thị Thanh Thúy</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5" w:space="0"/>
              <w:right w:val="single" w:color="000000" w:sz="5" w:space="0"/>
            </w:tcBorders>
            <w:tcMar>
              <w:left w:w="0" w:type="dxa"/>
              <w:top w:w="0" w:type="dxa"/>
              <w:right w:w="0" w:type="dxa"/>
              <w:bottom w:w="0" w:type="dxa"/>
            </w:tcMar>
            <w:tcW w:w="20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407;408</w:t>
            </w: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5" w:space="0"/>
              <w:right w:val="single" w:color="000000" w:sz="5" w:space="0"/>
            </w:tcBorders>
            <w:tcMar>
              <w:left w:w="0" w:type="dxa"/>
              <w:top w:w="0" w:type="dxa"/>
              <w:right w:w="0" w:type="dxa"/>
              <w:bottom w:w="0" w:type="dxa"/>
            </w:tcMar>
            <w:tcW w:w="23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46</w:t>
            </w:r>
            <w:r/>
          </w:p>
        </w:tc>
      </w:tr>
      <w:tr>
        <w:trPr>
          <w:trHeight w:val="960"/>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Bằng A, phường Hoàng Liệt, quận Hoàng Mai, Thành phố Hà Nội (Nay là phường Hoàng Liệt, Thành phố Hà Nội)</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5" w:space="0"/>
              <w:right w:val="single" w:color="000000" w:sz="5" w:space="0"/>
            </w:tcBorders>
            <w:tcMar>
              <w:left w:w="0" w:type="dxa"/>
              <w:top w:w="0" w:type="dxa"/>
              <w:right w:w="0" w:type="dxa"/>
              <w:bottom w:w="0" w:type="dxa"/>
            </w:tcMar>
            <w:tcW w:w="2050"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4"/>
              </w:rPr>
              <w:t xml:space="preserve">                       44,30 </w:t>
            </w: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5" w:space="0"/>
              <w:right w:val="single" w:color="000000" w:sz="5" w:space="0"/>
            </w:tcBorders>
            <w:tcMar>
              <w:left w:w="0" w:type="dxa"/>
              <w:top w:w="0" w:type="dxa"/>
              <w:right w:w="0" w:type="dxa"/>
              <w:bottom w:w="0" w:type="dxa"/>
            </w:tcMar>
            <w:tcW w:w="23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Sử dụng riêng    30m2; Sử dụng chung: 14,3m2</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20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đô thị  </w:t>
            </w: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5" w:space="0"/>
              <w:right w:val="single" w:color="000000" w:sz="5" w:space="0"/>
            </w:tcBorders>
            <w:tcMar>
              <w:left w:w="0" w:type="dxa"/>
              <w:top w:w="0" w:type="dxa"/>
              <w:right w:w="0" w:type="dxa"/>
              <w:bottom w:w="0" w:type="dxa"/>
            </w:tcMar>
            <w:tcW w:w="23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786"/>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Nhận tặng cho đất được Công nhận QSDĐ như giao đất có thu tiền sử dụng đất </w:t>
            </w:r>
            <w:r/>
          </w:p>
        </w:tc>
      </w:tr>
      <w:tr>
        <w:trPr>
          <w:trHeight w:val="193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Ghi chú:</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 Giấy chứng nhận này được cấp đổi từ Giấy chứng nhận quyền sử dụng đất quyền sở hữu nhà ở và tài sản khác gắn liền với đất số CR 932981 được Sở tài nguyên và môi trường thành phố Hà Nội cấp ngày 07/06/2019,</w:t>
              <w:br/>
              <w:t xml:space="preserve">- Số tờ, số thửa và bản đồ được xác định theo bả</w:t>
            </w:r>
            <w:r>
              <w:rPr>
                <w:rFonts w:ascii="Times New Roman" w:hAnsi="Times New Roman" w:eastAsia="Times New Roman" w:cs="Times New Roman"/>
                <w:color w:val="000000"/>
                <w:sz w:val="24"/>
              </w:rPr>
              <w:t xml:space="preserve">n đồ dự án tổng thể. Bản đồ 1994; Một p</w:t>
            </w:r>
            <w:r>
              <w:rPr>
                <w:rFonts w:ascii="Times New Roman" w:hAnsi="Times New Roman" w:eastAsia="Times New Roman" w:cs="Times New Roman"/>
                <w:color w:val="000000"/>
                <w:sz w:val="24"/>
                <w:highlight w:val="white"/>
              </w:rPr>
              <w:t xml:space="preserve">hần thửa</w:t>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color w:val="000000"/>
                <w:sz w:val="24"/>
                <w:highlight w:val="white"/>
              </w:rPr>
              <w:t xml:space="preserve">đất 06; tờ bản đồ 36.</w:t>
            </w:r>
            <w:r/>
          </w:p>
        </w:tc>
      </w:tr>
      <w:tr>
        <w:trPr>
          <w:trHeight w:val="175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5" w:type="dxa"/>
            <w:vAlign w:val="center"/>
            <w:textDirection w:val="lrTb"/>
            <w:noWrap w:val="false"/>
          </w:tcPr>
          <w:p>
            <w:pPr>
              <w:pBdr/>
              <w:tabs>
                <w:tab w:val="center" w:leader="none" w:pos="3315"/>
              </w:tabs>
              <w:spacing w:after="0" w:before="0" w:line="276" w:lineRule="auto"/>
              <w:ind/>
              <w:jc w:val="left"/>
              <w:rPr/>
            </w:pPr>
            <w:r>
              <w:rPr>
                <w:rFonts w:ascii="Times New Roman" w:hAnsi="Times New Roman" w:eastAsia="Times New Roman" w:cs="Times New Roman"/>
                <w:color w:val="000000"/>
                <w:sz w:val="24"/>
              </w:rPr>
              <w:t xml:space="preserve">Theo thông tin trên GCN</w:t>
              <w:br/>
              <w:t xml:space="preserve">+ 30m2 diện tích đất ở sử dụng riêng, trong đó:17,3m2 nằm ngoài chỉ giới, và 12,7m2 nằm trong chỉ giới</w:t>
              <w:br/>
              <w:t xml:space="preserve">+ 14,3m2 đất sử dụng chung, trong đó 9,6m2 nằm ngoài chỉ giới và 4,7m2 nằm trong chỉ giới </w:t>
            </w:r>
            <w:r>
              <w:tab/>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00"/>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291"/>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5" w:space="0"/>
            </w:tcBorders>
            <w:tcMar>
              <w:left w:w="0" w:type="dxa"/>
              <w:top w:w="0" w:type="dxa"/>
              <w:right w:w="0" w:type="dxa"/>
              <w:bottom w:w="0" w:type="dxa"/>
            </w:tcMar>
            <w:tcW w:w="20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bê tông </w:t>
            </w:r>
            <w:r/>
          </w:p>
        </w:tc>
        <w:tc>
          <w:tcPr>
            <w:tcBorders>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5" w:space="0"/>
            </w:tcBorders>
            <w:tcMar>
              <w:left w:w="0" w:type="dxa"/>
              <w:top w:w="0" w:type="dxa"/>
              <w:right w:w="0" w:type="dxa"/>
              <w:bottom w:w="0" w:type="dxa"/>
            </w:tcMar>
            <w:tcW w:w="23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02 mặt tiền </w:t>
            </w:r>
            <w:r/>
          </w:p>
        </w:tc>
      </w:tr>
      <w:tr>
        <w:trPr>
          <w:trHeight w:val="1248"/>
        </w:trPr>
        <w:tc>
          <w:tcPr>
            <w:tcBorders>
              <w:left w:val="single" w:color="000000" w:sz="5" w:space="0"/>
              <w:bottom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0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2,5</w:t>
            </w:r>
            <w:r/>
          </w:p>
        </w:tc>
        <w:tc>
          <w:tcPr>
            <w:tcBorders>
              <w:top w:val="single" w:color="000000" w:sz="5" w:space="0"/>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3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2,8</w:t>
            </w:r>
            <w:r/>
          </w:p>
        </w:tc>
      </w:tr>
      <w:tr>
        <w:trPr>
          <w:trHeight w:val="720"/>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8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là nhà số 7 ngõ 37 ngách 61 Bằng Liệt, cách đường Bằng Liệt khoảng 300m </w:t>
            </w:r>
            <w:r/>
          </w:p>
        </w:tc>
      </w:tr>
      <w:tr>
        <w:trPr>
          <w:trHeight w:val="670"/>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8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Hướng Đông Nam: Tiếp giáp đường bê tông rộng khoảng 2,8m</w:t>
              <w:br/>
              <w:t xml:space="preserve">Các hướng khác: Tiếp giáp các thửa đất khác.</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 </w:t>
            </w:r>
            <w:r>
              <w:rPr>
                <w:color w:val="000000"/>
              </w:rPr>
              <w:t xml:space="preserve">(20.962694444444, 105.8215)</w:t>
            </w:r>
            <w:r>
              <w:rPr>
                <w:rFonts w:ascii="Times New Roman" w:hAnsi="Times New Roman" w:eastAsia="Times New Roman" w:cs="Times New Roman"/>
                <w:color w:val="000000"/>
                <w:sz w:val="24"/>
              </w:rPr>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w:rPr>
                <w:color w:val="000000"/>
              </w:rPr>
              <mc:AlternateContent>
                <mc:Choice Requires="wpg">
                  <w:drawing>
                    <wp:inline xmlns:wp="http://schemas.openxmlformats.org/drawingml/2006/wordprocessingDrawing" distT="0" distB="0" distL="0" distR="0">
                      <wp:extent cx="5326161"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753454474" name="" descr=""/>
                              <pic:cNvPicPr/>
                              <pic:nvPr/>
                            </pic:nvPicPr>
                            <pic:blipFill rotWithShape="1">
                              <a:blip r:embed="rId17"/>
                              <a:stretch/>
                            </pic:blipFill>
                            <pic:spPr bwMode="auto">
                              <a:xfrm rot="0" flipH="0" flipV="0">
                                <a:off x="0" y="0"/>
                                <a:ext cx="5326161"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9.38pt;height:200.00pt;mso-wrap-distance-left:0.00pt;mso-wrap-distance-top:0.00pt;mso-wrap-distance-right:0.00pt;mso-wrap-distance-bottom:0.00pt;rotation:0;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5" w:space="0"/>
              <w:right w:val="single" w:color="000000" w:sz="5" w:space="0"/>
            </w:tcBorders>
            <w:tcMar>
              <w:left w:w="0" w:type="dxa"/>
              <w:top w:w="0" w:type="dxa"/>
              <w:right w:w="0" w:type="dxa"/>
              <w:bottom w:w="0" w:type="dxa"/>
            </w:tcMar>
            <w:tcW w:w="20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30</w:t>
            </w: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5" w:space="0"/>
              <w:right w:val="single" w:color="000000" w:sz="5" w:space="0"/>
            </w:tcBorders>
            <w:tcMar>
              <w:left w:w="0" w:type="dxa"/>
              <w:top w:w="0" w:type="dxa"/>
              <w:right w:w="0" w:type="dxa"/>
              <w:bottom w:w="0" w:type="dxa"/>
            </w:tcMar>
            <w:tcW w:w="23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bottom w:val="single" w:color="000000" w:sz="5" w:space="0"/>
              <w:right w:val="single" w:color="000000" w:sz="5" w:space="0"/>
            </w:tcBorders>
            <w:tcMar>
              <w:left w:w="0" w:type="dxa"/>
              <w:top w:w="0" w:type="dxa"/>
              <w:right w:w="0" w:type="dxa"/>
              <w:bottom w:w="0" w:type="dxa"/>
            </w:tcMar>
            <w:tcW w:w="20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3,23</w:t>
            </w: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tcBorders>
              <w:bottom w:val="single" w:color="000000" w:sz="5" w:space="0"/>
              <w:right w:val="single" w:color="000000" w:sz="5" w:space="0"/>
            </w:tcBorders>
            <w:tcMar>
              <w:left w:w="0" w:type="dxa"/>
              <w:top w:w="0" w:type="dxa"/>
              <w:right w:w="0" w:type="dxa"/>
              <w:bottom w:w="0" w:type="dxa"/>
            </w:tcMar>
            <w:tcW w:w="23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5,26</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5" w:space="0"/>
              <w:right w:val="single" w:color="000000" w:sz="5" w:space="0"/>
            </w:tcBorders>
            <w:tcMar>
              <w:left w:w="0" w:type="dxa"/>
              <w:top w:w="0" w:type="dxa"/>
              <w:right w:w="0" w:type="dxa"/>
              <w:bottom w:w="0" w:type="dxa"/>
            </w:tcMar>
            <w:tcW w:w="20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Hình chữ nhật </w:t>
            </w: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w:t>
            </w:r>
            <w:r/>
          </w:p>
        </w:tc>
        <w:tc>
          <w:tcPr>
            <w:tcBorders>
              <w:bottom w:val="single" w:color="000000" w:sz="5" w:space="0"/>
              <w:right w:val="single" w:color="000000" w:sz="5" w:space="0"/>
            </w:tcBorders>
            <w:tcMar>
              <w:left w:w="0" w:type="dxa"/>
              <w:top w:w="0" w:type="dxa"/>
              <w:right w:w="0" w:type="dxa"/>
              <w:bottom w:w="0" w:type="dxa"/>
            </w:tcMar>
            <w:tcW w:w="23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Nam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5" w:space="0"/>
              <w:right w:val="single" w:color="000000" w:sz="5" w:space="0"/>
            </w:tcBorders>
            <w:tcMar>
              <w:left w:w="0" w:type="dxa"/>
              <w:top w:w="0" w:type="dxa"/>
              <w:right w:w="0" w:type="dxa"/>
              <w:bottom w:w="0" w:type="dxa"/>
            </w:tcMar>
            <w:tcW w:w="20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5" w:space="0"/>
              <w:right w:val="single" w:color="000000" w:sz="5" w:space="0"/>
            </w:tcBorders>
            <w:tcMar>
              <w:left w:w="0" w:type="dxa"/>
              <w:top w:w="0" w:type="dxa"/>
              <w:right w:w="0" w:type="dxa"/>
              <w:bottom w:w="0" w:type="dxa"/>
            </w:tcMar>
            <w:tcW w:w="23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20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bottom w:val="single" w:color="000000" w:sz="5" w:space="0"/>
              <w:right w:val="single" w:color="000000" w:sz="5" w:space="0"/>
            </w:tcBorders>
            <w:tcMar>
              <w:left w:w="0" w:type="dxa"/>
              <w:top w:w="0" w:type="dxa"/>
              <w:right w:w="0" w:type="dxa"/>
              <w:bottom w:w="0" w:type="dxa"/>
            </w:tcMar>
            <w:tcW w:w="2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5" w:space="0"/>
              <w:right w:val="single" w:color="000000" w:sz="5" w:space="0"/>
            </w:tcBorders>
            <w:tcMar>
              <w:left w:w="0" w:type="dxa"/>
              <w:top w:w="0" w:type="dxa"/>
              <w:right w:w="0" w:type="dxa"/>
              <w:bottom w:w="0" w:type="dxa"/>
            </w:tcMar>
            <w:tcW w:w="23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Tài sản gắn liền với đất</w:t>
            </w:r>
            <w:r/>
          </w:p>
        </w:tc>
      </w:tr>
      <w:tr>
        <w:trPr>
          <w:trHeight w:val="984"/>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208" w:type="dxa"/>
            <w:vAlign w:val="top"/>
            <w:textDirection w:val="lrTb"/>
            <w:noWrap w:val="false"/>
          </w:tcPr>
          <w:p>
            <w:pPr>
              <w:pBdr/>
              <w:spacing w:after="0" w:before="0" w:line="240" w:lineRule="auto"/>
              <w:ind/>
              <w:jc w:val="left"/>
              <w:rPr/>
            </w:pPr>
            <w:r>
              <w:rPr>
                <w:rFonts w:ascii="Times New Roman" w:hAnsi="Times New Roman" w:eastAsia="Times New Roman" w:cs="Times New Roman"/>
                <w:color w:val="000000"/>
                <w:sz w:val="24"/>
              </w:rPr>
              <w:t xml:space="preserve">+ Tại thời điểm khảo sát dưới sự hướng dẫn của khách hàng, CTXD gắn liền với đất là Nhà 5 tầng, xây hết đất. Xây dựng năm 2014</w:t>
              <w:br/>
              <w:t xml:space="preserve">+ Công trình chưa được chứng nhận trên GCN </w:t>
            </w:r>
            <w:r/>
          </w:p>
        </w:tc>
      </w:tr>
    </w:tbl>
    <w:p>
      <w:pPr>
        <w:pBdr/>
        <w:spacing w:line="235" w:lineRule="auto"/>
        <w:ind w:left="0"/>
        <w:jc w:val="both"/>
        <w:rPr>
          <w:u w:val="single"/>
        </w:rPr>
      </w:pPr>
      <w:r>
        <w:rPr>
          <w:u w:val="single"/>
        </w:rPr>
      </w:r>
      <w:r>
        <w:rPr>
          <w:u w:val="single"/>
        </w:rPr>
      </w:r>
      <w:r>
        <w:rPr>
          <w:u w:val="single"/>
        </w:rPr>
      </w:r>
    </w:p>
    <w:p>
      <w:pPr>
        <w:pBdr/>
        <w:spacing/>
        <w:ind/>
        <w:rPr>
          <w:b/>
          <w:bCs/>
        </w:rPr>
      </w:pPr>
      <w:r>
        <w:rPr>
          <w:b/>
          <w:bCs/>
        </w:rPr>
      </w: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3"/>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Tại thời điểm khảo sát, Tổ thẩm định xác nhận trên đất có CTXD nhà </w:t>
      </w:r>
      <w:r>
        <w:rPr>
          <w:rFonts w:ascii="Times New Roman" w:hAnsi="Times New Roman" w:eastAsia="Times New Roman" w:cs="Times New Roman"/>
          <w:color w:val="000000"/>
          <w:sz w:val="24"/>
        </w:rPr>
        <w:t xml:space="preserve">Nhà 5 tầng, xây hết đất. Xây dựng năm 2014</w:t>
      </w:r>
      <w:r>
        <w:rPr>
          <w:rFonts w:ascii="Times New Roman" w:hAnsi="Times New Roman" w:eastAsia="Times New Roman" w:cs="Times New Roman"/>
          <w:color w:val="000000"/>
          <w:sz w:val="24"/>
        </w:rPr>
        <w:t xml:space="preserve">. Hiện công trình chưa được chứng nhận trên GCN. </w:t>
      </w:r>
      <w:r>
        <w:rPr>
          <w:rFonts w:ascii="Times New Roman" w:hAnsi="Times New Roman" w:eastAsia="Times New Roman" w:cs="Times New Roman"/>
          <w:color w:val="000000"/>
          <w:sz w:val="24"/>
          <w:highlight w:val="white"/>
        </w:rPr>
        <w:t xml:space="preserve">Do vậy, theo đề nghị của Ngân hàng/Khách hàng, tổ thẩm định không xác định giá trị công trình hiện có trên đất, nhưng vẫn coi đó là phần không thể tách rời của tải sản thẩm định. Đề nghị đơn vị sử dụng kết quả lưu ý.</w:t>
      </w:r>
      <w:r>
        <w:rPr>
          <w:rFonts w:ascii="Times New Roman" w:hAnsi="Times New Roman" w:eastAsia="Times New Roman" w:cs="Times New Roman"/>
          <w:sz w:val="24"/>
        </w:rPr>
      </w:r>
      <w:r>
        <w:rPr>
          <w:rFonts w:ascii="Times New Roman" w:hAnsi="Times New Roman" w:eastAsia="Times New Roman" w:cs="Times New Roman"/>
          <w:sz w:val="24"/>
        </w:rPr>
      </w:r>
    </w:p>
    <w:p>
      <w:pPr>
        <w:pStyle w:val="1033"/>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3"/>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3"/>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3"/>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3"/>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Bdr/>
        <w:spacing w:after="120" w:before="120" w:line="276" w:lineRule="auto"/>
        <w:ind w:firstLine="0" w:left="357"/>
        <w:jc w:val="both"/>
        <w:rPr>
          <w:b/>
          <w:bCs/>
          <w:highlight w:val="white"/>
        </w:rPr>
      </w:pPr>
      <w:r>
        <w:rPr>
          <w:highlight w:val="white"/>
        </w:rPr>
      </w:r>
      <w:r>
        <w:rPr>
          <w:highlight w:val="white"/>
        </w:rPr>
        <w:t xml:space="preserve">Theo hồ sơ pháp lý, diện tích đất trên GCN bao gồm 30m2 sử dụng riêng, có 17,3m2 diện tích đất nằm</w:t>
      </w:r>
      <w:r>
        <w:rPr>
          <w:highlight w:val="white"/>
        </w:rPr>
        <w:t xml:space="preserve"> ngoài chỉ giới và có 12,7m2 diện tích đất nằm trong chỉ </w:t>
      </w:r>
      <w:r>
        <w:rPr>
          <w:color w:val="ff0000"/>
          <w:highlight w:val="white"/>
        </w:rPr>
        <w:t xml:space="preserve">giới.</w:t>
      </w:r>
      <w:r>
        <w:rPr>
          <w:highlight w:val="white"/>
        </w:rPr>
        <w:t xml:space="preserve"> </w:t>
      </w:r>
      <w:r>
        <w:rPr>
          <w:color w:val="ff0000"/>
          <w:highlight w:val="white"/>
        </w:rPr>
        <w:t xml:space="preserve">Với mục đích thẩm định giá sử dụng tham khảo vay vốn ngân hàng và </w:t>
      </w:r>
      <w:r>
        <w:rPr>
          <w:highlight w:val="white"/>
        </w:rPr>
        <w:t xml:space="preserve">dưới sự đề nghị của khách hàng/ ngân hàng, tổ thẩm định không tính giá trị phần diện tích đất nằm trong chỉ giới là 12,7m2 này. Kính mong quý khách hàng sử dụng kết quả thẩm định giá lưu ý.</w:t>
      </w:r>
      <w:r>
        <w:rPr>
          <w:b/>
          <w:bCs/>
          <w:highlight w:val="white"/>
          <w:lang w:val="pt-BR"/>
        </w:rPr>
      </w:r>
      <w:r>
        <w:rPr>
          <w:b/>
          <w:bCs/>
          <w:highlight w:val="white"/>
        </w:rPr>
      </w:r>
    </w:p>
    <w:p>
      <w:pPr>
        <w:pStyle w:val="1033"/>
        <w:numPr>
          <w:ilvl w:val="0"/>
          <w:numId w:val="26"/>
        </w:numPr>
        <w:pBdr/>
        <w:spacing w:after="120" w:before="120" w:line="276" w:lineRule="auto"/>
        <w:ind w:hanging="357" w:left="357"/>
        <w:jc w:val="both"/>
        <w:rPr>
          <w:b/>
          <w:bCs/>
          <w:lang w:val="pt-BR"/>
        </w:rPr>
      </w:pPr>
      <w:r>
        <w:rPr>
          <w:b/>
          <w:lang w:val="pt-BR"/>
        </w:rPr>
        <w:t xml:space="preserve">Xác định </w:t>
      </w:r>
      <w:r>
        <w:rPr>
          <w:b/>
          <w:lang w:val="pt-BR"/>
        </w:rPr>
        <w:t xml:space="preserve">đơn giá</w:t>
      </w:r>
      <w:r>
        <w:rPr>
          <w:b/>
          <w:lang w:val="pt-BR"/>
        </w:rPr>
        <w:t xml:space="preserve"> q</w:t>
      </w:r>
      <w:r>
        <w:rPr>
          <w:b/>
          <w:lang w:val="pt-BR"/>
        </w:rPr>
        <w:t xml:space="preserve">uyền sử dụng đất nằm ngoài chỉ giới</w:t>
      </w:r>
      <w:r>
        <w:rPr>
          <w:b/>
          <w:lang w:val="pt-BR"/>
        </w:rPr>
      </w:r>
      <w:r>
        <w:rPr>
          <w:b/>
          <w:bCs/>
          <w:lang w:val="pt-BR"/>
        </w:rPr>
      </w:r>
    </w:p>
    <w:p>
      <w:pPr>
        <w:pBdr/>
        <w:spacing w:after="120" w:before="120" w:line="276" w:lineRule="auto"/>
        <w:ind w:firstLine="0" w:left="357"/>
        <w:jc w:val="both"/>
        <w:rPr>
          <w:b/>
          <w:bCs/>
          <w:lang w:val="pt-BR"/>
        </w:rPr>
      </w:pPr>
      <w:r>
        <w:rPr>
          <w:b/>
          <w:lang w:val="pt-BR"/>
        </w:rPr>
      </w: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
          <w:lang w:val="pt-BR"/>
        </w:rPr>
      </w:r>
      <w:r>
        <w:rPr>
          <w:b/>
          <w:bCs/>
          <w:lang w:val="pt-BR"/>
        </w:rPr>
      </w:r>
    </w:p>
    <w:p>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2551"/>
        <w:gridCol w:w="1595"/>
        <w:gridCol w:w="1595"/>
        <w:gridCol w:w="1595"/>
        <w:gridCol w:w="1595"/>
      </w:tblGrid>
      <w:tr>
        <w:trPr>
          <w:trHeight w:val="300"/>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95" w:type="dxa"/>
            <w:vAlign w:val="top"/>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STT</w:t>
            </w:r>
            <w:r>
              <w:rPr>
                <w:rFonts w:ascii="Times New Roman" w:hAnsi="Times New Roman" w:eastAsia="Times New Roman" w:cs="Times New Roman"/>
                <w:color w:val="000000" w:themeColor="text1"/>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2551" w:type="dxa"/>
            <w:vAlign w:val="top"/>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ĐẶC ĐIỂM BĐS</w:t>
            </w:r>
            <w:r>
              <w:rPr>
                <w:rFonts w:ascii="Times New Roman" w:hAnsi="Times New Roman" w:eastAsia="Times New Roman" w:cs="Times New Roman"/>
                <w:color w:val="000000" w:themeColor="text1"/>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595" w:type="dxa"/>
            <w:vAlign w:val="top"/>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TSTĐ</w:t>
            </w:r>
            <w:r>
              <w:rPr>
                <w:rFonts w:ascii="Times New Roman" w:hAnsi="Times New Roman" w:eastAsia="Times New Roman" w:cs="Times New Roman"/>
                <w:color w:val="000000" w:themeColor="text1"/>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595" w:type="dxa"/>
            <w:vAlign w:val="top"/>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TSSS1</w:t>
            </w:r>
            <w:r>
              <w:rPr>
                <w:rFonts w:ascii="Times New Roman" w:hAnsi="Times New Roman" w:eastAsia="Times New Roman" w:cs="Times New Roman"/>
                <w:color w:val="000000" w:themeColor="text1"/>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595" w:type="dxa"/>
            <w:vAlign w:val="top"/>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TSSS2</w:t>
            </w:r>
            <w:r>
              <w:rPr>
                <w:rFonts w:ascii="Times New Roman" w:hAnsi="Times New Roman" w:eastAsia="Times New Roman" w:cs="Times New Roman"/>
                <w:color w:val="000000" w:themeColor="text1"/>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TSSS3</w:t>
            </w:r>
            <w:r>
              <w:rPr>
                <w:rFonts w:ascii="Times New Roman" w:hAnsi="Times New Roman" w:eastAsia="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top"/>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A</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551" w:type="dxa"/>
            <w:vAlign w:val="top"/>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Thông tin về tài sản</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top"/>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top"/>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top"/>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 </w:t>
            </w:r>
            <w:r>
              <w:rPr>
                <w:rFonts w:ascii="Times New Roman" w:hAnsi="Times New Roman" w:eastAsia="Times New Roman" w:cs="Times New Roman"/>
                <w:color w:val="000000" w:themeColor="text1"/>
                <w:sz w:val="22"/>
                <w:szCs w:val="22"/>
              </w:rPr>
            </w:r>
          </w:p>
        </w:tc>
      </w:tr>
      <w:tr>
        <w:trPr>
          <w:trHeight w:val="1405"/>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Địa chỉ</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 Thanh Liệt, Thành phố Hà Nội</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 Thanh Liệt, Thành phố Hà Nội</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 Thanh Liệt, Thành phố Hà Nội</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 Thanh Liệt, Thành phố Hà Nội</w:t>
            </w:r>
            <w:r>
              <w:rPr>
                <w:rFonts w:ascii="Times New Roman" w:hAnsi="Times New Roman" w:eastAsia="Times New Roman" w:cs="Times New Roman"/>
                <w:color w:val="000000" w:themeColor="text1"/>
                <w:sz w:val="22"/>
                <w:szCs w:val="22"/>
              </w:rPr>
            </w:r>
          </w:p>
        </w:tc>
      </w:tr>
      <w:tr>
        <w:trPr>
          <w:trHeight w:val="697"/>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Nguồn tham khảo</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color w:val="000000" w:themeColor="text1"/>
                <w:sz w:val="22"/>
                <w:szCs w:val="22"/>
              </w:rPr>
            </w:r>
            <w:hyperlink r:id="rId18" w:tooltip="https://batdongsan.com.vn/ban-nha-rieng-pho-lac-trung-phuong-thanh-luong/-dep-phan-lo-q-hbt-o-to-dung-do-via-he-kd-tuong-lai-sang-68m2-mt-4-4m-26-5-ty-tl-pr44705981" w:history="1">
              <w:r>
                <w:rPr>
                  <w:rStyle w:val="1023"/>
                  <w:rFonts w:ascii="Times New Roman" w:hAnsi="Times New Roman" w:eastAsia="Times New Roman" w:cs="Times New Roman"/>
                  <w:color w:val="000000" w:themeColor="text1"/>
                  <w:sz w:val="22"/>
                  <w:szCs w:val="22"/>
                  <w:u w:val="single"/>
                </w:rPr>
                <w:t xml:space="preserve">Liên hệ trực</w:t>
              </w:r>
              <w:r>
                <w:rPr>
                  <w:rStyle w:val="1023"/>
                  <w:rFonts w:ascii="Times New Roman" w:hAnsi="Times New Roman" w:eastAsia="Times New Roman" w:cs="Times New Roman"/>
                  <w:color w:val="000000" w:themeColor="text1"/>
                  <w:sz w:val="22"/>
                  <w:szCs w:val="22"/>
                  <w:u w:val="none"/>
                </w:rPr>
                <w:t xml:space="preserve"> </w:t>
              </w:r>
            </w:hyperlink>
            <w:r>
              <w:rPr>
                <w:rFonts w:ascii="Times New Roman" w:hAnsi="Times New Roman" w:eastAsia="Times New Roman" w:cs="Times New Roman"/>
                <w:color w:val="000000" w:themeColor="text1"/>
                <w:sz w:val="22"/>
                <w:szCs w:val="22"/>
              </w:rPr>
              <w:t xml:space="preserve">tiếp</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ind/>
              <w:rPr>
                <w:color w:val="000000" w:themeColor="text1"/>
                <w:sz w:val="22"/>
                <w:szCs w:val="22"/>
              </w:rPr>
            </w:pPr>
            <w:r>
              <w:rPr>
                <w:color w:val="000000" w:themeColor="text1"/>
                <w:sz w:val="22"/>
                <w:szCs w:val="22"/>
              </w:rPr>
            </w:r>
            <w:r>
              <w:rPr>
                <w:color w:val="000000" w:themeColor="text1"/>
                <w:sz w:val="22"/>
                <w:szCs w:val="22"/>
              </w:rPr>
            </w:r>
            <w:hyperlink r:id="rId19" w:tooltip="https://batdongsan.com.vn/ban-nha-rieng-pho-lac-trung-phuong-thanh-luong/-dep-phan-lo-q-hbt-o-to-dung-do-via-he-kd-tuong-lai-sang-68m2-mt-4-4m-26-5-ty-tl-pr44705981" w:history="1">
              <w:r>
                <w:rPr>
                  <w:rStyle w:val="1023"/>
                  <w:rFonts w:ascii="Times New Roman" w:hAnsi="Times New Roman" w:eastAsia="Times New Roman" w:cs="Times New Roman"/>
                  <w:color w:val="000000" w:themeColor="text1"/>
                  <w:sz w:val="22"/>
                  <w:szCs w:val="22"/>
                  <w:u w:val="single"/>
                </w:rPr>
                <w:t xml:space="preserve">Liên hệ trực</w:t>
              </w:r>
              <w:r>
                <w:rPr>
                  <w:rStyle w:val="1023"/>
                  <w:rFonts w:ascii="Times New Roman" w:hAnsi="Times New Roman" w:eastAsia="Times New Roman" w:cs="Times New Roman"/>
                  <w:color w:val="000000" w:themeColor="text1"/>
                  <w:sz w:val="22"/>
                  <w:szCs w:val="22"/>
                  <w:u w:val="none"/>
                </w:rPr>
                <w:t xml:space="preserve"> </w:t>
              </w:r>
            </w:hyperlink>
            <w:r>
              <w:rPr>
                <w:rFonts w:ascii="Times New Roman" w:hAnsi="Times New Roman" w:eastAsia="Times New Roman" w:cs="Times New Roman"/>
                <w:color w:val="000000" w:themeColor="text1"/>
                <w:sz w:val="22"/>
                <w:szCs w:val="22"/>
              </w:rPr>
              <w:t xml:space="preserve">tiếp</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r>
              <w:rPr>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ind/>
              <w:rPr>
                <w:color w:val="000000" w:themeColor="text1"/>
                <w:sz w:val="22"/>
                <w:szCs w:val="22"/>
              </w:rPr>
            </w:pPr>
            <w:r>
              <w:rPr>
                <w:color w:val="000000" w:themeColor="text1"/>
                <w:sz w:val="22"/>
                <w:szCs w:val="22"/>
              </w:rPr>
            </w:r>
            <w:r>
              <w:rPr>
                <w:color w:val="000000" w:themeColor="text1"/>
                <w:sz w:val="22"/>
                <w:szCs w:val="22"/>
              </w:rPr>
            </w:r>
            <w:hyperlink r:id="rId20" w:tooltip="https://batdongsan.com.vn/ban-nha-rieng-pho-lac-trung-phuong-thanh-luong/-dep-phan-lo-q-hbt-o-to-dung-do-via-he-kd-tuong-lai-sang-68m2-mt-4-4m-26-5-ty-tl-pr44705981" w:history="1">
              <w:r>
                <w:rPr>
                  <w:rStyle w:val="1023"/>
                  <w:rFonts w:ascii="Times New Roman" w:hAnsi="Times New Roman" w:eastAsia="Times New Roman" w:cs="Times New Roman"/>
                  <w:color w:val="000000" w:themeColor="text1"/>
                  <w:sz w:val="22"/>
                  <w:szCs w:val="22"/>
                  <w:u w:val="single"/>
                </w:rPr>
                <w:t xml:space="preserve">Liên hệ trực</w:t>
              </w:r>
              <w:r>
                <w:rPr>
                  <w:rStyle w:val="1023"/>
                  <w:rFonts w:ascii="Times New Roman" w:hAnsi="Times New Roman" w:eastAsia="Times New Roman" w:cs="Times New Roman"/>
                  <w:color w:val="000000" w:themeColor="text1"/>
                  <w:sz w:val="22"/>
                  <w:szCs w:val="22"/>
                  <w:u w:val="none"/>
                </w:rPr>
                <w:t xml:space="preserve"> </w:t>
              </w:r>
            </w:hyperlink>
            <w:r>
              <w:rPr>
                <w:rFonts w:ascii="Times New Roman" w:hAnsi="Times New Roman" w:eastAsia="Times New Roman" w:cs="Times New Roman"/>
                <w:color w:val="000000" w:themeColor="text1"/>
                <w:sz w:val="22"/>
                <w:szCs w:val="22"/>
              </w:rPr>
              <w:t xml:space="preserve">tiếp</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r>
              <w:rPr>
                <w:color w:val="000000" w:themeColor="text1"/>
                <w:sz w:val="22"/>
                <w:szCs w:val="22"/>
              </w:rPr>
            </w:r>
          </w:p>
        </w:tc>
      </w:tr>
      <w:tr>
        <w:trPr>
          <w:trHeight w:val="129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Thông tin liên lạc</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SĐT: 0904556146 </w:t>
              <w:br/>
              <w:t xml:space="preserve">(An Nguyễn)</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SĐT: 096.223.2883</w:t>
              <w:br/>
              <w:t xml:space="preserve">(Hiền Vũ)</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SĐT: 0974237918</w:t>
              <w:br/>
              <w:t xml:space="preserve">(Đỗ Ánh Hồng)</w:t>
            </w:r>
            <w:r>
              <w:rPr>
                <w:rFonts w:ascii="Times New Roman" w:hAnsi="Times New Roman" w:eastAsia="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Tình trạng giao dịch</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Đang giao dịch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Đang giao dịch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Đang giao dịch </w:t>
            </w:r>
            <w:r>
              <w:rPr>
                <w:rFonts w:ascii="Times New Roman" w:hAnsi="Times New Roman" w:eastAsia="Times New Roman" w:cs="Times New Roman"/>
                <w:color w:val="000000" w:themeColor="text1"/>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Thời điểm thu thập thông tin</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Tháng 7/2026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Tháng 7/2026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Tháng 7/2026 </w:t>
            </w:r>
            <w:r>
              <w:rPr>
                <w:rFonts w:ascii="Times New Roman" w:hAnsi="Times New Roman" w:eastAsia="Times New Roman" w:cs="Times New Roman"/>
                <w:color w:val="000000" w:themeColor="text1"/>
                <w:sz w:val="22"/>
                <w:szCs w:val="22"/>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eastAsia="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Tính chất giao dịch</w:t>
            </w:r>
            <w:r>
              <w:rPr>
                <w:rFonts w:ascii="Times New Roman" w:hAnsi="Times New Roman" w:eastAsia="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eastAsia="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eastAsia="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eastAsia="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eastAsia="Times New Roman" w:cs="Times New Roman"/>
                <w:color w:val="000000" w:themeColor="text1"/>
                <w:sz w:val="22"/>
                <w:szCs w:val="22"/>
              </w:rPr>
            </w:r>
          </w:p>
        </w:tc>
      </w:tr>
      <w:tr>
        <w:trPr>
          <w:trHeight w:val="133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eastAsia="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Pháp lý</w:t>
            </w:r>
            <w:r>
              <w:rPr>
                <w:rFonts w:ascii="Times New Roman" w:hAnsi="Times New Roman" w:eastAsia="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eastAsia="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eastAsia="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eastAsia="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eastAsia="Times New Roman" w:cs="Times New Roman"/>
                <w:color w:val="000000" w:themeColor="text1"/>
                <w:sz w:val="22"/>
                <w:szCs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eastAsia="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Mục đích sử dụng</w:t>
            </w:r>
            <w:r>
              <w:rPr>
                <w:rFonts w:ascii="Times New Roman" w:hAnsi="Times New Roman" w:eastAsia="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 tại đô thị  </w:t>
            </w:r>
            <w:r>
              <w:rPr>
                <w:rFonts w:ascii="Times New Roman" w:hAnsi="Times New Roman" w:eastAsia="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 đô thị</w:t>
            </w:r>
            <w:r>
              <w:rPr>
                <w:rFonts w:ascii="Times New Roman" w:hAnsi="Times New Roman" w:eastAsia="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 đô thị</w:t>
            </w:r>
            <w:r>
              <w:rPr>
                <w:rFonts w:ascii="Times New Roman" w:hAnsi="Times New Roman" w:eastAsia="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 đô thị</w:t>
            </w:r>
            <w:r>
              <w:rPr>
                <w:rFonts w:ascii="Times New Roman" w:hAnsi="Times New Roman" w:eastAsia="Times New Roman" w:cs="Times New Roman"/>
                <w:color w:val="000000" w:themeColor="text1"/>
                <w:sz w:val="22"/>
                <w:szCs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eastAsia="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Thời hạn sử dụng đất</w:t>
            </w:r>
            <w:r>
              <w:rPr>
                <w:rFonts w:ascii="Times New Roman" w:hAnsi="Times New Roman" w:eastAsia="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eastAsia="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eastAsia="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eastAsia="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eastAsia="Times New Roman" w:cs="Times New Roman"/>
                <w:color w:val="000000" w:themeColor="text1"/>
                <w:sz w:val="22"/>
                <w:szCs w:val="22"/>
              </w:rPr>
            </w:r>
          </w:p>
        </w:tc>
      </w:tr>
      <w:tr>
        <w:trPr>
          <w:trHeight w:val="250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w:t>
            </w:r>
            <w:r>
              <w:rPr>
                <w:rFonts w:ascii="Times New Roman" w:hAnsi="Times New Roman" w:eastAsia="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Vị trí</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tcPr>
          <w:p>
            <w:pPr>
              <w:pBdr/>
              <w:spacing w:after="0" w:before="0" w:line="240"/>
              <w:ind/>
              <w:jc w:val="both"/>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là nhà số 7 ngõ 37 ngách 61 Bằng Liệt, cách đường Bằng Liệt khoảng 300m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Phường Thanh Liệt, Thành phố Hà Nội.Tài sản cách đường Kim Giang khoảng 250m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ngõ 61, phố Bằng Liệt, Phường Hoàng Liệt, Thành phố Hà Nội, cách đường Bằng Liệt khoảng 400m</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Ngõ 61, Bằng Liệt A, Phường Hoàng Liệt, Thành phố Hà Nội. Tài sản cách đường Bằng Liệt khoảng 120m</w:t>
            </w:r>
            <w:r>
              <w:rPr>
                <w:rFonts w:ascii="Times New Roman" w:hAnsi="Times New Roman" w:eastAsia="Times New Roman" w:cs="Times New Roman"/>
                <w:color w:val="000000" w:themeColor="text1"/>
                <w:sz w:val="22"/>
                <w:szCs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eastAsia="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Giao thông</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eastAsia="Times New Roman" w:cs="Times New Roman"/>
                <w:color w:val="000000" w:themeColor="text1"/>
                <w:sz w:val="22"/>
                <w:szCs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11</w:t>
            </w:r>
            <w:r>
              <w:rPr>
                <w:rFonts w:ascii="Times New Roman" w:hAnsi="Times New Roman" w:eastAsia="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Độ rộng đường (m)</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2,5</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eastAsia="Times New Roman" w:cs="Times New Roman"/>
                <w:color w:val="000000" w:themeColor="text1"/>
                <w:sz w:val="22"/>
                <w:szCs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w:t>
            </w:r>
            <w:r>
              <w:rPr>
                <w:rFonts w:ascii="Times New Roman" w:hAnsi="Times New Roman" w:eastAsia="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Diện tích đất (m²)</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17,3</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39,6</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35</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45</w:t>
            </w:r>
            <w:r>
              <w:rPr>
                <w:rFonts w:ascii="Times New Roman" w:hAnsi="Times New Roman" w:eastAsia="Times New Roman" w:cs="Times New Roman"/>
                <w:color w:val="000000" w:themeColor="text1"/>
                <w:sz w:val="22"/>
                <w:szCs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13</w:t>
            </w:r>
            <w:r>
              <w:rPr>
                <w:rFonts w:ascii="Times New Roman" w:hAnsi="Times New Roman" w:eastAsia="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Mặt tiền (m)</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3,23</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3,6</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3,5</w:t>
            </w:r>
            <w:r>
              <w:rPr>
                <w:rFonts w:ascii="Times New Roman" w:hAnsi="Times New Roman" w:eastAsia="Times New Roman" w:cs="Times New Roman"/>
                <w:color w:val="000000" w:themeColor="text1"/>
                <w:sz w:val="22"/>
                <w:szCs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15</w:t>
            </w:r>
            <w:r>
              <w:rPr>
                <w:rFonts w:ascii="Times New Roman" w:hAnsi="Times New Roman" w:eastAsia="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Số lượng mặt tiếp giáp</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Tiếp giáp 2 mặt tiền</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Tiếp giáp 2 mặt ngõ</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eastAsia="Times New Roman" w:cs="Times New Roman"/>
                <w:color w:val="000000" w:themeColor="text1"/>
                <w:sz w:val="22"/>
                <w:szCs w:val="22"/>
              </w:rPr>
            </w:r>
          </w:p>
        </w:tc>
      </w:tr>
      <w:tr>
        <w:trPr>
          <w:trHeight w:val="1128"/>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16</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dáng thửa đất</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Thóp hậu</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eastAsia="Times New Roman" w:cs="Times New Roman"/>
                <w:color w:val="000000" w:themeColor="text1"/>
                <w:sz w:val="22"/>
                <w:szCs w:val="22"/>
              </w:rPr>
            </w:r>
          </w:p>
        </w:tc>
      </w:tr>
      <w:tr>
        <w:trPr>
          <w:trHeight w:val="6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17</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Yếu tố khác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Nhà không có thang máy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Nhà không có thang máy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Nhà  có thang máy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Nhà không có thang máy </w:t>
            </w:r>
            <w:r>
              <w:rPr>
                <w:rFonts w:ascii="Times New Roman" w:hAnsi="Times New Roman" w:eastAsia="Times New Roman" w:cs="Times New Roman"/>
                <w:color w:val="000000" w:themeColor="text1"/>
                <w:sz w:val="22"/>
                <w:szCs w:val="22"/>
              </w:rP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18</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Điều kiện cơ sở hạ tầng kỹ thuật</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Hệ thống cấp điện, cấp thoát nước đầy đủ.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Hệ thống cấp điện, cấp thoát nước đầy đủ</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Hệ thống cấp điện, cấp thoát nước đầy đủ</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Hệ thống cấp điện, cấp thoát nước đầy đủ</w:t>
            </w:r>
            <w:r>
              <w:rPr>
                <w:rFonts w:ascii="Times New Roman" w:hAnsi="Times New Roman" w:eastAsia="Times New Roman" w:cs="Times New Roman"/>
                <w:color w:val="000000" w:themeColor="text1"/>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19</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Điều kiện môi trường an ninh</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eastAsia="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20</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trên đất</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Nhà 5 tầng</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Nhà 4 tầng</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Nhà 6 tầng</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Nhà 5 tầng</w:t>
            </w:r>
            <w:r>
              <w:rPr>
                <w:rFonts w:ascii="Times New Roman" w:hAnsi="Times New Roman" w:eastAsia="Times New Roman" w:cs="Times New Roman"/>
                <w:color w:val="000000" w:themeColor="text1"/>
                <w:sz w:val="22"/>
                <w:szCs w:val="22"/>
              </w:rPr>
            </w:r>
          </w:p>
        </w:tc>
      </w:tr>
      <w:tr>
        <w:trPr>
          <w:trHeight w:val="33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Số tầng</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eastAsia="Times New Roman" w:cs="Times New Roman"/>
                <w:color w:val="000000" w:themeColor="text1"/>
                <w:sz w:val="22"/>
                <w:szCs w:val="22"/>
              </w:rPr>
            </w:r>
          </w:p>
        </w:tc>
      </w:tr>
      <w:tr>
        <w:trPr>
          <w:trHeight w:val="63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Diện tích sàn sử dụng (m²)</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158,4</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210</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225</w:t>
            </w:r>
            <w:r>
              <w:rPr>
                <w:rFonts w:ascii="Times New Roman" w:hAnsi="Times New Roman" w:eastAsia="Times New Roman" w:cs="Times New Roman"/>
                <w:color w:val="000000" w:themeColor="text1"/>
                <w:sz w:val="22"/>
                <w:szCs w:val="22"/>
              </w:rPr>
            </w:r>
          </w:p>
        </w:tc>
      </w:tr>
      <w:tr>
        <w:trPr>
          <w:trHeight w:val="348"/>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21</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rao (đồng)</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9.000.000.000</w:t>
            </w:r>
            <w:r>
              <w:rPr>
                <w:rFonts w:ascii="Times New Roman" w:hAnsi="Times New Roman" w:eastAsia="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11.000.000.000</w:t>
            </w:r>
            <w:r>
              <w:rPr>
                <w:rFonts w:ascii="Times New Roman" w:hAnsi="Times New Roman" w:eastAsia="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11.850.000.000</w:t>
            </w:r>
            <w:r>
              <w:rPr>
                <w:rFonts w:ascii="Times New Roman" w:hAnsi="Times New Roman" w:eastAsia="Times New Roman" w:cs="Times New Roman"/>
                <w:color w:val="000000" w:themeColor="text1"/>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22</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thương lượng/bán (đồng)</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8.010.000.000</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9.570.000.000</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10.309.500.000</w:t>
            </w:r>
            <w:r>
              <w:rPr>
                <w:rFonts w:ascii="Times New Roman" w:hAnsi="Times New Roman" w:eastAsia="Times New Roman" w:cs="Times New Roman"/>
                <w:color w:val="000000" w:themeColor="text1"/>
                <w:sz w:val="22"/>
                <w:szCs w:val="22"/>
              </w:rP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B</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Chi tiết tính toán</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1</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Giá trị tài sản trên đất (đồng)</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1.000.632.730</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1.658.245.527</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1.776.691.636</w:t>
            </w:r>
            <w:r>
              <w:rPr>
                <w:rFonts w:ascii="Times New Roman" w:hAnsi="Times New Roman" w:eastAsia="Times New Roman" w:cs="Times New Roman"/>
                <w:color w:val="000000" w:themeColor="text1"/>
                <w:sz w:val="22"/>
                <w:szCs w:val="22"/>
              </w:rPr>
            </w:r>
          </w:p>
        </w:tc>
      </w:tr>
      <w:tr>
        <w:trPr>
          <w:trHeight w:val="169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Đơn giá xây dựng theo Quyết định số 425/QĐ-BXD ngày 30/3/2026 của Bộ Xây Dựng (đồng/m²)</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7.896.407</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7.896.407</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7.896.407</w:t>
            </w:r>
            <w:r>
              <w:rPr>
                <w:rFonts w:ascii="Times New Roman" w:hAnsi="Times New Roman" w:eastAsia="Times New Roman" w:cs="Times New Roman"/>
                <w:color w:val="000000" w:themeColor="text1"/>
                <w:sz w:val="22"/>
                <w:szCs w:val="22"/>
              </w:rPr>
            </w:r>
          </w:p>
        </w:tc>
      </w:tr>
      <w:tr>
        <w:trPr>
          <w:trHeight w:val="420"/>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Tỷ lệ % CLCL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80%</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100%</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100%</w:t>
            </w:r>
            <w:r>
              <w:rPr>
                <w:rFonts w:ascii="Times New Roman" w:hAnsi="Times New Roman" w:eastAsia="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2</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Giá trị đất (đồng)</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7.009.367.270</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7.911.754.473</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8.532.808.364</w:t>
            </w:r>
            <w:r>
              <w:rPr>
                <w:rFonts w:ascii="Times New Roman" w:hAnsi="Times New Roman" w:eastAsia="Times New Roman" w:cs="Times New Roman"/>
                <w:color w:val="000000" w:themeColor="text1"/>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3</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Đơn giá QSDĐ (đồng/m²)</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177.004.224</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226.050.128</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189.617.964</w:t>
            </w:r>
            <w:r>
              <w:rPr>
                <w:rFonts w:ascii="Times New Roman" w:hAnsi="Times New Roman" w:eastAsia="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C</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NHẬN XÉT</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Pháp lý</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Vị trí</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Giao thông</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Độ rộng đường (m)</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eastAsia="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Diện tích đất (m²)</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eastAsia="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Số lượng mặt tiếp giáp</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eastAsia="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dáng thửa đất</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p>
        </w:tc>
      </w:tr>
      <w:tr>
        <w:trPr>
          <w:trHeight w:val="43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kinh doanh</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p>
        </w:tc>
      </w:tr>
      <w:tr>
        <w:trPr>
          <w:trHeight w:val="384"/>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Yếu tố khác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eastAsia="Times New Roman" w:cs="Times New Roman"/>
                <w:color w:val="000000" w:themeColor="text1"/>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Điều kiện cơ sở hạ tầng kỹ thuật</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595" w:type="dxa"/>
            <w:vAlign w:val="center"/>
            <w:textDirection w:val="lrTb"/>
            <w:noWrap w:val="false"/>
          </w:tcPr>
          <w:p>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3"/>
        <w:numPr>
          <w:ilvl w:val="0"/>
          <w:numId w:val="6"/>
        </w:numPr>
        <w:pBdr/>
        <w:tabs>
          <w:tab w:val="left" w:leader="none" w:pos="720"/>
        </w:tabs>
        <w:spacing w:after="120" w:before="120" w:line="276" w:lineRule="auto"/>
        <w:ind w:hanging="284" w:left="284"/>
        <w:jc w:val="both"/>
        <w:rPr>
          <w:b/>
          <w:lang w:val="nl-NL"/>
        </w:rPr>
      </w:pPr>
      <w:r>
        <w:rPr>
          <w:b/>
          <w:lang w:val="nl-NL"/>
        </w:rPr>
      </w:r>
      <w:r>
        <w:rPr>
          <w:b/>
          <w:lang w:val="nl-NL"/>
        </w:rPr>
        <w:t xml:space="preserve">Bảng điều chỉnh</w:t>
      </w:r>
      <w:r>
        <w:rPr>
          <w:b/>
          <w:lang w:val="nl-NL"/>
        </w:rPr>
        <w:t xml:space="preserve">:</w:t>
      </w:r>
      <w:r>
        <w:rPr>
          <w:b/>
          <w:lang w:val="nl-NL"/>
        </w:rPr>
      </w:r>
      <w:r>
        <w:rPr>
          <w:b/>
          <w:lang w:val="nl-NL"/>
        </w:rPr>
      </w:r>
    </w:p>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4"/>
        <w:gridCol w:w="1895"/>
        <w:gridCol w:w="937"/>
        <w:gridCol w:w="2211"/>
        <w:gridCol w:w="2222"/>
        <w:gridCol w:w="2222"/>
        <w:gridCol w:w="2222"/>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TSSS3</w:t>
            </w: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7.009.367.270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7.911.754.473</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8.532.808.364</w:t>
            </w: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177.004.224</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226.050.128</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189.617.964</w:t>
            </w: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177.004.224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226.050.128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189.617.964 </w:t>
            </w:r>
            <w:r/>
          </w:p>
        </w:tc>
      </w:tr>
      <w:tr>
        <w:trPr>
          <w:trHeight w:val="187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Tài sản là nhà số 7 ngõ 37 ngách 61 Bằng Liệt, cách đường Bằng Liệt khoảng 300m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Tài sản tại: Phường Thanh Liệt, Thành phố Hà Nội.Tài sản cách đường Kim Giang khoảng 250m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Tài sản tại: ngõ 61, phố Bằng Liệt, Phường Hoàng Liệt, Thành phố Hà Nội, cách đường Bằng Liệt khoảng 400m</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Tài sản tại: Ngõ 61, Bằng Liệt A, Phường Hoàng Liệt, Thành phố Hà Nội. Tài sản cách đường Bằng Liệt khoảng 120m</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5,00%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0,00%</w:t>
            </w: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8.850.211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185.854.435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226.050.128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189.617.964 </w:t>
            </w:r>
            <w:r/>
          </w:p>
        </w:tc>
      </w:tr>
      <w:tr>
        <w:trPr>
          <w:trHeight w:val="80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Đường bê tông</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Đường bê tông</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Đường bê tông</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Đường bê tông</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0,00%</w:t>
            </w: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185.854.435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226.050.128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189.617.964 </w:t>
            </w: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Độ rộng đường (m)</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m2</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2,5</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3</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-5,00%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-5,00%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-5,00%</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-8.850.211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-11.302.506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-9.480.898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177.004.224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214.747.621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180.137.065 </w:t>
            </w: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tcPr>
          <w:p>
            <w:pPr>
              <w:pBdr/>
              <w:spacing w:after="0" w:before="0" w:line="240"/>
              <w:ind/>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17,3</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39,6</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35</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45</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12,00%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9,00%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12,00%</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21.240.507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20.344.512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22.754.156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198.244.731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235.092.133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202.891.221 </w:t>
            </w:r>
            <w:r/>
          </w:p>
        </w:tc>
      </w:tr>
      <w:tr>
        <w:trPr>
          <w:trHeight w:val="44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tcPr>
          <w:p>
            <w:pPr>
              <w:pBdr/>
              <w:spacing w:after="0" w:before="0" w:line="240"/>
              <w:ind/>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3,23</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3,6</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4</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3,5</w:t>
            </w:r>
            <w:r/>
          </w:p>
        </w:tc>
      </w:tr>
      <w:tr>
        <w:trPr>
          <w:trHeight w:val="33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-5,00%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0,00%</w:t>
            </w:r>
            <w:r/>
          </w:p>
        </w:tc>
      </w:tr>
      <w:tr>
        <w:trPr>
          <w:trHeight w:val="384"/>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-11.302.506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5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198.244.731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223.789.627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202.891.221 </w:t>
            </w: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Tiếp giáp 2 mặt tiền</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Tiếp giáp 2 mặt ngõ</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Tiếp giáp 1 mặt tiền</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Tiếp giáp 1 mặt tiền</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3,00%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3,00%</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6.781.504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5.688.539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198.244.731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230.571.130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208.579.760 </w:t>
            </w: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Thóp hậu</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Hình chữ nhật</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3,00%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0,00%</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5.310.127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203.554.858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230.571.130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208.579.760 </w:t>
            </w:r>
            <w:r/>
          </w:p>
        </w:tc>
      </w:tr>
      <w:tr>
        <w:trPr>
          <w:trHeight w:val="6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Yếu tố khác </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Nhà không có thang máy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Nhà không có thang máy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Nhà  có thang máy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Nhà không có thang máy </w:t>
            </w:r>
            <w:r/>
          </w:p>
        </w:tc>
      </w:tr>
      <w:tr>
        <w:trPr>
          <w:trHeight w:val="33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-5,00%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ff0000"/>
                <w:sz w:val="22"/>
              </w:rPr>
              <w:t xml:space="preserve">0,00%</w:t>
            </w:r>
            <w:r/>
          </w:p>
        </w:tc>
      </w:tr>
      <w:tr>
        <w:trPr>
          <w:trHeight w:val="564"/>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-11.302.506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492"/>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203.554.858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219.268.624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208.579.760 </w:t>
            </w:r>
            <w:r/>
          </w:p>
        </w:tc>
      </w:tr>
      <w:tr>
        <w:trPr>
          <w:trHeight w:val="82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4"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Hệ thống cấp điện, cấp thoát nước đầy đủ.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Hệ thống cấp điện, cấp thoát nước đầy đủ</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203.554.858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219.268.624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208.579.760 </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tcPr>
          <w:p>
            <w:pPr>
              <w:pBdr/>
              <w:spacing w:after="0" w:before="0" w:line="240"/>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203.554.858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219.268.624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208.579.760 </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666"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210.467.747 </w:t>
            </w: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-3,3%</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4,2%</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-0,9%</w:t>
            </w: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tcPr>
          <w:p>
            <w:pPr>
              <w:pBdr/>
              <w:spacing w:after="0" w:before="0" w:line="240"/>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44.251.056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61.033.535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37.923.593 </w:t>
            </w: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3</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3% - 12%</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3% - 9%</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3% - 12%</w:t>
            </w: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5" w:space="0"/>
              <w:right w:val="single" w:color="000000" w:sz="5" w:space="0"/>
            </w:tcBorders>
            <w:tcMar>
              <w:left w:w="0" w:type="dxa"/>
              <w:top w:w="0" w:type="dxa"/>
              <w:right w:w="0" w:type="dxa"/>
              <w:bottom w:w="0" w:type="dxa"/>
            </w:tcMar>
            <w:tcW w:w="2211"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26.550.634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6.781.504 </w:t>
            </w: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18.961.796 </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 </w:t>
      </w:r>
      <w:r>
        <w:t xml:space="preserve">-3,3</w:t>
      </w:r>
      <w:r>
        <w:t xml:space="preserve">% đến </w:t>
      </w:r>
      <w:r>
        <w:t xml:space="preserve">4,2%,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TT</w:t>
            </w: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Tài sản</w:t>
            </w: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1</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ind/>
              <w:jc w:val="both"/>
              <w:rPr/>
            </w:pPr>
            <w:r>
              <w:rPr>
                <w:rFonts w:ascii="Times New Roman" w:hAnsi="Times New Roman" w:eastAsia="Times New Roman" w:cs="Times New Roman"/>
                <w:color w:val="000000"/>
                <w:sz w:val="24"/>
              </w:rPr>
              <w:t xml:space="preserve">Tài sản so sánh 1</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203.554.858</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67.851.619</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2</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ind/>
              <w:jc w:val="both"/>
              <w:rPr/>
            </w:pPr>
            <w:r>
              <w:rPr>
                <w:rFonts w:ascii="Times New Roman" w:hAnsi="Times New Roman" w:eastAsia="Times New Roman" w:cs="Times New Roman"/>
                <w:color w:val="000000"/>
                <w:sz w:val="24"/>
              </w:rPr>
              <w:t xml:space="preserve">Tài sản so sánh 2</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219.268.624</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73.089.541</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ind/>
              <w:jc w:val="both"/>
              <w:rPr/>
            </w:pPr>
            <w:r>
              <w:rPr>
                <w:rFonts w:ascii="Times New Roman" w:hAnsi="Times New Roman" w:eastAsia="Times New Roman" w:cs="Times New Roman"/>
                <w:color w:val="000000"/>
                <w:sz w:val="24"/>
              </w:rPr>
              <w:t xml:space="preserve">Tài sản so sánh 3</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208.579.760</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69.526.587</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Giá trị bình quân theo trọng số:</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210.467.747</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Làm tròn:</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210.000.000</w:t>
            </w:r>
            <w:r/>
          </w:p>
        </w:tc>
      </w:tr>
    </w:tbl>
    <w:p>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210.000.000</w:t>
      </w:r>
      <w:r>
        <w:rPr>
          <w:b/>
          <w:bCs/>
          <w:color w:val="000000" w:themeColor="text1"/>
        </w:rPr>
        <w:t xml:space="preserve"> </w:t>
      </w:r>
      <w:r>
        <w:rPr>
          <w:b/>
          <w:bCs/>
        </w:rPr>
        <w:t xml:space="preserve">đồng/m².</w:t>
      </w:r>
      <w:r>
        <w:rPr>
          <w:b/>
          <w:bCs/>
          <w:highlight w:val="none"/>
        </w:rPr>
      </w:r>
      <w:r>
        <w:rPr>
          <w:b/>
          <w:bCs/>
          <w:highlight w:val="none"/>
        </w:rPr>
      </w:r>
      <w:r>
        <w:rPr>
          <w:b/>
          <w:lang w:val="pt-BR"/>
        </w:rPr>
      </w:r>
      <w:r>
        <w:rPr>
          <w:b/>
          <w:lang w:val="pt-BR"/>
        </w:rPr>
      </w:r>
      <w:r>
        <w:rPr>
          <w:b/>
          <w:lang w:val="pt-BR"/>
        </w:rPr>
      </w:r>
      <w:r>
        <w:rPr>
          <w:b/>
          <w:bCs/>
          <w:highlight w:val="none"/>
        </w:rPr>
      </w:r>
    </w:p>
    <w:p>
      <w:pPr>
        <w:pStyle w:val="1033"/>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3"/>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07/2026</w:t>
      </w:r>
      <w:r>
        <w:t xml:space="preserve"> </w:t>
      </w:r>
      <w:r>
        <w:t xml:space="preserve">ước tính </w:t>
      </w:r>
      <w:r>
        <w:t xml:space="preserve">như 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40"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40"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40"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40"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40"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40"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40" w:lineRule="auto"/>
              <w:ind/>
              <w:jc w:val="both"/>
              <w:rPr>
                <w:b/>
                <w:bCs/>
              </w:rPr>
            </w:pPr>
            <w:r>
              <w:rPr>
                <w:b/>
                <w:bCs/>
                <w:color w:val="000000"/>
              </w:rPr>
              <w:t xml:space="preserve">Quyền sử dụng đất tại thửa đất số: 407;408, tờ bản đồ số 46 có địa chỉ: Bằng A, phường Hoàng Liệt, quận Hoàng Mai, Thành phố Hà Nội (Nay là phường Hoàng Liệt, Thành phố Hà Nội) theo G</w:t>
            </w:r>
            <w:r>
              <w:rPr>
                <w:b/>
                <w:bCs/>
                <w:color w:val="000000"/>
              </w:rPr>
              <w:t xml:space="preserve">iấy chứng nhận quyền sử dụng đất, quyền sở hữu nhà ở và tài sản khác gắn liền với đất  số: DM 463888, số vào sổ cấp GCN: CN 04303 do Chi nhánh Văn phòng Đăng ký Đất đai Hà Nội - Quận Hoàng Mai  cấp ngày 24/10/2023; Chủ sử dụng đất là Bà Trần Thị Thanh Thúy</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40"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40" w:lineRule="auto"/>
              <w:ind/>
              <w:jc w:val="center"/>
              <w:rPr>
                <w:b w:val="0"/>
                <w:bCs w:val="0"/>
              </w:rPr>
            </w:pPr>
            <w:r>
              <w:rPr>
                <w:b w:val="0"/>
                <w:bCs w:val="0"/>
              </w:rPr>
            </w: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40" w:lineRule="auto"/>
              <w:ind/>
              <w:rPr>
                <w:b w:val="0"/>
                <w:bCs w:val="0"/>
              </w:rPr>
            </w:pPr>
            <w:r>
              <w:rPr>
                <w:b w:val="0"/>
                <w:bCs w:val="0"/>
              </w:rPr>
              <w:t xml:space="preserve">Đất ở tại đô thị</w:t>
            </w:r>
            <w:r>
              <w:rPr>
                <w:b w:val="0"/>
                <w:bCs w:val="0"/>
              </w:rPr>
              <w:t xml:space="preserve"> nằm ngoài chỉ giới</w:t>
            </w:r>
            <w:r>
              <w:rPr>
                <w:b w:val="0"/>
                <w:bCs w:val="0"/>
              </w:rPr>
            </w:r>
            <w:r>
              <w:rPr>
                <w:b w:val="0"/>
                <w:bCs w:val="0"/>
              </w:rPr>
            </w:r>
          </w:p>
        </w:tc>
        <w:tc>
          <w:tcPr>
            <w:tcBorders/>
            <w:tcW w:w="946" w:type="pct"/>
            <w:vAlign w:val="center"/>
            <w:textDirection w:val="lrTb"/>
            <w:noWrap/>
          </w:tcPr>
          <w:p>
            <w:pPr>
              <w:pBdr/>
              <w:spacing w:after="40" w:before="40" w:line="240" w:lineRule="auto"/>
              <w:ind/>
              <w:jc w:val="center"/>
              <w:rPr>
                <w:color w:val="000000"/>
              </w:rPr>
            </w:pPr>
            <w:r>
              <w:rPr>
                <w:color w:val="000000" w:themeColor="text1"/>
              </w:rPr>
              <w:t xml:space="preserve">17,3</w:t>
            </w:r>
            <w:r>
              <w:rPr>
                <w:color w:val="000000"/>
              </w:rPr>
            </w:r>
            <w:r>
              <w:rPr>
                <w:color w:val="000000"/>
              </w:rPr>
            </w:r>
          </w:p>
        </w:tc>
        <w:tc>
          <w:tcPr>
            <w:shd w:val="clear" w:color="000000" w:fill="ffffff"/>
            <w:tcBorders/>
            <w:tcW w:w="1355" w:type="pct"/>
            <w:vAlign w:val="center"/>
            <w:textDirection w:val="lrTb"/>
            <w:noWrap w:val="false"/>
          </w:tcPr>
          <w:p>
            <w:pPr>
              <w:pBdr/>
              <w:spacing w:after="40" w:before="40" w:line="240" w:lineRule="auto"/>
              <w:ind/>
              <w:jc w:val="center"/>
              <w:rPr/>
            </w:pPr>
            <w:r>
              <w:rPr>
                <w:color w:val="000000" w:themeColor="text1"/>
              </w:rPr>
              <w:t xml:space="preserve">210.000.000</w:t>
            </w:r>
            <w:r/>
          </w:p>
        </w:tc>
        <w:tc>
          <w:tcPr>
            <w:shd w:val="clear" w:color="000000" w:fill="ffffff"/>
            <w:tcBorders/>
            <w:tcW w:w="1136" w:type="pct"/>
            <w:vAlign w:val="center"/>
            <w:textDirection w:val="lrTb"/>
            <w:noWrap w:val="false"/>
          </w:tcPr>
          <w:p>
            <w:pPr>
              <w:pBdr/>
              <w:spacing w:after="40" w:before="40" w:line="240" w:lineRule="auto"/>
              <w:ind/>
              <w:jc w:val="center"/>
              <w:rPr/>
            </w:pPr>
            <w:r>
              <w:rPr>
                <w:color w:val="000000" w:themeColor="text1"/>
              </w:rPr>
              <w:t xml:space="preserve">3.633.000.000</w:t>
            </w:r>
            <w:r/>
          </w:p>
        </w:tc>
      </w:tr>
      <w:tr>
        <w:trPr>
          <w:trHeight w:val="400"/>
        </w:trPr>
        <w:tc>
          <w:tcPr>
            <w:shd w:val="clear" w:color="000000" w:fill="ffffff"/>
            <w:tcBorders/>
            <w:tcW w:w="500" w:type="pct"/>
            <w:vAlign w:val="center"/>
            <w:vMerge w:val="restart"/>
            <w:textDirection w:val="lrTb"/>
            <w:noWrap w:val="false"/>
          </w:tcPr>
          <w:p>
            <w:pPr>
              <w:pBdr/>
              <w:spacing w:after="40" w:before="40" w:line="240" w:lineRule="auto"/>
              <w:ind/>
              <w:jc w:val="center"/>
              <w:rPr>
                <w:b w:val="0"/>
                <w:bCs w:val="0"/>
              </w:rPr>
            </w:pPr>
            <w:r>
              <w:rPr>
                <w:b w:val="0"/>
                <w:bCs w:val="0"/>
              </w:rPr>
              <w:t xml:space="preserve">2</w:t>
            </w:r>
            <w:r>
              <w:rPr>
                <w:b w:val="0"/>
                <w:bCs w:val="0"/>
              </w:rPr>
            </w:r>
            <w:r>
              <w:rPr>
                <w:b w:val="0"/>
                <w:bCs w:val="0"/>
              </w:rPr>
            </w:r>
          </w:p>
        </w:tc>
        <w:tc>
          <w:tcPr>
            <w:shd w:val="clear" w:color="000000" w:fill="ffffff"/>
            <w:tcBorders/>
            <w:tcW w:w="1063" w:type="pct"/>
            <w:vAlign w:val="center"/>
            <w:vMerge w:val="restart"/>
            <w:textDirection w:val="lrTb"/>
            <w:noWrap w:val="false"/>
          </w:tcPr>
          <w:p>
            <w:pPr>
              <w:pBdr/>
              <w:spacing w:after="40" w:before="40" w:line="240" w:lineRule="auto"/>
              <w:ind/>
              <w:rPr>
                <w:b w:val="0"/>
                <w:bCs w:val="0"/>
              </w:rPr>
            </w:pPr>
            <w:r>
              <w:rPr>
                <w:b w:val="0"/>
                <w:bCs w:val="0"/>
              </w:rPr>
              <w:t xml:space="preserve">Đất ở tại đô thị nằm trong chỉ giới</w:t>
            </w:r>
            <w:r>
              <w:rPr>
                <w:b w:val="0"/>
                <w:bCs w:val="0"/>
              </w:rPr>
            </w:r>
            <w:r>
              <w:rPr>
                <w:b w:val="0"/>
                <w:bCs w:val="0"/>
              </w:rPr>
            </w:r>
          </w:p>
        </w:tc>
        <w:tc>
          <w:tcPr>
            <w:tcBorders/>
            <w:tcW w:w="946" w:type="pct"/>
            <w:vAlign w:val="center"/>
            <w:vMerge w:val="restart"/>
            <w:textDirection w:val="lrTb"/>
            <w:noWrap/>
          </w:tcPr>
          <w:p>
            <w:pPr>
              <w:pBdr/>
              <w:spacing w:after="40" w:before="40" w:line="240" w:lineRule="auto"/>
              <w:ind/>
              <w:jc w:val="center"/>
              <w:rPr>
                <w:color w:val="000000" w:themeColor="text1"/>
              </w:rPr>
            </w:pPr>
            <w:r>
              <w:rPr>
                <w:color w:val="000000" w:themeColor="text1"/>
              </w:rPr>
              <w:t xml:space="preserve">12,7</w:t>
            </w:r>
            <w:r>
              <w:rPr>
                <w:color w:val="000000" w:themeColor="text1"/>
              </w:rPr>
            </w:r>
            <w:r>
              <w:rPr>
                <w:color w:val="000000" w:themeColor="text1"/>
              </w:rPr>
            </w:r>
          </w:p>
        </w:tc>
        <w:tc>
          <w:tcPr>
            <w:shd w:val="clear" w:color="000000" w:fill="ffffff"/>
            <w:tcBorders/>
            <w:tcW w:w="1355" w:type="pct"/>
            <w:vAlign w:val="center"/>
            <w:vMerge w:val="restart"/>
            <w:textDirection w:val="lrTb"/>
            <w:noWrap w:val="false"/>
          </w:tcPr>
          <w:p>
            <w:pPr>
              <w:pBdr/>
              <w:spacing w:after="40" w:before="40" w:line="240" w:lineRule="auto"/>
              <w:ind/>
              <w:jc w:val="center"/>
              <w:rPr>
                <w:color w:val="000000" w:themeColor="text1"/>
              </w:rPr>
            </w:pPr>
            <w:r>
              <w:rPr>
                <w:color w:val="000000" w:themeColor="text1"/>
              </w:rPr>
              <w:t xml:space="preserve">-</w:t>
            </w:r>
            <w:r>
              <w:rPr>
                <w:color w:val="000000" w:themeColor="text1"/>
              </w:rPr>
            </w:r>
            <w:r>
              <w:rPr>
                <w:color w:val="000000" w:themeColor="text1"/>
              </w:rPr>
            </w:r>
          </w:p>
        </w:tc>
        <w:tc>
          <w:tcPr>
            <w:shd w:val="clear" w:color="000000" w:fill="ffffff"/>
            <w:tcBorders/>
            <w:tcW w:w="1136" w:type="pct"/>
            <w:vAlign w:val="center"/>
            <w:vMerge w:val="restart"/>
            <w:textDirection w:val="lrTb"/>
            <w:noWrap w:val="false"/>
          </w:tcPr>
          <w:p>
            <w:pPr>
              <w:pBdr/>
              <w:spacing w:after="40" w:before="40" w:line="240" w:lineRule="auto"/>
              <w:ind/>
              <w:jc w:val="center"/>
              <w:rPr>
                <w:color w:val="000000" w:themeColor="text1"/>
              </w:rPr>
            </w:pPr>
            <w:r>
              <w:rPr>
                <w:color w:val="000000" w:themeColor="text1"/>
              </w:rPr>
              <w:t xml:space="preserve">-</w:t>
            </w:r>
            <w:r>
              <w:rPr>
                <w:color w:val="000000" w:themeColor="text1"/>
              </w:rPr>
            </w:r>
            <w:r>
              <w:rPr>
                <w:color w:val="000000" w:themeColor="text1"/>
              </w:rPr>
            </w:r>
          </w:p>
        </w:tc>
      </w:tr>
      <w:tr>
        <w:trPr>
          <w:trHeight w:val="20"/>
        </w:trPr>
        <w:tc>
          <w:tcPr>
            <w:gridSpan w:val="4"/>
            <w:tcBorders/>
            <w:tcW w:w="3864" w:type="pct"/>
            <w:vAlign w:val="center"/>
            <w:textDirection w:val="lrTb"/>
            <w:noWrap/>
          </w:tcPr>
          <w:p>
            <w:pPr>
              <w:pBdr/>
              <w:spacing w:after="40" w:before="40" w:line="240"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line="240" w:lineRule="auto"/>
              <w:ind/>
              <w:jc w:val="center"/>
              <w:rPr>
                <w:b/>
                <w:bCs/>
              </w:rPr>
            </w:pPr>
            <w:r>
              <w:rPr>
                <w:b/>
                <w:bCs/>
                <w:color w:val="000000" w:themeColor="text1"/>
              </w:rPr>
              <w:t xml:space="preserve">3.633.000.000</w:t>
            </w:r>
            <w:r>
              <w:rPr>
                <w:b/>
                <w:bCs/>
              </w:rPr>
            </w:r>
            <w:r>
              <w:rPr>
                <w:b/>
                <w:bCs/>
              </w:rPr>
            </w:r>
          </w:p>
        </w:tc>
      </w:tr>
      <w:tr>
        <w:trPr>
          <w:trHeight w:val="20"/>
        </w:trPr>
        <w:tc>
          <w:tcPr>
            <w:gridSpan w:val="5"/>
            <w:tcBorders/>
            <w:tcW w:w="5000" w:type="pct"/>
            <w:vAlign w:val="center"/>
            <w:textDirection w:val="lrTb"/>
            <w:noWrap w:val="false"/>
          </w:tcPr>
          <w:p>
            <w:pPr>
              <w:pBdr/>
              <w:spacing w:after="40" w:before="40" w:line="240" w:lineRule="auto"/>
              <w:ind/>
              <w:jc w:val="center"/>
              <w:rPr>
                <w:b/>
                <w:bCs/>
                <w:i/>
                <w:iCs/>
                <w:color w:val="000000"/>
              </w:rPr>
            </w:pPr>
            <w:r>
              <w:rPr>
                <w:b/>
                <w:bCs/>
                <w:i/>
                <w:iCs/>
                <w:color w:val="000000"/>
              </w:rPr>
              <w:t xml:space="preserve">(Bằng chữ: </w:t>
            </w:r>
            <w:r>
              <w:rPr>
                <w:b/>
                <w:bCs/>
                <w:i/>
                <w:iCs/>
                <w:color w:val="000000"/>
              </w:rPr>
              <w:t xml:space="preserve">Ba tỷ, sáu trăm ba mươi ba triệu đồng chẵn./.)</w:t>
            </w:r>
            <w:r>
              <w:rPr>
                <w:b/>
                <w:bCs/>
                <w:i/>
                <w:iCs/>
                <w:color w:val="000000"/>
              </w:rPr>
            </w:r>
            <w:r>
              <w:rPr>
                <w:b/>
                <w:bCs/>
                <w:i/>
                <w:iCs/>
                <w:color w:val="000000"/>
              </w:rPr>
            </w:r>
          </w:p>
        </w:tc>
      </w:tr>
    </w:tbl>
    <w:p>
      <w:pPr>
        <w:pStyle w:val="1033"/>
        <w:pBdr/>
        <w:tabs>
          <w:tab w:val="left" w:leader="none" w:pos="993"/>
        </w:tabs>
        <w:spacing w:after="120" w:before="120" w:line="276" w:lineRule="auto"/>
        <w:ind w:left="0"/>
        <w:jc w:val="both"/>
        <w:rPr/>
      </w:pPr>
      <w:r/>
      <w:r/>
    </w:p>
    <w:p>
      <w:pPr>
        <w:pStyle w:val="1033"/>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3"/>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3"/>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Thẩm định giá không phải là</w:t>
      </w:r>
      <w:r>
        <w:rPr>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3"/>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3"/>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3"/>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3"/>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3"/>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33"/>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Tại thời điểm khảo sát, Tổ thẩm định xác nhận trên đất có CTXD nhà </w:t>
      </w:r>
      <w:r>
        <w:rPr>
          <w:rFonts w:ascii="Times New Roman" w:hAnsi="Times New Roman" w:eastAsia="Times New Roman" w:cs="Times New Roman"/>
          <w:color w:val="000000"/>
          <w:sz w:val="24"/>
        </w:rPr>
        <w:t xml:space="preserve">Nhà 5 tầng, xây hết đất. Xây dựng năm 2014</w:t>
      </w:r>
      <w:r>
        <w:rPr>
          <w:rFonts w:ascii="Times New Roman" w:hAnsi="Times New Roman" w:eastAsia="Times New Roman" w:cs="Times New Roman"/>
          <w:color w:val="000000"/>
          <w:sz w:val="24"/>
        </w:rPr>
        <w:t xml:space="preserve">. Hiện công trình chưa được chứng nhận trên GCN. </w:t>
      </w:r>
      <w:r>
        <w:rPr>
          <w:rFonts w:ascii="Times New Roman" w:hAnsi="Times New Roman" w:eastAsia="Times New Roman" w:cs="Times New Roman"/>
          <w:color w:val="000000"/>
          <w:sz w:val="24"/>
          <w:highlight w:val="white"/>
        </w:rPr>
        <w:t xml:space="preserve">Do vậy, theo đề nghị của Ngân hàng/Khách hàng, tổ thẩm định không xác định giá trị công trình hiện có trên đất, nhưng vẫn coi đó là phần không thể tách rời của tải sản thẩm định. Đề nghị đơn vị sử dụng kết quả lưu ý.</w:t>
      </w:r>
      <w:r/>
    </w:p>
    <w:p>
      <w:pPr>
        <w:pStyle w:val="1033"/>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3"/>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3"/>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3"/>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3"/>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3"/>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275/2026/1118/VFI-CT.53.A</w:t>
      </w:r>
      <w:r>
        <w:rPr>
          <w:color w:val="ff0000"/>
          <w:lang w:val="vi-VN"/>
        </w:rPr>
        <w:t xml:space="preserve"> </w:t>
      </w:r>
      <w:r>
        <w:rPr>
          <w:color w:val="000000" w:themeColor="text1"/>
        </w:rPr>
        <w:t xml:space="preserve">ngày 23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185"/>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jc w:val="left"/>
        <w:rPr>
          <w:b/>
          <w:u w:val="none"/>
        </w:rPr>
      </w:pPr>
      <w:r>
        <w:rPr>
          <w:b/>
          <w:u w:val="none"/>
          <w:lang w:val="vi-VN"/>
        </w:rPr>
        <w:t xml:space="preserve">         PHỤ LỤC</w:t>
      </w:r>
      <w:r>
        <w:rPr>
          <w:b/>
          <w:u w:val="none"/>
          <w:lang w:val="pt-BR"/>
        </w:rPr>
        <w:t xml:space="preserve"> </w:t>
      </w:r>
      <w:r>
        <w:rPr>
          <w:b/>
          <w:u w:val="none"/>
          <w:lang w:val="pt-BR"/>
        </w:rPr>
        <w:t xml:space="preserve">0</w:t>
      </w:r>
      <w:r>
        <w:rPr>
          <w:b/>
          <w:u w:val="none"/>
          <w:lang w:val="pt-BR"/>
        </w:rPr>
        <w:t xml:space="preserve">1</w:t>
      </w:r>
      <w:r>
        <w:rPr>
          <w:b/>
          <w:u w:val="none"/>
          <w:lang w:val="vi-VN"/>
        </w:rPr>
        <w:t xml:space="preserve">: </w:t>
      </w:r>
      <w:r>
        <w:rPr>
          <w:b/>
          <w:u w:val="none"/>
        </w:rPr>
        <w:t xml:space="preserve">THÔNG TIN</w:t>
      </w:r>
      <w:r>
        <w:rPr>
          <w:b/>
          <w:u w:val="none"/>
          <w:lang w:val="vi-VN"/>
        </w:rPr>
        <w:t xml:space="preserve"> HIỆN TRẠNG</w:t>
      </w:r>
      <w:r>
        <w:rPr>
          <w:b/>
          <w:u w:val="none"/>
          <w:lang w:val="pt-BR"/>
        </w:rPr>
        <w:t xml:space="preserve"> </w:t>
      </w:r>
      <w:r>
        <w:rPr>
          <w:b/>
          <w:u w:val="none"/>
          <w:lang w:val="pt-BR"/>
        </w:rPr>
        <w:t xml:space="preserve">VÀ PHÁP LÝ </w:t>
      </w:r>
      <w:r>
        <w:rPr>
          <w:b/>
          <w:u w:val="none"/>
          <w:lang w:val="pt-BR"/>
        </w:rPr>
        <w:t xml:space="preserve">CỦA TÀI SẢN</w:t>
      </w:r>
      <w:r>
        <w:rPr>
          <w:b/>
          <w:u w:val="none"/>
          <w:lang w:val="vi-VN"/>
        </w:rPr>
      </w:r>
      <w:r>
        <w:rPr>
          <w:b/>
          <w:u w:val="non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275/2026/1118/VFI-BC.53.A</w:t>
      </w:r>
      <w:r>
        <w:rPr>
          <w:i/>
        </w:rPr>
        <w:t xml:space="preserve"> ngày</w:t>
      </w:r>
      <w:r>
        <w:rPr>
          <w:i/>
          <w:lang w:val="pt-BR"/>
        </w:rPr>
        <w:t xml:space="preserve"> </w:t>
      </w:r>
      <w:r>
        <w:rPr>
          <w:i/>
          <w:lang w:val="pt-BR"/>
        </w:rPr>
        <w:t xml:space="preserve">23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725870" cy="259033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666739" name=""/>
                              <pic:cNvPicPr>
                                <a:picLocks noChangeAspect="1"/>
                              </pic:cNvPicPr>
                              <pic:nvPr/>
                            </pic:nvPicPr>
                            <pic:blipFill rotWithShape="1">
                              <a:blip r:embed="rId21"/>
                              <a:stretch/>
                            </pic:blipFill>
                            <pic:spPr bwMode="auto">
                              <a:xfrm flipH="0" flipV="0">
                                <a:off x="0" y="0"/>
                                <a:ext cx="1725869" cy="25903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35.90pt;height:203.96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54994" cy="198916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507061" name=""/>
                              <pic:cNvPicPr>
                                <a:picLocks noChangeAspect="1"/>
                              </pic:cNvPicPr>
                              <pic:nvPr/>
                            </pic:nvPicPr>
                            <pic:blipFill rotWithShape="1">
                              <a:blip r:embed="rId22"/>
                              <a:stretch/>
                            </pic:blipFill>
                            <pic:spPr bwMode="auto">
                              <a:xfrm flipH="0" flipV="0">
                                <a:off x="0" y="0"/>
                                <a:ext cx="2654993" cy="19891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9.05pt;height:156.63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151941" cy="161395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761512" name=""/>
                              <pic:cNvPicPr>
                                <a:picLocks noChangeAspect="1"/>
                              </pic:cNvPicPr>
                              <pic:nvPr/>
                            </pic:nvPicPr>
                            <pic:blipFill rotWithShape="1">
                              <a:blip r:embed="rId23"/>
                              <a:stretch/>
                            </pic:blipFill>
                            <pic:spPr bwMode="auto">
                              <a:xfrm flipH="0" flipV="0">
                                <a:off x="0" y="0"/>
                                <a:ext cx="2151941" cy="16139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69.44pt;height:127.08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20608" cy="196545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882778" name=""/>
                              <pic:cNvPicPr>
                                <a:picLocks noChangeAspect="1"/>
                              </pic:cNvPicPr>
                              <pic:nvPr/>
                            </pic:nvPicPr>
                            <pic:blipFill rotWithShape="1">
                              <a:blip r:embed="rId24"/>
                              <a:stretch/>
                            </pic:blipFill>
                            <pic:spPr bwMode="auto">
                              <a:xfrm flipH="0" flipV="0">
                                <a:off x="0" y="0"/>
                                <a:ext cx="2620607" cy="19654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6.35pt;height:154.76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01095" cy="225082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286698" name=""/>
                              <pic:cNvPicPr>
                                <a:picLocks noChangeAspect="1"/>
                              </pic:cNvPicPr>
                              <pic:nvPr/>
                            </pic:nvPicPr>
                            <pic:blipFill rotWithShape="1">
                              <a:blip r:embed="rId25"/>
                              <a:stretch/>
                            </pic:blipFill>
                            <pic:spPr bwMode="auto">
                              <a:xfrm flipH="0" flipV="0">
                                <a:off x="0" y="0"/>
                                <a:ext cx="3001094" cy="22508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6.31pt;height:177.23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324050" cy="249303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36248" name=""/>
                              <pic:cNvPicPr>
                                <a:picLocks noChangeAspect="1"/>
                              </pic:cNvPicPr>
                              <pic:nvPr/>
                            </pic:nvPicPr>
                            <pic:blipFill rotWithShape="1">
                              <a:blip r:embed="rId26"/>
                              <a:stretch/>
                            </pic:blipFill>
                            <pic:spPr bwMode="auto">
                              <a:xfrm flipH="0" flipV="0">
                                <a:off x="0" y="0"/>
                                <a:ext cx="3324048" cy="24930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61.74pt;height:196.30pt;mso-wrap-distance-left:0.00pt;mso-wrap-distance-top:0.00pt;mso-wrap-distance-right:0.00pt;mso-wrap-distance-bottom:0.00pt;z-index:1;" stroked="false">
                      <v:imagedata r:id="rId26"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275/2026/1118/VFI-BC.53.A</w:t>
      </w:r>
      <w:r>
        <w:rPr>
          <w:i/>
        </w:rPr>
        <w:t xml:space="preserve"> ngày</w:t>
      </w:r>
      <w:r>
        <w:rPr>
          <w:i/>
          <w:lang w:val="pt-BR"/>
        </w:rPr>
        <w:t xml:space="preserve"> </w:t>
      </w:r>
      <w:r>
        <w:rPr>
          <w:i/>
          <w:lang w:val="pt-BR"/>
        </w:rPr>
        <w:t xml:space="preserve">23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0904556146</w:t>
            </w:r>
            <w:r>
              <w:rPr>
                <w:sz w:val="22"/>
                <w:szCs w:val="22"/>
              </w:rPr>
              <w:t xml:space="preserve"> </w:t>
            </w:r>
            <w:r>
              <w:rPr>
                <w:sz w:val="22"/>
                <w:szCs w:val="22"/>
              </w:rPr>
              <w:br/>
              <w:t xml:space="preserve">(An Nguyễn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(39,6m²)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Tài sản tại: Phường Thanh Liệt, Thành phố Hà Nội.Tài sản cách đường Kim Giang khoảng 250m </w:t>
            </w:r>
            <w:r>
              <w:rPr>
                <w:b w:val="0"/>
                <w:bCs w:val="0"/>
              </w:rPr>
            </w:r>
            <w:r>
              <w:rPr>
                <w:b w:val="0"/>
                <w:bCs w:val="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39,6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Thóp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Nhà 4 tầng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334564"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333456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62.56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33.33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12.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Trần Thị Thanh Tâm</w:t>
            </w:r>
            <w:r/>
          </w:p>
          <w:p>
            <w:pPr>
              <w:pBdr/>
              <w:spacing/>
              <w:ind/>
              <w:jc w:val="center"/>
              <w:rPr/>
            </w:pPr>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096.223.2883</w:t>
            </w:r>
            <w:r>
              <w:rPr>
                <w:sz w:val="22"/>
                <w:szCs w:val="22"/>
              </w:rPr>
              <w:t xml:space="preserve"> </w:t>
            </w:r>
            <w:r>
              <w:rPr>
                <w:sz w:val="22"/>
                <w:szCs w:val="22"/>
              </w:rPr>
              <w:br/>
              <w:t xml:space="preserve">(Hiền Vũ</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Tài sản tại: ngõ 61, phố Bằng Liệt, Phường Hoàng Liệt, Thành phố Hà Nội, cách đường Bằng Liệt khoảng 400m</w:t>
            </w:r>
            <w:r>
              <w:rPr>
                <w:b w:val="0"/>
                <w:bCs w:val="0"/>
              </w:rPr>
            </w:r>
            <w:r>
              <w:rPr>
                <w:b w:val="0"/>
                <w:bCs w:val="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Nhà 6 tầng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022166"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602216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4.19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5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rPr>
                <w:b/>
                <w:bCs/>
              </w:rPr>
            </w:pPr>
            <w:r>
              <w:rPr>
                <w:b/>
                <w:bCs/>
              </w:rPr>
            </w:r>
            <w:r>
              <w:rPr>
                <w:b/>
                <w:bCs/>
              </w:rPr>
            </w:r>
            <w:r>
              <w:rPr>
                <w:b/>
                <w:bCs/>
              </w:rPr>
            </w:r>
          </w:p>
        </w:tc>
        <w:tc>
          <w:tcPr>
            <w:tcBorders/>
            <w:tcW w:w="4701" w:type="dxa"/>
            <w:vAlign w:val="center"/>
            <w:textDirection w:val="lrTb"/>
            <w:noWrap/>
          </w:tcPr>
          <w:p>
            <w:pPr>
              <w:pBdr/>
              <w:spacing/>
              <w:ind/>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0974237918</w:t>
            </w:r>
            <w:r>
              <w:rPr>
                <w:sz w:val="22"/>
                <w:szCs w:val="22"/>
              </w:rPr>
              <w:t xml:space="preserve"> </w:t>
            </w:r>
            <w:r>
              <w:rPr>
                <w:sz w:val="22"/>
                <w:szCs w:val="22"/>
              </w:rPr>
              <w:br/>
              <w:t xml:space="preserve">(Đỗ Ánh Hồng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10.665.000.000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(45m²)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Tài sản tại: Ngõ 61, Bằng Liệt A, Phường Hoàng Liệt, Thành phố Hà Nội. Tài sản cách đường Bằng Liệt khoảng 120m</w:t>
            </w:r>
            <w:r>
              <w:rPr>
                <w:b w:val="0"/>
                <w:bCs w:val="0"/>
              </w:rPr>
            </w:r>
            <w:r>
              <w:rPr>
                <w:b w:val="0"/>
                <w:bCs w:val="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Nhà 5 tầng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4861"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146486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5.34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4861"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146486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15.34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50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33.33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t xml:space="preserve">Trần Thị Thanh Tâm</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HỒ SƠ PHÁP LÝ </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914128"/>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214604" name=""/>
                        <pic:cNvPicPr>
                          <a:picLocks noChangeAspect="1"/>
                        </pic:cNvPicPr>
                        <pic:nvPr/>
                      </pic:nvPicPr>
                      <pic:blipFill rotWithShape="1">
                        <a:blip r:embed="rId38"/>
                        <a:stretch/>
                      </pic:blipFill>
                      <pic:spPr bwMode="auto">
                        <a:xfrm>
                          <a:off x="0" y="0"/>
                          <a:ext cx="6048374" cy="89141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701.90pt;mso-wrap-distance-left:0.00pt;mso-wrap-distance-top:0.00pt;mso-wrap-distance-right:0.00pt;mso-wrap-distance-bottom:0.00pt;z-index:1;" stroked="false">
                <v:imagedata r:id="rId38"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914128"/>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604406" name=""/>
                        <pic:cNvPicPr>
                          <a:picLocks noChangeAspect="1"/>
                        </pic:cNvPicPr>
                        <pic:nvPr/>
                      </pic:nvPicPr>
                      <pic:blipFill rotWithShape="1">
                        <a:blip r:embed="rId39"/>
                        <a:stretch/>
                      </pic:blipFill>
                      <pic:spPr bwMode="auto">
                        <a:xfrm>
                          <a:off x="0" y="0"/>
                          <a:ext cx="6048374" cy="89141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701.90pt;mso-wrap-distance-left:0.00pt;mso-wrap-distance-top:0.00pt;mso-wrap-distance-right:0.00pt;mso-wrap-distance-bottom:0.00pt;z-index:1;" stroked="false">
                <v:imagedata r:id="rId39"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048375" cy="8822859"/>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116756" name=""/>
                        <pic:cNvPicPr>
                          <a:picLocks noChangeAspect="1"/>
                        </pic:cNvPicPr>
                        <pic:nvPr/>
                      </pic:nvPicPr>
                      <pic:blipFill rotWithShape="1">
                        <a:blip r:embed="rId40"/>
                        <a:stretch/>
                      </pic:blipFill>
                      <pic:spPr bwMode="auto">
                        <a:xfrm>
                          <a:off x="0" y="0"/>
                          <a:ext cx="6048374" cy="88228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694.71pt;mso-wrap-distance-left:0.00pt;mso-wrap-distance-top:0.00pt;mso-wrap-distance-right:0.00pt;mso-wrap-distance-bottom:0.00pt;z-index:1;" stroked="false">
                <v:imagedata r:id="rId40"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rPr>
      </w:pPr>
      <w:r>
        <w:rPr>
          <w:b/>
          <w:bCs/>
          <w:highlight w:val="none"/>
        </w:rPr>
        <w:t xml:space="preserve">BIÊN BẢN KHẢO SÁT </w:t>
      </w:r>
      <w:r>
        <w:rPr>
          <w:b/>
          <w:bCs/>
          <w:highlight w:val="none"/>
        </w:rPr>
      </w:r>
      <w:r>
        <w:rPr>
          <w:b/>
          <w:bCs/>
          <w:highlight w:val="none"/>
        </w:rPr>
      </w:r>
    </w:p>
    <w:p>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6048375" cy="8064500"/>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143645" name=""/>
                        <pic:cNvPicPr>
                          <a:picLocks noChangeAspect="1"/>
                        </pic:cNvPicPr>
                        <pic:nvPr/>
                      </pic:nvPicPr>
                      <pic:blipFill rotWithShape="1">
                        <a:blip r:embed="rId41"/>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76.25pt;height:635.00pt;mso-wrap-distance-left:0.00pt;mso-wrap-distance-top:0.00pt;mso-wrap-distance-right:0.00pt;mso-wrap-distance-bottom:0.00pt;z-index:1;" stroked="false">
                <v:imagedata r:id="rId41"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71E915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194DAD8F"/>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194DAD8F"/>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name w:val="Unresolved Mention"/>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hyperlink" Target="https://batdongsan.com.vn/ban-nha-rieng-pho-lac-trung-phuong-thanh-luong/-dep-phan-lo-q-hbt-o-to-dung-do-via-he-kd-tuong-lai-sang-68m2-mt-4-4m-26-5-ty-tl-pr44705981" TargetMode="External"/><Relationship Id="rId19" Type="http://schemas.openxmlformats.org/officeDocument/2006/relationships/hyperlink" Target="https://batdongsan.com.vn/ban-nha-rieng-pho-lac-trung-phuong-thanh-luong/-dep-phan-lo-q-hbt-o-to-dung-do-via-he-kd-tuong-lai-sang-68m2-mt-4-4m-26-5-ty-tl-pr44705981" TargetMode="External"/><Relationship Id="rId20" Type="http://schemas.openxmlformats.org/officeDocument/2006/relationships/hyperlink" Target="https://batdongsan.com.vn/ban-nha-rieng-pho-lac-trung-phuong-thanh-luong/-dep-phan-lo-q-hbt-o-to-dung-do-via-he-kd-tuong-lai-sang-68m2-mt-4-4m-26-5-ty-tl-pr44705981" TargetMode="External"/><Relationship Id="rId21" Type="http://schemas.openxmlformats.org/officeDocument/2006/relationships/image" Target="media/image4.png"/><Relationship Id="rId22" Type="http://schemas.openxmlformats.org/officeDocument/2006/relationships/image" Target="media/image5.png"/><Relationship Id="rId23" Type="http://schemas.openxmlformats.org/officeDocument/2006/relationships/image" Target="media/image6.png"/><Relationship Id="rId24" Type="http://schemas.openxmlformats.org/officeDocument/2006/relationships/image" Target="media/image7.png"/><Relationship Id="rId25" Type="http://schemas.openxmlformats.org/officeDocument/2006/relationships/image" Target="media/image8.png"/><Relationship Id="rId26" Type="http://schemas.openxmlformats.org/officeDocument/2006/relationships/image" Target="media/image9.png"/><Relationship Id="rId27" Type="http://schemas.openxmlformats.org/officeDocument/2006/relationships/image" Target="media/image10.png"/><Relationship Id="rId28" Type="http://schemas.openxmlformats.org/officeDocument/2006/relationships/image" Target="media/image11.png"/><Relationship Id="rId29" Type="http://schemas.openxmlformats.org/officeDocument/2006/relationships/image" Target="media/image12.png"/><Relationship Id="rId30" Type="http://schemas.openxmlformats.org/officeDocument/2006/relationships/image" Target="media/image13.png"/><Relationship Id="rId31" Type="http://schemas.openxmlformats.org/officeDocument/2006/relationships/image" Target="media/image14.png"/><Relationship Id="rId32" Type="http://schemas.openxmlformats.org/officeDocument/2006/relationships/image" Target="media/image15.png"/><Relationship Id="rId33" Type="http://schemas.openxmlformats.org/officeDocument/2006/relationships/image" Target="media/image16.png"/><Relationship Id="rId34" Type="http://schemas.openxmlformats.org/officeDocument/2006/relationships/image" Target="media/image17.png"/><Relationship Id="rId35" Type="http://schemas.openxmlformats.org/officeDocument/2006/relationships/image" Target="media/image18.png"/><Relationship Id="rId36" Type="http://schemas.openxmlformats.org/officeDocument/2006/relationships/image" Target="media/image19.png"/><Relationship Id="rId37" Type="http://schemas.openxmlformats.org/officeDocument/2006/relationships/image" Target="media/image20.png"/><Relationship Id="rId38" Type="http://schemas.openxmlformats.org/officeDocument/2006/relationships/image" Target="media/image21.jpg"/><Relationship Id="rId39" Type="http://schemas.openxmlformats.org/officeDocument/2006/relationships/image" Target="media/image22.jpg"/><Relationship Id="rId40" Type="http://schemas.openxmlformats.org/officeDocument/2006/relationships/image" Target="media/image23.jpg"/><Relationship Id="rId41" Type="http://schemas.openxmlformats.org/officeDocument/2006/relationships/image" Target="media/image2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514</cp:revision>
  <dcterms:created xsi:type="dcterms:W3CDTF">2025-09-15T02:01:00Z</dcterms:created>
  <dcterms:modified xsi:type="dcterms:W3CDTF">2026-07-24T08:59:39Z</dcterms:modified>
</cp:coreProperties>
</file>