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41592"/>
                <wp:effectExtent l="12700" t="12700" r="31750" b="1968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41592"/>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HSTD-20260714-0018/CT-VFI</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r>
                            <w:r>
                              <w:rPr>
                                <w:rFonts w:ascii="Times New Roman Bold" w:hAnsi="Times New Roman Bold"/>
                                <w:b/>
                                <w:color w:val="000000" w:themeColor="text1"/>
                                <w:lang w:val="pt-BR"/>
                              </w:rPr>
                              <w:t xml:space="preserve">CÔNG TY TNHH THIẾT BỊ XÂY DỰNG SA KU RA VIỆT NAM</w:t>
                            </w:r>
                            <w:r>
                              <w:rPr>
                                <w:rFonts w:ascii="Times New Roman Bold" w:hAnsi="Times New Roman Bold"/>
                                <w:b/>
                                <w:color w:val="000000" w:themeColor="text1"/>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Giấy chứng nhận số CO 944116, Số vào sổ cấp GCN CO 944116, Số thửa 318, Tờ bản đồ 1, Địa chỉ trên sổ 15 ĐƯỜNG SỐ 4, KHU NHÀ Ở HIỆP BÌNH PH</w:t>
                            </w:r>
                            <w:r>
                              <w:rPr>
                                <w:color w:val="000000"/>
                              </w:rPr>
                              <w:t xml:space="preserve">ƯỚC, KHU PHỐ 2, PHƯỜNG HIỆP BÌNH PHƯỚC, QUẬN THỦ ĐỨC TP HCM ( Sai định Vị), Diện tích: Đất ở tại đô thị (202.5 m2) | Tài sản tại: Phường Thủ Đức, Thành phố Hồ Chí Minh, độ rộng đường trước mặt tài sản 7m, mặt tiền 9m, 10.870333333333333, 106.71658333333333</w:t>
                            </w:r>
                            <w:r>
                              <w:rPr>
                                <w:bCs/>
                                <w:i/>
                                <w:iCs/>
                              </w:rPr>
                              <w:t xml:space="preserve">.</w:t>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28.47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HSTD-20260714-0018/CT-VFI</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r>
                      <w:r>
                        <w:rPr>
                          <w:rFonts w:ascii="Times New Roman Bold" w:hAnsi="Times New Roman Bold"/>
                          <w:b/>
                          <w:color w:val="000000" w:themeColor="text1"/>
                          <w:lang w:val="pt-BR"/>
                        </w:rPr>
                        <w:t xml:space="preserve">CÔNG TY TNHH THIẾT BỊ XÂY DỰNG SA KU RA VIỆT NAM</w:t>
                      </w:r>
                      <w:r>
                        <w:rPr>
                          <w:rFonts w:ascii="Times New Roman Bold" w:hAnsi="Times New Roman Bold"/>
                          <w:b/>
                          <w:color w:val="000000" w:themeColor="text1"/>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Giấy chứng nhận số CO 944116, Số vào sổ cấp GCN CO 944116, Số thửa 318, Tờ bản đồ 1, Địa chỉ trên sổ 15 ĐƯỜNG SỐ 4, KHU NHÀ Ở HIỆP BÌNH PH</w:t>
                      </w:r>
                      <w:r>
                        <w:rPr>
                          <w:color w:val="000000"/>
                        </w:rPr>
                        <w:t xml:space="preserve">ƯỚC, KHU PHỐ 2, PHƯỜNG HIỆP BÌNH PHƯỚC, QUẬN THỦ ĐỨC TP HCM ( Sai định Vị), Diện tích: Đất ở tại đô thị (202.5 m2) | Tài sản tại: Phường Thủ Đức, Thành phố Hồ Chí Minh, độ rộng đường trước mặt tài sản 7m, mặt tiền 9m, 10.870333333333333, 106.71658333333333</w:t>
                      </w:r>
                      <w:r>
                        <w:rPr>
                          <w:bCs/>
                          <w:i/>
                          <w:iCs/>
                        </w:rPr>
                        <w:t xml:space="preserve">.</w:t>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right"/>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pPr>
        <w:pBdr/>
        <w:spacing/>
        <w:ind w:right="-1"/>
        <w:jc w:val="center"/>
        <w:rPr>
          <w:sz w:val="28"/>
        </w:rPr>
      </w:pPr>
      <w:r>
        <w:rPr>
          <w:b/>
          <w:sz w:val="28"/>
        </w:rPr>
        <w:t xml:space="preserve">MỤC LỤC</w:t>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p>
        </w:tc>
      </w:tr>
    </w:tbl>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 </w:t>
            </w:r>
            <w:r>
              <w:rPr>
                <w:rStyle w:val="854"/>
                <w:rFonts w:ascii="Times New Roman" w:hAnsi="Times New Roman"/>
                <w:color w:val="000000" w:themeColor="text1"/>
                <w:lang w:val="pt-BR"/>
              </w:rPr>
              <w:t xml:space="preserve">HSTD-20260714-0018/CT-VFI</w:t>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22 tháng 9 năm 2026</w:t>
            </w:r>
            <w:r>
              <w:rPr>
                <w:color w:val="000000" w:themeColor="text1"/>
                <w:sz w:val="24"/>
                <w:szCs w:val="24"/>
                <w:lang w:val="vi-VN"/>
              </w:rPr>
            </w:r>
          </w:p>
        </w:tc>
      </w:tr>
    </w:tbl>
    <w:p>
      <w:pPr>
        <w:pStyle w:val="855"/>
        <w:pBdr/>
        <w:spacing w:after="120" w:before="200" w:line="288" w:lineRule="auto"/>
        <w:ind/>
        <w:jc w:val="center"/>
        <w:rPr>
          <w:rStyle w:val="854"/>
          <w:rFonts w:ascii="Times New Roman" w:hAnsi="Times New Roman"/>
          <w:b/>
          <w:bCs/>
          <w:color w:val="auto"/>
          <w:sz w:val="30"/>
          <w:szCs w:val="30"/>
          <w:lang w:val="vi-VN"/>
        </w:rPr>
      </w:pP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CHƯA BIẾT</w:t>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spacing w:val="-4"/>
          <w:lang w:val="vi-VN"/>
        </w:rPr>
        <w:t xml:space="preserve"> ký ngày </w:t>
      </w:r>
      <w:r>
        <w:rPr>
          <w:spacing w:val="-4"/>
          <w:lang w:val="vi-VN"/>
        </w:rPr>
        <w:t xml:space="preserve"> </w:t>
      </w:r>
      <w:r>
        <w:rPr>
          <w:spacing w:val="-4"/>
          <w:lang w:val="vi-VN"/>
        </w:rPr>
        <w:t xml:space="preserve">giữa </w:t>
      </w:r>
      <w:r>
        <w:rPr>
          <w:color w:val="000000" w:themeColor="text1"/>
          <w:spacing w:val="-4"/>
        </w:rPr>
        <w:t xml:space="preserve">CHƯA BIẾT</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HSTD-20260714-0018/BC-VFI</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22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ind/>
              <w:rPr/>
            </w:pPr>
            <w:r>
              <w:rPr>
                <w:b/>
                <w:bCs/>
              </w:rPr>
            </w:r>
            <w:r>
              <w:rPr>
                <w:b/>
                <w:bCs/>
              </w:rPr>
              <w:t xml:space="preserve">CÔNG TY TNHH THIẾT BỊ XÂY DỰNG SA KU RA VIỆT NAM</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Giấy chứng nhận số CO 944116, Số vào sổ cấp GCN CO 944116, Số thửa 318, Tờ bản đồ 1, Địa chỉ trên sổ 15 ĐƯỜNG SỐ 4, KHU NHÀ Ở HIỆP BÌNH PH</w:t>
      </w:r>
      <w:r>
        <w:rPr>
          <w:color w:val="000000" w:themeColor="text1"/>
        </w:rPr>
        <w:t xml:space="preserve">ƯỚC, KHU PHỐ 2, PHƯỜNG HIỆP BÌNH PHƯỚC, QUẬN THỦ ĐỨC TP HCM ( Sai định Vị), Diện tích: Đất ở tại đô thị (202.5 m2) | Tài sản tại: Phường Thủ Đức, Thành phố Hồ Chí Minh, độ rộng đường trước mặt tài sản 7m, mặt tiền 9m, 10.870333333333333, 106.71658333333333</w:t>
      </w:r>
      <w:r>
        <w:rPr>
          <w:i/>
          <w:iCs/>
        </w:rPr>
        <w:t xml:space="preserve">.</w:t>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bookmarkEnd w:id="1"/>
      <w:bookmarkEnd w:id="2"/>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Giấy chứng nhận số CO 944116, Số vào sổ cấp GCN CO 944116, Số thửa 318, Tờ bản đồ 1, Địa chỉ trên sổ 15 ĐƯỜNG SỐ 4, KHU NHÀ Ở HIỆP BÌNH PH</w:t>
            </w:r>
            <w:r>
              <w:rPr>
                <w:color w:val="000000"/>
              </w:rPr>
              <w:t xml:space="preserve">ƯỚC, KHU PHỐ 2, PHƯỜNG HIỆP BÌNH PHƯỚC, QUẬN THỦ ĐỨC TP HCM ( Sai định Vị), Diện tích: Đất ở tại đô thị (202.5 m2) | Tài sản tại: Phường Thủ Đức, Thành phố Hồ Chí Minh, độ rộng đường trước mặt tài sản 7m, mặt tiền 9m, 10.870333333333333, 106.71658333333333</w:t>
            </w:r>
            <w:r>
              <w:rPr>
                <w:b/>
                <w:bCs/>
              </w:rPr>
              <w:t xml:space="preserve">.</w:t>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ở tại đô thị</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202.5</w:t>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64.000.000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12.960.000.000</w:t>
            </w: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2</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nhà 3 tầng</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266</w:t>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8.905.680(86%)</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2.037.263.357</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14.997.263.357</w:t>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14.997.300.000</w:t>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bốn tỷ chín trăm chín mươi bảy triệu ba trăm nghìn</w:t>
            </w:r>
            <w:r>
              <w:rPr>
                <w:b/>
                <w:bCs/>
                <w:i/>
                <w:iCs/>
                <w:color w:val="000000"/>
              </w:rPr>
              <w:t xml:space="preserve">./.)</w:t>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 </w:t>
            </w:r>
            <w:r>
              <w:rPr>
                <w:rStyle w:val="854"/>
                <w:rFonts w:ascii="Times New Roman" w:hAnsi="Times New Roman"/>
                <w:color w:val="000000" w:themeColor="text1"/>
                <w:lang w:val="pt-BR"/>
              </w:rPr>
              <w:t xml:space="preserve">HSTD-20260714-0018/CT-VFI</w:t>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22 tháng 9 năm 2026</w:t>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855"/>
              <w:pBdr/>
              <w:spacing w:after="60"/>
              <w:ind/>
              <w:rPr>
                <w:rStyle w:val="854"/>
                <w:rFonts w:ascii="Times New Roman" w:hAnsi="Times New Roman"/>
                <w:color w:val="000000" w:themeColor="text1"/>
                <w:lang w:val="pt-BR"/>
              </w:rPr>
            </w:pPr>
            <w:r>
              <w:rPr>
                <w:rStyle w:val="854"/>
                <w:rFonts w:ascii="Times New Roman" w:hAnsi="Times New Roman"/>
                <w:color w:val="000000" w:themeColor="text1"/>
                <w:lang w:val="pt-BR"/>
              </w:rPr>
            </w:r>
            <w:r>
              <w:rPr>
                <w:rStyle w:val="854"/>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855"/>
              <w:pBdr/>
              <w:spacing w:after="60"/>
              <w:ind w:right="-56"/>
              <w:rPr>
                <w:rStyle w:val="854"/>
                <w:rFonts w:ascii="Times New Roman" w:hAnsi="Times New Roman"/>
                <w:i/>
                <w:color w:val="auto"/>
              </w:rPr>
            </w:pPr>
            <w:r>
              <w:rPr>
                <w:rFonts w:ascii="Times New Roman" w:hAnsi="Times New Roman"/>
                <w:i/>
                <w:color w:val="auto"/>
              </w:rPr>
            </w:r>
            <w:r>
              <w:rPr>
                <w:rStyle w:val="854"/>
                <w:rFonts w:ascii="Times New Roman" w:hAnsi="Times New Roman"/>
                <w:i/>
                <w:color w:val="auto"/>
              </w:rPr>
            </w:r>
          </w:p>
        </w:tc>
      </w:tr>
    </w:tbl>
    <w:p>
      <w:pPr>
        <w:pStyle w:val="855"/>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p>
    <w:p>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HSTD-20260714-0018/CT-VFI</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22 tháng 9 năm 2026</w:t>
      </w:r>
      <w:r>
        <w:rPr>
          <w:b w:val="0"/>
          <w:i/>
          <w:spacing w:val="-6"/>
          <w:sz w:val="24"/>
          <w:szCs w:val="24"/>
          <w:lang w:val="pt-BR"/>
        </w:rPr>
        <w:t xml:space="preserve">)</w:t>
      </w:r>
      <w:r>
        <w:rPr>
          <w:b w:val="0"/>
          <w:i/>
          <w:spacing w:val="-6"/>
          <w:sz w:val="24"/>
          <w:szCs w:val="24"/>
          <w:lang w:val="pt-BR"/>
        </w:rPr>
      </w:r>
    </w:p>
    <w:p>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p>
        </w:tc>
      </w:tr>
    </w:tbl>
    <w:p>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ind/>
              <w:rPr/>
            </w:pPr>
            <w:r>
              <w:rPr>
                <w:b/>
                <w:bCs/>
              </w:rPr>
              <w:t xml:space="preserve">CHƯA BIẾT</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Giấy chứng nhận số CO 944116, Số vào sổ cấp GCN CO 944116, Số thửa 318, Tờ bản đồ 1, Địa chỉ trên sổ 15 ĐƯỜNG SỐ 4, KHU NHÀ Ở HIỆP BÌNH PH</w:t>
            </w:r>
            <w:r>
              <w:rPr>
                <w:bCs/>
                <w:color w:val="000000" w:themeColor="text1"/>
                <w:lang w:val="pt-BR"/>
              </w:rPr>
              <w:t xml:space="preserve">ƯỚC, KHU PHỐ 2, PHƯỜNG HIỆP BÌNH PHƯỚC, QUẬN THỦ ĐỨC TP HCM ( Sai định Vị), Diện tích: Đất ở tại đô thị (202.5 m2) | Tài sản tại: Phường Thủ Đức, Thành phố Hồ Chí Minh, độ rộng đường trước mặt tài sản 7m, mặt tiền 9m, 10.870333333333333, 106.71658333333333</w:t>
            </w:r>
            <w:r>
              <w:rPr>
                <w:bCs/>
                <w:spacing w:val="2"/>
              </w:rPr>
              <w:t xml:space="preserve">.</w:t>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15 ĐƯỜNG SỐ 4, KHU NHÀ Ở HIỆP BÌNH PHƯỚC, KHU PHỐ 2, PHƯỜNG HIỆP BÌNH PHƯỚC, QUẬN THỦ ĐỨC TP HCM ( Sai định Vị)</w:t>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Style w:val="83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(10.870333333333, 106.71658333333)</w:t>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09/2026</w:t>
            </w:r>
            <w:r>
              <w:rPr>
                <w:lang w:val="pt-BR"/>
              </w:rPr>
              <w:t xml:space="preserve">.</w:t>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p>
    <w:p>
      <w:pPr>
        <w:pStyle w:val="856"/>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p>
    <w:p>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p>
    <w:p>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p>
    <w:p>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p>
    <w:p>
      <w:pPr>
        <w:pStyle w:val="856"/>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p>
    <w:p>
      <w:pPr>
        <w:pStyle w:val="856"/>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p>
    <w:p>
      <w:pPr>
        <w:pStyle w:val="856"/>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p>
    <w:p>
      <w:pPr>
        <w:pStyle w:val="856"/>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p>
    <w:p>
      <w:pPr>
        <w:pStyle w:val="856"/>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số CO 944116, Số vào sổ cấp GCN CO 944116, Số thửa 318, Tờ bản đồ 1, Địa chỉ trên sổ 15 ĐƯỜNG SỐ 4, KHU NHÀ Ở HIỆP BÌNH PH</w:t>
      </w:r>
      <w:r>
        <w:rPr>
          <w:bCs/>
          <w:color w:val="000000" w:themeColor="text1"/>
          <w:lang w:val="pt-BR"/>
        </w:rPr>
        <w:t xml:space="preserve">ƯỚC, KHU PHỐ 2, PHƯỜNG HIỆP BÌNH PHƯỚC, QUẬN THỦ ĐỨC TP HCM ( Sai định Vị), Diện tích: Đất ở tại đô thị (202.5 m2) | Tài sản tại: Phường Thủ Đức, Thành phố Hồ Chí Minh, độ rộng đường trước mặt tài sản 7m, mặt tiền 9m, 10.870333333333333, 106.71658333333333</w:t>
      </w:r>
      <w:r>
        <w:rPr>
          <w:lang w:val="pt-BR"/>
        </w:rPr>
        <w:t xml:space="preserve">.</w:t>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p>
    <w:p>
      <w:pPr>
        <w:pStyle w:val="856"/>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HSTD-20260714-0018/HĐTĐ-VFI ngày 22/09/2026 giữa CHƯA BIẾT với Công ty Cổ phần Thẩm định và Đầu tư Tài chính Hoa Sen.</w:t>
      </w:r>
      <w:r>
        <w:rPr>
          <w:b/>
          <w:lang w:val="pt-BR"/>
        </w:rPr>
      </w:r>
    </w:p>
    <w:p>
      <w:pPr>
        <w:pStyle w:val="856"/>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pPr>
        <w:pBdr/>
        <w:tabs>
          <w:tab w:val="left" w:leader="none" w:pos="426"/>
        </w:tabs>
        <w:spacing w:after="120" w:before="120" w:line="276" w:lineRule="auto"/>
        <w:ind/>
        <w:rPr>
          <w:i/>
          <w:iCs/>
          <w:lang w:val="pt-BR"/>
        </w:rPr>
      </w:pPr>
      <w:r>
        <w:rPr>
          <w:shd w:val="clear" w:color="auto" w:fill="ffffff"/>
        </w:rPr>
      </w:r>
      <w:r>
        <w:rPr>
          <w:i/>
          <w:iCs/>
          <w:lang w:val="pt-BR"/>
        </w:rPr>
      </w:r>
    </w:p>
    <w:p>
      <w:pPr>
        <w:pStyle w:val="85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Giấy chứng nhận số CO 944116, Số vào sổ cấp GCN CO 944116, Số thửa 318, Tờ bản đồ 1, Địa chỉ trên sổ 15 ĐƯỜNG SỐ 4, KHU NHÀ Ở HIỆP BÌNH PH</w:t>
            </w:r>
            <w:r>
              <w:rPr>
                <w:b/>
                <w:bCs/>
                <w:color w:val="000000"/>
              </w:rPr>
              <w:t xml:space="preserve">ƯỚC, KHU PHỐ 2, PHƯỜNG HIỆP BÌNH PHƯỚC, QUẬN THỦ ĐỨC TP HCM ( Sai định Vị), Diện tích: Đất ở tại đô thị (202.5 m2) | Tài sản tại: Phường Thủ Đức, Thành phố Hồ Chí Minh, độ rộng đường trước mặt tài sản 7m, mặt tiền 9m, 10.870333333333333, 106.71658333333333</w:t>
            </w:r>
            <w:r>
              <w:rPr>
                <w:b/>
                <w:bCs/>
                <w:color w:val="000000"/>
              </w:rPr>
              <w:t xml:space="preserve">.</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318</w:t>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w:t>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15 ĐƯỜNG SỐ 4, KHU NHÀ Ở HIỆP BÌNH PHƯỚC, KHU PHỐ 2, PHƯỜNG HIỆP BÌNH PHƯỚC, QUẬN THỦ ĐỨC TP HCM ( Sai định Vị)</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202.5</w:t>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202.5 m2</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4</w:t>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7.3</w:t>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7.3</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p>
        </w:tc>
        <w:tc>
          <w:tcPr>
            <w:gridSpan w:val="3"/>
            <w:tcBorders/>
            <w:tcW w:w="6259" w:type="dxa"/>
            <w:vAlign w:val="center"/>
            <w:textDirection w:val="lrTb"/>
            <w:noWrap w:val="false"/>
          </w:tcPr>
          <w:p>
            <w:pPr>
              <w:pBdr/>
              <w:spacing/>
              <w:ind/>
              <w:rPr>
                <w:color w:val="000000" w:themeColor="text1"/>
              </w:rPr>
            </w:pP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(10.870333333333, 106.71658333333)</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4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50pt;height:200.00pt;mso-wrap-distance-left:0.00pt;mso-wrap-distance-top:0.00pt;mso-wrap-distance-right:0.00pt;mso-wrap-distance-bottom:0.00pt;z-index:1;" stroked="false">
                      <v:imagedata r:id="rId17" o:title=""/>
                      <o:lock v:ext="edit" rotation="t"/>
                    </v:shape>
                  </w:pict>
                </mc:Fallback>
              </mc:AlternateConten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202.5</w:t>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9</w:t>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22.5</w:t>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 Bắc</w: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p>
        </w:tc>
        <w:tc>
          <w:tcPr>
            <w:gridSpan w:val="3"/>
            <w:tcBorders/>
            <w:tcW w:w="6259" w:type="dxa"/>
            <w:vAlign w:val="center"/>
            <w:textDirection w:val="lrTb"/>
            <w:noWrap w:val="false"/>
          </w:tcPr>
          <w:p>
            <w:pPr>
              <w:pBdr/>
              <w:spacing/>
              <w:ind/>
              <w:rPr>
                <w:color w:val="000000"/>
              </w:rPr>
            </w:pP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Khá</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Trung bình</w:t>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p>
        </w:tc>
        <w:tc>
          <w:tcPr>
            <w:gridSpan w:val="4"/>
            <w:tcBorders/>
            <w:tcW w:w="8781" w:type="dxa"/>
            <w:textDirection w:val="lrTb"/>
            <w:noWrap w:val="false"/>
          </w:tcPr>
          <w:p>
            <w:pPr>
              <w:pBdr/>
              <w:spacing/>
              <w:ind/>
              <w:jc w:val="both"/>
              <w:rPr>
                <w:color w:val="000000"/>
              </w:rPr>
            </w:pPr>
            <w:r>
              <w:rPr>
                <w:color w:val="000000"/>
              </w:rPr>
              <w:t xml:space="preserve">+ </w:t>
            </w:r>
            <w:r>
              <w:rPr>
                <w:color w:val="000000"/>
              </w:rPr>
            </w:r>
            <w:r>
              <w:rPr>
                <w:color w:val="000000"/>
              </w:rPr>
            </w:r>
          </w:p>
        </w:tc>
      </w:tr>
    </w:tbl>
    <w:p>
      <w:pPr>
        <w:pBdr/>
        <w:spacing w:line="235" w:lineRule="auto"/>
        <w:ind w:left="646"/>
        <w:jc w:val="both"/>
        <w:rPr>
          <w:u w:val="single"/>
        </w:rPr>
      </w:pP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p>
    <w:tbl>
      <w:tblPr>
        <w:tblStyle w:val="860"/>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15 ĐƯỜNG SỐ 4, KHU NHÀ Ở HIỆP BÌNH PHƯỚC, KHU PHỐ 2, PHƯỜNG HIỆP BÌNH PHƯỚC, QUẬN THỦ ĐỨC TP HCM ( Sai định Vị) ✔</w:t>
            </w:r>
            <w:r/>
          </w:p>
        </w:tc>
        <w:tc>
          <w:tcPr>
            <w:tcBorders/>
            <w:tcW w:w="1605" w:type="dxa"/>
            <w:vAlign w:val="center"/>
            <w:textDirection w:val="lrTb"/>
            <w:noWrap w:val="false"/>
          </w:tcPr>
          <w:p>
            <w:pPr>
              <w:pBdr/>
              <w:spacing/>
              <w:ind/>
              <w:jc w:val="center"/>
              <w:rPr/>
            </w:pPr>
            <w:r>
              <w:t xml:space="preserve">Phường Thủ Đức, Thành phố Hồ Chí Minh</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Đường 4, Phường Hiệp Bình, Thành phố Hồ Chí Minh</w:t>
            </w:r>
            <w:r/>
          </w:p>
        </w:tc>
        <w:tc>
          <w:tcPr>
            <w:tcBorders/>
            <w:tcW w:w="1605" w:type="dxa"/>
            <w:vAlign w:val="center"/>
            <w:textDirection w:val="lrTb"/>
            <w:noWrap w:val="false"/>
          </w:tcPr>
          <w:p>
            <w:pPr>
              <w:pBdr/>
              <w:spacing/>
              <w:ind/>
              <w:jc w:val="center"/>
              <w:rPr/>
            </w:pPr>
            <w:r>
              <w:t xml:space="preserve">Đường 4, Phường Hiệp Bình, Thành phố Hồ Chí Minh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tại đô thị</w:t>
            </w:r>
            <w:r/>
          </w:p>
        </w:tc>
        <w:tc>
          <w:tcPr>
            <w:tcBorders/>
            <w:tcW w:w="1605" w:type="dxa"/>
            <w:vAlign w:val="center"/>
            <w:textDirection w:val="lrTb"/>
            <w:noWrap w:val="false"/>
          </w:tcPr>
          <w:p>
            <w:pPr>
              <w:pBdr/>
              <w:spacing/>
              <w:ind/>
              <w:jc w:val="center"/>
              <w:rPr/>
            </w:pPr>
            <w:r>
              <w:t xml:space="preserve">Đất ở tại đô thị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VT2</w:t>
            </w:r>
            <w:r/>
          </w:p>
        </w:tc>
        <w:tc>
          <w:tcPr>
            <w:tcBorders/>
            <w:tcW w:w="1605" w:type="dxa"/>
            <w:vAlign w:val="center"/>
            <w:textDirection w:val="lrTb"/>
            <w:noWrap w:val="false"/>
          </w:tcPr>
          <w:p>
            <w:pPr>
              <w:pBdr/>
              <w:spacing/>
              <w:ind/>
              <w:jc w:val="center"/>
              <w:rPr/>
            </w:pPr>
            <w:r>
              <w:t xml:space="preserve">VT2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nhựa có vỉa hè</w:t>
            </w:r>
            <w:r/>
          </w:p>
        </w:tc>
        <w:tc>
          <w:tcPr>
            <w:tcBorders/>
            <w:tcW w:w="1605" w:type="dxa"/>
            <w:vAlign w:val="center"/>
            <w:textDirection w:val="lrTb"/>
            <w:noWrap w:val="false"/>
          </w:tcPr>
          <w:p>
            <w:pPr>
              <w:pBdr/>
              <w:spacing/>
              <w:ind/>
              <w:jc w:val="center"/>
              <w:rPr/>
            </w:pPr>
            <w:r>
              <w:t xml:space="preserve">Đường nhựa có vỉa hè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7</w:t>
            </w:r>
            <w:r/>
          </w:p>
        </w:tc>
        <w:tc>
          <w:tcPr>
            <w:tcBorders/>
            <w:tcW w:w="1605" w:type="dxa"/>
            <w:vAlign w:val="center"/>
            <w:textDirection w:val="lrTb"/>
            <w:noWrap w:val="false"/>
          </w:tcPr>
          <w:p>
            <w:pPr>
              <w:pBdr/>
              <w:spacing/>
              <w:ind/>
              <w:jc w:val="center"/>
              <w:rPr/>
            </w:pPr>
            <w:r>
              <w:t xml:space="preserve">7.3 ✔</w:t>
            </w:r>
            <w:r/>
          </w:p>
        </w:tc>
        <w:tc>
          <w:tcPr>
            <w:tcBorders/>
            <w:tcW w:w="1371" w:type="dxa"/>
            <w:vAlign w:val="center"/>
            <w:textDirection w:val="lrTb"/>
            <w:noWrap w:val="false"/>
          </w:tcPr>
          <w:p>
            <w:pPr>
              <w:pBdr/>
              <w:spacing/>
              <w:ind/>
              <w:jc w:val="center"/>
              <w:rPr/>
            </w:pPr>
            <w:r>
              <w:t xml:space="preserve">0.3</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Cơ sở hạ tầng kỹ thuật</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Hạ tầng khu đô thị, khu phân lô/tái định cư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Môi trường, an ninh</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Khá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202.5</w:t>
            </w:r>
            <w:r/>
          </w:p>
        </w:tc>
        <w:tc>
          <w:tcPr>
            <w:tcBorders/>
            <w:tcW w:w="1605" w:type="dxa"/>
            <w:vAlign w:val="center"/>
            <w:textDirection w:val="lrTb"/>
            <w:noWrap w:val="false"/>
          </w:tcPr>
          <w:p>
            <w:pPr>
              <w:pBdr/>
              <w:spacing/>
              <w:ind/>
              <w:jc w:val="center"/>
              <w:rPr/>
            </w:pPr>
            <w:r>
              <w:t xml:space="preserve">202.5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9</w:t>
            </w:r>
            <w:r/>
          </w:p>
        </w:tc>
        <w:tc>
          <w:tcPr>
            <w:tcBorders/>
            <w:tcW w:w="1605" w:type="dxa"/>
            <w:vAlign w:val="center"/>
            <w:textDirection w:val="lrTb"/>
            <w:noWrap w:val="false"/>
          </w:tcPr>
          <w:p>
            <w:pPr>
              <w:pBdr/>
              <w:spacing/>
              <w:ind/>
              <w:jc w:val="center"/>
              <w:rPr/>
            </w:pPr>
            <w:r>
              <w:t xml:space="preserve">9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22.5 ✔</w:t>
            </w:r>
            <w:r/>
          </w:p>
        </w:tc>
        <w:tc>
          <w:tcPr>
            <w:tcBorders/>
            <w:tcW w:w="1605" w:type="dxa"/>
            <w:vAlign w:val="center"/>
            <w:textDirection w:val="lrTb"/>
            <w:noWrap w:val="false"/>
          </w:tcPr>
          <w:p>
            <w:pPr>
              <w:pBdr/>
              <w:spacing/>
              <w:ind/>
              <w:jc w:val="center"/>
              <w:rPr/>
            </w:pPr>
            <w:r>
              <w:t xml:space="preserve">22.5</w:t>
            </w:r>
            <w:r/>
          </w:p>
        </w:tc>
        <w:tc>
          <w:tcPr>
            <w:tcBorders/>
            <w:tcW w:w="1371" w:type="dxa"/>
            <w:vAlign w:val="center"/>
            <w:textDirection w:val="lrTb"/>
            <w:noWrap w:val="false"/>
          </w:tcPr>
          <w:p>
            <w:pPr>
              <w:pBdr/>
              <w:spacing/>
              <w:ind/>
              <w:jc w:val="center"/>
              <w:rPr/>
            </w:pPr>
            <w:r>
              <w:t xml:space="preserve">-22.5</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w:t>
            </w:r>
            <w:r/>
          </w:p>
        </w:tc>
        <w:tc>
          <w:tcPr>
            <w:tcBorders/>
            <w:tcW w:w="1605"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16</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Tây Bắc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17</w:t>
            </w:r>
            <w:r/>
          </w:p>
        </w:tc>
        <w:tc>
          <w:tcPr>
            <w:tcBorders/>
            <w:tcW w:w="1663" w:type="dxa"/>
            <w:vAlign w:val="center"/>
            <w:textDirection w:val="lrTb"/>
            <w:noWrap w:val="false"/>
          </w:tcPr>
          <w:p>
            <w:pPr>
              <w:pBdr/>
              <w:spacing/>
              <w:ind/>
              <w:jc w:val="center"/>
              <w:rPr/>
            </w:pPr>
            <w:r>
              <w:t xml:space="preserve">Cảnh quan</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View khu dân cư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18</w:t>
            </w:r>
            <w:r/>
          </w:p>
        </w:tc>
        <w:tc>
          <w:tcPr>
            <w:tcBorders/>
            <w:tcW w:w="1663" w:type="dxa"/>
            <w:vAlign w:val="center"/>
            <w:textDirection w:val="lrTb"/>
            <w:noWrap w:val="false"/>
          </w:tcPr>
          <w:p>
            <w:pPr>
              <w:pBdr/>
              <w:spacing/>
              <w:ind/>
              <w:jc w:val="center"/>
              <w:rPr/>
            </w:pPr>
            <w:r>
              <w:t xml:space="preserve">Lợi thế kinh doanh</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Trung bình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bl>
    <w:p>
      <w:pPr>
        <w:pBdr/>
        <w:spacing/>
        <w:ind/>
        <w:rPr>
          <w:b/>
          <w:bCs/>
        </w:rPr>
      </w:pPr>
      <w:r>
        <w:rPr>
          <w:b/>
          <w:bCs/>
        </w:rPr>
      </w:r>
      <w:r>
        <w:rPr>
          <w:b/>
          <w:bCs/>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Bdr/>
        <w:spacing w:line="235" w:lineRule="auto"/>
        <w:ind/>
        <w:jc w:val="both"/>
        <w:rPr>
          <w:u w:val="single"/>
        </w:rPr>
      </w:pPr>
      <w:r>
        <w:rPr>
          <w:u w:val="single"/>
        </w:rPr>
      </w:r>
      <w:r>
        <w:rPr>
          <w:u w:val="single"/>
        </w:rPr>
      </w:r>
    </w:p>
    <w:p>
      <w:pPr>
        <w:pBdr/>
        <w:spacing w:line="235" w:lineRule="auto"/>
        <w:ind w:left="646"/>
        <w:jc w:val="both"/>
        <w:rPr>
          <w:u w:val="single"/>
        </w:rPr>
      </w:pP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pPr>
        <w:pStyle w:val="856"/>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p>
    <w:p>
      <w:pPr>
        <w:pStyle w:val="856"/>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pPr>
        <w:pStyle w:val="856"/>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p>
    <w:p>
      <w:pPr>
        <w:pStyle w:val="856"/>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p>
    <w:p>
      <w:pPr>
        <w:pStyle w:val="856"/>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p>
    <w:p>
      <w:pPr>
        <w:pStyle w:val="856"/>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p>
    <w:p>
      <w:pPr>
        <w:pStyle w:val="856"/>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p>
    <w:p>
      <w:pPr>
        <w:pStyle w:val="856"/>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p>
    <w:p>
      <w:pPr>
        <w:pStyle w:val="856"/>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p>
    <w:p>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pPr>
        <w:pStyle w:val="856"/>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p>
    <w:p>
      <w:pPr>
        <w:pStyle w:val="856"/>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p>
    <w:p>
      <w:pPr>
        <w:pStyle w:val="856"/>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 4, Phường Hiệp Bình, Thành phố Hồ Chí Minh</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12, Phường Hiệp Bình, Thành phố Hồ Chí Minh</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Hiệp Bình, Thành phố Hồ Chí Minh</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Hiệp Bình, Thành phố Hồ Chí Minh</w:t>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https://guland.vn/post/ban-dat-230m2-ngang-115m-gia-1399-ty-phuong-hiep-binh-thu-duc-1845406</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https://guland.vn/post/ban-biet-thu-khu-jamona-hiep-binh-phuoc-437m2-gia-295-ty-tl-1426254</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0983920414</w:t>
            </w:r>
            <w:r>
              <w:rPr>
                <w:sz w:val="22"/>
                <w:szCs w:val="22"/>
              </w:rPr>
              <w:t xml:space="preserve"> </w:t>
            </w:r>
            <w:r>
              <w:rPr>
                <w:sz w:val="22"/>
                <w:szCs w:val="22"/>
              </w:rPr>
              <w:br/>
              <w:t xml:space="preserve">(</w:t>
            </w:r>
            <w:r>
              <w:rPr>
                <w:sz w:val="22"/>
                <w:szCs w:val="22"/>
              </w:rPr>
              <w:t xml:space="preserve">Anh Tuấn</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0902495806</w:t>
            </w:r>
            <w:r>
              <w:rPr>
                <w:sz w:val="22"/>
                <w:szCs w:val="22"/>
              </w:rPr>
              <w:br/>
            </w:r>
            <w:r>
              <w:rPr>
                <w:sz w:val="22"/>
                <w:szCs w:val="22"/>
              </w:rPr>
              <w:t xml:space="preserve">(</w:t>
            </w:r>
            <w:r>
              <w:rPr>
                <w:sz w:val="22"/>
                <w:szCs w:val="22"/>
              </w:rPr>
              <w:t xml:space="preserve">A luân</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0775297817</w:t>
            </w:r>
            <w:r>
              <w:rPr>
                <w:sz w:val="22"/>
                <w:szCs w:val="22"/>
              </w:rPr>
              <w:br/>
            </w:r>
            <w:r>
              <w:rPr>
                <w:sz w:val="22"/>
                <w:szCs w:val="22"/>
              </w:rPr>
              <w:t xml:space="preserve">(</w:t>
            </w:r>
            <w:r>
              <w:rPr>
                <w:sz w:val="22"/>
                <w:szCs w:val="22"/>
              </w:rPr>
              <w:t xml:space="preserve">Đoàn tiến</w:t>
            </w:r>
            <w:r>
              <w:rPr>
                <w:sz w:val="22"/>
                <w:szCs w:val="22"/>
              </w:rPr>
              <w:t xml:space="preserve">)</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Thủ Đức, Thành phố Hồ Chí Minh, độ rộng đường trước mặt tài sản 7m, mặt tiền 9m, 10.870333333333333, 106.71658333333333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12, Phường Hiệp Bình, Thành phố Hồ Chí Minh, khoảng cách ra đường chính Đường số 12m, độ rộng đường trước mặt tài sản 5m, mặt tiền 11.5m, 10.871557504358655, 106.7191344637934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Hiệp Bình, Thành phố Hồ Chí Minh, khoảng cách ra đường chính Đường số 12m, độ rộng đường trước mặt tài sản 12m, mặt tiền 8.62m, 10.870971498426107, 106.71754008622814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Hiệp Bình, Thành phố Hồ Chí Minh, khoảng cách ra đường chính Đường nhựa 4m m, độ rộng đường trước mặt tài sản 4m, mặt tiền 4.39m, 10.862153214722351, 106.72612506537723</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189.8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59.7</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8.62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4.39</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22.02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13.6</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hậu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14.000.000.000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18.500.000.000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4.600.000.000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12.600.000.000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14.800.000.000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3.680.000.000</w:t>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t xml:space="preserve"> </w:t>
            </w:r>
            <w:r>
              <w:rPr>
                <w:color w:val="000000" w:themeColor="text1"/>
                <w:sz w:val="22"/>
                <w:szCs w:val="22"/>
              </w:rPr>
              <w:t xml:space="preserve">2.037.263.357</w:t>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1.852.057.659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Đơn giá xây dựng theo Quyết định số 409/QĐ-BXD ngày 11/4/2025 của Bộ Xây Dựng (đồng/m²)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8.905.680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8.096.073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 Tỷ lệ % CLCL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rPr>
                <w:color w:val="000000"/>
                <w:sz w:val="22"/>
                <w:szCs w:val="22"/>
              </w:rPr>
            </w:pPr>
            <w:r>
              <w:rPr>
                <w:color w:val="000000"/>
                <w:sz w:val="22"/>
                <w:szCs w:val="22"/>
              </w:rPr>
              <w:t xml:space="preserve">Tỷ lệ % hoàn thiện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100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12.600.000.000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12.947.942.341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3.680.000.000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54.782.609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68.218.874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61.641.541</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hậu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p>
    <w:p>
      <w:pPr>
        <w:pStyle w:val="856"/>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12.600.000.000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12.947.942.341</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3.680.000.000</w:t>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54.782.609</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68.218.874</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61.641.541</w:t>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54.782.609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68.218.874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61.641.541</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54.782.609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68.218.874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61.641.541</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54.782.609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68.218.874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61.641.541</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Phường Thủ Đức, Thành phố Hồ Chí Minh, độ rộng đường trước mặt tài sản 7m, mặt tiền 9m, 10.870333333333333, 106.71658333333333</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12, Phường Hiệp Bình, Thành phố Hồ Chí Minh, khoảng cách ra đường chính Đường số 12m, độ rộng đường trước mặt tài sản 5m, mặt tiền 11.5m, 10.871557504358655, 106.7191344637934</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Phường Hiệp Bình, Thành phố Hồ Chí Minh, khoảng cách ra đường chính Đường số 12m, độ rộng đường trước mặt tài sản 12m, mặt tiền 8.62m, 10.870971498426107, 106.71754008622814</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Phường Hiệp Bình, Thành phố Hồ Chí Minh, khoảng cách ra đường chính Đường nhựa 4m m, độ rộng đường trước mặt tài sản 4m, mặt tiền 4.39m, 10.862153214722351, 106.72612506537723</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2.739.130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3.082.077</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57.521.739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68.218.874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64.723.618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1.849.246</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57.521.739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68.218.874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66.572.864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7.3</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2.739.130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60.260.869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68.218.874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66.572.864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202.5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230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189.8</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59.7</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2.739.130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-2.046.566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-4.931.323</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62.999.999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66.172.308</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61.641.541</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8.62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4.39</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-1.643.478</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3.082.077</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61.356.521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66.172.308</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64.723.618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22.02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13.6</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61.356.521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66.172.308</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64.723.618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hậu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61.356.521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66.172.308</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64.723.618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61.356.521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66.172.308</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64.723.618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61.356.521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66.172.308</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64.723.618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Các thông tin khác</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61.356.521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66.172.308</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64.723.618</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61.356.521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66.172.308</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64.723.618</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64.084.149</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-4.26%</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3.26%</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9.860.868</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2.046.566</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12.944.723</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 - 5%</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- 3%</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 - 8%</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6.573.912</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2.046.566</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3.082.077</w:t>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w:t>
      </w:r>
      <w:r>
        <w:t xml:space="preserve">-4.26</w:t>
      </w:r>
      <w:r>
        <w:t xml:space="preserve">% đến </w:t>
      </w:r>
      <w:r>
        <w:t xml:space="preserve">3.26</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p>
    <w:p>
      <w:pPr>
        <w:pBdr/>
        <w:spacing/>
        <w:ind/>
        <w:jc w:val="right"/>
        <w:rPr>
          <w:i/>
          <w:iCs/>
        </w:rPr>
      </w:pPr>
      <w:r>
        <w:rPr>
          <w:i/>
          <w:iCs/>
        </w:rPr>
        <w:t xml:space="preserve">Đơn vị tính: Đồng/m²</w:t>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61.356.521</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20.456.264</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66.172.308</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22.055.230</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64.723.618</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21.572.382</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64.083.876</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64.000.000</w:t>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64.000.000</w:t>
      </w:r>
      <w:r>
        <w:rPr>
          <w:b/>
          <w:bCs/>
          <w:color w:val="000000" w:themeColor="text1"/>
        </w:rPr>
        <w:t xml:space="preserve"> </w:t>
      </w:r>
      <w:r>
        <w:rPr>
          <w:b/>
          <w:bCs/>
        </w:rPr>
        <w:t xml:space="preserve">đồng/m².</w:t>
      </w:r>
      <w:r>
        <w:rPr>
          <w:b/>
          <w:bCs/>
        </w:rPr>
      </w:r>
    </w:p>
    <w:p>
      <w:pPr>
        <w:pStyle w:val="856"/>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p>
    <w:tbl>
      <w:tblPr>
        <w:tblInd w:w="-714" w:type="dxa"/>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18"/>
        <w:gridCol w:w="1275"/>
        <w:gridCol w:w="1560"/>
        <w:gridCol w:w="1701"/>
        <w:gridCol w:w="1139"/>
        <w:gridCol w:w="1559"/>
        <w:gridCol w:w="1968"/>
      </w:tblGrid>
      <w:tr>
        <w:trPr>
          <w:trHeight w:val="936"/>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Tài sản</w:t>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Diện tích sàn (m²)</w:t>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Đơn giá xây dựng mới (đồng/m² sàn)</w:t>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Chi phí thay thế (đồng)</w:t>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Tỷ lệ hao mòn (%)</w:t>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Giá trị hao mòn (đồng)</w:t>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Giá trị thẩm định tại thời điểm thẩm định giá (đồng)</w:t>
            </w:r>
            <w:r>
              <w:rPr>
                <w:b/>
                <w:bCs/>
                <w:sz w:val="22"/>
                <w:szCs w:val="22"/>
              </w:rPr>
            </w:r>
          </w:p>
        </w:tc>
      </w:tr>
      <w:tr>
        <w:trPr>
          <w:trHeight w:val="300"/>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(1)</w:t>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(2)</w:t>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(3)</w:t>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(4) = (2) * (3)</w:t>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(5)</w:t>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=(4)*(5)</w:t>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p>
        </w:tc>
      </w:tr>
      <w:tr>
        <w:trPr>
          <w:trHeight w:val="312"/>
        </w:trPr>
        <w:tc>
          <w:tcPr>
            <w:tcBorders/>
            <w:tcW w:w="1418" w:type="dxa"/>
            <w:vAlign w:val="center"/>
            <w:textDirection w:val="lrTb"/>
            <w:noWrap w:val="false"/>
          </w:tcPr>
          <w:p>
            <w:pPr>
              <w:pBdr/>
              <w:spacing w:after="60" w:before="60"/>
              <w:ind/>
              <w:jc w:val="center"/>
              <w:rPr>
                <w:sz w:val="22"/>
                <w:szCs w:val="22"/>
              </w:rPr>
            </w:pPr>
            <w:r>
              <w:rPr>
                <w:sz w:val="22"/>
                <w:szCs w:val="22"/>
              </w:rPr>
              <w:t xml:space="preserve">nhà 3 tầng</w:t>
            </w:r>
            <w:r>
              <w:rPr>
                <w:sz w:val="22"/>
                <w:szCs w:val="22"/>
              </w:rPr>
            </w:r>
          </w:p>
        </w:tc>
        <w:tc>
          <w:tcPr>
            <w:tcBorders/>
            <w:tcW w:w="1275" w:type="dxa"/>
            <w:vAlign w:val="center"/>
            <w:textDirection w:val="lrTb"/>
            <w:noWrap/>
          </w:tcPr>
          <w:p>
            <w:pPr>
              <w:pBdr/>
              <w:spacing w:after="60" w:before="60"/>
              <w:ind/>
              <w:jc w:val="center"/>
              <w:rPr>
                <w:sz w:val="22"/>
                <w:szCs w:val="22"/>
              </w:rPr>
            </w:pPr>
            <w:r>
              <w:rPr>
                <w:sz w:val="22"/>
                <w:szCs w:val="22"/>
              </w:rPr>
              <w:t xml:space="preserve">266</w:t>
            </w:r>
            <w:r>
              <w:rPr>
                <w:sz w:val="22"/>
                <w:szCs w:val="22"/>
              </w:rPr>
            </w:r>
          </w:p>
        </w:tc>
        <w:tc>
          <w:tcPr>
            <w:tcBorders/>
            <w:tcW w:w="1560" w:type="dxa"/>
            <w:vAlign w:val="center"/>
            <w:textDirection w:val="lrTb"/>
            <w:noWrap/>
          </w:tcPr>
          <w:p>
            <w:pPr>
              <w:pBdr/>
              <w:spacing w:after="60" w:before="60"/>
              <w:ind/>
              <w:jc w:val="center"/>
              <w:rPr>
                <w:sz w:val="22"/>
                <w:szCs w:val="22"/>
              </w:rPr>
            </w:pPr>
            <w:r>
              <w:rPr>
                <w:sz w:val="22"/>
                <w:szCs w:val="22"/>
              </w:rPr>
              <w:t xml:space="preserve">8.905.680</w:t>
            </w:r>
            <w:r>
              <w:rPr>
                <w:sz w:val="22"/>
                <w:szCs w:val="22"/>
              </w:rPr>
            </w:r>
          </w:p>
        </w:tc>
        <w:tc>
          <w:tcPr>
            <w:tcBorders/>
            <w:tcW w:w="1701" w:type="dxa"/>
            <w:vAlign w:val="center"/>
            <w:textDirection w:val="lrTb"/>
            <w:noWrap/>
          </w:tcPr>
          <w:p>
            <w:pPr>
              <w:pBdr/>
              <w:spacing w:after="60" w:before="60"/>
              <w:ind/>
              <w:jc w:val="center"/>
              <w:rPr>
                <w:sz w:val="22"/>
                <w:szCs w:val="22"/>
              </w:rPr>
            </w:pPr>
            <w:r>
              <w:rPr>
                <w:sz w:val="22"/>
                <w:szCs w:val="22"/>
              </w:rPr>
              <w:t xml:space="preserve">2.368.910.880</w:t>
            </w:r>
            <w:r>
              <w:rPr>
                <w:sz w:val="22"/>
                <w:szCs w:val="22"/>
              </w:rPr>
            </w:r>
          </w:p>
        </w:tc>
        <w:tc>
          <w:tcPr>
            <w:tcBorders/>
            <w:tcW w:w="1139" w:type="dxa"/>
            <w:vAlign w:val="center"/>
            <w:textDirection w:val="lrTb"/>
            <w:noWrap w:val="false"/>
          </w:tcPr>
          <w:p>
            <w:pPr>
              <w:pBdr/>
              <w:spacing w:after="60" w:before="60"/>
              <w:ind/>
              <w:jc w:val="center"/>
              <w:rPr>
                <w:sz w:val="22"/>
                <w:szCs w:val="22"/>
              </w:rPr>
            </w:pPr>
            <w:r>
              <w:rPr>
                <w:sz w:val="22"/>
                <w:szCs w:val="22"/>
              </w:rPr>
              <w:t xml:space="preserve">14%</w:t>
            </w:r>
            <w:r>
              <w:rPr>
                <w:sz w:val="22"/>
                <w:szCs w:val="22"/>
              </w:rPr>
            </w:r>
          </w:p>
        </w:tc>
        <w:tc>
          <w:tcPr>
            <w:tcBorders/>
            <w:tcW w:w="1559" w:type="dxa"/>
            <w:vAlign w:val="center"/>
            <w:textDirection w:val="lrTb"/>
            <w:noWrap/>
          </w:tcPr>
          <w:p>
            <w:pPr>
              <w:pBdr/>
              <w:spacing w:after="60" w:before="60"/>
              <w:ind/>
              <w:jc w:val="center"/>
              <w:rPr>
                <w:sz w:val="22"/>
                <w:szCs w:val="22"/>
              </w:rPr>
            </w:pPr>
            <w:r>
              <w:rPr>
                <w:sz w:val="22"/>
                <w:szCs w:val="22"/>
              </w:rPr>
              <w:t xml:space="preserve">331.647.523</w:t>
            </w:r>
            <w:r>
              <w:rPr>
                <w:sz w:val="22"/>
                <w:szCs w:val="22"/>
              </w:rPr>
            </w:r>
          </w:p>
        </w:tc>
        <w:tc>
          <w:tcPr>
            <w:tcBorders/>
            <w:tcW w:w="1968" w:type="dxa"/>
            <w:vAlign w:val="center"/>
            <w:textDirection w:val="lrTb"/>
            <w:noWrap w:val="false"/>
          </w:tcPr>
          <w:p>
            <w:pPr>
              <w:pBdr/>
              <w:spacing w:after="60" w:before="60"/>
              <w:ind/>
              <w:jc w:val="center"/>
              <w:rPr>
                <w:sz w:val="22"/>
                <w:szCs w:val="22"/>
              </w:rPr>
            </w:pPr>
            <w:r>
              <w:rPr>
                <w:sz w:val="22"/>
                <w:szCs w:val="22"/>
              </w:rPr>
              <w:t xml:space="preserve">2.037.263.357</w:t>
            </w:r>
            <w:r>
              <w:rPr>
                <w:sz w:val="22"/>
                <w:szCs w:val="22"/>
              </w:rPr>
            </w:r>
          </w:p>
        </w:tc>
      </w:tr>
    </w:tbl>
    <w:p>
      <w:pPr>
        <w:pStyle w:val="856"/>
        <w:pBdr/>
        <w:spacing w:after="120" w:before="120" w:line="276" w:lineRule="auto"/>
        <w:ind w:left="357"/>
        <w:jc w:val="both"/>
        <w:rPr>
          <w:b/>
          <w:lang w:val="pt-BR"/>
        </w:rPr>
      </w:pPr>
      <w:r>
        <w:rPr>
          <w:b/>
          <w:lang w:val="pt-BR"/>
        </w:rPr>
      </w:r>
      <w:r>
        <w:rPr>
          <w:b/>
          <w:lang w:val="pt-BR"/>
        </w:rPr>
      </w:r>
    </w:p>
    <w:p>
      <w:pPr>
        <w:pStyle w:val="856"/>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p>
    <w:p>
      <w:pPr>
        <w:pStyle w:val="856"/>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09/2026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Giấy chứng nhận số CO 944116, Số vào sổ cấp GCN CO 944116, Số thửa 318, Tờ bản đồ 1, Địa chỉ trên sổ 15 ĐƯỜNG SỐ 4, KHU NHÀ Ở HIỆP BÌNH PH</w:t>
            </w:r>
            <w:r>
              <w:rPr>
                <w:color w:val="000000"/>
              </w:rPr>
              <w:t xml:space="preserve">ƯỚC, KHU PHỐ 2, PHƯỜNG HIỆP BÌNH PHƯỚC, QUẬN THỦ ĐỨC TP HCM ( Sai định Vị), Diện tích: Đất ở tại đô thị (202.5 m2) | Tài sản tại: Phường Thủ Đức, Thành phố Hồ Chí Minh, độ rộng đường trước mặt tài sản 7m, mặt tiền 9m, 10.870333333333333, 106.71658333333333</w:t>
            </w:r>
            <w:r>
              <w:rPr>
                <w:b/>
                <w:bCs/>
              </w:rPr>
              <w:t xml:space="preserve">.</w:t>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ở tại đô thị</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202.5</w:t>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64.000.000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12.960.000.000</w:t>
            </w: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2</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nhà 3 tầng</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266</w:t>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8.905.680(86%)</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2.037.263.357</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14.997.263.357</w:t>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14.997.300.000</w:t>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bốn tỷ chín trăm chín mươi bảy triệu ba trăm nghìn</w:t>
            </w:r>
            <w:r>
              <w:rPr>
                <w:b/>
                <w:bCs/>
                <w:i/>
                <w:iCs/>
                <w:color w:val="000000"/>
              </w:rPr>
              <w:t xml:space="preserve">./.)</w:t>
            </w:r>
            <w:r>
              <w:rPr>
                <w:b/>
                <w:bCs/>
                <w:i/>
                <w:iCs/>
                <w:color w:val="000000"/>
              </w:rPr>
            </w:r>
          </w:p>
        </w:tc>
      </w:tr>
    </w:tbl>
    <w:p>
      <w:pPr>
        <w:pStyle w:val="856"/>
        <w:pBdr/>
        <w:tabs>
          <w:tab w:val="left" w:leader="none" w:pos="993"/>
        </w:tabs>
        <w:spacing w:after="120" w:before="120" w:line="276" w:lineRule="auto"/>
        <w:ind w:left="0"/>
        <w:jc w:val="both"/>
        <w:rPr/>
      </w:pPr>
      <w:r/>
      <w:r/>
    </w:p>
    <w:p>
      <w:pPr>
        <w:pStyle w:val="85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pPr>
        <w:pStyle w:val="856"/>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p>
    <w:p>
      <w:pPr>
        <w:pStyle w:val="85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p>
    <w:p>
      <w:pPr>
        <w:pStyle w:val="856"/>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p>
    <w:p>
      <w:pPr>
        <w:pStyle w:val="856"/>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p>
    <w:p>
      <w:pPr>
        <w:pStyle w:val="856"/>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p>
    <w:p>
      <w:pPr>
        <w:pStyle w:val="85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p>
    <w:p>
      <w:pPr>
        <w:pStyle w:val="856"/>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p>
    <w:p>
      <w:pPr>
        <w:pStyle w:val="856"/>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p>
    <w:p>
      <w:pPr>
        <w:pStyle w:val="856"/>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p>
    <w:p>
      <w:pPr>
        <w:pStyle w:val="856"/>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p>
    <w:p>
      <w:pPr>
        <w:pStyle w:val="85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p>
    <w:p>
      <w:pPr>
        <w:pStyle w:val="85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p>
    <w:p>
      <w:pPr>
        <w:pStyle w:val="856"/>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p>
    <w:p>
      <w:pPr>
        <w:pStyle w:val="85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pPr>
        <w:pStyle w:val="856"/>
        <w:numPr>
          <w:ilvl w:val="0"/>
          <w:numId w:val="3"/>
        </w:numPr>
        <w:pBdr/>
        <w:tabs>
          <w:tab w:val="left" w:leader="none" w:pos="993"/>
        </w:tabs>
        <w:spacing w:after="120" w:before="120" w:line="288" w:lineRule="auto"/>
        <w:ind/>
        <w:jc w:val="both"/>
        <w:rPr>
          <w:color w:val="000000" w:themeColor="text1"/>
          <w:lang w:val="vi-VN"/>
        </w:rPr>
      </w:pPr>
      <w:r>
        <w:rPr>
          <w:color w:val="000000" w:themeColor="text1"/>
        </w:rPr>
        <w:t xml:space="preserve">Tổ thẩm định sử dụng Phương pháp so sánh để xác định giá trị tài sản thẩm định giá trong đó việc thu thập thông tin vị trí định vị các TSSS trong mối tương quan với TSTĐ được xác địn</w:t>
      </w:r>
      <w:r>
        <w:rPr>
          <w:color w:val="000000" w:themeColor="text1"/>
        </w:rPr>
        <w:t xml:space="preserve">h thông qua định vị do môi giới, chủ nhà cung cấp hoặc qua việc mô tả, nên nguồn định vị các TSSS chỉ mang tính chính xác tương đối. Khách hàng và các bên thứ ba khi sử dụng kết quả thẩm định giá cần lưu ý khi sử dụng Chứng thư thẩm định giá.</w:t>
      </w:r>
      <w:r>
        <w:rPr>
          <w:color w:val="000000" w:themeColor="text1"/>
          <w:lang w:val="vi-VN"/>
        </w:rPr>
      </w:r>
    </w:p>
    <w:p>
      <w:pPr>
        <w:pStyle w:val="856"/>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p>
    <w:p>
      <w:pPr>
        <w:pStyle w:val="856"/>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pPr>
        <w:pStyle w:val="856"/>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p>
    <w:p>
      <w:pPr>
        <w:pStyle w:val="856"/>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p>
    <w:p>
      <w:pPr>
        <w:pStyle w:val="856"/>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HSTD-20260714-0018/CT-VFI</w:t>
      </w:r>
      <w:r>
        <w:rPr>
          <w:color w:val="ff0000"/>
          <w:lang w:val="vi-VN"/>
        </w:rPr>
        <w:t xml:space="preserve"> </w:t>
      </w:r>
      <w:r>
        <w:rPr>
          <w:color w:val="000000" w:themeColor="text1"/>
        </w:rPr>
        <w:t xml:space="preserve">ngày 22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Nhâm Văn Hưng</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p>
          <w:p>
            <w:pPr>
              <w:pBdr/>
              <w:spacing w:line="276" w:lineRule="auto"/>
              <w:ind/>
              <w:rPr>
                <w:rFonts w:eastAsia="Calibri"/>
                <w:b/>
                <w:lang w:val="pt-BR"/>
              </w:rPr>
            </w:pP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HSTD-20260714-0018/BC-VFI</w:t>
      </w:r>
      <w:r>
        <w:rPr>
          <w:i/>
        </w:rPr>
        <w:t xml:space="preserve"> ngày</w:t>
      </w:r>
      <w:r>
        <w:rPr>
          <w:i/>
          <w:lang w:val="pt-BR"/>
        </w:rPr>
        <w:t xml:space="preserve"> </w:t>
      </w:r>
      <w:r>
        <w:rPr>
          <w:i/>
          <w:lang w:val="pt-BR"/>
        </w:rPr>
        <w:t xml:space="preserve">22 tháng 9 năm 2026</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tbl>
      <w:tblPr>
        <w:tblStyle w:val="86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2.50pt;height:150.00pt;mso-wrap-distance-left:0.00pt;mso-wrap-distance-top:0.00pt;mso-wrap-distance-right:0.00pt;mso-wrap-distance-bottom:0.00pt;z-index:1;" stroked="false">
                      <v:imagedata r:id="rId18" o:title=""/>
                      <o:lock v:ext="edit" rotation="t"/>
                    </v:shape>
                  </w:pict>
                </mc:Fallback>
              </mc:AlternateContent>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2.50pt;height:150.00pt;mso-wrap-distance-left:0.00pt;mso-wrap-distance-top:0.00pt;mso-wrap-distance-right:0.00pt;mso-wrap-distance-bottom:0.00pt;z-index:1;" stroked="false">
                      <v:imagedata r:id="rId19" o:title=""/>
                      <o:lock v:ext="edit" rotation="t"/>
                    </v:shape>
                  </w:pict>
                </mc:Fallback>
              </mc:AlternateContent>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0.00pt;height:150.00pt;mso-wrap-distance-left:0.00pt;mso-wrap-distance-top:0.00pt;mso-wrap-distance-right:0.00pt;mso-wrap-distance-bottom:0.00pt;z-index:1;" stroked="false">
                      <v:imagedata r:id="rId20" o:title=""/>
                      <o:lock v:ext="edit" rotation="t"/>
                    </v:shape>
                  </w:pict>
                </mc:Fallback>
              </mc:AlternateContent>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0.00pt;height:150.00pt;mso-wrap-distance-left:0.00pt;mso-wrap-distance-top:0.00pt;mso-wrap-distance-right:0.00pt;mso-wrap-distance-bottom:0.00pt;z-index:1;" stroked="false">
                      <v:imagedata r:id="rId21" o:title=""/>
                      <o:lock v:ext="edit" rotation="t"/>
                    </v:shape>
                  </w:pict>
                </mc:Fallback>
              </mc:AlternateContent>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12.50pt;height:150.00pt;mso-wrap-distance-left:0.00pt;mso-wrap-distance-top:0.00pt;mso-wrap-distance-right:0.00pt;mso-wrap-distance-bottom:0.00pt;z-index:1;" stroked="false">
                      <v:imagedata r:id="rId22" o:title=""/>
                      <o:lock v:ext="edit" rotation="t"/>
                    </v:shape>
                  </w:pict>
                </mc:Fallback>
              </mc:AlternateContent>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p>
    <w:p>
      <w:pPr>
        <w:pBdr/>
        <w:spacing/>
        <w:ind/>
        <w:jc w:val="center"/>
        <w:rPr>
          <w:i/>
          <w:lang w:val="pt-BR"/>
        </w:rPr>
      </w:pPr>
      <w:r>
        <w:rPr>
          <w:i/>
          <w:lang w:val="pt-BR"/>
        </w:rPr>
        <w:t xml:space="preserve">(Kèm theo Báo cáo thẩm định số </w:t>
      </w:r>
      <w:r>
        <w:rPr>
          <w:i/>
        </w:rPr>
        <w:t xml:space="preserve">HSTD-20260714-0018/BC-VFI</w:t>
      </w:r>
      <w:r>
        <w:rPr>
          <w:i/>
        </w:rPr>
        <w:t xml:space="preserve"> ngày</w:t>
      </w:r>
      <w:r>
        <w:rPr>
          <w:i/>
          <w:lang w:val="pt-BR"/>
        </w:rPr>
        <w:t xml:space="preserve"> </w:t>
      </w:r>
      <w:r>
        <w:rPr>
          <w:i/>
          <w:lang w:val="pt-BR"/>
        </w:rPr>
        <w:t xml:space="preserve">22 tháng 9 năm 2026</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p>
      <w:pPr>
        <w:pBdr/>
        <w:spacing w:after="120"/>
        <w:ind/>
        <w:jc w:val="center"/>
        <w:rPr>
          <w:b/>
          <w:bCs/>
          <w:iCs/>
          <w:lang w:val="pt-BR"/>
        </w:rPr>
      </w:pPr>
      <w:r>
        <w:rPr>
          <w:b/>
          <w:bCs/>
          <w:iCs/>
          <w:lang w:val="pt-BR"/>
        </w:rPr>
        <w:t xml:space="preserve">TSSS1</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https://guland.vn/post/ban-dat-230m2-ngang-115m-gia-1399-ty-phuong-hiep-binh-thu-duc-1845406</w:t>
            </w:r>
            <w:r>
              <w:rPr>
                <w:color w:val="000000" w:themeColor="text1"/>
                <w:sz w:val="22"/>
                <w:szCs w:val="22"/>
              </w:rPr>
              <w:br/>
              <w:t xml:space="preserve">0983920414</w:t>
            </w:r>
            <w:r>
              <w:rPr>
                <w:sz w:val="22"/>
                <w:szCs w:val="22"/>
              </w:rPr>
              <w:t xml:space="preserve"> </w:t>
            </w:r>
            <w:r>
              <w:rPr>
                <w:sz w:val="22"/>
                <w:szCs w:val="22"/>
              </w:rPr>
              <w:br/>
              <w:t xml:space="preserve">(Anh Tuấn</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14.000.000.000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12.600.000.000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(230m²)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12, Phường Hiệp Bình, Thành phố Hồ Chí Minh, khoảng cách ra đường chính Đường số 12m, độ rộng đường trước mặt tài sản 5m, mặt tiền 11.5m, 10.871557504358655, 106.7191344637934</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61627" cy="317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446162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351.31pt;height:250.00pt;mso-wrap-distance-left:0.00pt;mso-wrap-distance-top:0.00pt;mso-wrap-distance-right:0.00pt;mso-wrap-distance-bottom:0.00pt;z-index:1;" stroked="false">
                      <v:imagedata r:id="rId2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39485"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443948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349.57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08425"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440842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47.12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032231"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503223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96.24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3333"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33.33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33.33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33.33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t xml:space="preserve">Nhâm Văn Hưng</w:t>
            </w:r>
            <w:r/>
          </w:p>
          <w:p>
            <w:pPr>
              <w:pBdr/>
              <w:spacing/>
              <w:ind/>
              <w:jc w:val="center"/>
              <w:rPr/>
            </w:pPr>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https://guland.vn/post/ban-biet-thu-khu-jamona-hiep-binh-phuoc-437m2-gia-295-ty-tl-1426254</w:t>
            </w:r>
            <w:r>
              <w:rPr>
                <w:color w:val="000000" w:themeColor="text1"/>
                <w:sz w:val="22"/>
                <w:szCs w:val="22"/>
              </w:rPr>
              <w:br/>
              <w:t xml:space="preserve">0902495806</w:t>
            </w:r>
            <w:r>
              <w:rPr>
                <w:sz w:val="22"/>
                <w:szCs w:val="22"/>
              </w:rPr>
              <w:t xml:space="preserve"> </w:t>
            </w:r>
            <w:r>
              <w:rPr>
                <w:sz w:val="22"/>
                <w:szCs w:val="22"/>
              </w:rPr>
              <w:br/>
              <w:t xml:space="preserve">(A luân</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18.500.000.000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14.800.000.000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(189.8m²)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Hiệp Bình, Thành phố Hồ Chí Minh, khoảng cách ra đường chính Đường số 12m, độ rộng đường trước mặt tài sản 12m, mặt tiền 8.62m, 10.870971498426107, 106.71754008622814</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189.8</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8.62</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014915"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501491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94.88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39345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43934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45.94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1585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44158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47.70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356934"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435693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43.07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87.50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644444"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564444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44.44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644444"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564444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44.44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78762"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237876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87.30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200" w:line="276" w:lineRule="auto"/>
        <w:ind/>
        <w:jc w:val="center"/>
        <w:rPr>
          <w:i/>
          <w:lang w:val="pt-BR"/>
        </w:rPr>
      </w:pP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t xml:space="preserve">Nhâm Văn Hưng</w:t>
            </w:r>
            <w:r/>
          </w:p>
        </w:tc>
      </w:tr>
      <w:tr>
        <w:trPr>
          <w:trHeight w:val="298"/>
        </w:trPr>
        <w:tc>
          <w:tcPr>
            <w:tcBorders/>
            <w:tcW w:w="4358" w:type="dxa"/>
            <w:vAlign w:val="bottom"/>
            <w:textDirection w:val="lrTb"/>
            <w:noWrap w:val="false"/>
          </w:tcPr>
          <w:p>
            <w:pPr>
              <w:pBdr/>
              <w:spacing/>
              <w:ind/>
              <w:rPr>
                <w:b/>
                <w:bCs/>
              </w:rPr>
            </w:pPr>
            <w:r>
              <w:rPr>
                <w:b/>
                <w:bCs/>
              </w:rPr>
            </w:r>
            <w:r>
              <w:rPr>
                <w:b/>
                <w:bCs/>
              </w:rPr>
            </w:r>
          </w:p>
        </w:tc>
        <w:tc>
          <w:tcPr>
            <w:tcBorders/>
            <w:tcW w:w="4701" w:type="dxa"/>
            <w:vAlign w:val="center"/>
            <w:textDirection w:val="lrTb"/>
            <w:noWrap/>
          </w:tcPr>
          <w:p>
            <w:pPr>
              <w:pBdr/>
              <w:spacing/>
              <w:ind/>
              <w:rPr>
                <w:b/>
                <w:bCs/>
              </w:rPr>
            </w:pPr>
            <w:r>
              <w:rPr>
                <w:b/>
                <w:bCs/>
              </w:rPr>
            </w:r>
            <w:r>
              <w:rPr>
                <w:b/>
                <w:bCs/>
              </w:rPr>
            </w:r>
          </w:p>
        </w:tc>
      </w:tr>
    </w:tbl>
    <w:p>
      <w:pPr>
        <w:pBdr/>
        <w:spacing w:after="200" w:line="276" w:lineRule="auto"/>
        <w:ind/>
        <w:rPr>
          <w:iCs/>
          <w:lang w:val="pt-BR"/>
        </w:rPr>
      </w:pPr>
      <w:r>
        <w:rPr>
          <w:iCs/>
          <w:lang w:val="pt-BR"/>
        </w:rPr>
      </w:r>
      <w:r>
        <w:rPr>
          <w:iCs/>
          <w:lang w:val="pt-BR"/>
        </w:rPr>
      </w:r>
    </w:p>
    <w:p>
      <w:pPr>
        <w:pBdr/>
        <w:spacing w:after="200" w:line="276" w:lineRule="auto"/>
        <w:ind/>
        <w:rPr>
          <w:iCs/>
          <w:lang w:val="pt-BR"/>
        </w:rPr>
      </w:pPr>
      <w:r>
        <w:rPr>
          <w:iCs/>
          <w:lang w:val="pt-BR"/>
        </w:rPr>
        <w:br w:type="page" w:clear="all"/>
      </w:r>
      <w:r>
        <w:rPr>
          <w:iCs/>
          <w:lang w:val="pt-BR"/>
        </w:rPr>
      </w:r>
    </w:p>
    <w:p>
      <w:pPr>
        <w:pBdr/>
        <w:spacing w:after="200" w:line="276" w:lineRule="auto"/>
        <w:ind/>
        <w:jc w:val="center"/>
        <w:rPr>
          <w:b/>
          <w:bCs/>
          <w:iCs/>
          <w:lang w:val="pt-BR"/>
        </w:rPr>
      </w:pPr>
      <w:r>
        <w:rPr>
          <w:b/>
          <w:bCs/>
          <w:iCs/>
          <w:lang w:val="pt-BR"/>
        </w:rPr>
        <w:t xml:space="preserve">TSSS 3</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0775297817</w:t>
            </w:r>
            <w:r>
              <w:rPr>
                <w:sz w:val="22"/>
                <w:szCs w:val="22"/>
              </w:rPr>
              <w:t xml:space="preserve"> </w:t>
            </w:r>
            <w:r>
              <w:rPr>
                <w:sz w:val="22"/>
                <w:szCs w:val="22"/>
              </w:rPr>
              <w:br/>
              <w:t xml:space="preserve">(Đoàn tiến</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4.600.000.000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3.680.000.000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(59.7m²)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Hiệp Bình, Thành phố Hồ Chí Minh, khoảng cách ra đường chính Đường nhựa 4m m, độ rộng đường trước mặt tài sản 4m, mặt tiền 4.39m, 10.862153214722351, 106.72612506537723</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59.7</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4.39</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396752"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439675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346.20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956596"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495659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390.28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35604" cy="3175000"/>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a:off x="0" y="0"/>
                                <a:ext cx="443560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349.26pt;height:250.00pt;mso-wrap-distance-left:0.00pt;mso-wrap-distance-top:0.00pt;mso-wrap-distance-right:0.00pt;mso-wrap-distance-bottom:0.00pt;z-index:1;" stroked="false">
                      <v:imagedata r:id="rId40" o:title=""/>
                      <o:lock v:ext="edit" rotation="t"/>
                    </v:shape>
                  </w:pict>
                </mc:Fallback>
              </mc:AlternateContent>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3333" cy="3175000"/>
                      <wp:effectExtent l="0" t="0" r="0" b="0"/>
                      <wp:docPr id="2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1"/>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333.33pt;height:250.00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3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2"/>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187.50pt;height:250.00pt;mso-wrap-distance-left:0.00pt;mso-wrap-distance-top:0.00pt;mso-wrap-distance-right:0.00pt;mso-wrap-distance-bottom:0.00pt;z-index:1;" stroked="false">
                      <v:imagedata r:id="rId4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3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3"/>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333.33pt;height:250.00pt;mso-wrap-distance-left:0.00pt;mso-wrap-distance-top:0.00pt;mso-wrap-distance-right:0.00pt;mso-wrap-distance-bottom:0.00pt;z-index:1;" stroked="false">
                      <v:imagedata r:id="rId4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32900" cy="3175000"/>
                      <wp:effectExtent l="0" t="0" r="0" b="0"/>
                      <wp:docPr id="3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4"/>
                              <a:stretch/>
                            </pic:blipFill>
                            <pic:spPr bwMode="auto">
                              <a:xfrm>
                                <a:off x="0" y="0"/>
                                <a:ext cx="233290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183.69pt;height:250.00pt;mso-wrap-distance-left:0.00pt;mso-wrap-distance-top:0.00pt;mso-wrap-distance-right:0.00pt;mso-wrap-distance-bottom:0.00pt;z-index:1;" stroked="false">
                      <v:imagedata r:id="rId4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458899" cy="3175000"/>
                      <wp:effectExtent l="0" t="0" r="0" b="0"/>
                      <wp:docPr id="3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5"/>
                              <a:stretch/>
                            </pic:blipFill>
                            <pic:spPr bwMode="auto">
                              <a:xfrm>
                                <a:off x="0" y="0"/>
                                <a:ext cx="245889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193.61pt;height:250.00pt;mso-wrap-distance-left:0.00pt;mso-wrap-distance-top:0.00pt;mso-wrap-distance-right:0.00pt;mso-wrap-distance-bottom:0.00pt;z-index:1;" stroked="false">
                      <v:imagedata r:id="rId45"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t xml:space="preserve">Nhâm Văn Hưng</w:t>
            </w:r>
            <w:r/>
          </w:p>
        </w:tc>
      </w:tr>
      <w:tr>
        <w:trPr>
          <w:trHeight w:val="312"/>
        </w:trPr>
        <w:tc>
          <w:tcPr>
            <w:tcBorders/>
            <w:tcW w:w="4427" w:type="dxa"/>
            <w:vAlign w:val="bottom"/>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r>
            <w:r>
              <w:rPr>
                <w:b/>
                <w:bCs/>
              </w:rPr>
            </w:r>
          </w:p>
        </w:tc>
      </w:tr>
    </w:tbl>
    <w:p>
      <w:pPr>
        <w:pBdr/>
        <w:spacing w:after="200" w:line="276" w:lineRule="auto"/>
        <w:ind/>
        <w:rPr>
          <w:iCs/>
          <w:lang w:val="pt-BR"/>
        </w:rPr>
      </w:pP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image" Target="media/image27.png"/><Relationship Id="rId42" Type="http://schemas.openxmlformats.org/officeDocument/2006/relationships/image" Target="media/image28.png"/><Relationship Id="rId43" Type="http://schemas.openxmlformats.org/officeDocument/2006/relationships/image" Target="media/image29.png"/><Relationship Id="rId44" Type="http://schemas.openxmlformats.org/officeDocument/2006/relationships/image" Target="media/image30.png"/><Relationship Id="rId45" Type="http://schemas.openxmlformats.org/officeDocument/2006/relationships/image" Target="media/image3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Nhâm Văn Hưng</cp:lastModifiedBy>
  <cp:revision>512</cp:revision>
  <dcterms:created xsi:type="dcterms:W3CDTF">2025-09-15T02:01:00Z</dcterms:created>
  <dcterms:modified xsi:type="dcterms:W3CDTF">2026-09-23T01:37:47Z</dcterms:modified>
</cp:coreProperties>
</file>